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9D" w:rsidRDefault="003158A0">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富荣</w:t>
      </w:r>
      <w:r>
        <w:rPr>
          <w:rFonts w:ascii="Verdana" w:eastAsia="宋体" w:hAnsi="Verdana" w:cs="宋体"/>
          <w:b/>
          <w:bCs/>
          <w:kern w:val="36"/>
          <w:sz w:val="39"/>
          <w:szCs w:val="39"/>
        </w:rPr>
        <w:t>基金管理有限公司关于旗下部分基金新增</w:t>
      </w:r>
      <w:r w:rsidR="00A1468E" w:rsidRPr="00A1468E">
        <w:rPr>
          <w:rFonts w:ascii="Verdana" w:eastAsia="宋体" w:hAnsi="Verdana" w:cs="宋体" w:hint="eastAsia"/>
          <w:b/>
          <w:bCs/>
          <w:kern w:val="36"/>
          <w:sz w:val="39"/>
          <w:szCs w:val="39"/>
        </w:rPr>
        <w:t>大连网金基金销售有限公司</w:t>
      </w:r>
      <w:r>
        <w:rPr>
          <w:rFonts w:ascii="Verdana" w:eastAsia="宋体" w:hAnsi="Verdana" w:cs="宋体"/>
          <w:b/>
          <w:bCs/>
          <w:kern w:val="36"/>
          <w:sz w:val="39"/>
          <w:szCs w:val="39"/>
        </w:rPr>
        <w:t>为销售机构并开通基金定期定额投资业务和基金转换业务</w:t>
      </w:r>
      <w:r>
        <w:rPr>
          <w:rFonts w:ascii="Verdana" w:eastAsia="宋体" w:hAnsi="Verdana" w:cs="宋体" w:hint="eastAsia"/>
          <w:b/>
          <w:bCs/>
          <w:kern w:val="36"/>
          <w:sz w:val="39"/>
          <w:szCs w:val="39"/>
        </w:rPr>
        <w:t>的公告</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为更好地满足广大投资者的理财需求，根据富荣基金管理有限公司（以下简称“本公司”）与</w:t>
      </w:r>
      <w:r w:rsidR="00A1468E">
        <w:rPr>
          <w:rFonts w:ascii="宋体" w:hAnsi="宋体" w:hint="eastAsia"/>
          <w:szCs w:val="21"/>
        </w:rPr>
        <w:t>大连网金基金销售有限公司</w:t>
      </w:r>
      <w:r>
        <w:rPr>
          <w:rFonts w:ascii="宋体" w:eastAsia="宋体" w:hAnsi="宋体" w:cs="Calibri" w:hint="eastAsia"/>
          <w:color w:val="000000"/>
          <w:kern w:val="0"/>
          <w:szCs w:val="21"/>
        </w:rPr>
        <w:t>（以下简称“</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”）签署的委托销售协议，自</w:t>
      </w:r>
      <w:r>
        <w:rPr>
          <w:rFonts w:ascii="Arial" w:eastAsia="宋体" w:hAnsi="Arial" w:cs="Arial"/>
          <w:color w:val="000000"/>
          <w:kern w:val="0"/>
          <w:szCs w:val="21"/>
        </w:rPr>
        <w:t>2018</w:t>
      </w:r>
      <w:r>
        <w:rPr>
          <w:rFonts w:ascii="宋体" w:eastAsia="宋体" w:hAnsi="宋体" w:cs="Calibri" w:hint="eastAsia"/>
          <w:color w:val="000000"/>
          <w:kern w:val="0"/>
          <w:szCs w:val="21"/>
        </w:rPr>
        <w:t>年</w:t>
      </w:r>
      <w:r>
        <w:rPr>
          <w:rFonts w:ascii="Arial" w:eastAsia="宋体" w:hAnsi="Arial" w:cs="Arial" w:hint="eastAsia"/>
          <w:color w:val="000000"/>
          <w:kern w:val="0"/>
          <w:szCs w:val="21"/>
        </w:rPr>
        <w:t>1</w:t>
      </w:r>
      <w:r w:rsidR="00A1468E">
        <w:rPr>
          <w:rFonts w:ascii="Arial" w:eastAsia="宋体" w:hAnsi="Arial" w:cs="Arial" w:hint="eastAsia"/>
          <w:color w:val="000000"/>
          <w:kern w:val="0"/>
          <w:szCs w:val="21"/>
        </w:rPr>
        <w:t>1</w:t>
      </w:r>
      <w:r>
        <w:rPr>
          <w:rFonts w:ascii="宋体" w:eastAsia="宋体" w:hAnsi="宋体" w:cs="Calibri" w:hint="eastAsia"/>
          <w:color w:val="000000"/>
          <w:kern w:val="0"/>
          <w:szCs w:val="21"/>
        </w:rPr>
        <w:t>月</w:t>
      </w:r>
      <w:r w:rsidR="00A1468E">
        <w:rPr>
          <w:rFonts w:ascii="Arial" w:eastAsia="宋体" w:hAnsi="Arial" w:cs="Arial" w:hint="eastAsia"/>
          <w:color w:val="000000"/>
          <w:kern w:val="0"/>
          <w:szCs w:val="21"/>
        </w:rPr>
        <w:t>1</w:t>
      </w:r>
      <w:r>
        <w:rPr>
          <w:rFonts w:ascii="Arial" w:eastAsia="宋体" w:hAnsi="Arial" w:cs="Arial" w:hint="eastAsia"/>
          <w:color w:val="000000"/>
          <w:kern w:val="0"/>
          <w:szCs w:val="21"/>
        </w:rPr>
        <w:t>5</w:t>
      </w:r>
      <w:r>
        <w:rPr>
          <w:rFonts w:ascii="宋体" w:eastAsia="宋体" w:hAnsi="宋体" w:cs="Calibri" w:hint="eastAsia"/>
          <w:color w:val="000000"/>
          <w:kern w:val="0"/>
          <w:szCs w:val="21"/>
        </w:rPr>
        <w:t>日起新增委托</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销售本公司旗下部分基金并开通基金“定期定额投资业务”和基金转换业务，具体的业务流程、办理时间和办理方式以</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的规定为准。现将相关事项公告如下：</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 </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一、新增</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为销售机构</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1</w:t>
      </w:r>
      <w:r>
        <w:rPr>
          <w:rFonts w:ascii="宋体" w:eastAsia="宋体" w:hAnsi="宋体" w:cs="Calibri" w:hint="eastAsia"/>
          <w:color w:val="000000"/>
          <w:kern w:val="0"/>
          <w:szCs w:val="21"/>
        </w:rPr>
        <w:t>、适用基金</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1</w:t>
      </w:r>
      <w:r>
        <w:rPr>
          <w:rFonts w:ascii="宋体" w:eastAsia="宋体" w:hAnsi="宋体" w:cs="Calibri" w:hint="eastAsia"/>
          <w:color w:val="000000"/>
          <w:kern w:val="0"/>
          <w:szCs w:val="21"/>
        </w:rPr>
        <w:t>）富荣富安债券型证券投资基金（基金代码：A类005173 、C类005174）；</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2</w:t>
      </w:r>
      <w:r>
        <w:rPr>
          <w:rFonts w:ascii="宋体" w:eastAsia="宋体" w:hAnsi="宋体" w:cs="Calibri" w:hint="eastAsia"/>
          <w:color w:val="000000"/>
          <w:kern w:val="0"/>
          <w:szCs w:val="21"/>
        </w:rPr>
        <w:t>）富荣富乾债券型证券投资基金（基金代码：A类004792、C类004793）；</w:t>
      </w:r>
    </w:p>
    <w:p w:rsidR="00C4239D" w:rsidRDefault="003158A0">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3</w:t>
      </w:r>
      <w:r>
        <w:rPr>
          <w:rFonts w:ascii="宋体" w:eastAsia="宋体" w:hAnsi="宋体" w:cs="Calibri" w:hint="eastAsia"/>
          <w:color w:val="000000"/>
          <w:kern w:val="0"/>
          <w:szCs w:val="21"/>
        </w:rPr>
        <w:t>）富荣福锦混合型证券投资基金（基金代码：A类005164、C类005165）；</w:t>
      </w:r>
    </w:p>
    <w:p w:rsidR="00C4239D" w:rsidRDefault="003158A0">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4</w:t>
      </w:r>
      <w:r>
        <w:rPr>
          <w:rFonts w:ascii="宋体" w:eastAsia="宋体" w:hAnsi="宋体" w:cs="Calibri" w:hint="eastAsia"/>
          <w:color w:val="000000"/>
          <w:kern w:val="0"/>
          <w:szCs w:val="21"/>
        </w:rPr>
        <w:t>） 富荣福安灵活配置混合型证券投资基金（基金代码：A类004790、C类004791）；</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5</w:t>
      </w:r>
      <w:r>
        <w:rPr>
          <w:rFonts w:ascii="宋体" w:eastAsia="宋体" w:hAnsi="宋体" w:cs="Calibri" w:hint="eastAsia"/>
          <w:color w:val="000000"/>
          <w:kern w:val="0"/>
          <w:szCs w:val="21"/>
        </w:rPr>
        <w:t>） 富荣福泰灵活配置混合型证券投资基金（基金代码：A类004788、C类004789）；</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6</w:t>
      </w:r>
      <w:r>
        <w:rPr>
          <w:rFonts w:ascii="宋体" w:eastAsia="宋体" w:hAnsi="宋体" w:cs="Calibri" w:hint="eastAsia"/>
          <w:color w:val="000000"/>
          <w:kern w:val="0"/>
          <w:szCs w:val="21"/>
        </w:rPr>
        <w:t>） 富荣福鑫灵活配置混合型证券投资基金（基金代码：A类004794、C类004795）；</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7</w:t>
      </w:r>
      <w:r>
        <w:rPr>
          <w:rFonts w:ascii="宋体" w:eastAsia="宋体" w:hAnsi="宋体" w:cs="Calibri" w:hint="eastAsia"/>
          <w:color w:val="000000"/>
          <w:kern w:val="0"/>
          <w:szCs w:val="21"/>
        </w:rPr>
        <w:t>）富荣富兴纯债债券型证券投资基金（基金代码：004441）；</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8</w:t>
      </w:r>
      <w:r>
        <w:rPr>
          <w:rFonts w:ascii="宋体" w:eastAsia="宋体" w:hAnsi="宋体" w:cs="Calibri" w:hint="eastAsia"/>
          <w:color w:val="000000"/>
          <w:kern w:val="0"/>
          <w:szCs w:val="21"/>
        </w:rPr>
        <w:t>）富荣富祥纯债债券型证券投资基金（基金代码：003999）；</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（9）富荣货币市场基金（基金代码：A类003467、B类003468）；</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（10）富荣福康混合型证券投资基金（基金代码：A类005104、C类005105）；</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（11）富荣价值精选灵活配置混合型发起式证券投资基金（基金代码：A类006109、C类006110）。</w:t>
      </w:r>
    </w:p>
    <w:p w:rsidR="00C4239D" w:rsidRDefault="00CB23F9" w:rsidP="00CB23F9">
      <w:pPr>
        <w:widowControl/>
        <w:shd w:val="clear" w:color="auto" w:fill="FFFFFF"/>
        <w:spacing w:line="360" w:lineRule="auto"/>
        <w:jc w:val="left"/>
        <w:rPr>
          <w:rFonts w:ascii="宋体" w:eastAsia="宋体" w:hAnsi="宋体" w:cs="Calibri"/>
          <w:color w:val="000000"/>
          <w:kern w:val="0"/>
          <w:szCs w:val="21"/>
        </w:rPr>
      </w:pPr>
      <w:r>
        <w:rPr>
          <w:rFonts w:ascii="宋体" w:eastAsia="宋体" w:hAnsi="宋体" w:cs="Calibri" w:hint="eastAsia"/>
          <w:color w:val="000000"/>
          <w:kern w:val="0"/>
          <w:szCs w:val="21"/>
        </w:rPr>
        <w:t xml:space="preserve">     </w:t>
      </w:r>
      <w:r w:rsidR="003158A0">
        <w:rPr>
          <w:rFonts w:ascii="宋体" w:eastAsia="宋体" w:hAnsi="宋体" w:cs="Calibri" w:hint="eastAsia"/>
          <w:color w:val="000000"/>
          <w:kern w:val="0"/>
          <w:szCs w:val="21"/>
        </w:rPr>
        <w:t>注：富荣富兴纯债债券型证券投资基金和富荣富祥纯债债券型证券投资基金暂未开放定期定额投资业务</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2</w:t>
      </w:r>
      <w:r>
        <w:rPr>
          <w:rFonts w:ascii="宋体" w:eastAsia="宋体" w:hAnsi="宋体" w:cs="Calibri" w:hint="eastAsia"/>
          <w:color w:val="000000"/>
          <w:kern w:val="0"/>
          <w:szCs w:val="21"/>
        </w:rPr>
        <w:t>、销售机构信息</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szCs w:val="21"/>
        </w:rPr>
        <w:t>销售机构名称：</w:t>
      </w:r>
      <w:r w:rsidR="001F5024" w:rsidRPr="001F5024">
        <w:rPr>
          <w:rFonts w:ascii="宋体" w:eastAsia="宋体" w:hAnsi="宋体" w:cs="Calibri" w:hint="eastAsia"/>
          <w:color w:val="000000"/>
          <w:kern w:val="0"/>
          <w:szCs w:val="21"/>
        </w:rPr>
        <w:t>大连网金基金销售有限公司</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lastRenderedPageBreak/>
        <w:t>注册</w:t>
      </w:r>
      <w:r>
        <w:rPr>
          <w:rFonts w:ascii="Arial" w:hAnsi="Arial" w:cs="Arial" w:hint="eastAsia"/>
          <w:color w:val="000000"/>
          <w:kern w:val="0"/>
          <w:szCs w:val="21"/>
        </w:rPr>
        <w:t>(</w:t>
      </w:r>
      <w:r>
        <w:rPr>
          <w:rFonts w:ascii="Arial" w:hAnsi="Arial" w:cs="Arial" w:hint="eastAsia"/>
          <w:color w:val="000000"/>
          <w:kern w:val="0"/>
          <w:szCs w:val="21"/>
        </w:rPr>
        <w:t>办公</w:t>
      </w:r>
      <w:r>
        <w:rPr>
          <w:rFonts w:ascii="Arial" w:hAnsi="Arial" w:cs="Arial" w:hint="eastAsia"/>
          <w:color w:val="000000"/>
          <w:kern w:val="0"/>
          <w:szCs w:val="21"/>
        </w:rPr>
        <w:t>)</w:t>
      </w:r>
      <w:r>
        <w:rPr>
          <w:rFonts w:ascii="Arial" w:hAnsi="Arial" w:cs="Arial" w:hint="eastAsia"/>
          <w:color w:val="000000"/>
          <w:kern w:val="0"/>
          <w:szCs w:val="21"/>
        </w:rPr>
        <w:t>地址：</w:t>
      </w:r>
      <w:r w:rsidR="001F5024" w:rsidRPr="00053447">
        <w:rPr>
          <w:rFonts w:ascii="Arial" w:hAnsi="Arial" w:cs="Arial" w:hint="eastAsia"/>
          <w:color w:val="000000"/>
          <w:kern w:val="0"/>
          <w:szCs w:val="21"/>
        </w:rPr>
        <w:t>大连市沙河口区体坛路</w:t>
      </w:r>
      <w:r w:rsidR="001F5024" w:rsidRPr="00053447">
        <w:rPr>
          <w:rFonts w:ascii="Arial" w:hAnsi="Arial" w:cs="Arial" w:hint="eastAsia"/>
          <w:color w:val="000000"/>
          <w:kern w:val="0"/>
          <w:szCs w:val="21"/>
        </w:rPr>
        <w:t>22</w:t>
      </w:r>
      <w:r w:rsidR="001F5024" w:rsidRPr="00053447">
        <w:rPr>
          <w:rFonts w:ascii="Arial" w:hAnsi="Arial" w:cs="Arial" w:hint="eastAsia"/>
          <w:color w:val="000000"/>
          <w:kern w:val="0"/>
          <w:szCs w:val="21"/>
        </w:rPr>
        <w:t>号诺德大厦</w:t>
      </w:r>
      <w:r w:rsidR="001F5024" w:rsidRPr="00053447">
        <w:rPr>
          <w:rFonts w:ascii="Arial" w:hAnsi="Arial" w:cs="Arial" w:hint="eastAsia"/>
          <w:color w:val="000000"/>
          <w:kern w:val="0"/>
          <w:szCs w:val="21"/>
        </w:rPr>
        <w:t>2</w:t>
      </w:r>
      <w:r w:rsidR="001F5024" w:rsidRPr="00053447">
        <w:rPr>
          <w:rFonts w:ascii="Arial" w:hAnsi="Arial" w:cs="Arial" w:hint="eastAsia"/>
          <w:color w:val="000000"/>
          <w:kern w:val="0"/>
          <w:szCs w:val="21"/>
        </w:rPr>
        <w:t>层</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t>法定代表人：</w:t>
      </w:r>
      <w:r w:rsidR="001F5024" w:rsidRPr="00053447">
        <w:rPr>
          <w:rFonts w:ascii="Arial" w:hAnsi="Arial" w:cs="Arial" w:hint="eastAsia"/>
          <w:color w:val="000000"/>
          <w:kern w:val="0"/>
          <w:szCs w:val="21"/>
        </w:rPr>
        <w:t>樊怀东</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t>联系人：</w:t>
      </w:r>
      <w:r>
        <w:rPr>
          <w:rFonts w:ascii="Arial" w:hAnsi="Arial" w:cs="Arial" w:hint="eastAsia"/>
          <w:color w:val="000000"/>
          <w:kern w:val="0"/>
          <w:szCs w:val="21"/>
        </w:rPr>
        <w:t xml:space="preserve"> </w:t>
      </w:r>
      <w:r w:rsidR="001F5024">
        <w:rPr>
          <w:rFonts w:ascii="Arial" w:hAnsi="Arial" w:cs="Arial" w:hint="eastAsia"/>
          <w:color w:val="000000"/>
          <w:kern w:val="0"/>
          <w:szCs w:val="21"/>
        </w:rPr>
        <w:t>辛志辉</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t>电话：</w:t>
      </w:r>
      <w:r w:rsidR="001F5024" w:rsidRPr="001F5024">
        <w:rPr>
          <w:rFonts w:ascii="Arial" w:hAnsi="Arial" w:cs="Arial"/>
          <w:color w:val="000000"/>
          <w:kern w:val="0"/>
          <w:szCs w:val="21"/>
        </w:rPr>
        <w:t>13942694521</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t>传真：</w:t>
      </w:r>
      <w:r w:rsidR="001F5024" w:rsidRPr="001F5024">
        <w:rPr>
          <w:rFonts w:ascii="Arial" w:hAnsi="Arial" w:cs="Arial" w:hint="eastAsia"/>
          <w:color w:val="000000"/>
          <w:kern w:val="0"/>
          <w:szCs w:val="21"/>
        </w:rPr>
        <w:t>（</w:t>
      </w:r>
      <w:r w:rsidR="001F5024" w:rsidRPr="001F5024">
        <w:rPr>
          <w:rFonts w:ascii="Arial" w:hAnsi="Arial" w:cs="Arial" w:hint="eastAsia"/>
          <w:color w:val="000000"/>
          <w:kern w:val="0"/>
          <w:szCs w:val="21"/>
        </w:rPr>
        <w:t>0411</w:t>
      </w:r>
      <w:r w:rsidR="001F5024" w:rsidRPr="001F5024">
        <w:rPr>
          <w:rFonts w:ascii="Arial" w:hAnsi="Arial" w:cs="Arial" w:hint="eastAsia"/>
          <w:color w:val="000000"/>
          <w:kern w:val="0"/>
          <w:szCs w:val="21"/>
        </w:rPr>
        <w:t>）</w:t>
      </w:r>
      <w:r w:rsidR="001F5024" w:rsidRPr="001F5024">
        <w:rPr>
          <w:rFonts w:ascii="Arial" w:hAnsi="Arial" w:cs="Arial" w:hint="eastAsia"/>
          <w:color w:val="000000"/>
          <w:kern w:val="0"/>
          <w:szCs w:val="21"/>
        </w:rPr>
        <w:t xml:space="preserve"> 3902 7835</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t>客户服务电话：</w:t>
      </w:r>
      <w:r w:rsidR="00F86927">
        <w:rPr>
          <w:rFonts w:ascii="Arial" w:hAnsi="Arial" w:cs="Arial"/>
          <w:color w:val="000000"/>
          <w:kern w:val="0"/>
          <w:szCs w:val="21"/>
        </w:rPr>
        <w:t>4000-899-100</w:t>
      </w:r>
    </w:p>
    <w:p w:rsidR="00C4239D" w:rsidRDefault="003158A0">
      <w:pPr>
        <w:widowControl/>
        <w:spacing w:line="360" w:lineRule="auto"/>
        <w:ind w:leftChars="200" w:left="420"/>
        <w:jc w:val="left"/>
        <w:rPr>
          <w:rFonts w:ascii="Arial" w:hAnsi="Arial" w:cs="Arial"/>
          <w:color w:val="000000"/>
          <w:kern w:val="0"/>
          <w:szCs w:val="21"/>
        </w:rPr>
      </w:pPr>
      <w:r>
        <w:rPr>
          <w:rFonts w:ascii="Arial" w:hAnsi="Arial" w:cs="Arial" w:hint="eastAsia"/>
          <w:color w:val="000000"/>
          <w:kern w:val="0"/>
          <w:szCs w:val="21"/>
        </w:rPr>
        <w:t>网址：</w:t>
      </w:r>
      <w:r w:rsidRPr="00053447">
        <w:rPr>
          <w:rFonts w:ascii="Arial" w:hAnsi="Arial" w:cs="Arial"/>
          <w:color w:val="000000"/>
          <w:kern w:val="0"/>
          <w:szCs w:val="21"/>
        </w:rPr>
        <w:t xml:space="preserve"> </w:t>
      </w:r>
      <w:r w:rsidR="001F5024" w:rsidRPr="00053447">
        <w:rPr>
          <w:rFonts w:ascii="Arial" w:hAnsi="Arial" w:cs="Arial"/>
          <w:color w:val="000000"/>
          <w:kern w:val="0"/>
          <w:szCs w:val="21"/>
        </w:rPr>
        <w:t>http://www.yibaijin.com/</w:t>
      </w:r>
    </w:p>
    <w:p w:rsidR="00C4239D" w:rsidRDefault="00C4239D">
      <w:pPr>
        <w:widowControl/>
        <w:spacing w:line="360" w:lineRule="auto"/>
        <w:ind w:leftChars="200" w:left="420"/>
        <w:jc w:val="left"/>
        <w:rPr>
          <w:color w:val="000000"/>
        </w:rPr>
      </w:pPr>
    </w:p>
    <w:p w:rsidR="00C4239D" w:rsidRDefault="00C4239D">
      <w:pPr>
        <w:widowControl/>
        <w:shd w:val="clear" w:color="auto" w:fill="FFFFFF"/>
        <w:spacing w:line="360" w:lineRule="auto"/>
        <w:jc w:val="left"/>
        <w:rPr>
          <w:rFonts w:ascii="Calibri" w:eastAsia="宋体" w:hAnsi="Calibri" w:cs="Calibri"/>
          <w:color w:val="303030"/>
          <w:kern w:val="0"/>
          <w:szCs w:val="21"/>
        </w:rPr>
      </w:pP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二、通过</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开通上述基金定期定额投资业务</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定期定额投资业务是基金申购业务的一种方式，投资者可以通过</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提交申请，约定每期扣款时间、扣款金额及扣款方式，由</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于约定扣款日在投资者指定的资金账户内自动完成扣款以及基金申购业务。投资者在办理定期定额投资业务的同时，仍然可以进行日常申购、赎回业务。</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1</w:t>
      </w:r>
      <w:r>
        <w:rPr>
          <w:rFonts w:ascii="宋体" w:eastAsia="宋体" w:hAnsi="宋体" w:cs="Calibri" w:hint="eastAsia"/>
          <w:color w:val="000000"/>
          <w:kern w:val="0"/>
          <w:szCs w:val="21"/>
        </w:rPr>
        <w:t>、适用投资者范围</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定期定额投资业务适用于依据中华人民共和国有关法律法规的规定和上述基金的基金合同约定可以投资证券投资基金的个人投资者和机构投资者。</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2</w:t>
      </w:r>
      <w:r>
        <w:rPr>
          <w:rFonts w:ascii="宋体" w:eastAsia="宋体" w:hAnsi="宋体" w:cs="Calibri" w:hint="eastAsia"/>
          <w:color w:val="000000"/>
          <w:kern w:val="0"/>
          <w:szCs w:val="21"/>
        </w:rPr>
        <w:t>、定期扣款金额</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投资者可以与</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约定每期固定扣款金额，每期最低申购金额为人民币</w:t>
      </w:r>
      <w:r>
        <w:rPr>
          <w:rFonts w:ascii="Arial" w:eastAsia="宋体" w:hAnsi="Arial" w:cs="Arial"/>
          <w:color w:val="000000"/>
          <w:kern w:val="0"/>
          <w:szCs w:val="21"/>
        </w:rPr>
        <w:t>1</w:t>
      </w:r>
      <w:r>
        <w:rPr>
          <w:rFonts w:ascii="Arial" w:eastAsia="宋体" w:hAnsi="Arial" w:cs="Arial" w:hint="eastAsia"/>
          <w:color w:val="000000"/>
          <w:kern w:val="0"/>
          <w:szCs w:val="21"/>
        </w:rPr>
        <w:t>00</w:t>
      </w:r>
      <w:r>
        <w:rPr>
          <w:rFonts w:ascii="宋体" w:eastAsia="宋体" w:hAnsi="宋体" w:cs="Calibri" w:hint="eastAsia"/>
          <w:color w:val="000000"/>
          <w:kern w:val="0"/>
          <w:szCs w:val="21"/>
        </w:rPr>
        <w:t>元（含申购手续费），且不设定级差及累计申购限额。</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定期自动代投资者提交的申购金额，应与投资者原定期定额投资业务开通申请中填写的申购金额一致。</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3</w:t>
      </w:r>
      <w:r>
        <w:rPr>
          <w:rFonts w:ascii="宋体" w:eastAsia="宋体" w:hAnsi="宋体" w:cs="Calibri" w:hint="eastAsia"/>
          <w:color w:val="000000"/>
          <w:kern w:val="0"/>
          <w:szCs w:val="21"/>
        </w:rPr>
        <w:t>、交易确认</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以每期实际定期定额投资申购申请日（</w:t>
      </w:r>
      <w:r>
        <w:rPr>
          <w:rFonts w:ascii="Arial" w:eastAsia="宋体" w:hAnsi="Arial" w:cs="Arial"/>
          <w:color w:val="000000"/>
          <w:kern w:val="0"/>
          <w:szCs w:val="21"/>
        </w:rPr>
        <w:t>T</w:t>
      </w:r>
      <w:r>
        <w:rPr>
          <w:rFonts w:ascii="宋体" w:eastAsia="宋体" w:hAnsi="宋体" w:cs="Calibri" w:hint="eastAsia"/>
          <w:color w:val="000000"/>
          <w:kern w:val="0"/>
          <w:szCs w:val="21"/>
        </w:rPr>
        <w:t>日）的基金份额资产净值为基准计算申购份额。定期定额投资申购的确认以各基金注册登记机构的记录为准。</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4</w:t>
      </w:r>
      <w:r>
        <w:rPr>
          <w:rFonts w:ascii="宋体" w:eastAsia="宋体" w:hAnsi="宋体" w:cs="Calibri" w:hint="eastAsia"/>
          <w:color w:val="000000"/>
          <w:kern w:val="0"/>
          <w:szCs w:val="21"/>
        </w:rPr>
        <w:t>、有关定期定额投资业务的具体业务办理规则和程序请遵循</w:t>
      </w:r>
      <w:r w:rsidR="00A1468E">
        <w:rPr>
          <w:rFonts w:ascii="宋体" w:eastAsia="宋体" w:hAnsi="宋体" w:cs="Calibri" w:hint="eastAsia"/>
          <w:color w:val="000000"/>
          <w:kern w:val="0"/>
          <w:szCs w:val="21"/>
        </w:rPr>
        <w:t>大连网金</w:t>
      </w:r>
      <w:r>
        <w:rPr>
          <w:rFonts w:ascii="宋体" w:eastAsia="宋体" w:hAnsi="宋体" w:cs="Calibri" w:hint="eastAsia"/>
          <w:color w:val="000000"/>
          <w:kern w:val="0"/>
          <w:szCs w:val="21"/>
        </w:rPr>
        <w:t>的有关规定。</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color w:val="000000"/>
          <w:sz w:val="21"/>
          <w:szCs w:val="21"/>
        </w:rPr>
        <w:t> </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三、通过</w:t>
      </w:r>
      <w:r w:rsidR="00A1468E">
        <w:rPr>
          <w:rFonts w:cs="Calibri" w:hint="eastAsia"/>
          <w:color w:val="000000"/>
          <w:szCs w:val="21"/>
        </w:rPr>
        <w:t>大连网金</w:t>
      </w:r>
      <w:r>
        <w:rPr>
          <w:rFonts w:cs="Calibri" w:hint="eastAsia"/>
          <w:color w:val="000000"/>
          <w:sz w:val="21"/>
          <w:szCs w:val="21"/>
        </w:rPr>
        <w:t>开通基金转换业务</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1、本公司自</w:t>
      </w:r>
      <w:r>
        <w:rPr>
          <w:rFonts w:cs="Calibri"/>
          <w:color w:val="000000"/>
          <w:sz w:val="21"/>
          <w:szCs w:val="21"/>
        </w:rPr>
        <w:t>2018</w:t>
      </w:r>
      <w:r>
        <w:rPr>
          <w:rFonts w:cs="Calibri" w:hint="eastAsia"/>
          <w:color w:val="000000"/>
          <w:sz w:val="21"/>
          <w:szCs w:val="21"/>
        </w:rPr>
        <w:t>年</w:t>
      </w:r>
      <w:r>
        <w:rPr>
          <w:rFonts w:cs="Calibri"/>
          <w:color w:val="000000"/>
          <w:sz w:val="21"/>
          <w:szCs w:val="21"/>
        </w:rPr>
        <w:t>1</w:t>
      </w:r>
      <w:r w:rsidR="00A1468E">
        <w:rPr>
          <w:rFonts w:cs="Calibri" w:hint="eastAsia"/>
          <w:color w:val="000000"/>
          <w:sz w:val="21"/>
          <w:szCs w:val="21"/>
        </w:rPr>
        <w:t>1</w:t>
      </w:r>
      <w:r>
        <w:rPr>
          <w:rFonts w:cs="Calibri" w:hint="eastAsia"/>
          <w:color w:val="000000"/>
          <w:sz w:val="21"/>
          <w:szCs w:val="21"/>
        </w:rPr>
        <w:t>月</w:t>
      </w:r>
      <w:r w:rsidR="00A1468E">
        <w:rPr>
          <w:rFonts w:cs="Calibri" w:hint="eastAsia"/>
          <w:color w:val="000000"/>
          <w:sz w:val="21"/>
          <w:szCs w:val="21"/>
        </w:rPr>
        <w:t>1</w:t>
      </w:r>
      <w:r>
        <w:rPr>
          <w:rFonts w:cs="Calibri" w:hint="eastAsia"/>
          <w:color w:val="000000"/>
          <w:sz w:val="21"/>
          <w:szCs w:val="21"/>
        </w:rPr>
        <w:t>5日起在</w:t>
      </w:r>
      <w:r w:rsidR="00A1468E">
        <w:rPr>
          <w:rFonts w:cs="Calibri" w:hint="eastAsia"/>
          <w:color w:val="000000"/>
          <w:szCs w:val="21"/>
        </w:rPr>
        <w:t>大连网金</w:t>
      </w:r>
      <w:r>
        <w:rPr>
          <w:rFonts w:cs="Calibri" w:hint="eastAsia"/>
          <w:color w:val="000000"/>
          <w:sz w:val="21"/>
          <w:szCs w:val="21"/>
        </w:rPr>
        <w:t>开通上述基金之间的转换业务。</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t>投资者在办理上述基金的转换业务时，应留意本公司相关公告，确认转出基金处于可赎回状态，转入基金处于可申购状态。</w:t>
      </w:r>
    </w:p>
    <w:p w:rsidR="00C4239D" w:rsidRDefault="003158A0">
      <w:pPr>
        <w:pStyle w:val="a9"/>
        <w:shd w:val="clear" w:color="auto" w:fill="FFFFFF"/>
        <w:spacing w:before="0" w:beforeAutospacing="0" w:after="0" w:afterAutospacing="0" w:line="360" w:lineRule="auto"/>
        <w:ind w:firstLine="420"/>
        <w:rPr>
          <w:rFonts w:cs="Calibri"/>
          <w:color w:val="000000"/>
          <w:sz w:val="21"/>
          <w:szCs w:val="21"/>
        </w:rPr>
      </w:pPr>
      <w:r>
        <w:rPr>
          <w:rFonts w:cs="Calibri" w:hint="eastAsia"/>
          <w:color w:val="000000"/>
          <w:sz w:val="21"/>
          <w:szCs w:val="21"/>
        </w:rPr>
        <w:lastRenderedPageBreak/>
        <w:t>投资者申请基金转换时应遵循</w:t>
      </w:r>
      <w:r w:rsidR="00A1468E">
        <w:rPr>
          <w:rFonts w:cs="Calibri" w:hint="eastAsia"/>
          <w:color w:val="000000"/>
          <w:szCs w:val="21"/>
        </w:rPr>
        <w:t>大连网金</w:t>
      </w:r>
      <w:r>
        <w:rPr>
          <w:rFonts w:cs="Calibri" w:hint="eastAsia"/>
          <w:color w:val="000000"/>
          <w:sz w:val="21"/>
          <w:szCs w:val="21"/>
        </w:rPr>
        <w:t>的规定提交业务申请。</w:t>
      </w:r>
    </w:p>
    <w:p w:rsidR="00C4239D" w:rsidRDefault="003158A0">
      <w:pPr>
        <w:pStyle w:val="a9"/>
        <w:shd w:val="clear" w:color="auto" w:fill="FFFFFF"/>
        <w:spacing w:before="0" w:beforeAutospacing="0" w:after="0" w:afterAutospacing="0" w:line="360" w:lineRule="auto"/>
        <w:ind w:firstLine="480"/>
        <w:rPr>
          <w:rFonts w:cs="Calibri"/>
          <w:color w:val="000000"/>
          <w:sz w:val="21"/>
          <w:szCs w:val="21"/>
        </w:rPr>
      </w:pPr>
      <w:r>
        <w:rPr>
          <w:rFonts w:cs="Calibri"/>
          <w:color w:val="000000"/>
          <w:sz w:val="21"/>
          <w:szCs w:val="21"/>
        </w:rPr>
        <w:t>2</w:t>
      </w:r>
      <w:r>
        <w:rPr>
          <w:rFonts w:cs="Calibri" w:hint="eastAsia"/>
          <w:color w:val="000000"/>
          <w:sz w:val="21"/>
          <w:szCs w:val="21"/>
        </w:rPr>
        <w:t>、基金转换业务的费率计算及规则</w:t>
      </w:r>
    </w:p>
    <w:p w:rsidR="00C4239D" w:rsidRDefault="003158A0">
      <w:pPr>
        <w:pStyle w:val="a9"/>
        <w:shd w:val="clear" w:color="auto" w:fill="FFFFFF"/>
        <w:spacing w:before="0" w:beforeAutospacing="0" w:after="0" w:afterAutospacing="0" w:line="360" w:lineRule="auto"/>
        <w:ind w:firstLine="480"/>
        <w:rPr>
          <w:rFonts w:cs="Calibri"/>
          <w:color w:val="000000"/>
          <w:sz w:val="21"/>
          <w:szCs w:val="21"/>
        </w:rPr>
      </w:pPr>
      <w:r>
        <w:rPr>
          <w:rFonts w:cs="Calibri" w:hint="eastAsia"/>
          <w:color w:val="000000"/>
          <w:sz w:val="21"/>
          <w:szCs w:val="21"/>
        </w:rPr>
        <w:t>关于基金转换业务的费率计算及规则请另行参见本公司</w:t>
      </w:r>
      <w:r w:rsidR="00BD2690">
        <w:rPr>
          <w:rFonts w:cs="Calibri" w:hint="eastAsia"/>
          <w:color w:val="000000"/>
          <w:sz w:val="21"/>
          <w:szCs w:val="21"/>
        </w:rPr>
        <w:t>信息披露文件及官网刊登的业务规则</w:t>
      </w:r>
      <w:r>
        <w:rPr>
          <w:rFonts w:cs="Calibri" w:hint="eastAsia"/>
          <w:color w:val="000000"/>
          <w:sz w:val="21"/>
          <w:szCs w:val="21"/>
        </w:rPr>
        <w:t>。</w:t>
      </w:r>
    </w:p>
    <w:p w:rsidR="00C4239D" w:rsidRDefault="00C4239D">
      <w:pPr>
        <w:widowControl/>
        <w:shd w:val="clear" w:color="auto" w:fill="FFFFFF"/>
        <w:spacing w:line="360" w:lineRule="auto"/>
        <w:ind w:firstLine="480"/>
        <w:jc w:val="left"/>
        <w:rPr>
          <w:rFonts w:ascii="宋体" w:eastAsia="宋体" w:hAnsi="宋体" w:cs="Calibri"/>
          <w:color w:val="000000"/>
          <w:kern w:val="0"/>
          <w:szCs w:val="21"/>
        </w:rPr>
      </w:pP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四、业务咨询</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1</w:t>
      </w:r>
      <w:r>
        <w:rPr>
          <w:rFonts w:ascii="宋体" w:eastAsia="宋体" w:hAnsi="宋体" w:cs="Calibri" w:hint="eastAsia"/>
          <w:color w:val="000000"/>
          <w:kern w:val="0"/>
          <w:szCs w:val="21"/>
        </w:rPr>
        <w:t>、富荣基金管理有限公司</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客户服务电话：</w:t>
      </w:r>
      <w:r>
        <w:rPr>
          <w:rFonts w:ascii="Arial" w:eastAsia="宋体" w:hAnsi="Arial" w:cs="Arial"/>
          <w:color w:val="000000"/>
          <w:kern w:val="0"/>
          <w:szCs w:val="21"/>
        </w:rPr>
        <w:t xml:space="preserve">400 </w:t>
      </w:r>
      <w:r>
        <w:rPr>
          <w:rFonts w:ascii="Arial" w:eastAsia="宋体" w:hAnsi="Arial" w:cs="Arial" w:hint="eastAsia"/>
          <w:color w:val="000000"/>
          <w:kern w:val="0"/>
          <w:szCs w:val="21"/>
        </w:rPr>
        <w:t>685</w:t>
      </w:r>
      <w:r>
        <w:rPr>
          <w:rFonts w:ascii="Arial" w:eastAsia="宋体" w:hAnsi="Arial" w:cs="Arial"/>
          <w:color w:val="000000"/>
          <w:kern w:val="0"/>
          <w:szCs w:val="21"/>
        </w:rPr>
        <w:t xml:space="preserve"> </w:t>
      </w:r>
      <w:r>
        <w:rPr>
          <w:rFonts w:ascii="Arial" w:eastAsia="宋体" w:hAnsi="Arial" w:cs="Arial" w:hint="eastAsia"/>
          <w:color w:val="000000"/>
          <w:kern w:val="0"/>
          <w:szCs w:val="21"/>
        </w:rPr>
        <w:t>5</w:t>
      </w:r>
      <w:r>
        <w:rPr>
          <w:rFonts w:ascii="Arial" w:eastAsia="宋体" w:hAnsi="Arial" w:cs="Arial"/>
          <w:color w:val="000000"/>
          <w:kern w:val="0"/>
          <w:szCs w:val="21"/>
        </w:rPr>
        <w:t>60</w:t>
      </w:r>
      <w:r>
        <w:rPr>
          <w:rFonts w:ascii="Arial" w:eastAsia="宋体" w:hAnsi="Arial" w:cs="Arial" w:hint="eastAsia"/>
          <w:color w:val="000000"/>
          <w:kern w:val="0"/>
          <w:szCs w:val="21"/>
        </w:rPr>
        <w:t>0</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网址：</w:t>
      </w:r>
      <w:r>
        <w:rPr>
          <w:rFonts w:ascii="Arial" w:eastAsia="宋体" w:hAnsi="Arial" w:cs="Arial"/>
          <w:color w:val="000000"/>
          <w:kern w:val="0"/>
          <w:szCs w:val="21"/>
        </w:rPr>
        <w:t>www.</w:t>
      </w:r>
      <w:r>
        <w:rPr>
          <w:rFonts w:ascii="Arial" w:eastAsia="宋体" w:hAnsi="Arial" w:cs="Arial" w:hint="eastAsia"/>
          <w:color w:val="000000"/>
          <w:kern w:val="0"/>
          <w:szCs w:val="21"/>
        </w:rPr>
        <w:t>furamc</w:t>
      </w:r>
      <w:r>
        <w:rPr>
          <w:rFonts w:ascii="Arial" w:eastAsia="宋体" w:hAnsi="Arial" w:cs="Arial"/>
          <w:color w:val="000000"/>
          <w:kern w:val="0"/>
          <w:szCs w:val="21"/>
        </w:rPr>
        <w:t>.com</w:t>
      </w:r>
      <w:r>
        <w:rPr>
          <w:rFonts w:ascii="Arial" w:eastAsia="宋体" w:hAnsi="Arial" w:cs="Arial" w:hint="eastAsia"/>
          <w:color w:val="000000"/>
          <w:kern w:val="0"/>
          <w:szCs w:val="21"/>
        </w:rPr>
        <w:t>.cn</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Arial" w:eastAsia="宋体" w:hAnsi="Arial" w:cs="Arial"/>
          <w:color w:val="000000"/>
          <w:kern w:val="0"/>
          <w:szCs w:val="21"/>
        </w:rPr>
        <w:t>2</w:t>
      </w:r>
      <w:r>
        <w:rPr>
          <w:rFonts w:ascii="宋体" w:eastAsia="宋体" w:hAnsi="宋体" w:cs="Calibri" w:hint="eastAsia"/>
          <w:color w:val="000000"/>
          <w:kern w:val="0"/>
          <w:szCs w:val="21"/>
        </w:rPr>
        <w:t>、</w:t>
      </w:r>
      <w:r w:rsidR="00A1468E">
        <w:rPr>
          <w:rFonts w:ascii="宋体" w:hAnsi="宋体" w:hint="eastAsia"/>
          <w:szCs w:val="21"/>
        </w:rPr>
        <w:t>大连网金基金销售有限公司</w:t>
      </w:r>
    </w:p>
    <w:p w:rsidR="00C4239D" w:rsidRDefault="003158A0">
      <w:pPr>
        <w:widowControl/>
        <w:shd w:val="clear" w:color="auto" w:fill="FFFFFF"/>
        <w:spacing w:line="360" w:lineRule="auto"/>
        <w:ind w:firstLine="420"/>
        <w:jc w:val="left"/>
        <w:rPr>
          <w:rFonts w:ascii="Arial" w:eastAsia="宋体" w:hAnsi="Arial" w:cs="Arial"/>
          <w:color w:val="000000"/>
          <w:kern w:val="0"/>
          <w:szCs w:val="21"/>
        </w:rPr>
      </w:pPr>
      <w:r>
        <w:rPr>
          <w:rFonts w:ascii="Arial" w:hAnsi="Arial" w:cs="Arial" w:hint="eastAsia"/>
          <w:szCs w:val="21"/>
        </w:rPr>
        <w:t>客服电话：</w:t>
      </w:r>
      <w:r w:rsidR="00F86927">
        <w:rPr>
          <w:rFonts w:ascii="Arial" w:hAnsi="Arial" w:cs="Arial"/>
          <w:color w:val="000000"/>
          <w:kern w:val="0"/>
          <w:szCs w:val="21"/>
        </w:rPr>
        <w:t>4000-899-100</w:t>
      </w:r>
      <w:bookmarkStart w:id="0" w:name="_GoBack"/>
      <w:bookmarkEnd w:id="0"/>
      <w:r>
        <w:rPr>
          <w:rFonts w:ascii="Arial" w:eastAsia="宋体" w:hAnsi="Arial" w:cs="Arial" w:hint="eastAsia"/>
          <w:color w:val="000000"/>
          <w:kern w:val="0"/>
          <w:szCs w:val="21"/>
        </w:rPr>
        <w:t>公司网站：</w:t>
      </w:r>
      <w:r>
        <w:t xml:space="preserve"> </w:t>
      </w:r>
      <w:r w:rsidR="001F5024" w:rsidRPr="001F5024">
        <w:t>http://www.yibaijin.com/</w:t>
      </w:r>
    </w:p>
    <w:p w:rsidR="00C4239D" w:rsidRDefault="00C4239D">
      <w:pPr>
        <w:widowControl/>
        <w:shd w:val="clear" w:color="auto" w:fill="FFFFFF"/>
        <w:spacing w:line="360" w:lineRule="auto"/>
        <w:jc w:val="left"/>
        <w:rPr>
          <w:rFonts w:ascii="宋体" w:eastAsia="宋体" w:hAnsi="宋体" w:cs="Calibri"/>
          <w:color w:val="000000"/>
          <w:kern w:val="0"/>
          <w:szCs w:val="21"/>
        </w:rPr>
      </w:pP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C4239D" w:rsidRDefault="003158A0">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w:t>
      </w:r>
    </w:p>
    <w:p w:rsidR="00C4239D" w:rsidRDefault="003158A0">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特此公告。</w:t>
      </w:r>
    </w:p>
    <w:p w:rsidR="00C4239D" w:rsidRDefault="003158A0">
      <w:pPr>
        <w:widowControl/>
        <w:shd w:val="clear" w:color="auto" w:fill="FFFFFF"/>
        <w:spacing w:line="360" w:lineRule="auto"/>
        <w:jc w:val="left"/>
        <w:rPr>
          <w:rFonts w:ascii="Calibri" w:eastAsia="宋体" w:hAnsi="Calibri" w:cs="Calibri"/>
          <w:color w:val="303030"/>
          <w:kern w:val="0"/>
          <w:szCs w:val="21"/>
        </w:rPr>
      </w:pPr>
      <w:r>
        <w:rPr>
          <w:rFonts w:ascii="Arial" w:eastAsia="宋体" w:hAnsi="Arial" w:cs="Arial"/>
          <w:color w:val="000000"/>
          <w:kern w:val="0"/>
          <w:szCs w:val="21"/>
        </w:rPr>
        <w:t> </w:t>
      </w:r>
    </w:p>
    <w:p w:rsidR="00C4239D" w:rsidRDefault="003158A0">
      <w:pPr>
        <w:widowControl/>
        <w:shd w:val="clear" w:color="auto" w:fill="FFFFFF"/>
        <w:spacing w:line="360" w:lineRule="auto"/>
        <w:jc w:val="left"/>
        <w:rPr>
          <w:rFonts w:ascii="Calibri" w:eastAsia="宋体" w:hAnsi="Calibri" w:cs="Calibri"/>
          <w:color w:val="303030"/>
          <w:kern w:val="0"/>
          <w:szCs w:val="21"/>
        </w:rPr>
      </w:pPr>
      <w:r>
        <w:rPr>
          <w:rFonts w:ascii="Arial" w:eastAsia="宋体" w:hAnsi="Arial" w:cs="Arial"/>
          <w:color w:val="000000"/>
          <w:kern w:val="0"/>
          <w:szCs w:val="21"/>
        </w:rPr>
        <w:t> </w:t>
      </w:r>
    </w:p>
    <w:p w:rsidR="00C4239D" w:rsidRDefault="003158A0">
      <w:pPr>
        <w:widowControl/>
        <w:shd w:val="clear" w:color="auto" w:fill="FFFFFF"/>
        <w:spacing w:line="360" w:lineRule="auto"/>
        <w:ind w:firstLine="420"/>
        <w:jc w:val="right"/>
        <w:rPr>
          <w:rFonts w:ascii="Calibri" w:eastAsia="宋体" w:hAnsi="Calibri" w:cs="Calibri"/>
          <w:color w:val="303030"/>
          <w:kern w:val="0"/>
          <w:szCs w:val="21"/>
        </w:rPr>
      </w:pPr>
      <w:r>
        <w:rPr>
          <w:rFonts w:ascii="宋体" w:eastAsia="宋体" w:hAnsi="宋体" w:cs="Calibri" w:hint="eastAsia"/>
          <w:color w:val="000000"/>
          <w:kern w:val="0"/>
          <w:szCs w:val="21"/>
        </w:rPr>
        <w:t>富荣基金管理有限公司</w:t>
      </w:r>
    </w:p>
    <w:p w:rsidR="00C4239D" w:rsidRDefault="003158A0">
      <w:pPr>
        <w:widowControl/>
        <w:shd w:val="clear" w:color="auto" w:fill="FFFFFF"/>
        <w:spacing w:line="360" w:lineRule="auto"/>
        <w:jc w:val="right"/>
      </w:pPr>
      <w:r>
        <w:rPr>
          <w:rFonts w:ascii="宋体" w:eastAsia="宋体" w:hAnsi="宋体" w:cs="Calibri" w:hint="eastAsia"/>
          <w:color w:val="000000"/>
          <w:kern w:val="0"/>
          <w:szCs w:val="21"/>
        </w:rPr>
        <w:t>二○一八年十</w:t>
      </w:r>
      <w:r w:rsidR="00A1468E">
        <w:rPr>
          <w:rFonts w:ascii="宋体" w:eastAsia="宋体" w:hAnsi="宋体" w:cs="Calibri" w:hint="eastAsia"/>
          <w:color w:val="000000"/>
          <w:kern w:val="0"/>
          <w:szCs w:val="21"/>
        </w:rPr>
        <w:t>一</w:t>
      </w:r>
      <w:r>
        <w:rPr>
          <w:rFonts w:ascii="宋体" w:eastAsia="宋体" w:hAnsi="宋体" w:cs="Calibri" w:hint="eastAsia"/>
          <w:color w:val="000000"/>
          <w:kern w:val="0"/>
          <w:szCs w:val="21"/>
        </w:rPr>
        <w:t>月十四日</w:t>
      </w:r>
    </w:p>
    <w:sectPr w:rsidR="00C4239D" w:rsidSect="00C423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8E9" w:rsidRDefault="001A08E9" w:rsidP="00CB23F9">
      <w:r>
        <w:separator/>
      </w:r>
    </w:p>
  </w:endnote>
  <w:endnote w:type="continuationSeparator" w:id="1">
    <w:p w:rsidR="001A08E9" w:rsidRDefault="001A08E9" w:rsidP="00CB23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8E9" w:rsidRDefault="001A08E9" w:rsidP="00CB23F9">
      <w:r>
        <w:separator/>
      </w:r>
    </w:p>
  </w:footnote>
  <w:footnote w:type="continuationSeparator" w:id="1">
    <w:p w:rsidR="001A08E9" w:rsidRDefault="001A08E9" w:rsidP="00CB23F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一新">
    <w15:presenceInfo w15:providerId="WPS Office" w15:userId="15555419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FF9"/>
    <w:rsid w:val="000063A6"/>
    <w:rsid w:val="00036567"/>
    <w:rsid w:val="0005325C"/>
    <w:rsid w:val="00053447"/>
    <w:rsid w:val="000C2998"/>
    <w:rsid w:val="000D3390"/>
    <w:rsid w:val="000D435D"/>
    <w:rsid w:val="000F55D3"/>
    <w:rsid w:val="001012B4"/>
    <w:rsid w:val="001128C8"/>
    <w:rsid w:val="00147917"/>
    <w:rsid w:val="00153B98"/>
    <w:rsid w:val="00153D29"/>
    <w:rsid w:val="00161C3C"/>
    <w:rsid w:val="0016440B"/>
    <w:rsid w:val="00185799"/>
    <w:rsid w:val="00192984"/>
    <w:rsid w:val="001A08E9"/>
    <w:rsid w:val="001F5024"/>
    <w:rsid w:val="001F7AF7"/>
    <w:rsid w:val="00211961"/>
    <w:rsid w:val="00222108"/>
    <w:rsid w:val="00273DA4"/>
    <w:rsid w:val="003157F5"/>
    <w:rsid w:val="003158A0"/>
    <w:rsid w:val="0032369D"/>
    <w:rsid w:val="00382A5D"/>
    <w:rsid w:val="0041332B"/>
    <w:rsid w:val="00431B29"/>
    <w:rsid w:val="00432895"/>
    <w:rsid w:val="00493B0F"/>
    <w:rsid w:val="004E6304"/>
    <w:rsid w:val="00506369"/>
    <w:rsid w:val="00510AEC"/>
    <w:rsid w:val="00540EA3"/>
    <w:rsid w:val="00564E78"/>
    <w:rsid w:val="00595635"/>
    <w:rsid w:val="005A2A8F"/>
    <w:rsid w:val="005B4903"/>
    <w:rsid w:val="005F0FF9"/>
    <w:rsid w:val="00626DF6"/>
    <w:rsid w:val="0065319A"/>
    <w:rsid w:val="00692B3F"/>
    <w:rsid w:val="006A0E1E"/>
    <w:rsid w:val="006A79EC"/>
    <w:rsid w:val="00782179"/>
    <w:rsid w:val="007C6EB5"/>
    <w:rsid w:val="007E429E"/>
    <w:rsid w:val="007F0B92"/>
    <w:rsid w:val="007F1B88"/>
    <w:rsid w:val="00850F93"/>
    <w:rsid w:val="00862A8E"/>
    <w:rsid w:val="00881E6A"/>
    <w:rsid w:val="008F297F"/>
    <w:rsid w:val="00917F6C"/>
    <w:rsid w:val="0092733B"/>
    <w:rsid w:val="00A066C7"/>
    <w:rsid w:val="00A1468E"/>
    <w:rsid w:val="00A4467A"/>
    <w:rsid w:val="00A47EEB"/>
    <w:rsid w:val="00A76ED2"/>
    <w:rsid w:val="00A81542"/>
    <w:rsid w:val="00AA7BAC"/>
    <w:rsid w:val="00AC0F9B"/>
    <w:rsid w:val="00AF5292"/>
    <w:rsid w:val="00B013AF"/>
    <w:rsid w:val="00B103C3"/>
    <w:rsid w:val="00B4754E"/>
    <w:rsid w:val="00BA101F"/>
    <w:rsid w:val="00BB2B6F"/>
    <w:rsid w:val="00BC14D6"/>
    <w:rsid w:val="00BD2690"/>
    <w:rsid w:val="00BF0517"/>
    <w:rsid w:val="00C4239D"/>
    <w:rsid w:val="00C62665"/>
    <w:rsid w:val="00C92118"/>
    <w:rsid w:val="00CA4CFA"/>
    <w:rsid w:val="00CA6C4F"/>
    <w:rsid w:val="00CB23F9"/>
    <w:rsid w:val="00CF041F"/>
    <w:rsid w:val="00D129AB"/>
    <w:rsid w:val="00D203DF"/>
    <w:rsid w:val="00D275D5"/>
    <w:rsid w:val="00D33650"/>
    <w:rsid w:val="00D77088"/>
    <w:rsid w:val="00D80774"/>
    <w:rsid w:val="00D969DF"/>
    <w:rsid w:val="00DC2D68"/>
    <w:rsid w:val="00DE5CC1"/>
    <w:rsid w:val="00DE77B3"/>
    <w:rsid w:val="00E12E40"/>
    <w:rsid w:val="00E4200A"/>
    <w:rsid w:val="00E83C85"/>
    <w:rsid w:val="00ED38AD"/>
    <w:rsid w:val="00F5032A"/>
    <w:rsid w:val="00F534D8"/>
    <w:rsid w:val="00F76845"/>
    <w:rsid w:val="00F86927"/>
    <w:rsid w:val="00FD0E25"/>
    <w:rsid w:val="00FD3084"/>
    <w:rsid w:val="3F672502"/>
    <w:rsid w:val="42E46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C4239D"/>
    <w:rPr>
      <w:b/>
      <w:bCs/>
    </w:rPr>
  </w:style>
  <w:style w:type="paragraph" w:styleId="a4">
    <w:name w:val="annotation text"/>
    <w:basedOn w:val="a"/>
    <w:link w:val="Char0"/>
    <w:uiPriority w:val="99"/>
    <w:semiHidden/>
    <w:unhideWhenUsed/>
    <w:rsid w:val="00C4239D"/>
    <w:pPr>
      <w:jc w:val="left"/>
    </w:pPr>
  </w:style>
  <w:style w:type="paragraph" w:styleId="a5">
    <w:name w:val="Document Map"/>
    <w:basedOn w:val="a"/>
    <w:link w:val="Char1"/>
    <w:uiPriority w:val="99"/>
    <w:semiHidden/>
    <w:unhideWhenUsed/>
    <w:rsid w:val="00C4239D"/>
    <w:rPr>
      <w:rFonts w:ascii="宋体" w:eastAsia="宋体"/>
      <w:sz w:val="18"/>
      <w:szCs w:val="18"/>
    </w:rPr>
  </w:style>
  <w:style w:type="paragraph" w:styleId="a6">
    <w:name w:val="Balloon Text"/>
    <w:basedOn w:val="a"/>
    <w:link w:val="Char2"/>
    <w:uiPriority w:val="99"/>
    <w:semiHidden/>
    <w:unhideWhenUsed/>
    <w:rsid w:val="00C4239D"/>
    <w:rPr>
      <w:sz w:val="18"/>
      <w:szCs w:val="18"/>
    </w:rPr>
  </w:style>
  <w:style w:type="paragraph" w:styleId="a7">
    <w:name w:val="footer"/>
    <w:basedOn w:val="a"/>
    <w:link w:val="Char3"/>
    <w:uiPriority w:val="99"/>
    <w:unhideWhenUsed/>
    <w:rsid w:val="00C4239D"/>
    <w:pPr>
      <w:tabs>
        <w:tab w:val="center" w:pos="4153"/>
        <w:tab w:val="right" w:pos="8306"/>
      </w:tabs>
      <w:snapToGrid w:val="0"/>
      <w:jc w:val="left"/>
    </w:pPr>
    <w:rPr>
      <w:sz w:val="18"/>
      <w:szCs w:val="18"/>
    </w:rPr>
  </w:style>
  <w:style w:type="paragraph" w:styleId="a8">
    <w:name w:val="header"/>
    <w:basedOn w:val="a"/>
    <w:link w:val="Char4"/>
    <w:uiPriority w:val="99"/>
    <w:unhideWhenUsed/>
    <w:rsid w:val="00C4239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C4239D"/>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C4239D"/>
    <w:rPr>
      <w:color w:val="0000FF"/>
      <w:u w:val="single"/>
    </w:rPr>
  </w:style>
  <w:style w:type="character" w:styleId="ab">
    <w:name w:val="annotation reference"/>
    <w:basedOn w:val="a0"/>
    <w:uiPriority w:val="99"/>
    <w:semiHidden/>
    <w:unhideWhenUsed/>
    <w:rsid w:val="00C4239D"/>
    <w:rPr>
      <w:sz w:val="21"/>
      <w:szCs w:val="21"/>
    </w:rPr>
  </w:style>
  <w:style w:type="paragraph" w:customStyle="1" w:styleId="source-date1">
    <w:name w:val="source-date1"/>
    <w:basedOn w:val="a"/>
    <w:rsid w:val="00C4239D"/>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0">
    <w:name w:val="批注文字 Char"/>
    <w:basedOn w:val="a0"/>
    <w:link w:val="a4"/>
    <w:uiPriority w:val="99"/>
    <w:semiHidden/>
    <w:qFormat/>
    <w:rsid w:val="00C4239D"/>
  </w:style>
  <w:style w:type="character" w:customStyle="1" w:styleId="Char">
    <w:name w:val="批注主题 Char"/>
    <w:basedOn w:val="Char0"/>
    <w:link w:val="a3"/>
    <w:uiPriority w:val="99"/>
    <w:semiHidden/>
    <w:rsid w:val="00C4239D"/>
    <w:rPr>
      <w:b/>
      <w:bCs/>
    </w:rPr>
  </w:style>
  <w:style w:type="character" w:customStyle="1" w:styleId="Char2">
    <w:name w:val="批注框文本 Char"/>
    <w:basedOn w:val="a0"/>
    <w:link w:val="a6"/>
    <w:uiPriority w:val="99"/>
    <w:semiHidden/>
    <w:rsid w:val="00C4239D"/>
    <w:rPr>
      <w:sz w:val="18"/>
      <w:szCs w:val="18"/>
    </w:rPr>
  </w:style>
  <w:style w:type="character" w:customStyle="1" w:styleId="Char4">
    <w:name w:val="页眉 Char"/>
    <w:basedOn w:val="a0"/>
    <w:link w:val="a8"/>
    <w:uiPriority w:val="99"/>
    <w:rsid w:val="00C4239D"/>
    <w:rPr>
      <w:sz w:val="18"/>
      <w:szCs w:val="18"/>
    </w:rPr>
  </w:style>
  <w:style w:type="character" w:customStyle="1" w:styleId="Char3">
    <w:name w:val="页脚 Char"/>
    <w:basedOn w:val="a0"/>
    <w:link w:val="a7"/>
    <w:uiPriority w:val="99"/>
    <w:rsid w:val="00C4239D"/>
    <w:rPr>
      <w:sz w:val="18"/>
      <w:szCs w:val="18"/>
    </w:rPr>
  </w:style>
  <w:style w:type="character" w:customStyle="1" w:styleId="Char1">
    <w:name w:val="文档结构图 Char"/>
    <w:basedOn w:val="a0"/>
    <w:link w:val="a5"/>
    <w:uiPriority w:val="99"/>
    <w:semiHidden/>
    <w:rsid w:val="00C4239D"/>
    <w:rPr>
      <w:rFonts w:ascii="宋体" w:eastAsia="宋体"/>
      <w:sz w:val="18"/>
      <w:szCs w:val="18"/>
    </w:rPr>
  </w:style>
  <w:style w:type="paragraph" w:styleId="ac">
    <w:name w:val="Revision"/>
    <w:hidden/>
    <w:uiPriority w:val="99"/>
    <w:unhideWhenUsed/>
    <w:rsid w:val="00BD2690"/>
    <w:rPr>
      <w:kern w:val="2"/>
      <w:sz w:val="21"/>
      <w:szCs w:val="22"/>
    </w:rPr>
  </w:style>
  <w:style w:type="character" w:styleId="ad">
    <w:name w:val="Subtle Emphasis"/>
    <w:basedOn w:val="a0"/>
    <w:uiPriority w:val="19"/>
    <w:qFormat/>
    <w:rsid w:val="001F502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773CDFD-1B0E-4725-BAC8-2B41EE3D79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314</Words>
  <Characters>1793</Characters>
  <Application>Microsoft Office Word</Application>
  <DocSecurity>0</DocSecurity>
  <Lines>14</Lines>
  <Paragraphs>4</Paragraphs>
  <ScaleCrop>false</ScaleCrop>
  <Company>Microsoft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liyp</cp:lastModifiedBy>
  <cp:revision>47</cp:revision>
  <dcterms:created xsi:type="dcterms:W3CDTF">2018-04-27T06:01:00Z</dcterms:created>
  <dcterms:modified xsi:type="dcterms:W3CDTF">2018-11-13T01:37:00Z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