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9BDE7" w14:textId="6CFD761B" w:rsidR="002C4C07" w:rsidRPr="00EF6393" w:rsidRDefault="002C4C07" w:rsidP="002C4C07">
      <w:pPr>
        <w:jc w:val="center"/>
        <w:rPr>
          <w:b/>
        </w:rPr>
      </w:pPr>
      <w:bookmarkStart w:id="0" w:name="_GoBack"/>
      <w:bookmarkEnd w:id="0"/>
      <w:r w:rsidRPr="00EF6393">
        <w:rPr>
          <w:rFonts w:hint="eastAsia"/>
          <w:b/>
        </w:rPr>
        <w:t>富荣量化周观察——</w:t>
      </w:r>
      <w:r w:rsidR="00A90927">
        <w:rPr>
          <w:rFonts w:hint="eastAsia"/>
          <w:b/>
        </w:rPr>
        <w:t>风格切换？</w:t>
      </w:r>
    </w:p>
    <w:p w14:paraId="0AE3B5A0" w14:textId="10D560F3" w:rsidR="006C7CF6" w:rsidRDefault="002C4C07" w:rsidP="002C4C07">
      <w:pPr>
        <w:ind w:firstLineChars="200" w:firstLine="480"/>
      </w:pPr>
      <w:r>
        <w:rPr>
          <w:rFonts w:hint="eastAsia"/>
        </w:rPr>
        <w:t>本周</w:t>
      </w:r>
      <w:r w:rsidR="001D6061">
        <w:rPr>
          <w:rFonts w:hint="eastAsia"/>
        </w:rPr>
        <w:t>低估值板块暴动，引发市场对风格切换和全面牛市的讨论。本周上证指数</w:t>
      </w:r>
      <w:r w:rsidR="006C7CF6">
        <w:rPr>
          <w:rFonts w:hint="eastAsia"/>
        </w:rPr>
        <w:t>涨5.</w:t>
      </w:r>
      <w:r w:rsidR="006C7CF6">
        <w:t>8</w:t>
      </w:r>
      <w:r w:rsidR="006C7CF6">
        <w:rPr>
          <w:rFonts w:hint="eastAsia"/>
        </w:rPr>
        <w:t>%，上证5</w:t>
      </w:r>
      <w:r w:rsidR="006C7CF6">
        <w:t>0</w:t>
      </w:r>
      <w:r w:rsidR="006C7CF6">
        <w:rPr>
          <w:rFonts w:hint="eastAsia"/>
        </w:rPr>
        <w:t>涨7</w:t>
      </w:r>
      <w:r w:rsidR="006C7CF6">
        <w:t>.3</w:t>
      </w:r>
      <w:r w:rsidR="006C7CF6">
        <w:rPr>
          <w:rFonts w:hint="eastAsia"/>
        </w:rPr>
        <w:t>%，沪深3</w:t>
      </w:r>
      <w:r w:rsidR="006C7CF6">
        <w:t>00</w:t>
      </w:r>
      <w:r w:rsidR="006C7CF6">
        <w:rPr>
          <w:rFonts w:hint="eastAsia"/>
        </w:rPr>
        <w:t>涨6.</w:t>
      </w:r>
      <w:r w:rsidR="006C7CF6">
        <w:t>8</w:t>
      </w:r>
      <w:r w:rsidR="006C7CF6">
        <w:rPr>
          <w:rFonts w:hint="eastAsia"/>
        </w:rPr>
        <w:t>%，深证成指涨5.</w:t>
      </w:r>
      <w:r w:rsidR="006C7CF6">
        <w:t>2</w:t>
      </w:r>
      <w:r w:rsidR="006C7CF6">
        <w:rPr>
          <w:rFonts w:hint="eastAsia"/>
        </w:rPr>
        <w:t>%，创业板指3.</w:t>
      </w:r>
      <w:r w:rsidR="006C7CF6">
        <w:t>4</w:t>
      </w:r>
      <w:r w:rsidR="006C7CF6">
        <w:rPr>
          <w:rFonts w:hint="eastAsia"/>
        </w:rPr>
        <w:t>%，行业上以低估的传统</w:t>
      </w:r>
      <w:proofErr w:type="gramStart"/>
      <w:r w:rsidR="006C7CF6">
        <w:rPr>
          <w:rFonts w:hint="eastAsia"/>
        </w:rPr>
        <w:t>蓝筹领涨</w:t>
      </w:r>
      <w:proofErr w:type="gramEnd"/>
      <w:r w:rsidR="006C7CF6">
        <w:rPr>
          <w:rFonts w:hint="eastAsia"/>
        </w:rPr>
        <w:t>，其中尤以餐饮旅游、非</w:t>
      </w:r>
      <w:proofErr w:type="gramStart"/>
      <w:r w:rsidR="006C7CF6">
        <w:rPr>
          <w:rFonts w:hint="eastAsia"/>
        </w:rPr>
        <w:t>银金融</w:t>
      </w:r>
      <w:proofErr w:type="gramEnd"/>
      <w:r w:rsidR="006C7CF6">
        <w:rPr>
          <w:rFonts w:hint="eastAsia"/>
        </w:rPr>
        <w:t>和房地产为头。从行业的PE-TTM来看，本周一直处于低估值的行业快速回复，非</w:t>
      </w:r>
      <w:proofErr w:type="gramStart"/>
      <w:r w:rsidR="006C7CF6">
        <w:rPr>
          <w:rFonts w:hint="eastAsia"/>
        </w:rPr>
        <w:t>银金融从</w:t>
      </w:r>
      <w:proofErr w:type="gramEnd"/>
      <w:r w:rsidR="006C7CF6">
        <w:rPr>
          <w:rFonts w:hint="eastAsia"/>
        </w:rPr>
        <w:t>上周2</w:t>
      </w:r>
      <w:r w:rsidR="006C7CF6">
        <w:t>3</w:t>
      </w:r>
      <w:r w:rsidR="006C7CF6">
        <w:rPr>
          <w:rFonts w:hint="eastAsia"/>
        </w:rPr>
        <w:t>%上涨到5</w:t>
      </w:r>
      <w:r w:rsidR="006C7CF6">
        <w:t>3</w:t>
      </w:r>
      <w:r w:rsidR="006C7CF6">
        <w:rPr>
          <w:rFonts w:hint="eastAsia"/>
        </w:rPr>
        <w:t>%，银行从2</w:t>
      </w:r>
      <w:r w:rsidR="006C7CF6">
        <w:t>3</w:t>
      </w:r>
      <w:r w:rsidR="006C7CF6">
        <w:rPr>
          <w:rFonts w:hint="eastAsia"/>
        </w:rPr>
        <w:t>%上涨到3</w:t>
      </w:r>
      <w:r w:rsidR="006C7CF6">
        <w:t>4</w:t>
      </w:r>
      <w:r w:rsidR="006C7CF6">
        <w:rPr>
          <w:rFonts w:hint="eastAsia"/>
        </w:rPr>
        <w:t>%，房地产从5%上涨到1</w:t>
      </w:r>
      <w:r w:rsidR="006C7CF6">
        <w:t>4</w:t>
      </w:r>
      <w:r w:rsidR="006C7CF6">
        <w:rPr>
          <w:rFonts w:hint="eastAsia"/>
        </w:rPr>
        <w:t>%。市场在估值因子回复的过程极大地带动了市场和投资者的情况，融资买入成交额占全部A股成交额比重1</w:t>
      </w:r>
      <w:r w:rsidR="006C7CF6">
        <w:t>1</w:t>
      </w:r>
      <w:r w:rsidR="006C7CF6">
        <w:rPr>
          <w:rFonts w:hint="eastAsia"/>
        </w:rPr>
        <w:t>.</w:t>
      </w:r>
      <w:r w:rsidR="006C7CF6">
        <w:t>23</w:t>
      </w:r>
      <w:r w:rsidR="006C7CF6">
        <w:rPr>
          <w:rFonts w:hint="eastAsia"/>
        </w:rPr>
        <w:t>%，A股日均换手率涨幅为1</w:t>
      </w:r>
      <w:r w:rsidR="006C7CF6">
        <w:t>4</w:t>
      </w:r>
      <w:r w:rsidR="006C7CF6">
        <w:rPr>
          <w:rFonts w:hint="eastAsia"/>
        </w:rPr>
        <w:t>.</w:t>
      </w:r>
      <w:r w:rsidR="006C7CF6">
        <w:t>49</w:t>
      </w:r>
      <w:r w:rsidR="006C7CF6">
        <w:rPr>
          <w:rFonts w:hint="eastAsia"/>
        </w:rPr>
        <w:t>%，代表投资者情绪的波动</w:t>
      </w:r>
      <w:proofErr w:type="gramStart"/>
      <w:r w:rsidR="006C7CF6">
        <w:rPr>
          <w:rFonts w:hint="eastAsia"/>
        </w:rPr>
        <w:t>率指数</w:t>
      </w:r>
      <w:proofErr w:type="gramEnd"/>
      <w:r w:rsidR="006C7CF6">
        <w:rPr>
          <w:rFonts w:hint="eastAsia"/>
        </w:rPr>
        <w:t>从上周的</w:t>
      </w:r>
      <w:r w:rsidR="004E3614">
        <w:t>20</w:t>
      </w:r>
      <w:r w:rsidR="006C7CF6">
        <w:rPr>
          <w:rFonts w:hint="eastAsia"/>
        </w:rPr>
        <w:t>%</w:t>
      </w:r>
      <w:r w:rsidR="004E3614">
        <w:rPr>
          <w:rFonts w:hint="eastAsia"/>
        </w:rPr>
        <w:t>左右</w:t>
      </w:r>
      <w:r w:rsidR="006C7CF6">
        <w:rPr>
          <w:rFonts w:hint="eastAsia"/>
        </w:rPr>
        <w:t>上涨到</w:t>
      </w:r>
      <w:r w:rsidR="004E3614">
        <w:rPr>
          <w:rFonts w:hint="eastAsia"/>
        </w:rPr>
        <w:t>大于2</w:t>
      </w:r>
      <w:r w:rsidR="004E3614">
        <w:t>4</w:t>
      </w:r>
      <w:r w:rsidR="006C7CF6">
        <w:rPr>
          <w:rFonts w:hint="eastAsia"/>
        </w:rPr>
        <w:t>%。</w:t>
      </w:r>
    </w:p>
    <w:p w14:paraId="0CB0C22C" w14:textId="77E82A7D" w:rsidR="001D6061" w:rsidRDefault="006C7CF6" w:rsidP="002C4C07">
      <w:pPr>
        <w:ind w:firstLineChars="200" w:firstLine="480"/>
      </w:pPr>
      <w:r>
        <w:rPr>
          <w:rFonts w:hint="eastAsia"/>
        </w:rPr>
        <w:t>我们在6月底的周观察（改革创新）力提到中国资本市场正在加速改革开放和创新，</w:t>
      </w:r>
      <w:r w:rsidR="00374124">
        <w:rPr>
          <w:rFonts w:hint="eastAsia"/>
        </w:rPr>
        <w:t>外资正在加入流入A股市场，拥抱A股市</w:t>
      </w:r>
      <w:proofErr w:type="gramStart"/>
      <w:r w:rsidR="00374124">
        <w:rPr>
          <w:rFonts w:hint="eastAsia"/>
        </w:rPr>
        <w:t>场核心</w:t>
      </w:r>
      <w:proofErr w:type="gramEnd"/>
      <w:r w:rsidR="00374124">
        <w:rPr>
          <w:rFonts w:hint="eastAsia"/>
        </w:rPr>
        <w:t>资产。6月外资通过沪、</w:t>
      </w:r>
      <w:proofErr w:type="gramStart"/>
      <w:r w:rsidR="00374124">
        <w:rPr>
          <w:rFonts w:hint="eastAsia"/>
        </w:rPr>
        <w:t>深股通净流入</w:t>
      </w:r>
      <w:proofErr w:type="gramEnd"/>
      <w:r w:rsidR="00374124">
        <w:rPr>
          <w:rFonts w:hint="eastAsia"/>
        </w:rPr>
        <w:t>额达到了5</w:t>
      </w:r>
      <w:r w:rsidR="00374124">
        <w:t>27</w:t>
      </w:r>
      <w:r w:rsidR="00374124">
        <w:rPr>
          <w:rFonts w:hint="eastAsia"/>
        </w:rPr>
        <w:t>亿，6月里1</w:t>
      </w:r>
      <w:r w:rsidR="00374124">
        <w:t>9</w:t>
      </w:r>
      <w:r w:rsidR="00374124">
        <w:rPr>
          <w:rFonts w:hint="eastAsia"/>
        </w:rPr>
        <w:t>个交易日内共有1</w:t>
      </w:r>
      <w:r w:rsidR="00374124">
        <w:t>5</w:t>
      </w:r>
      <w:r w:rsidR="00374124">
        <w:rPr>
          <w:rFonts w:hint="eastAsia"/>
        </w:rPr>
        <w:t>个</w:t>
      </w:r>
      <w:proofErr w:type="gramStart"/>
      <w:r w:rsidR="00374124">
        <w:rPr>
          <w:rFonts w:hint="eastAsia"/>
        </w:rPr>
        <w:t>交易日净流入</w:t>
      </w:r>
      <w:proofErr w:type="gramEnd"/>
      <w:r w:rsidR="00374124">
        <w:rPr>
          <w:rFonts w:hint="eastAsia"/>
        </w:rPr>
        <w:t>，进入7月后，</w:t>
      </w:r>
      <w:r w:rsidR="00374124">
        <w:t>7</w:t>
      </w:r>
      <w:r w:rsidR="00374124">
        <w:rPr>
          <w:rFonts w:hint="eastAsia"/>
        </w:rPr>
        <w:t>月1日和7月2日净流入也连创新高。（图1）</w:t>
      </w:r>
    </w:p>
    <w:p w14:paraId="2C44C45A" w14:textId="1BEBEB49" w:rsidR="002C4C07" w:rsidRDefault="00374124" w:rsidP="00D055BF">
      <w:pPr>
        <w:jc w:val="center"/>
      </w:pPr>
      <w:r>
        <w:rPr>
          <w:noProof/>
        </w:rPr>
        <w:drawing>
          <wp:inline distT="0" distB="0" distL="0" distR="0" wp14:anchorId="44AE186D" wp14:editId="1D32AE80">
            <wp:extent cx="5274310" cy="2447925"/>
            <wp:effectExtent l="0" t="0" r="2540" b="9525"/>
            <wp:docPr id="1" name="图表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8E1A7B18-24CF-4C5C-96D2-9864DCBC5C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52D806B" w14:textId="77777777" w:rsidR="002C4C07" w:rsidRDefault="002C4C07" w:rsidP="002C4C07">
      <w:r>
        <w:rPr>
          <w:rFonts w:hint="eastAsia"/>
        </w:rPr>
        <w:t>资料来源：Wind，富荣基金</w:t>
      </w:r>
    </w:p>
    <w:p w14:paraId="1DA46CE7" w14:textId="77777777" w:rsidR="002C4C07" w:rsidRDefault="002C4C07" w:rsidP="002C4C07">
      <w:pPr>
        <w:jc w:val="center"/>
      </w:pPr>
      <w:r>
        <w:rPr>
          <w:rFonts w:hint="eastAsia"/>
        </w:rPr>
        <w:t>图 1 沪深股通累计净买入</w:t>
      </w:r>
      <w:r w:rsidR="00F13186">
        <w:rPr>
          <w:rFonts w:hint="eastAsia"/>
        </w:rPr>
        <w:t>（亿元）</w:t>
      </w:r>
    </w:p>
    <w:p w14:paraId="54AB80E5" w14:textId="300B584F" w:rsidR="002C4C07" w:rsidRDefault="00BC61FC" w:rsidP="002C4C07">
      <w:pPr>
        <w:ind w:firstLine="480"/>
      </w:pPr>
      <w:r>
        <w:rPr>
          <w:rFonts w:hint="eastAsia"/>
        </w:rPr>
        <w:t>市场</w:t>
      </w:r>
      <w:r w:rsidR="00DD21CB">
        <w:rPr>
          <w:rFonts w:hint="eastAsia"/>
        </w:rPr>
        <w:t>表现</w:t>
      </w:r>
      <w:r>
        <w:rPr>
          <w:rFonts w:hint="eastAsia"/>
        </w:rPr>
        <w:t>方面，本</w:t>
      </w:r>
      <w:proofErr w:type="gramStart"/>
      <w:r>
        <w:rPr>
          <w:rFonts w:hint="eastAsia"/>
        </w:rPr>
        <w:t>周波动率</w:t>
      </w:r>
      <w:r w:rsidR="004E3614">
        <w:rPr>
          <w:rFonts w:hint="eastAsia"/>
        </w:rPr>
        <w:t>在</w:t>
      </w:r>
      <w:proofErr w:type="gramEnd"/>
      <w:r w:rsidR="004E3614">
        <w:rPr>
          <w:rFonts w:hint="eastAsia"/>
        </w:rPr>
        <w:t>指数大涨的带动上，波动率出现快速上扬的情况</w:t>
      </w:r>
      <w:r>
        <w:rPr>
          <w:rFonts w:hint="eastAsia"/>
        </w:rPr>
        <w:t>，</w:t>
      </w:r>
      <w:proofErr w:type="gramStart"/>
      <w:r w:rsidR="002C4C07">
        <w:rPr>
          <w:rFonts w:hint="eastAsia"/>
        </w:rPr>
        <w:t>以上证</w:t>
      </w:r>
      <w:proofErr w:type="gramEnd"/>
      <w:r w:rsidR="002C4C07">
        <w:rPr>
          <w:rFonts w:hint="eastAsia"/>
        </w:rPr>
        <w:t>50ETF期权和沪深300ETF期权计算的波动</w:t>
      </w:r>
      <w:proofErr w:type="gramStart"/>
      <w:r w:rsidR="002C4C07">
        <w:rPr>
          <w:rFonts w:hint="eastAsia"/>
        </w:rPr>
        <w:t>率指数</w:t>
      </w:r>
      <w:proofErr w:type="gramEnd"/>
      <w:r w:rsidR="004E3614">
        <w:rPr>
          <w:rFonts w:hint="eastAsia"/>
        </w:rPr>
        <w:t>来看，市场的情绪进一步提升对波动</w:t>
      </w:r>
      <w:proofErr w:type="gramStart"/>
      <w:r w:rsidR="004E3614">
        <w:rPr>
          <w:rFonts w:hint="eastAsia"/>
        </w:rPr>
        <w:t>率产生</w:t>
      </w:r>
      <w:proofErr w:type="gramEnd"/>
      <w:r w:rsidR="004E3614">
        <w:rPr>
          <w:rFonts w:hint="eastAsia"/>
        </w:rPr>
        <w:t>共振</w:t>
      </w:r>
      <w:r w:rsidR="002C4C07">
        <w:rPr>
          <w:rFonts w:hint="eastAsia"/>
        </w:rPr>
        <w:t>（图2）。代表市场恐慌情绪的波动</w:t>
      </w:r>
      <w:proofErr w:type="gramStart"/>
      <w:r w:rsidR="002C4C07">
        <w:rPr>
          <w:rFonts w:hint="eastAsia"/>
        </w:rPr>
        <w:t>率指数</w:t>
      </w:r>
      <w:proofErr w:type="gramEnd"/>
      <w:r w:rsidR="00386DFB">
        <w:rPr>
          <w:rFonts w:hint="eastAsia"/>
        </w:rPr>
        <w:t>已经在相对低位持续盘整几周</w:t>
      </w:r>
      <w:r w:rsidR="002C4C07">
        <w:rPr>
          <w:rFonts w:hint="eastAsia"/>
        </w:rPr>
        <w:t>，</w:t>
      </w:r>
      <w:r w:rsidR="004E3614">
        <w:rPr>
          <w:rFonts w:hint="eastAsia"/>
        </w:rPr>
        <w:t>市场在上涨的过程中，表示恐慌的波动率应该下降才对，但是波动率也快速上涨，说明目前波动</w:t>
      </w:r>
      <w:proofErr w:type="gramStart"/>
      <w:r w:rsidR="004E3614">
        <w:rPr>
          <w:rFonts w:hint="eastAsia"/>
        </w:rPr>
        <w:t>率更多</w:t>
      </w:r>
      <w:proofErr w:type="gramEnd"/>
      <w:r w:rsidR="004E3614">
        <w:rPr>
          <w:rFonts w:hint="eastAsia"/>
        </w:rPr>
        <w:t>反应的投资者的情绪，而不是风险</w:t>
      </w:r>
      <w:r w:rsidR="00386DFB">
        <w:rPr>
          <w:rFonts w:hint="eastAsia"/>
        </w:rPr>
        <w:t>。</w:t>
      </w:r>
      <w:r w:rsidR="002E17CD">
        <w:rPr>
          <w:rFonts w:hint="eastAsia"/>
        </w:rPr>
        <w:t>从图中可以看到，</w:t>
      </w:r>
      <w:r w:rsidR="006B1D85">
        <w:rPr>
          <w:rFonts w:hint="eastAsia"/>
        </w:rPr>
        <w:t>市场</w:t>
      </w:r>
      <w:r w:rsidR="002C4C07">
        <w:rPr>
          <w:rFonts w:hint="eastAsia"/>
        </w:rPr>
        <w:t>波动率从3月开始一路下降，到近期处于历史中低分位点</w:t>
      </w:r>
      <w:r w:rsidR="005C4905">
        <w:rPr>
          <w:rFonts w:hint="eastAsia"/>
        </w:rPr>
        <w:lastRenderedPageBreak/>
        <w:t>后</w:t>
      </w:r>
      <w:r w:rsidR="00386DFB">
        <w:rPr>
          <w:rFonts w:hint="eastAsia"/>
        </w:rPr>
        <w:t>没有</w:t>
      </w:r>
      <w:r w:rsidR="002C4C07">
        <w:rPr>
          <w:rFonts w:hint="eastAsia"/>
        </w:rPr>
        <w:t>继续下降，</w:t>
      </w:r>
      <w:r w:rsidR="004E3614">
        <w:rPr>
          <w:rFonts w:hint="eastAsia"/>
        </w:rPr>
        <w:t>然后在上周出现快速拉升</w:t>
      </w:r>
      <w:r w:rsidR="002C4C07">
        <w:rPr>
          <w:rFonts w:hint="eastAsia"/>
        </w:rPr>
        <w:t>。</w:t>
      </w:r>
    </w:p>
    <w:p w14:paraId="527CB7C4" w14:textId="1C5282CA" w:rsidR="00B82632" w:rsidRPr="00B82632" w:rsidRDefault="00B82632" w:rsidP="004E3614">
      <w:pPr>
        <w:ind w:firstLineChars="200" w:firstLine="480"/>
      </w:pPr>
      <w:r>
        <w:rPr>
          <w:rFonts w:hint="eastAsia"/>
        </w:rPr>
        <w:t>从多因子选股模型出发，回顾各类因子本周的表现来看，估值因子</w:t>
      </w:r>
      <w:r w:rsidR="004E3614">
        <w:rPr>
          <w:rFonts w:hint="eastAsia"/>
        </w:rPr>
        <w:t>本周快速回归修复，估值因子在失效一年后出现快速的回升引发投资者对市场风格切换的讨论。当前市场</w:t>
      </w:r>
      <w:proofErr w:type="gramStart"/>
      <w:r w:rsidR="004E3614">
        <w:rPr>
          <w:rFonts w:hint="eastAsia"/>
        </w:rPr>
        <w:t>正在热议本周</w:t>
      </w:r>
      <w:proofErr w:type="gramEnd"/>
      <w:r w:rsidR="004E3614">
        <w:rPr>
          <w:rFonts w:hint="eastAsia"/>
        </w:rPr>
        <w:t>估值快速回归是系统性</w:t>
      </w:r>
      <w:r w:rsidR="00525A53">
        <w:rPr>
          <w:rFonts w:hint="eastAsia"/>
        </w:rPr>
        <w:t>切换，如2</w:t>
      </w:r>
      <w:r w:rsidR="00525A53">
        <w:t>016</w:t>
      </w:r>
      <w:r w:rsidR="00525A53">
        <w:rPr>
          <w:rFonts w:hint="eastAsia"/>
        </w:rPr>
        <w:t>年后连续3年价值蓝</w:t>
      </w:r>
      <w:proofErr w:type="gramStart"/>
      <w:r w:rsidR="00525A53">
        <w:rPr>
          <w:rFonts w:hint="eastAsia"/>
        </w:rPr>
        <w:t>筹趋势</w:t>
      </w:r>
      <w:proofErr w:type="gramEnd"/>
      <w:r w:rsidR="00525A53">
        <w:rPr>
          <w:rFonts w:hint="eastAsia"/>
        </w:rPr>
        <w:t>性行情出现，还是如1</w:t>
      </w:r>
      <w:r w:rsidR="00525A53">
        <w:t>4</w:t>
      </w:r>
      <w:r w:rsidR="00525A53">
        <w:rPr>
          <w:rFonts w:hint="eastAsia"/>
        </w:rPr>
        <w:t>年1</w:t>
      </w:r>
      <w:r w:rsidR="00525A53">
        <w:t>1</w:t>
      </w:r>
      <w:r w:rsidR="00525A53">
        <w:rPr>
          <w:rFonts w:hint="eastAsia"/>
        </w:rPr>
        <w:t>月到1</w:t>
      </w:r>
      <w:r w:rsidR="00525A53">
        <w:t>2</w:t>
      </w:r>
      <w:r w:rsidR="00525A53">
        <w:rPr>
          <w:rFonts w:hint="eastAsia"/>
        </w:rPr>
        <w:t>月的短期市场风格漂移。无论是哪一种情况，对于持续了半</w:t>
      </w:r>
      <w:proofErr w:type="gramStart"/>
      <w:r w:rsidR="00525A53">
        <w:rPr>
          <w:rFonts w:hint="eastAsia"/>
        </w:rPr>
        <w:t>年成长</w:t>
      </w:r>
      <w:proofErr w:type="gramEnd"/>
      <w:r w:rsidR="00525A53">
        <w:rPr>
          <w:rFonts w:hint="eastAsia"/>
        </w:rPr>
        <w:t>因子战优的各种量化多因子策略产品</w:t>
      </w:r>
      <w:proofErr w:type="gramStart"/>
      <w:r w:rsidR="00525A53">
        <w:rPr>
          <w:rFonts w:hint="eastAsia"/>
        </w:rPr>
        <w:t>来说短期</w:t>
      </w:r>
      <w:proofErr w:type="gramEnd"/>
      <w:r w:rsidR="00525A53">
        <w:rPr>
          <w:rFonts w:hint="eastAsia"/>
        </w:rPr>
        <w:t>内都充满了矛盾感。我们认为短期内的低估值暴动更大概率是低估值蓝筹股在各种市场条件叠加下的快速修复，而不是内因或外部因素带来的风格切换，现在</w:t>
      </w:r>
      <w:proofErr w:type="gramStart"/>
      <w:r w:rsidR="00525A53">
        <w:rPr>
          <w:rFonts w:hint="eastAsia"/>
        </w:rPr>
        <w:t>言风格</w:t>
      </w:r>
      <w:proofErr w:type="gramEnd"/>
      <w:r w:rsidR="00525A53">
        <w:rPr>
          <w:rFonts w:hint="eastAsia"/>
        </w:rPr>
        <w:t>切换可能维持过早，但是市场充满了不确定性，我们只能时刻跟踪和观察。但具有确定性的情况有：（1）经济短期回暖是确定的；（2）疫情并没有消除（境外隐有第二波疫情的可能，境内依然需要严防死守），其影响经济进一步复苏的动力；（3）市场在不确定环境下需求无法提升。综上，对市场最大的利好是</w:t>
      </w:r>
      <w:r w:rsidR="002A093A">
        <w:rPr>
          <w:rFonts w:hint="eastAsia"/>
        </w:rPr>
        <w:t>政策依然会维持在甜如蜜的阶段，中国由于具备更强的动员能力和丰富的经验对突发的疫情能快速控制（参考北京新发市场出现的疫情）。</w:t>
      </w:r>
      <w:r w:rsidR="00386B38">
        <w:rPr>
          <w:rFonts w:hint="eastAsia"/>
        </w:rPr>
        <w:t>在这个背景下，A股市场</w:t>
      </w:r>
      <w:r w:rsidR="006E2C43">
        <w:rPr>
          <w:rFonts w:hint="eastAsia"/>
        </w:rPr>
        <w:t>在后续</w:t>
      </w:r>
      <w:r w:rsidR="00386B38">
        <w:rPr>
          <w:rFonts w:hint="eastAsia"/>
        </w:rPr>
        <w:t>依然有向上的动力和逻辑。</w:t>
      </w:r>
    </w:p>
    <w:p w14:paraId="15A2CD98" w14:textId="50868F50" w:rsidR="002C4C07" w:rsidRDefault="004E3614" w:rsidP="002C4C07">
      <w:r>
        <w:rPr>
          <w:noProof/>
        </w:rPr>
        <w:drawing>
          <wp:inline distT="0" distB="0" distL="0" distR="0" wp14:anchorId="5534D45A" wp14:editId="164D0518">
            <wp:extent cx="5274310" cy="2502535"/>
            <wp:effectExtent l="0" t="0" r="2540" b="12065"/>
            <wp:docPr id="3" name="图表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9DDDDB96-A9B5-4DBE-9714-529282DE53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1B60F92" w14:textId="77777777" w:rsidR="002C4C07" w:rsidRDefault="002C4C07" w:rsidP="002C4C07">
      <w:r>
        <w:rPr>
          <w:rFonts w:hint="eastAsia"/>
        </w:rPr>
        <w:t>资料来源：</w:t>
      </w:r>
      <w:r w:rsidR="00BA72C2" w:rsidRPr="00BA72C2">
        <w:t>Wind，</w:t>
      </w:r>
      <w:r>
        <w:rPr>
          <w:rFonts w:hint="eastAsia"/>
        </w:rPr>
        <w:t>富荣基金</w:t>
      </w:r>
    </w:p>
    <w:p w14:paraId="6080153A" w14:textId="77777777" w:rsidR="002C4C07" w:rsidRDefault="002C4C07" w:rsidP="002C4C07">
      <w:pPr>
        <w:jc w:val="center"/>
      </w:pPr>
      <w:r>
        <w:rPr>
          <w:rFonts w:hint="eastAsia"/>
        </w:rPr>
        <w:t>图 2 波动率指数</w:t>
      </w:r>
    </w:p>
    <w:p w14:paraId="7BE5D648" w14:textId="76DEE869" w:rsidR="008540B7" w:rsidRDefault="008540B7" w:rsidP="002C4C07">
      <w:pPr>
        <w:jc w:val="center"/>
      </w:pPr>
    </w:p>
    <w:sectPr w:rsidR="008540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71D8A" w14:textId="77777777" w:rsidR="00E71FA0" w:rsidRDefault="00E71FA0" w:rsidP="002C4C07">
      <w:pPr>
        <w:spacing w:line="240" w:lineRule="auto"/>
      </w:pPr>
      <w:r>
        <w:separator/>
      </w:r>
    </w:p>
  </w:endnote>
  <w:endnote w:type="continuationSeparator" w:id="0">
    <w:p w14:paraId="2E2D8D9B" w14:textId="77777777" w:rsidR="00E71FA0" w:rsidRDefault="00E71FA0" w:rsidP="002C4C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00B09" w14:textId="77777777" w:rsidR="00E71FA0" w:rsidRDefault="00E71FA0" w:rsidP="002C4C07">
      <w:pPr>
        <w:spacing w:line="240" w:lineRule="auto"/>
      </w:pPr>
      <w:r>
        <w:separator/>
      </w:r>
    </w:p>
  </w:footnote>
  <w:footnote w:type="continuationSeparator" w:id="0">
    <w:p w14:paraId="06CA161C" w14:textId="77777777" w:rsidR="00E71FA0" w:rsidRDefault="00E71FA0" w:rsidP="002C4C0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C8A"/>
    <w:rsid w:val="0000012D"/>
    <w:rsid w:val="00035595"/>
    <w:rsid w:val="00070AA2"/>
    <w:rsid w:val="001867FC"/>
    <w:rsid w:val="001D19B6"/>
    <w:rsid w:val="001D6061"/>
    <w:rsid w:val="0020342A"/>
    <w:rsid w:val="002062DE"/>
    <w:rsid w:val="002129BA"/>
    <w:rsid w:val="002A093A"/>
    <w:rsid w:val="002B15CF"/>
    <w:rsid w:val="002C4C07"/>
    <w:rsid w:val="002C7EF7"/>
    <w:rsid w:val="002E17CD"/>
    <w:rsid w:val="00374124"/>
    <w:rsid w:val="00386B38"/>
    <w:rsid w:val="00386DFB"/>
    <w:rsid w:val="003D637F"/>
    <w:rsid w:val="003F6050"/>
    <w:rsid w:val="00454A3A"/>
    <w:rsid w:val="004E1AF1"/>
    <w:rsid w:val="004E3614"/>
    <w:rsid w:val="00525A53"/>
    <w:rsid w:val="005A2D48"/>
    <w:rsid w:val="005C4905"/>
    <w:rsid w:val="006965D2"/>
    <w:rsid w:val="006B1D85"/>
    <w:rsid w:val="006C7CF6"/>
    <w:rsid w:val="006E2C43"/>
    <w:rsid w:val="006E639C"/>
    <w:rsid w:val="0073379B"/>
    <w:rsid w:val="00756EC7"/>
    <w:rsid w:val="007D5907"/>
    <w:rsid w:val="007F6A29"/>
    <w:rsid w:val="00830122"/>
    <w:rsid w:val="00830C71"/>
    <w:rsid w:val="008540B7"/>
    <w:rsid w:val="008916E0"/>
    <w:rsid w:val="00893C6A"/>
    <w:rsid w:val="008A74C1"/>
    <w:rsid w:val="008B1754"/>
    <w:rsid w:val="008B27E8"/>
    <w:rsid w:val="00907C93"/>
    <w:rsid w:val="00987C63"/>
    <w:rsid w:val="009953B9"/>
    <w:rsid w:val="009D02A8"/>
    <w:rsid w:val="00A07990"/>
    <w:rsid w:val="00A51293"/>
    <w:rsid w:val="00A61347"/>
    <w:rsid w:val="00A90927"/>
    <w:rsid w:val="00B82632"/>
    <w:rsid w:val="00B91093"/>
    <w:rsid w:val="00BA3587"/>
    <w:rsid w:val="00BA72C2"/>
    <w:rsid w:val="00BC61FC"/>
    <w:rsid w:val="00BD6BA1"/>
    <w:rsid w:val="00BF1B5B"/>
    <w:rsid w:val="00C24E54"/>
    <w:rsid w:val="00CD5494"/>
    <w:rsid w:val="00CD673E"/>
    <w:rsid w:val="00D055BF"/>
    <w:rsid w:val="00D46833"/>
    <w:rsid w:val="00DD21CB"/>
    <w:rsid w:val="00DD2E6A"/>
    <w:rsid w:val="00DF6F9A"/>
    <w:rsid w:val="00E71FA0"/>
    <w:rsid w:val="00E86C8A"/>
    <w:rsid w:val="00E87750"/>
    <w:rsid w:val="00EF2A7A"/>
    <w:rsid w:val="00F13186"/>
    <w:rsid w:val="00FC5D34"/>
    <w:rsid w:val="00FF6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C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2C2"/>
    <w:pPr>
      <w:widowControl w:val="0"/>
      <w:spacing w:line="360" w:lineRule="auto"/>
      <w:jc w:val="both"/>
    </w:pPr>
    <w:rPr>
      <w:rFonts w:ascii="楷体" w:eastAsia="楷体" w:hAnsi="楷体"/>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4C07"/>
    <w:pPr>
      <w:pBdr>
        <w:bottom w:val="single" w:sz="6" w:space="1" w:color="auto"/>
      </w:pBdr>
      <w:tabs>
        <w:tab w:val="center" w:pos="4153"/>
        <w:tab w:val="right" w:pos="8306"/>
      </w:tabs>
      <w:snapToGrid w:val="0"/>
      <w:spacing w:line="240" w:lineRule="auto"/>
      <w:jc w:val="center"/>
    </w:pPr>
    <w:rPr>
      <w:rFonts w:asciiTheme="minorHAnsi" w:eastAsiaTheme="minorEastAsia" w:hAnsiTheme="minorHAnsi"/>
      <w:sz w:val="18"/>
      <w:szCs w:val="18"/>
    </w:rPr>
  </w:style>
  <w:style w:type="character" w:customStyle="1" w:styleId="Char">
    <w:name w:val="页眉 Char"/>
    <w:basedOn w:val="a0"/>
    <w:link w:val="a3"/>
    <w:uiPriority w:val="99"/>
    <w:rsid w:val="002C4C07"/>
    <w:rPr>
      <w:sz w:val="18"/>
      <w:szCs w:val="18"/>
    </w:rPr>
  </w:style>
  <w:style w:type="paragraph" w:styleId="a4">
    <w:name w:val="footer"/>
    <w:basedOn w:val="a"/>
    <w:link w:val="Char0"/>
    <w:uiPriority w:val="99"/>
    <w:unhideWhenUsed/>
    <w:rsid w:val="002C4C07"/>
    <w:pPr>
      <w:tabs>
        <w:tab w:val="center" w:pos="4153"/>
        <w:tab w:val="right" w:pos="8306"/>
      </w:tabs>
      <w:snapToGrid w:val="0"/>
      <w:spacing w:line="240" w:lineRule="auto"/>
      <w:jc w:val="left"/>
    </w:pPr>
    <w:rPr>
      <w:rFonts w:asciiTheme="minorHAnsi" w:eastAsiaTheme="minorEastAsia" w:hAnsiTheme="minorHAnsi"/>
      <w:sz w:val="18"/>
      <w:szCs w:val="18"/>
    </w:rPr>
  </w:style>
  <w:style w:type="character" w:customStyle="1" w:styleId="Char0">
    <w:name w:val="页脚 Char"/>
    <w:basedOn w:val="a0"/>
    <w:link w:val="a4"/>
    <w:uiPriority w:val="99"/>
    <w:rsid w:val="002C4C07"/>
    <w:rPr>
      <w:sz w:val="18"/>
      <w:szCs w:val="18"/>
    </w:rPr>
  </w:style>
  <w:style w:type="paragraph" w:styleId="a5">
    <w:name w:val="Balloon Text"/>
    <w:basedOn w:val="a"/>
    <w:link w:val="Char1"/>
    <w:uiPriority w:val="99"/>
    <w:semiHidden/>
    <w:unhideWhenUsed/>
    <w:rsid w:val="002C4C07"/>
    <w:pPr>
      <w:spacing w:line="240" w:lineRule="auto"/>
    </w:pPr>
    <w:rPr>
      <w:sz w:val="18"/>
      <w:szCs w:val="18"/>
    </w:rPr>
  </w:style>
  <w:style w:type="character" w:customStyle="1" w:styleId="Char1">
    <w:name w:val="批注框文本 Char"/>
    <w:basedOn w:val="a0"/>
    <w:link w:val="a5"/>
    <w:uiPriority w:val="99"/>
    <w:semiHidden/>
    <w:rsid w:val="002C4C07"/>
    <w:rPr>
      <w:rFonts w:ascii="楷体" w:eastAsia="楷体" w:hAnsi="楷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2C2"/>
    <w:pPr>
      <w:widowControl w:val="0"/>
      <w:spacing w:line="360" w:lineRule="auto"/>
      <w:jc w:val="both"/>
    </w:pPr>
    <w:rPr>
      <w:rFonts w:ascii="楷体" w:eastAsia="楷体" w:hAnsi="楷体"/>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4C07"/>
    <w:pPr>
      <w:pBdr>
        <w:bottom w:val="single" w:sz="6" w:space="1" w:color="auto"/>
      </w:pBdr>
      <w:tabs>
        <w:tab w:val="center" w:pos="4153"/>
        <w:tab w:val="right" w:pos="8306"/>
      </w:tabs>
      <w:snapToGrid w:val="0"/>
      <w:spacing w:line="240" w:lineRule="auto"/>
      <w:jc w:val="center"/>
    </w:pPr>
    <w:rPr>
      <w:rFonts w:asciiTheme="minorHAnsi" w:eastAsiaTheme="minorEastAsia" w:hAnsiTheme="minorHAnsi"/>
      <w:sz w:val="18"/>
      <w:szCs w:val="18"/>
    </w:rPr>
  </w:style>
  <w:style w:type="character" w:customStyle="1" w:styleId="Char">
    <w:name w:val="页眉 Char"/>
    <w:basedOn w:val="a0"/>
    <w:link w:val="a3"/>
    <w:uiPriority w:val="99"/>
    <w:rsid w:val="002C4C07"/>
    <w:rPr>
      <w:sz w:val="18"/>
      <w:szCs w:val="18"/>
    </w:rPr>
  </w:style>
  <w:style w:type="paragraph" w:styleId="a4">
    <w:name w:val="footer"/>
    <w:basedOn w:val="a"/>
    <w:link w:val="Char0"/>
    <w:uiPriority w:val="99"/>
    <w:unhideWhenUsed/>
    <w:rsid w:val="002C4C07"/>
    <w:pPr>
      <w:tabs>
        <w:tab w:val="center" w:pos="4153"/>
        <w:tab w:val="right" w:pos="8306"/>
      </w:tabs>
      <w:snapToGrid w:val="0"/>
      <w:spacing w:line="240" w:lineRule="auto"/>
      <w:jc w:val="left"/>
    </w:pPr>
    <w:rPr>
      <w:rFonts w:asciiTheme="minorHAnsi" w:eastAsiaTheme="minorEastAsia" w:hAnsiTheme="minorHAnsi"/>
      <w:sz w:val="18"/>
      <w:szCs w:val="18"/>
    </w:rPr>
  </w:style>
  <w:style w:type="character" w:customStyle="1" w:styleId="Char0">
    <w:name w:val="页脚 Char"/>
    <w:basedOn w:val="a0"/>
    <w:link w:val="a4"/>
    <w:uiPriority w:val="99"/>
    <w:rsid w:val="002C4C07"/>
    <w:rPr>
      <w:sz w:val="18"/>
      <w:szCs w:val="18"/>
    </w:rPr>
  </w:style>
  <w:style w:type="paragraph" w:styleId="a5">
    <w:name w:val="Balloon Text"/>
    <w:basedOn w:val="a"/>
    <w:link w:val="Char1"/>
    <w:uiPriority w:val="99"/>
    <w:semiHidden/>
    <w:unhideWhenUsed/>
    <w:rsid w:val="002C4C07"/>
    <w:pPr>
      <w:spacing w:line="240" w:lineRule="auto"/>
    </w:pPr>
    <w:rPr>
      <w:sz w:val="18"/>
      <w:szCs w:val="18"/>
    </w:rPr>
  </w:style>
  <w:style w:type="character" w:customStyle="1" w:styleId="Char1">
    <w:name w:val="批注框文本 Char"/>
    <w:basedOn w:val="a0"/>
    <w:link w:val="a5"/>
    <w:uiPriority w:val="99"/>
    <w:semiHidden/>
    <w:rsid w:val="002C4C07"/>
    <w:rPr>
      <w:rFonts w:ascii="楷体" w:eastAsia="楷体" w:hAnsi="楷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esktop\&#27818;&#2406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esktop\50etf_VIX.csv"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沪股通累计净买入</c:v>
                </c:pt>
              </c:strCache>
            </c:strRef>
          </c:tx>
          <c:spPr>
            <a:solidFill>
              <a:schemeClr val="accent1"/>
            </a:solidFill>
            <a:ln>
              <a:noFill/>
            </a:ln>
            <a:effectLst/>
          </c:spPr>
          <c:invertIfNegative val="0"/>
          <c:cat>
            <c:numRef>
              <c:f>Sheet1!$A$2:$A$14</c:f>
              <c:numCache>
                <c:formatCode>yyyy\-mm\-dd</c:formatCode>
                <c:ptCount val="13"/>
                <c:pt idx="0">
                  <c:v>43931</c:v>
                </c:pt>
                <c:pt idx="1">
                  <c:v>43938</c:v>
                </c:pt>
                <c:pt idx="2">
                  <c:v>43945</c:v>
                </c:pt>
                <c:pt idx="3">
                  <c:v>43951</c:v>
                </c:pt>
                <c:pt idx="4">
                  <c:v>43959</c:v>
                </c:pt>
                <c:pt idx="5">
                  <c:v>43966</c:v>
                </c:pt>
                <c:pt idx="6">
                  <c:v>43973</c:v>
                </c:pt>
                <c:pt idx="7">
                  <c:v>43980</c:v>
                </c:pt>
                <c:pt idx="8">
                  <c:v>43987</c:v>
                </c:pt>
                <c:pt idx="9">
                  <c:v>43994</c:v>
                </c:pt>
                <c:pt idx="10">
                  <c:v>44001</c:v>
                </c:pt>
                <c:pt idx="11">
                  <c:v>44006</c:v>
                </c:pt>
                <c:pt idx="12">
                  <c:v>44015</c:v>
                </c:pt>
              </c:numCache>
            </c:numRef>
          </c:cat>
          <c:val>
            <c:numRef>
              <c:f>Sheet1!$B$2:$B$14</c:f>
              <c:numCache>
                <c:formatCode>0.00_);[Red]\(0.00\)</c:formatCode>
                <c:ptCount val="13"/>
                <c:pt idx="0">
                  <c:v>5230.7271999999975</c:v>
                </c:pt>
                <c:pt idx="1">
                  <c:v>5355.7184999999972</c:v>
                </c:pt>
                <c:pt idx="2">
                  <c:v>5374.3502999999973</c:v>
                </c:pt>
                <c:pt idx="3">
                  <c:v>5393.1809999999969</c:v>
                </c:pt>
                <c:pt idx="4">
                  <c:v>5370.0451999999968</c:v>
                </c:pt>
                <c:pt idx="5">
                  <c:v>5369.0264999999972</c:v>
                </c:pt>
                <c:pt idx="6">
                  <c:v>5398.5536999999968</c:v>
                </c:pt>
                <c:pt idx="7">
                  <c:v>5476.4172999999964</c:v>
                </c:pt>
                <c:pt idx="8">
                  <c:v>5594.9923999999965</c:v>
                </c:pt>
                <c:pt idx="9">
                  <c:v>5596.7704999999969</c:v>
                </c:pt>
                <c:pt idx="10">
                  <c:v>5688.0737999999965</c:v>
                </c:pt>
                <c:pt idx="11">
                  <c:v>5735.2873999999965</c:v>
                </c:pt>
                <c:pt idx="12">
                  <c:v>5912.6685999999963</c:v>
                </c:pt>
              </c:numCache>
            </c:numRef>
          </c:val>
          <c:extLst xmlns:c16r2="http://schemas.microsoft.com/office/drawing/2015/06/chart">
            <c:ext xmlns:c16="http://schemas.microsoft.com/office/drawing/2014/chart" uri="{C3380CC4-5D6E-409C-BE32-E72D297353CC}">
              <c16:uniqueId val="{00000000-FCD7-4200-8E67-ECF7EA02E74E}"/>
            </c:ext>
          </c:extLst>
        </c:ser>
        <c:ser>
          <c:idx val="1"/>
          <c:order val="1"/>
          <c:tx>
            <c:strRef>
              <c:f>Sheet1!$C$1</c:f>
              <c:strCache>
                <c:ptCount val="1"/>
                <c:pt idx="0">
                  <c:v>深股通累计净买入</c:v>
                </c:pt>
              </c:strCache>
            </c:strRef>
          </c:tx>
          <c:spPr>
            <a:solidFill>
              <a:schemeClr val="accent2"/>
            </a:solidFill>
            <a:ln>
              <a:noFill/>
            </a:ln>
            <a:effectLst/>
          </c:spPr>
          <c:invertIfNegative val="0"/>
          <c:cat>
            <c:numRef>
              <c:f>Sheet1!$A$2:$A$14</c:f>
              <c:numCache>
                <c:formatCode>yyyy\-mm\-dd</c:formatCode>
                <c:ptCount val="13"/>
                <c:pt idx="0">
                  <c:v>43931</c:v>
                </c:pt>
                <c:pt idx="1">
                  <c:v>43938</c:v>
                </c:pt>
                <c:pt idx="2">
                  <c:v>43945</c:v>
                </c:pt>
                <c:pt idx="3">
                  <c:v>43951</c:v>
                </c:pt>
                <c:pt idx="4">
                  <c:v>43959</c:v>
                </c:pt>
                <c:pt idx="5">
                  <c:v>43966</c:v>
                </c:pt>
                <c:pt idx="6">
                  <c:v>43973</c:v>
                </c:pt>
                <c:pt idx="7">
                  <c:v>43980</c:v>
                </c:pt>
                <c:pt idx="8">
                  <c:v>43987</c:v>
                </c:pt>
                <c:pt idx="9">
                  <c:v>43994</c:v>
                </c:pt>
                <c:pt idx="10">
                  <c:v>44001</c:v>
                </c:pt>
                <c:pt idx="11">
                  <c:v>44006</c:v>
                </c:pt>
                <c:pt idx="12">
                  <c:v>44015</c:v>
                </c:pt>
              </c:numCache>
            </c:numRef>
          </c:cat>
          <c:val>
            <c:numRef>
              <c:f>Sheet1!$C$2:$C$14</c:f>
              <c:numCache>
                <c:formatCode>0.00_);[Red]\(0.00\)</c:formatCode>
                <c:ptCount val="13"/>
                <c:pt idx="0">
                  <c:v>4683.5144000000028</c:v>
                </c:pt>
                <c:pt idx="1">
                  <c:v>4858.7382000000025</c:v>
                </c:pt>
                <c:pt idx="2">
                  <c:v>4864.2691000000023</c:v>
                </c:pt>
                <c:pt idx="3">
                  <c:v>4895.191200000002</c:v>
                </c:pt>
                <c:pt idx="4">
                  <c:v>4946.8968000000023</c:v>
                </c:pt>
                <c:pt idx="5">
                  <c:v>4988.5398000000023</c:v>
                </c:pt>
                <c:pt idx="6">
                  <c:v>5038.4826000000021</c:v>
                </c:pt>
                <c:pt idx="7">
                  <c:v>5113.066200000002</c:v>
                </c:pt>
                <c:pt idx="8">
                  <c:v>5235.0056000000022</c:v>
                </c:pt>
                <c:pt idx="9">
                  <c:v>5282.3807000000015</c:v>
                </c:pt>
                <c:pt idx="10">
                  <c:v>5394.7646000000013</c:v>
                </c:pt>
                <c:pt idx="11">
                  <c:v>5395.4577000000008</c:v>
                </c:pt>
                <c:pt idx="12">
                  <c:v>5506.6972000000005</c:v>
                </c:pt>
              </c:numCache>
            </c:numRef>
          </c:val>
          <c:extLst xmlns:c16r2="http://schemas.microsoft.com/office/drawing/2015/06/chart">
            <c:ext xmlns:c16="http://schemas.microsoft.com/office/drawing/2014/chart" uri="{C3380CC4-5D6E-409C-BE32-E72D297353CC}">
              <c16:uniqueId val="{00000001-FCD7-4200-8E67-ECF7EA02E74E}"/>
            </c:ext>
          </c:extLst>
        </c:ser>
        <c:dLbls>
          <c:showLegendKey val="0"/>
          <c:showVal val="0"/>
          <c:showCatName val="0"/>
          <c:showSerName val="0"/>
          <c:showPercent val="0"/>
          <c:showBubbleSize val="0"/>
        </c:dLbls>
        <c:gapWidth val="150"/>
        <c:axId val="297657088"/>
        <c:axId val="297658624"/>
      </c:barChart>
      <c:lineChart>
        <c:grouping val="standard"/>
        <c:varyColors val="0"/>
        <c:ser>
          <c:idx val="2"/>
          <c:order val="2"/>
          <c:tx>
            <c:strRef>
              <c:f>Sheet1!$D$1</c:f>
              <c:strCache>
                <c:ptCount val="1"/>
                <c:pt idx="0">
                  <c:v>沪深合计</c:v>
                </c:pt>
              </c:strCache>
            </c:strRef>
          </c:tx>
          <c:spPr>
            <a:ln w="28575" cap="rnd">
              <a:solidFill>
                <a:schemeClr val="accent3"/>
              </a:solidFill>
              <a:round/>
            </a:ln>
            <a:effectLst/>
          </c:spPr>
          <c:marker>
            <c:symbol val="none"/>
          </c:marker>
          <c:cat>
            <c:numRef>
              <c:f>Sheet1!$A$2:$A$14</c:f>
              <c:numCache>
                <c:formatCode>yyyy\-mm\-dd</c:formatCode>
                <c:ptCount val="13"/>
                <c:pt idx="0">
                  <c:v>43931</c:v>
                </c:pt>
                <c:pt idx="1">
                  <c:v>43938</c:v>
                </c:pt>
                <c:pt idx="2">
                  <c:v>43945</c:v>
                </c:pt>
                <c:pt idx="3">
                  <c:v>43951</c:v>
                </c:pt>
                <c:pt idx="4">
                  <c:v>43959</c:v>
                </c:pt>
                <c:pt idx="5">
                  <c:v>43966</c:v>
                </c:pt>
                <c:pt idx="6">
                  <c:v>43973</c:v>
                </c:pt>
                <c:pt idx="7">
                  <c:v>43980</c:v>
                </c:pt>
                <c:pt idx="8">
                  <c:v>43987</c:v>
                </c:pt>
                <c:pt idx="9">
                  <c:v>43994</c:v>
                </c:pt>
                <c:pt idx="10">
                  <c:v>44001</c:v>
                </c:pt>
                <c:pt idx="11">
                  <c:v>44006</c:v>
                </c:pt>
                <c:pt idx="12">
                  <c:v>44015</c:v>
                </c:pt>
              </c:numCache>
            </c:numRef>
          </c:cat>
          <c:val>
            <c:numRef>
              <c:f>Sheet1!$D$2:$D$14</c:f>
              <c:numCache>
                <c:formatCode>0.00_);[Red]\(0.00\)</c:formatCode>
                <c:ptCount val="13"/>
                <c:pt idx="0">
                  <c:v>9914.2416000000012</c:v>
                </c:pt>
                <c:pt idx="1">
                  <c:v>10214.456699999999</c:v>
                </c:pt>
                <c:pt idx="2">
                  <c:v>10238.6194</c:v>
                </c:pt>
                <c:pt idx="3">
                  <c:v>10288.372199999998</c:v>
                </c:pt>
                <c:pt idx="4">
                  <c:v>10316.941999999999</c:v>
                </c:pt>
                <c:pt idx="5">
                  <c:v>10357.566299999999</c:v>
                </c:pt>
                <c:pt idx="6">
                  <c:v>10437.0363</c:v>
                </c:pt>
                <c:pt idx="7">
                  <c:v>10589.483499999998</c:v>
                </c:pt>
                <c:pt idx="8">
                  <c:v>10829.998</c:v>
                </c:pt>
                <c:pt idx="9">
                  <c:v>10879.151199999998</c:v>
                </c:pt>
                <c:pt idx="10">
                  <c:v>11082.838399999997</c:v>
                </c:pt>
                <c:pt idx="11">
                  <c:v>11130.745099999996</c:v>
                </c:pt>
                <c:pt idx="12">
                  <c:v>11419.365799999996</c:v>
                </c:pt>
              </c:numCache>
            </c:numRef>
          </c:val>
          <c:smooth val="0"/>
          <c:extLst xmlns:c16r2="http://schemas.microsoft.com/office/drawing/2015/06/chart">
            <c:ext xmlns:c16="http://schemas.microsoft.com/office/drawing/2014/chart" uri="{C3380CC4-5D6E-409C-BE32-E72D297353CC}">
              <c16:uniqueId val="{00000002-FCD7-4200-8E67-ECF7EA02E74E}"/>
            </c:ext>
          </c:extLst>
        </c:ser>
        <c:dLbls>
          <c:showLegendKey val="0"/>
          <c:showVal val="0"/>
          <c:showCatName val="0"/>
          <c:showSerName val="0"/>
          <c:showPercent val="0"/>
          <c:showBubbleSize val="0"/>
        </c:dLbls>
        <c:marker val="1"/>
        <c:smooth val="0"/>
        <c:axId val="297797120"/>
        <c:axId val="297795584"/>
      </c:lineChart>
      <c:catAx>
        <c:axId val="297657088"/>
        <c:scaling>
          <c:orientation val="minMax"/>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97658624"/>
        <c:crosses val="autoZero"/>
        <c:auto val="0"/>
        <c:lblAlgn val="ctr"/>
        <c:lblOffset val="100"/>
        <c:noMultiLvlLbl val="0"/>
      </c:catAx>
      <c:valAx>
        <c:axId val="297658624"/>
        <c:scaling>
          <c:orientation val="minMax"/>
        </c:scaling>
        <c:delete val="0"/>
        <c:axPos val="l"/>
        <c:majorGridlines>
          <c:spPr>
            <a:ln w="9525" cap="flat" cmpd="sng" algn="ctr">
              <a:solidFill>
                <a:schemeClr val="tx1">
                  <a:lumMod val="15000"/>
                  <a:lumOff val="85000"/>
                </a:schemeClr>
              </a:solidFill>
              <a:round/>
            </a:ln>
            <a:effectLst/>
          </c:spPr>
        </c:majorGridlines>
        <c:numFmt formatCode="0.00_);[Red]\(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97657088"/>
        <c:crosses val="autoZero"/>
        <c:crossBetween val="between"/>
      </c:valAx>
      <c:valAx>
        <c:axId val="297795584"/>
        <c:scaling>
          <c:orientation val="minMax"/>
        </c:scaling>
        <c:delete val="0"/>
        <c:axPos val="r"/>
        <c:numFmt formatCode="0.00_);[Red]\(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97797120"/>
        <c:crosses val="max"/>
        <c:crossBetween val="between"/>
      </c:valAx>
      <c:dateAx>
        <c:axId val="297797120"/>
        <c:scaling>
          <c:orientation val="minMax"/>
        </c:scaling>
        <c:delete val="1"/>
        <c:axPos val="b"/>
        <c:numFmt formatCode="yyyy\-mm\-dd" sourceLinked="1"/>
        <c:majorTickMark val="out"/>
        <c:minorTickMark val="none"/>
        <c:tickLblPos val="nextTo"/>
        <c:crossAx val="297795584"/>
        <c:crosses val="autoZero"/>
        <c:auto val="1"/>
        <c:lblOffset val="100"/>
        <c:baseTimeUnit val="days"/>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'50etf_VIX'!$B$1</c:f>
              <c:strCache>
                <c:ptCount val="1"/>
                <c:pt idx="0">
                  <c:v>上证50-VIX</c:v>
                </c:pt>
              </c:strCache>
            </c:strRef>
          </c:tx>
          <c:spPr>
            <a:ln w="28575" cap="rnd">
              <a:solidFill>
                <a:schemeClr val="accent1"/>
              </a:solidFill>
              <a:round/>
            </a:ln>
            <a:effectLst/>
          </c:spPr>
          <c:marker>
            <c:symbol val="none"/>
          </c:marker>
          <c:cat>
            <c:numRef>
              <c:f>'50etf_VIX'!$A$2:$A$121</c:f>
              <c:numCache>
                <c:formatCode>m/d/yyyy</c:formatCode>
                <c:ptCount val="120"/>
                <c:pt idx="0">
                  <c:v>43832</c:v>
                </c:pt>
                <c:pt idx="1">
                  <c:v>43833</c:v>
                </c:pt>
                <c:pt idx="2">
                  <c:v>43836</c:v>
                </c:pt>
                <c:pt idx="3">
                  <c:v>43837</c:v>
                </c:pt>
                <c:pt idx="4">
                  <c:v>43838</c:v>
                </c:pt>
                <c:pt idx="5">
                  <c:v>43839</c:v>
                </c:pt>
                <c:pt idx="6">
                  <c:v>43840</c:v>
                </c:pt>
                <c:pt idx="7">
                  <c:v>43843</c:v>
                </c:pt>
                <c:pt idx="8">
                  <c:v>43844</c:v>
                </c:pt>
                <c:pt idx="9">
                  <c:v>43845</c:v>
                </c:pt>
                <c:pt idx="10">
                  <c:v>43846</c:v>
                </c:pt>
                <c:pt idx="11">
                  <c:v>43847</c:v>
                </c:pt>
                <c:pt idx="12">
                  <c:v>43850</c:v>
                </c:pt>
                <c:pt idx="13">
                  <c:v>43851</c:v>
                </c:pt>
                <c:pt idx="14">
                  <c:v>43852</c:v>
                </c:pt>
                <c:pt idx="15">
                  <c:v>43853</c:v>
                </c:pt>
                <c:pt idx="16">
                  <c:v>43864</c:v>
                </c:pt>
                <c:pt idx="17">
                  <c:v>43865</c:v>
                </c:pt>
                <c:pt idx="18">
                  <c:v>43866</c:v>
                </c:pt>
                <c:pt idx="19">
                  <c:v>43867</c:v>
                </c:pt>
                <c:pt idx="20">
                  <c:v>43868</c:v>
                </c:pt>
                <c:pt idx="21">
                  <c:v>43871</c:v>
                </c:pt>
                <c:pt idx="22">
                  <c:v>43872</c:v>
                </c:pt>
                <c:pt idx="23">
                  <c:v>43873</c:v>
                </c:pt>
                <c:pt idx="24">
                  <c:v>43874</c:v>
                </c:pt>
                <c:pt idx="25">
                  <c:v>43875</c:v>
                </c:pt>
                <c:pt idx="26">
                  <c:v>43878</c:v>
                </c:pt>
                <c:pt idx="27">
                  <c:v>43879</c:v>
                </c:pt>
                <c:pt idx="28">
                  <c:v>43880</c:v>
                </c:pt>
                <c:pt idx="29">
                  <c:v>43881</c:v>
                </c:pt>
                <c:pt idx="30">
                  <c:v>43882</c:v>
                </c:pt>
                <c:pt idx="31">
                  <c:v>43885</c:v>
                </c:pt>
                <c:pt idx="32">
                  <c:v>43886</c:v>
                </c:pt>
                <c:pt idx="33">
                  <c:v>43887</c:v>
                </c:pt>
                <c:pt idx="34">
                  <c:v>43888</c:v>
                </c:pt>
                <c:pt idx="35">
                  <c:v>43889</c:v>
                </c:pt>
                <c:pt idx="36">
                  <c:v>43892</c:v>
                </c:pt>
                <c:pt idx="37">
                  <c:v>43893</c:v>
                </c:pt>
                <c:pt idx="38">
                  <c:v>43894</c:v>
                </c:pt>
                <c:pt idx="39">
                  <c:v>43895</c:v>
                </c:pt>
                <c:pt idx="40">
                  <c:v>43896</c:v>
                </c:pt>
                <c:pt idx="41">
                  <c:v>43899</c:v>
                </c:pt>
                <c:pt idx="42">
                  <c:v>43900</c:v>
                </c:pt>
                <c:pt idx="43">
                  <c:v>43901</c:v>
                </c:pt>
                <c:pt idx="44">
                  <c:v>43902</c:v>
                </c:pt>
                <c:pt idx="45">
                  <c:v>43903</c:v>
                </c:pt>
                <c:pt idx="46">
                  <c:v>43906</c:v>
                </c:pt>
                <c:pt idx="47">
                  <c:v>43907</c:v>
                </c:pt>
                <c:pt idx="48">
                  <c:v>43908</c:v>
                </c:pt>
                <c:pt idx="49">
                  <c:v>43909</c:v>
                </c:pt>
                <c:pt idx="50">
                  <c:v>43910</c:v>
                </c:pt>
                <c:pt idx="51">
                  <c:v>43913</c:v>
                </c:pt>
                <c:pt idx="52">
                  <c:v>43914</c:v>
                </c:pt>
                <c:pt idx="53">
                  <c:v>43915</c:v>
                </c:pt>
                <c:pt idx="54">
                  <c:v>43916</c:v>
                </c:pt>
                <c:pt idx="55">
                  <c:v>43917</c:v>
                </c:pt>
                <c:pt idx="56">
                  <c:v>43920</c:v>
                </c:pt>
                <c:pt idx="57">
                  <c:v>43921</c:v>
                </c:pt>
                <c:pt idx="58">
                  <c:v>43922</c:v>
                </c:pt>
                <c:pt idx="59">
                  <c:v>43923</c:v>
                </c:pt>
                <c:pt idx="60">
                  <c:v>43924</c:v>
                </c:pt>
                <c:pt idx="61">
                  <c:v>43928</c:v>
                </c:pt>
                <c:pt idx="62">
                  <c:v>43929</c:v>
                </c:pt>
                <c:pt idx="63">
                  <c:v>43930</c:v>
                </c:pt>
                <c:pt idx="64">
                  <c:v>43931</c:v>
                </c:pt>
                <c:pt idx="65">
                  <c:v>43934</c:v>
                </c:pt>
                <c:pt idx="66">
                  <c:v>43935</c:v>
                </c:pt>
                <c:pt idx="67">
                  <c:v>43936</c:v>
                </c:pt>
                <c:pt idx="68">
                  <c:v>43937</c:v>
                </c:pt>
                <c:pt idx="69">
                  <c:v>43938</c:v>
                </c:pt>
                <c:pt idx="70">
                  <c:v>43941</c:v>
                </c:pt>
                <c:pt idx="71">
                  <c:v>43942</c:v>
                </c:pt>
                <c:pt idx="72">
                  <c:v>43943</c:v>
                </c:pt>
                <c:pt idx="73">
                  <c:v>43944</c:v>
                </c:pt>
                <c:pt idx="74">
                  <c:v>43945</c:v>
                </c:pt>
                <c:pt idx="75">
                  <c:v>43948</c:v>
                </c:pt>
                <c:pt idx="76">
                  <c:v>43949</c:v>
                </c:pt>
                <c:pt idx="77">
                  <c:v>43950</c:v>
                </c:pt>
                <c:pt idx="78">
                  <c:v>43951</c:v>
                </c:pt>
                <c:pt idx="79">
                  <c:v>43957</c:v>
                </c:pt>
                <c:pt idx="80">
                  <c:v>43958</c:v>
                </c:pt>
                <c:pt idx="81">
                  <c:v>43959</c:v>
                </c:pt>
                <c:pt idx="82">
                  <c:v>43962</c:v>
                </c:pt>
                <c:pt idx="83">
                  <c:v>43963</c:v>
                </c:pt>
                <c:pt idx="84">
                  <c:v>43964</c:v>
                </c:pt>
                <c:pt idx="85">
                  <c:v>43965</c:v>
                </c:pt>
                <c:pt idx="86">
                  <c:v>43966</c:v>
                </c:pt>
                <c:pt idx="87">
                  <c:v>43969</c:v>
                </c:pt>
                <c:pt idx="88">
                  <c:v>43970</c:v>
                </c:pt>
                <c:pt idx="89">
                  <c:v>43971</c:v>
                </c:pt>
                <c:pt idx="90">
                  <c:v>43972</c:v>
                </c:pt>
                <c:pt idx="91">
                  <c:v>43973</c:v>
                </c:pt>
                <c:pt idx="92">
                  <c:v>43976</c:v>
                </c:pt>
                <c:pt idx="93">
                  <c:v>43977</c:v>
                </c:pt>
                <c:pt idx="94">
                  <c:v>43978</c:v>
                </c:pt>
                <c:pt idx="95">
                  <c:v>43979</c:v>
                </c:pt>
                <c:pt idx="96">
                  <c:v>43980</c:v>
                </c:pt>
                <c:pt idx="97">
                  <c:v>43983</c:v>
                </c:pt>
                <c:pt idx="98">
                  <c:v>43984</c:v>
                </c:pt>
                <c:pt idx="99">
                  <c:v>43985</c:v>
                </c:pt>
                <c:pt idx="100">
                  <c:v>43986</c:v>
                </c:pt>
                <c:pt idx="101">
                  <c:v>43987</c:v>
                </c:pt>
                <c:pt idx="102">
                  <c:v>43990</c:v>
                </c:pt>
                <c:pt idx="103">
                  <c:v>43991</c:v>
                </c:pt>
                <c:pt idx="104">
                  <c:v>43992</c:v>
                </c:pt>
                <c:pt idx="105">
                  <c:v>43993</c:v>
                </c:pt>
                <c:pt idx="106">
                  <c:v>43994</c:v>
                </c:pt>
                <c:pt idx="107">
                  <c:v>43997</c:v>
                </c:pt>
                <c:pt idx="108">
                  <c:v>43998</c:v>
                </c:pt>
                <c:pt idx="109">
                  <c:v>43999</c:v>
                </c:pt>
                <c:pt idx="110">
                  <c:v>44000</c:v>
                </c:pt>
                <c:pt idx="111">
                  <c:v>44001</c:v>
                </c:pt>
                <c:pt idx="112">
                  <c:v>44004</c:v>
                </c:pt>
                <c:pt idx="113">
                  <c:v>44005</c:v>
                </c:pt>
                <c:pt idx="114">
                  <c:v>44006</c:v>
                </c:pt>
                <c:pt idx="115">
                  <c:v>44011</c:v>
                </c:pt>
                <c:pt idx="116">
                  <c:v>44012</c:v>
                </c:pt>
                <c:pt idx="117">
                  <c:v>44013</c:v>
                </c:pt>
                <c:pt idx="118">
                  <c:v>44014</c:v>
                </c:pt>
                <c:pt idx="119">
                  <c:v>44015</c:v>
                </c:pt>
              </c:numCache>
            </c:numRef>
          </c:cat>
          <c:val>
            <c:numRef>
              <c:f>'50etf_VIX'!$B$2:$B$121</c:f>
              <c:numCache>
                <c:formatCode>General</c:formatCode>
                <c:ptCount val="120"/>
                <c:pt idx="0">
                  <c:v>15.285500000000001</c:v>
                </c:pt>
                <c:pt idx="1">
                  <c:v>14.9521</c:v>
                </c:pt>
                <c:pt idx="2">
                  <c:v>15.5869</c:v>
                </c:pt>
                <c:pt idx="3">
                  <c:v>15.8872</c:v>
                </c:pt>
                <c:pt idx="4">
                  <c:v>15.8352</c:v>
                </c:pt>
                <c:pt idx="5">
                  <c:v>15.3283</c:v>
                </c:pt>
                <c:pt idx="6">
                  <c:v>15.018599999999999</c:v>
                </c:pt>
                <c:pt idx="7">
                  <c:v>14.6793</c:v>
                </c:pt>
                <c:pt idx="8">
                  <c:v>14.248100000000001</c:v>
                </c:pt>
                <c:pt idx="9">
                  <c:v>14.420199999999999</c:v>
                </c:pt>
                <c:pt idx="10">
                  <c:v>13.686</c:v>
                </c:pt>
                <c:pt idx="11">
                  <c:v>11.886100000000001</c:v>
                </c:pt>
                <c:pt idx="12">
                  <c:v>13.209199999999999</c:v>
                </c:pt>
                <c:pt idx="13">
                  <c:v>15.466799999999999</c:v>
                </c:pt>
                <c:pt idx="14">
                  <c:v>14.622199999999999</c:v>
                </c:pt>
                <c:pt idx="15">
                  <c:v>18.420999999999999</c:v>
                </c:pt>
                <c:pt idx="16">
                  <c:v>29.0305</c:v>
                </c:pt>
                <c:pt idx="17">
                  <c:v>23.6312</c:v>
                </c:pt>
                <c:pt idx="18">
                  <c:v>21.664300000000001</c:v>
                </c:pt>
                <c:pt idx="19">
                  <c:v>21.508600000000001</c:v>
                </c:pt>
                <c:pt idx="20">
                  <c:v>22.6403</c:v>
                </c:pt>
                <c:pt idx="21">
                  <c:v>22.128900000000002</c:v>
                </c:pt>
                <c:pt idx="22">
                  <c:v>20.615600000000001</c:v>
                </c:pt>
                <c:pt idx="23">
                  <c:v>19.602399999999999</c:v>
                </c:pt>
                <c:pt idx="24">
                  <c:v>20.324100000000001</c:v>
                </c:pt>
                <c:pt idx="25">
                  <c:v>19.5063</c:v>
                </c:pt>
                <c:pt idx="26">
                  <c:v>19.5153</c:v>
                </c:pt>
                <c:pt idx="27">
                  <c:v>19.8369</c:v>
                </c:pt>
                <c:pt idx="28">
                  <c:v>19.905100000000001</c:v>
                </c:pt>
                <c:pt idx="29">
                  <c:v>20.008299999999998</c:v>
                </c:pt>
                <c:pt idx="30">
                  <c:v>20.744900000000001</c:v>
                </c:pt>
                <c:pt idx="31">
                  <c:v>22.653600000000001</c:v>
                </c:pt>
                <c:pt idx="32">
                  <c:v>23.448</c:v>
                </c:pt>
                <c:pt idx="33">
                  <c:v>24.197299999999998</c:v>
                </c:pt>
                <c:pt idx="34">
                  <c:v>21.011700000000001</c:v>
                </c:pt>
                <c:pt idx="35">
                  <c:v>24.708500000000001</c:v>
                </c:pt>
                <c:pt idx="36">
                  <c:v>22.031999999999901</c:v>
                </c:pt>
                <c:pt idx="37">
                  <c:v>21.527200000000001</c:v>
                </c:pt>
                <c:pt idx="38">
                  <c:v>21.5442</c:v>
                </c:pt>
                <c:pt idx="39">
                  <c:v>22.154800000000002</c:v>
                </c:pt>
                <c:pt idx="40">
                  <c:v>23.4209</c:v>
                </c:pt>
                <c:pt idx="41">
                  <c:v>29.569299999999998</c:v>
                </c:pt>
                <c:pt idx="42">
                  <c:v>28.2178</c:v>
                </c:pt>
                <c:pt idx="43">
                  <c:v>28.455500000000001</c:v>
                </c:pt>
                <c:pt idx="44">
                  <c:v>31.697500000000002</c:v>
                </c:pt>
                <c:pt idx="45">
                  <c:v>38.154499999999999</c:v>
                </c:pt>
                <c:pt idx="46">
                  <c:v>41.2622</c:v>
                </c:pt>
                <c:pt idx="47">
                  <c:v>41.469200000000001</c:v>
                </c:pt>
                <c:pt idx="48">
                  <c:v>37.005200000000002</c:v>
                </c:pt>
                <c:pt idx="49">
                  <c:v>37.721899999999998</c:v>
                </c:pt>
                <c:pt idx="50">
                  <c:v>34.258099999999999</c:v>
                </c:pt>
                <c:pt idx="51">
                  <c:v>38.448799999999999</c:v>
                </c:pt>
                <c:pt idx="52">
                  <c:v>35.500900000000001</c:v>
                </c:pt>
                <c:pt idx="53">
                  <c:v>34.6783</c:v>
                </c:pt>
                <c:pt idx="54">
                  <c:v>34.122799999999998</c:v>
                </c:pt>
                <c:pt idx="55">
                  <c:v>34.642400000000002</c:v>
                </c:pt>
                <c:pt idx="56">
                  <c:v>33.754800000000003</c:v>
                </c:pt>
                <c:pt idx="57">
                  <c:v>31.503799999999998</c:v>
                </c:pt>
                <c:pt idx="58">
                  <c:v>29.6633</c:v>
                </c:pt>
                <c:pt idx="59">
                  <c:v>28.070999999999898</c:v>
                </c:pt>
                <c:pt idx="60">
                  <c:v>28.9284</c:v>
                </c:pt>
                <c:pt idx="61">
                  <c:v>26.3565</c:v>
                </c:pt>
                <c:pt idx="62">
                  <c:v>24.634399999999999</c:v>
                </c:pt>
                <c:pt idx="63">
                  <c:v>23.4435</c:v>
                </c:pt>
                <c:pt idx="64">
                  <c:v>22.843900000000001</c:v>
                </c:pt>
                <c:pt idx="65">
                  <c:v>21.0776</c:v>
                </c:pt>
                <c:pt idx="66">
                  <c:v>20.2925</c:v>
                </c:pt>
                <c:pt idx="67">
                  <c:v>21.034700000000001</c:v>
                </c:pt>
                <c:pt idx="68">
                  <c:v>20.625699999999998</c:v>
                </c:pt>
                <c:pt idx="69">
                  <c:v>18.9817</c:v>
                </c:pt>
                <c:pt idx="70">
                  <c:v>19.909400000000002</c:v>
                </c:pt>
                <c:pt idx="71">
                  <c:v>20.1051</c:v>
                </c:pt>
                <c:pt idx="72">
                  <c:v>20.239000000000001</c:v>
                </c:pt>
                <c:pt idx="73">
                  <c:v>20.805</c:v>
                </c:pt>
                <c:pt idx="74">
                  <c:v>20.160799999999998</c:v>
                </c:pt>
                <c:pt idx="75">
                  <c:v>18.287500000000001</c:v>
                </c:pt>
                <c:pt idx="76">
                  <c:v>18.4679</c:v>
                </c:pt>
                <c:pt idx="77">
                  <c:v>19.429500000000001</c:v>
                </c:pt>
                <c:pt idx="78">
                  <c:v>21.2547</c:v>
                </c:pt>
                <c:pt idx="79">
                  <c:v>20.235600000000002</c:v>
                </c:pt>
                <c:pt idx="80">
                  <c:v>19.033799999999999</c:v>
                </c:pt>
                <c:pt idx="81">
                  <c:v>18.329899999999999</c:v>
                </c:pt>
                <c:pt idx="82">
                  <c:v>18.2926</c:v>
                </c:pt>
                <c:pt idx="83">
                  <c:v>18.374700000000001</c:v>
                </c:pt>
                <c:pt idx="84">
                  <c:v>18.206099999999999</c:v>
                </c:pt>
                <c:pt idx="85">
                  <c:v>18.139800000000001</c:v>
                </c:pt>
                <c:pt idx="86">
                  <c:v>17.927299999999999</c:v>
                </c:pt>
                <c:pt idx="87">
                  <c:v>17.197800000000001</c:v>
                </c:pt>
                <c:pt idx="88">
                  <c:v>16.910999999999898</c:v>
                </c:pt>
                <c:pt idx="89">
                  <c:v>16.640999999999998</c:v>
                </c:pt>
                <c:pt idx="90">
                  <c:v>17.546500000000002</c:v>
                </c:pt>
                <c:pt idx="91">
                  <c:v>20.994499999999999</c:v>
                </c:pt>
                <c:pt idx="92">
                  <c:v>18.4026</c:v>
                </c:pt>
                <c:pt idx="93">
                  <c:v>18.358000000000001</c:v>
                </c:pt>
                <c:pt idx="94">
                  <c:v>18.792999999999999</c:v>
                </c:pt>
                <c:pt idx="95">
                  <c:v>18.9587</c:v>
                </c:pt>
                <c:pt idx="96">
                  <c:v>19.239899999999999</c:v>
                </c:pt>
                <c:pt idx="97">
                  <c:v>17.619299999999999</c:v>
                </c:pt>
                <c:pt idx="98">
                  <c:v>17.351299999999998</c:v>
                </c:pt>
                <c:pt idx="99">
                  <c:v>17.6431</c:v>
                </c:pt>
                <c:pt idx="100">
                  <c:v>17.834399999999999</c:v>
                </c:pt>
                <c:pt idx="101">
                  <c:v>17.182700000000001</c:v>
                </c:pt>
                <c:pt idx="102">
                  <c:v>17.4253</c:v>
                </c:pt>
                <c:pt idx="103">
                  <c:v>17.348299999999998</c:v>
                </c:pt>
                <c:pt idx="104">
                  <c:v>17.823799999999999</c:v>
                </c:pt>
                <c:pt idx="105">
                  <c:v>18.359000000000002</c:v>
                </c:pt>
                <c:pt idx="106">
                  <c:v>17.8292</c:v>
                </c:pt>
                <c:pt idx="107">
                  <c:v>19.325399999999998</c:v>
                </c:pt>
                <c:pt idx="108">
                  <c:v>17.5564</c:v>
                </c:pt>
                <c:pt idx="109">
                  <c:v>17.844200000000001</c:v>
                </c:pt>
                <c:pt idx="110">
                  <c:v>18.1831</c:v>
                </c:pt>
                <c:pt idx="111">
                  <c:v>18.372299999999999</c:v>
                </c:pt>
                <c:pt idx="112">
                  <c:v>19.706700000000001</c:v>
                </c:pt>
                <c:pt idx="113">
                  <c:v>19.714300000000001</c:v>
                </c:pt>
                <c:pt idx="114">
                  <c:v>19.634799999999998</c:v>
                </c:pt>
                <c:pt idx="115">
                  <c:v>18.555299999999999</c:v>
                </c:pt>
                <c:pt idx="116">
                  <c:v>17.761099999999999</c:v>
                </c:pt>
                <c:pt idx="117">
                  <c:v>18.4955</c:v>
                </c:pt>
                <c:pt idx="118">
                  <c:v>22.082999999999998</c:v>
                </c:pt>
                <c:pt idx="119">
                  <c:v>24.3703</c:v>
                </c:pt>
              </c:numCache>
            </c:numRef>
          </c:val>
          <c:smooth val="0"/>
          <c:extLst xmlns:c16r2="http://schemas.microsoft.com/office/drawing/2015/06/chart">
            <c:ext xmlns:c16="http://schemas.microsoft.com/office/drawing/2014/chart" uri="{C3380CC4-5D6E-409C-BE32-E72D297353CC}">
              <c16:uniqueId val="{00000000-6888-4BEE-8182-7EF130AAC2AE}"/>
            </c:ext>
          </c:extLst>
        </c:ser>
        <c:ser>
          <c:idx val="1"/>
          <c:order val="1"/>
          <c:tx>
            <c:strRef>
              <c:f>'50etf_VIX'!$C$1</c:f>
              <c:strCache>
                <c:ptCount val="1"/>
                <c:pt idx="0">
                  <c:v>沪深300ETF-VIX</c:v>
                </c:pt>
              </c:strCache>
            </c:strRef>
          </c:tx>
          <c:spPr>
            <a:ln w="28575" cap="rnd">
              <a:solidFill>
                <a:schemeClr val="accent2"/>
              </a:solidFill>
              <a:round/>
            </a:ln>
            <a:effectLst/>
          </c:spPr>
          <c:marker>
            <c:symbol val="none"/>
          </c:marker>
          <c:cat>
            <c:numRef>
              <c:f>'50etf_VIX'!$A$2:$A$121</c:f>
              <c:numCache>
                <c:formatCode>m/d/yyyy</c:formatCode>
                <c:ptCount val="120"/>
                <c:pt idx="0">
                  <c:v>43832</c:v>
                </c:pt>
                <c:pt idx="1">
                  <c:v>43833</c:v>
                </c:pt>
                <c:pt idx="2">
                  <c:v>43836</c:v>
                </c:pt>
                <c:pt idx="3">
                  <c:v>43837</c:v>
                </c:pt>
                <c:pt idx="4">
                  <c:v>43838</c:v>
                </c:pt>
                <c:pt idx="5">
                  <c:v>43839</c:v>
                </c:pt>
                <c:pt idx="6">
                  <c:v>43840</c:v>
                </c:pt>
                <c:pt idx="7">
                  <c:v>43843</c:v>
                </c:pt>
                <c:pt idx="8">
                  <c:v>43844</c:v>
                </c:pt>
                <c:pt idx="9">
                  <c:v>43845</c:v>
                </c:pt>
                <c:pt idx="10">
                  <c:v>43846</c:v>
                </c:pt>
                <c:pt idx="11">
                  <c:v>43847</c:v>
                </c:pt>
                <c:pt idx="12">
                  <c:v>43850</c:v>
                </c:pt>
                <c:pt idx="13">
                  <c:v>43851</c:v>
                </c:pt>
                <c:pt idx="14">
                  <c:v>43852</c:v>
                </c:pt>
                <c:pt idx="15">
                  <c:v>43853</c:v>
                </c:pt>
                <c:pt idx="16">
                  <c:v>43864</c:v>
                </c:pt>
                <c:pt idx="17">
                  <c:v>43865</c:v>
                </c:pt>
                <c:pt idx="18">
                  <c:v>43866</c:v>
                </c:pt>
                <c:pt idx="19">
                  <c:v>43867</c:v>
                </c:pt>
                <c:pt idx="20">
                  <c:v>43868</c:v>
                </c:pt>
                <c:pt idx="21">
                  <c:v>43871</c:v>
                </c:pt>
                <c:pt idx="22">
                  <c:v>43872</c:v>
                </c:pt>
                <c:pt idx="23">
                  <c:v>43873</c:v>
                </c:pt>
                <c:pt idx="24">
                  <c:v>43874</c:v>
                </c:pt>
                <c:pt idx="25">
                  <c:v>43875</c:v>
                </c:pt>
                <c:pt idx="26">
                  <c:v>43878</c:v>
                </c:pt>
                <c:pt idx="27">
                  <c:v>43879</c:v>
                </c:pt>
                <c:pt idx="28">
                  <c:v>43880</c:v>
                </c:pt>
                <c:pt idx="29">
                  <c:v>43881</c:v>
                </c:pt>
                <c:pt idx="30">
                  <c:v>43882</c:v>
                </c:pt>
                <c:pt idx="31">
                  <c:v>43885</c:v>
                </c:pt>
                <c:pt idx="32">
                  <c:v>43886</c:v>
                </c:pt>
                <c:pt idx="33">
                  <c:v>43887</c:v>
                </c:pt>
                <c:pt idx="34">
                  <c:v>43888</c:v>
                </c:pt>
                <c:pt idx="35">
                  <c:v>43889</c:v>
                </c:pt>
                <c:pt idx="36">
                  <c:v>43892</c:v>
                </c:pt>
                <c:pt idx="37">
                  <c:v>43893</c:v>
                </c:pt>
                <c:pt idx="38">
                  <c:v>43894</c:v>
                </c:pt>
                <c:pt idx="39">
                  <c:v>43895</c:v>
                </c:pt>
                <c:pt idx="40">
                  <c:v>43896</c:v>
                </c:pt>
                <c:pt idx="41">
                  <c:v>43899</c:v>
                </c:pt>
                <c:pt idx="42">
                  <c:v>43900</c:v>
                </c:pt>
                <c:pt idx="43">
                  <c:v>43901</c:v>
                </c:pt>
                <c:pt idx="44">
                  <c:v>43902</c:v>
                </c:pt>
                <c:pt idx="45">
                  <c:v>43903</c:v>
                </c:pt>
                <c:pt idx="46">
                  <c:v>43906</c:v>
                </c:pt>
                <c:pt idx="47">
                  <c:v>43907</c:v>
                </c:pt>
                <c:pt idx="48">
                  <c:v>43908</c:v>
                </c:pt>
                <c:pt idx="49">
                  <c:v>43909</c:v>
                </c:pt>
                <c:pt idx="50">
                  <c:v>43910</c:v>
                </c:pt>
                <c:pt idx="51">
                  <c:v>43913</c:v>
                </c:pt>
                <c:pt idx="52">
                  <c:v>43914</c:v>
                </c:pt>
                <c:pt idx="53">
                  <c:v>43915</c:v>
                </c:pt>
                <c:pt idx="54">
                  <c:v>43916</c:v>
                </c:pt>
                <c:pt idx="55">
                  <c:v>43917</c:v>
                </c:pt>
                <c:pt idx="56">
                  <c:v>43920</c:v>
                </c:pt>
                <c:pt idx="57">
                  <c:v>43921</c:v>
                </c:pt>
                <c:pt idx="58">
                  <c:v>43922</c:v>
                </c:pt>
                <c:pt idx="59">
                  <c:v>43923</c:v>
                </c:pt>
                <c:pt idx="60">
                  <c:v>43924</c:v>
                </c:pt>
                <c:pt idx="61">
                  <c:v>43928</c:v>
                </c:pt>
                <c:pt idx="62">
                  <c:v>43929</c:v>
                </c:pt>
                <c:pt idx="63">
                  <c:v>43930</c:v>
                </c:pt>
                <c:pt idx="64">
                  <c:v>43931</c:v>
                </c:pt>
                <c:pt idx="65">
                  <c:v>43934</c:v>
                </c:pt>
                <c:pt idx="66">
                  <c:v>43935</c:v>
                </c:pt>
                <c:pt idx="67">
                  <c:v>43936</c:v>
                </c:pt>
                <c:pt idx="68">
                  <c:v>43937</c:v>
                </c:pt>
                <c:pt idx="69">
                  <c:v>43938</c:v>
                </c:pt>
                <c:pt idx="70">
                  <c:v>43941</c:v>
                </c:pt>
                <c:pt idx="71">
                  <c:v>43942</c:v>
                </c:pt>
                <c:pt idx="72">
                  <c:v>43943</c:v>
                </c:pt>
                <c:pt idx="73">
                  <c:v>43944</c:v>
                </c:pt>
                <c:pt idx="74">
                  <c:v>43945</c:v>
                </c:pt>
                <c:pt idx="75">
                  <c:v>43948</c:v>
                </c:pt>
                <c:pt idx="76">
                  <c:v>43949</c:v>
                </c:pt>
                <c:pt idx="77">
                  <c:v>43950</c:v>
                </c:pt>
                <c:pt idx="78">
                  <c:v>43951</c:v>
                </c:pt>
                <c:pt idx="79">
                  <c:v>43957</c:v>
                </c:pt>
                <c:pt idx="80">
                  <c:v>43958</c:v>
                </c:pt>
                <c:pt idx="81">
                  <c:v>43959</c:v>
                </c:pt>
                <c:pt idx="82">
                  <c:v>43962</c:v>
                </c:pt>
                <c:pt idx="83">
                  <c:v>43963</c:v>
                </c:pt>
                <c:pt idx="84">
                  <c:v>43964</c:v>
                </c:pt>
                <c:pt idx="85">
                  <c:v>43965</c:v>
                </c:pt>
                <c:pt idx="86">
                  <c:v>43966</c:v>
                </c:pt>
                <c:pt idx="87">
                  <c:v>43969</c:v>
                </c:pt>
                <c:pt idx="88">
                  <c:v>43970</c:v>
                </c:pt>
                <c:pt idx="89">
                  <c:v>43971</c:v>
                </c:pt>
                <c:pt idx="90">
                  <c:v>43972</c:v>
                </c:pt>
                <c:pt idx="91">
                  <c:v>43973</c:v>
                </c:pt>
                <c:pt idx="92">
                  <c:v>43976</c:v>
                </c:pt>
                <c:pt idx="93">
                  <c:v>43977</c:v>
                </c:pt>
                <c:pt idx="94">
                  <c:v>43978</c:v>
                </c:pt>
                <c:pt idx="95">
                  <c:v>43979</c:v>
                </c:pt>
                <c:pt idx="96">
                  <c:v>43980</c:v>
                </c:pt>
                <c:pt idx="97">
                  <c:v>43983</c:v>
                </c:pt>
                <c:pt idx="98">
                  <c:v>43984</c:v>
                </c:pt>
                <c:pt idx="99">
                  <c:v>43985</c:v>
                </c:pt>
                <c:pt idx="100">
                  <c:v>43986</c:v>
                </c:pt>
                <c:pt idx="101">
                  <c:v>43987</c:v>
                </c:pt>
                <c:pt idx="102">
                  <c:v>43990</c:v>
                </c:pt>
                <c:pt idx="103">
                  <c:v>43991</c:v>
                </c:pt>
                <c:pt idx="104">
                  <c:v>43992</c:v>
                </c:pt>
                <c:pt idx="105">
                  <c:v>43993</c:v>
                </c:pt>
                <c:pt idx="106">
                  <c:v>43994</c:v>
                </c:pt>
                <c:pt idx="107">
                  <c:v>43997</c:v>
                </c:pt>
                <c:pt idx="108">
                  <c:v>43998</c:v>
                </c:pt>
                <c:pt idx="109">
                  <c:v>43999</c:v>
                </c:pt>
                <c:pt idx="110">
                  <c:v>44000</c:v>
                </c:pt>
                <c:pt idx="111">
                  <c:v>44001</c:v>
                </c:pt>
                <c:pt idx="112">
                  <c:v>44004</c:v>
                </c:pt>
                <c:pt idx="113">
                  <c:v>44005</c:v>
                </c:pt>
                <c:pt idx="114">
                  <c:v>44006</c:v>
                </c:pt>
                <c:pt idx="115">
                  <c:v>44011</c:v>
                </c:pt>
                <c:pt idx="116">
                  <c:v>44012</c:v>
                </c:pt>
                <c:pt idx="117">
                  <c:v>44013</c:v>
                </c:pt>
                <c:pt idx="118">
                  <c:v>44014</c:v>
                </c:pt>
                <c:pt idx="119">
                  <c:v>44015</c:v>
                </c:pt>
              </c:numCache>
            </c:numRef>
          </c:cat>
          <c:val>
            <c:numRef>
              <c:f>'50etf_VIX'!$C$2:$C$121</c:f>
              <c:numCache>
                <c:formatCode>General</c:formatCode>
                <c:ptCount val="120"/>
                <c:pt idx="0">
                  <c:v>16.113600000000002</c:v>
                </c:pt>
                <c:pt idx="1">
                  <c:v>15.7379</c:v>
                </c:pt>
                <c:pt idx="2">
                  <c:v>17.413799999999998</c:v>
                </c:pt>
                <c:pt idx="3">
                  <c:v>17.5596</c:v>
                </c:pt>
                <c:pt idx="4">
                  <c:v>17.738099999999999</c:v>
                </c:pt>
                <c:pt idx="5">
                  <c:v>16.957100000000001</c:v>
                </c:pt>
                <c:pt idx="6">
                  <c:v>16.153300000000002</c:v>
                </c:pt>
                <c:pt idx="7">
                  <c:v>15.922599999999999</c:v>
                </c:pt>
                <c:pt idx="8">
                  <c:v>15.7479</c:v>
                </c:pt>
                <c:pt idx="9">
                  <c:v>14.9709</c:v>
                </c:pt>
                <c:pt idx="10">
                  <c:v>13.5876</c:v>
                </c:pt>
                <c:pt idx="11">
                  <c:v>11.6759</c:v>
                </c:pt>
                <c:pt idx="12">
                  <c:v>13.5395</c:v>
                </c:pt>
                <c:pt idx="13">
                  <c:v>15.7683</c:v>
                </c:pt>
                <c:pt idx="14">
                  <c:v>15.122199999999999</c:v>
                </c:pt>
                <c:pt idx="15">
                  <c:v>20.469899999999999</c:v>
                </c:pt>
                <c:pt idx="16">
                  <c:v>31.922799999999999</c:v>
                </c:pt>
                <c:pt idx="17">
                  <c:v>24.409800000000001</c:v>
                </c:pt>
                <c:pt idx="18">
                  <c:v>22.861000000000001</c:v>
                </c:pt>
                <c:pt idx="19">
                  <c:v>23.501999999999999</c:v>
                </c:pt>
                <c:pt idx="20">
                  <c:v>24.839200000000002</c:v>
                </c:pt>
                <c:pt idx="21">
                  <c:v>23.2439</c:v>
                </c:pt>
                <c:pt idx="22">
                  <c:v>21.214400000000001</c:v>
                </c:pt>
                <c:pt idx="23">
                  <c:v>19.707799999999999</c:v>
                </c:pt>
                <c:pt idx="24">
                  <c:v>20.857800000000001</c:v>
                </c:pt>
                <c:pt idx="25">
                  <c:v>19.9832</c:v>
                </c:pt>
                <c:pt idx="26">
                  <c:v>20.200099999999999</c:v>
                </c:pt>
                <c:pt idx="27">
                  <c:v>20.570699999999999</c:v>
                </c:pt>
                <c:pt idx="28">
                  <c:v>20.977900000000002</c:v>
                </c:pt>
                <c:pt idx="29">
                  <c:v>21.6052</c:v>
                </c:pt>
                <c:pt idx="30">
                  <c:v>23.313400000000001</c:v>
                </c:pt>
                <c:pt idx="31">
                  <c:v>25.1327</c:v>
                </c:pt>
                <c:pt idx="32">
                  <c:v>25.222999999999999</c:v>
                </c:pt>
                <c:pt idx="33">
                  <c:v>25.2638</c:v>
                </c:pt>
                <c:pt idx="34">
                  <c:v>22.633600000000001</c:v>
                </c:pt>
                <c:pt idx="35">
                  <c:v>26.726700000000001</c:v>
                </c:pt>
                <c:pt idx="36">
                  <c:v>24.140499999999999</c:v>
                </c:pt>
                <c:pt idx="37">
                  <c:v>23.951799999999999</c:v>
                </c:pt>
                <c:pt idx="38">
                  <c:v>23.9648</c:v>
                </c:pt>
                <c:pt idx="39">
                  <c:v>23.8888</c:v>
                </c:pt>
                <c:pt idx="40">
                  <c:v>25.1557</c:v>
                </c:pt>
                <c:pt idx="41">
                  <c:v>30.9619</c:v>
                </c:pt>
                <c:pt idx="42">
                  <c:v>29.694600000000001</c:v>
                </c:pt>
                <c:pt idx="43">
                  <c:v>30.453700000000001</c:v>
                </c:pt>
                <c:pt idx="44">
                  <c:v>33.181100000000001</c:v>
                </c:pt>
                <c:pt idx="45">
                  <c:v>39.7044</c:v>
                </c:pt>
                <c:pt idx="46">
                  <c:v>42.4816</c:v>
                </c:pt>
                <c:pt idx="47">
                  <c:v>43.6126</c:v>
                </c:pt>
                <c:pt idx="48">
                  <c:v>38.422600000000003</c:v>
                </c:pt>
                <c:pt idx="49">
                  <c:v>39.213799999999999</c:v>
                </c:pt>
                <c:pt idx="50">
                  <c:v>36.374000000000002</c:v>
                </c:pt>
                <c:pt idx="51">
                  <c:v>40.058900000000001</c:v>
                </c:pt>
                <c:pt idx="52">
                  <c:v>37.647399999999998</c:v>
                </c:pt>
                <c:pt idx="53">
                  <c:v>35.318300000000001</c:v>
                </c:pt>
                <c:pt idx="54">
                  <c:v>34.586199999999998</c:v>
                </c:pt>
                <c:pt idx="55">
                  <c:v>35.3842</c:v>
                </c:pt>
                <c:pt idx="56">
                  <c:v>34.6524</c:v>
                </c:pt>
                <c:pt idx="57">
                  <c:v>32.002400000000002</c:v>
                </c:pt>
                <c:pt idx="58">
                  <c:v>30.4208</c:v>
                </c:pt>
                <c:pt idx="59">
                  <c:v>29.3188</c:v>
                </c:pt>
                <c:pt idx="60">
                  <c:v>30.2532</c:v>
                </c:pt>
                <c:pt idx="61">
                  <c:v>27.9009</c:v>
                </c:pt>
                <c:pt idx="62">
                  <c:v>26.0886</c:v>
                </c:pt>
                <c:pt idx="63">
                  <c:v>24.9389</c:v>
                </c:pt>
                <c:pt idx="64">
                  <c:v>23.293700000000001</c:v>
                </c:pt>
                <c:pt idx="65">
                  <c:v>21.763400000000001</c:v>
                </c:pt>
                <c:pt idx="66">
                  <c:v>21.1663</c:v>
                </c:pt>
                <c:pt idx="67">
                  <c:v>21.709700000000002</c:v>
                </c:pt>
                <c:pt idx="68">
                  <c:v>21.6236</c:v>
                </c:pt>
                <c:pt idx="69">
                  <c:v>20.1752</c:v>
                </c:pt>
                <c:pt idx="70">
                  <c:v>20.985199999999999</c:v>
                </c:pt>
                <c:pt idx="71">
                  <c:v>21.287199999999999</c:v>
                </c:pt>
                <c:pt idx="72">
                  <c:v>20.9284</c:v>
                </c:pt>
                <c:pt idx="73">
                  <c:v>22.139299999999999</c:v>
                </c:pt>
                <c:pt idx="74">
                  <c:v>21.256</c:v>
                </c:pt>
                <c:pt idx="75">
                  <c:v>19.743500000000001</c:v>
                </c:pt>
                <c:pt idx="76">
                  <c:v>19.872900000000001</c:v>
                </c:pt>
                <c:pt idx="77">
                  <c:v>20.142199999999999</c:v>
                </c:pt>
                <c:pt idx="78">
                  <c:v>22.2378</c:v>
                </c:pt>
                <c:pt idx="79">
                  <c:v>20.909600000000001</c:v>
                </c:pt>
                <c:pt idx="80">
                  <c:v>19.455300000000001</c:v>
                </c:pt>
                <c:pt idx="81">
                  <c:v>18.799800000000001</c:v>
                </c:pt>
                <c:pt idx="82">
                  <c:v>18.7393</c:v>
                </c:pt>
                <c:pt idx="83">
                  <c:v>18.863099999999999</c:v>
                </c:pt>
                <c:pt idx="84">
                  <c:v>18.703199999999999</c:v>
                </c:pt>
                <c:pt idx="85">
                  <c:v>18.916399999999999</c:v>
                </c:pt>
                <c:pt idx="86">
                  <c:v>18.373200000000001</c:v>
                </c:pt>
                <c:pt idx="87">
                  <c:v>17.820399999999999</c:v>
                </c:pt>
                <c:pt idx="88">
                  <c:v>17.023900000000001</c:v>
                </c:pt>
                <c:pt idx="89">
                  <c:v>17.0791</c:v>
                </c:pt>
                <c:pt idx="90">
                  <c:v>18.3139</c:v>
                </c:pt>
                <c:pt idx="91">
                  <c:v>20.885000000000002</c:v>
                </c:pt>
                <c:pt idx="92">
                  <c:v>18.6294</c:v>
                </c:pt>
                <c:pt idx="93">
                  <c:v>17.924499999999998</c:v>
                </c:pt>
                <c:pt idx="94">
                  <c:v>19.1965</c:v>
                </c:pt>
                <c:pt idx="95">
                  <c:v>19.691400000000002</c:v>
                </c:pt>
                <c:pt idx="96">
                  <c:v>19.7681</c:v>
                </c:pt>
                <c:pt idx="97">
                  <c:v>17.779</c:v>
                </c:pt>
                <c:pt idx="98">
                  <c:v>17.456900000000001</c:v>
                </c:pt>
                <c:pt idx="99">
                  <c:v>18.292000000000002</c:v>
                </c:pt>
                <c:pt idx="100">
                  <c:v>18.1281</c:v>
                </c:pt>
                <c:pt idx="101">
                  <c:v>17.910900000000002</c:v>
                </c:pt>
                <c:pt idx="102">
                  <c:v>17.845300000000002</c:v>
                </c:pt>
                <c:pt idx="103">
                  <c:v>18.061699999999998</c:v>
                </c:pt>
                <c:pt idx="104">
                  <c:v>18.192299999999999</c:v>
                </c:pt>
                <c:pt idx="105">
                  <c:v>18.4969</c:v>
                </c:pt>
                <c:pt idx="106">
                  <c:v>18.3504</c:v>
                </c:pt>
                <c:pt idx="107">
                  <c:v>19.6676</c:v>
                </c:pt>
                <c:pt idx="108">
                  <c:v>18.0395</c:v>
                </c:pt>
                <c:pt idx="109">
                  <c:v>18.478400000000001</c:v>
                </c:pt>
                <c:pt idx="110">
                  <c:v>18.067299999999999</c:v>
                </c:pt>
                <c:pt idx="111">
                  <c:v>18.777999999999999</c:v>
                </c:pt>
                <c:pt idx="112">
                  <c:v>20.385200000000001</c:v>
                </c:pt>
                <c:pt idx="113">
                  <c:v>20.4679</c:v>
                </c:pt>
                <c:pt idx="114">
                  <c:v>19.988299999999999</c:v>
                </c:pt>
                <c:pt idx="115">
                  <c:v>19.1267</c:v>
                </c:pt>
                <c:pt idx="116">
                  <c:v>17.890599999999999</c:v>
                </c:pt>
                <c:pt idx="117">
                  <c:v>18.527999999999999</c:v>
                </c:pt>
                <c:pt idx="118">
                  <c:v>21.979299999999999</c:v>
                </c:pt>
                <c:pt idx="119">
                  <c:v>23.715800000000002</c:v>
                </c:pt>
              </c:numCache>
            </c:numRef>
          </c:val>
          <c:smooth val="0"/>
          <c:extLst xmlns:c16r2="http://schemas.microsoft.com/office/drawing/2015/06/chart">
            <c:ext xmlns:c16="http://schemas.microsoft.com/office/drawing/2014/chart" uri="{C3380CC4-5D6E-409C-BE32-E72D297353CC}">
              <c16:uniqueId val="{00000001-6888-4BEE-8182-7EF130AAC2AE}"/>
            </c:ext>
          </c:extLst>
        </c:ser>
        <c:dLbls>
          <c:showLegendKey val="0"/>
          <c:showVal val="0"/>
          <c:showCatName val="0"/>
          <c:showSerName val="0"/>
          <c:showPercent val="0"/>
          <c:showBubbleSize val="0"/>
        </c:dLbls>
        <c:marker val="1"/>
        <c:smooth val="0"/>
        <c:axId val="297831424"/>
        <c:axId val="297841408"/>
      </c:lineChart>
      <c:dateAx>
        <c:axId val="297831424"/>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97841408"/>
        <c:crosses val="autoZero"/>
        <c:auto val="1"/>
        <c:lblOffset val="100"/>
        <c:baseTimeUnit val="days"/>
      </c:dateAx>
      <c:valAx>
        <c:axId val="297841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97831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181</Words>
  <Characters>1032</Characters>
  <Application>Microsoft Office Word</Application>
  <DocSecurity>0</DocSecurity>
  <Lines>8</Lines>
  <Paragraphs>2</Paragraphs>
  <ScaleCrop>false</ScaleCrop>
  <Company>微软中国</Company>
  <LinksUpToDate>false</LinksUpToDate>
  <CharactersWithSpaces>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邱紫华</dc:creator>
  <cp:lastModifiedBy>Administrator</cp:lastModifiedBy>
  <cp:revision>2</cp:revision>
  <dcterms:created xsi:type="dcterms:W3CDTF">2020-07-06T04:12:00Z</dcterms:created>
  <dcterms:modified xsi:type="dcterms:W3CDTF">2020-07-06T04:12:00Z</dcterms:modified>
</cp:coreProperties>
</file>