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9BDE7" w14:textId="7E36DB9E" w:rsidR="002C4C07" w:rsidRDefault="002C4C07" w:rsidP="002C4C07">
      <w:pPr>
        <w:jc w:val="center"/>
        <w:rPr>
          <w:b/>
        </w:rPr>
      </w:pPr>
      <w:r w:rsidRPr="00EF6393">
        <w:rPr>
          <w:rFonts w:hint="eastAsia"/>
          <w:b/>
        </w:rPr>
        <w:t>富荣量化周观察——</w:t>
      </w:r>
      <w:r w:rsidR="0057064F">
        <w:rPr>
          <w:rFonts w:hint="eastAsia"/>
          <w:b/>
        </w:rPr>
        <w:t>市场</w:t>
      </w:r>
      <w:r w:rsidR="00BB0FF4">
        <w:rPr>
          <w:rFonts w:hint="eastAsia"/>
          <w:b/>
        </w:rPr>
        <w:t>短期进入震荡</w:t>
      </w:r>
    </w:p>
    <w:p w14:paraId="2E0A072D" w14:textId="77777777" w:rsidR="00930F5D" w:rsidRPr="00EF6393" w:rsidRDefault="00930F5D" w:rsidP="002C4C07">
      <w:pPr>
        <w:jc w:val="center"/>
        <w:rPr>
          <w:b/>
        </w:rPr>
      </w:pPr>
    </w:p>
    <w:p w14:paraId="5037AC59" w14:textId="27A6EDBF" w:rsidR="00BB0FF4" w:rsidRDefault="00BB0FF4" w:rsidP="00170D56">
      <w:pPr>
        <w:ind w:firstLineChars="200" w:firstLine="480"/>
      </w:pPr>
      <w:r>
        <w:rPr>
          <w:rFonts w:hint="eastAsia"/>
        </w:rPr>
        <w:t>市场在上半周表现强势连创新高，随后冲高回落结束一周，各大宽基指数涨跌不一</w:t>
      </w:r>
      <w:r w:rsidR="008732E7">
        <w:rPr>
          <w:rFonts w:hint="eastAsia"/>
        </w:rPr>
        <w:t>，</w:t>
      </w:r>
      <w:r>
        <w:rPr>
          <w:rFonts w:hint="eastAsia"/>
        </w:rPr>
        <w:t>其中上证指数微跌0.1</w:t>
      </w:r>
      <w:r w:rsidR="00170D56">
        <w:rPr>
          <w:rFonts w:hint="eastAsia"/>
        </w:rPr>
        <w:t>%，上证50指数收涨</w:t>
      </w:r>
      <w:r>
        <w:rPr>
          <w:rFonts w:hint="eastAsia"/>
        </w:rPr>
        <w:t>0.78</w:t>
      </w:r>
      <w:r w:rsidR="00170D56">
        <w:rPr>
          <w:rFonts w:hint="eastAsia"/>
        </w:rPr>
        <w:t>%，沪深300指数收</w:t>
      </w:r>
      <w:r>
        <w:rPr>
          <w:rFonts w:hint="eastAsia"/>
        </w:rPr>
        <w:t>跌-0.68</w:t>
      </w:r>
      <w:r w:rsidR="00170D56">
        <w:rPr>
          <w:rFonts w:hint="eastAsia"/>
        </w:rPr>
        <w:t>%，中证500指数</w:t>
      </w:r>
      <w:r>
        <w:rPr>
          <w:rFonts w:hint="eastAsia"/>
        </w:rPr>
        <w:t>收跌2.14</w:t>
      </w:r>
      <w:r w:rsidR="00170D56">
        <w:rPr>
          <w:rFonts w:hint="eastAsia"/>
        </w:rPr>
        <w:t>%，以及创业板</w:t>
      </w:r>
      <w:r>
        <w:rPr>
          <w:rFonts w:hint="eastAsia"/>
        </w:rPr>
        <w:t>下跌1.93</w:t>
      </w:r>
      <w:r w:rsidR="00170D56">
        <w:rPr>
          <w:rFonts w:hint="eastAsia"/>
        </w:rPr>
        <w:t>%。</w:t>
      </w:r>
      <w:r>
        <w:rPr>
          <w:rFonts w:hint="eastAsia"/>
        </w:rPr>
        <w:t>市场延续</w:t>
      </w:r>
      <w:r w:rsidR="008732E7">
        <w:rPr>
          <w:rFonts w:hint="eastAsia"/>
        </w:rPr>
        <w:t>了</w:t>
      </w:r>
      <w:r>
        <w:rPr>
          <w:rFonts w:hint="eastAsia"/>
        </w:rPr>
        <w:t>前几周的交易活跃度</w:t>
      </w:r>
      <w:r w:rsidR="00170D56">
        <w:rPr>
          <w:rFonts w:hint="eastAsia"/>
        </w:rPr>
        <w:t>，</w:t>
      </w:r>
      <w:r>
        <w:rPr>
          <w:rFonts w:hint="eastAsia"/>
        </w:rPr>
        <w:t>成交量环比小幅下降，日均成交额维持在万亿水平。市场冲高的主力行业为银行（大幅收涨</w:t>
      </w:r>
      <w:r w:rsidR="005E3765">
        <w:rPr>
          <w:rFonts w:hint="eastAsia"/>
        </w:rPr>
        <w:t>5.32</w:t>
      </w:r>
      <w:bookmarkStart w:id="0" w:name="_GoBack"/>
      <w:bookmarkEnd w:id="0"/>
      <w:r>
        <w:rPr>
          <w:rFonts w:hint="eastAsia"/>
        </w:rPr>
        <w:t>%），电子及通信行业在下半周表现优异，而前期涨幅惊人的农林牧渔、国防军工和有色金属则回撤明显。</w:t>
      </w:r>
    </w:p>
    <w:p w14:paraId="0207E7E5" w14:textId="1C16D8E2" w:rsidR="00904CA2" w:rsidRPr="00904CA2" w:rsidRDefault="00904CA2" w:rsidP="00904CA2">
      <w:pPr>
        <w:ind w:firstLineChars="200" w:firstLine="480"/>
      </w:pPr>
      <w:r>
        <w:rPr>
          <w:rFonts w:hint="eastAsia"/>
        </w:rPr>
        <w:t>从大类因子来看，</w:t>
      </w:r>
      <w:r w:rsidR="00BB0FF4">
        <w:rPr>
          <w:rFonts w:hint="eastAsia"/>
        </w:rPr>
        <w:t>随着业绩预报披露数量增加</w:t>
      </w:r>
      <w:r w:rsidR="00DA0D09">
        <w:rPr>
          <w:rFonts w:hint="eastAsia"/>
        </w:rPr>
        <w:t>，</w:t>
      </w:r>
      <w:r>
        <w:rPr>
          <w:rFonts w:hint="eastAsia"/>
        </w:rPr>
        <w:t>盈利、业绩超预期等基本面因子能获取</w:t>
      </w:r>
      <w:r w:rsidR="00DA0D09">
        <w:rPr>
          <w:rFonts w:hint="eastAsia"/>
        </w:rPr>
        <w:t>不错的超额收益</w:t>
      </w:r>
      <w:r>
        <w:rPr>
          <w:rFonts w:hint="eastAsia"/>
        </w:rPr>
        <w:t>。</w:t>
      </w:r>
      <w:r w:rsidR="00DA0D09">
        <w:rPr>
          <w:rFonts w:hint="eastAsia"/>
        </w:rPr>
        <w:t>从资金流入来看，</w:t>
      </w:r>
      <w:r>
        <w:rPr>
          <w:rFonts w:hint="eastAsia"/>
        </w:rPr>
        <w:t>北向资金（图1）</w:t>
      </w:r>
      <w:r w:rsidR="00DA0D09">
        <w:rPr>
          <w:rFonts w:hint="eastAsia"/>
        </w:rPr>
        <w:t>维持不错的</w:t>
      </w:r>
      <w:r>
        <w:rPr>
          <w:rFonts w:hint="eastAsia"/>
        </w:rPr>
        <w:t>流入</w:t>
      </w:r>
      <w:r w:rsidR="00DA0D09">
        <w:rPr>
          <w:rFonts w:hint="eastAsia"/>
        </w:rPr>
        <w:t>量，全周流入179.59</w:t>
      </w:r>
      <w:r>
        <w:rPr>
          <w:rFonts w:hint="eastAsia"/>
        </w:rPr>
        <w:t>亿，其中沪股通流入</w:t>
      </w:r>
      <w:r w:rsidR="00DA0D09">
        <w:rPr>
          <w:rFonts w:hint="eastAsia"/>
        </w:rPr>
        <w:t>44.87</w:t>
      </w:r>
      <w:r>
        <w:rPr>
          <w:rFonts w:hint="eastAsia"/>
        </w:rPr>
        <w:t>亿，深股通流入</w:t>
      </w:r>
      <w:r w:rsidR="00DA0D09">
        <w:rPr>
          <w:rFonts w:hint="eastAsia"/>
        </w:rPr>
        <w:t>134.72</w:t>
      </w:r>
      <w:r w:rsidR="00B86B44">
        <w:rPr>
          <w:rFonts w:hint="eastAsia"/>
        </w:rPr>
        <w:t>亿；新增融资余额有所下降</w:t>
      </w:r>
      <w:r>
        <w:rPr>
          <w:rFonts w:hint="eastAsia"/>
        </w:rPr>
        <w:t>（图2）。</w:t>
      </w:r>
    </w:p>
    <w:p w14:paraId="2D49AD54" w14:textId="6F6FD590" w:rsidR="009A3A51" w:rsidRDefault="009A3A51" w:rsidP="00B236BA">
      <w:pPr>
        <w:ind w:firstLineChars="200" w:firstLine="480"/>
      </w:pPr>
      <w:r>
        <w:rPr>
          <w:rFonts w:hint="eastAsia"/>
        </w:rPr>
        <w:t>图 1</w:t>
      </w:r>
      <w:r>
        <w:t xml:space="preserve"> </w:t>
      </w:r>
      <w:r>
        <w:rPr>
          <w:rFonts w:hint="eastAsia"/>
        </w:rPr>
        <w:t>北向资金流动</w:t>
      </w:r>
    </w:p>
    <w:p w14:paraId="3060E4CF" w14:textId="1E30B385" w:rsidR="009A3A51" w:rsidRDefault="00DA0D09" w:rsidP="009A3A51">
      <w:r>
        <w:rPr>
          <w:noProof/>
        </w:rPr>
        <w:drawing>
          <wp:inline distT="0" distB="0" distL="0" distR="0" wp14:anchorId="4D63BB73" wp14:editId="630560A4">
            <wp:extent cx="5274310" cy="16995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1699500"/>
                    </a:xfrm>
                    <a:prstGeom prst="rect">
                      <a:avLst/>
                    </a:prstGeom>
                  </pic:spPr>
                </pic:pic>
              </a:graphicData>
            </a:graphic>
          </wp:inline>
        </w:drawing>
      </w:r>
    </w:p>
    <w:p w14:paraId="0A375EBA" w14:textId="2A01A86C" w:rsidR="009A3A51" w:rsidRDefault="009A3A51" w:rsidP="009A3A51">
      <w:r>
        <w:rPr>
          <w:rFonts w:hint="eastAsia"/>
        </w:rPr>
        <w:t>数据来源：Wind</w:t>
      </w:r>
      <w:r w:rsidR="0013128D">
        <w:rPr>
          <w:rFonts w:hint="eastAsia"/>
        </w:rPr>
        <w:t>；整理：富荣基金量化组</w:t>
      </w:r>
    </w:p>
    <w:p w14:paraId="3FD0F67F" w14:textId="391D0024" w:rsidR="009A3A51" w:rsidRDefault="009A3A51" w:rsidP="0013128D">
      <w:pPr>
        <w:ind w:firstLine="480"/>
      </w:pPr>
      <w:r>
        <w:rPr>
          <w:rFonts w:hint="eastAsia"/>
        </w:rPr>
        <w:t>从</w:t>
      </w:r>
      <w:r w:rsidR="007E42CD">
        <w:rPr>
          <w:rFonts w:hint="eastAsia"/>
        </w:rPr>
        <w:t>新增融资余额来看，市场的情绪</w:t>
      </w:r>
      <w:r w:rsidR="00B86B44">
        <w:rPr>
          <w:rFonts w:hint="eastAsia"/>
        </w:rPr>
        <w:t>明显下降，散户</w:t>
      </w:r>
      <w:r w:rsidR="00904CA2">
        <w:rPr>
          <w:rFonts w:hint="eastAsia"/>
        </w:rPr>
        <w:t>入场</w:t>
      </w:r>
      <w:r w:rsidR="00B86B44">
        <w:rPr>
          <w:rFonts w:hint="eastAsia"/>
        </w:rPr>
        <w:t>速度减缓</w:t>
      </w:r>
      <w:r w:rsidR="00904CA2">
        <w:rPr>
          <w:rFonts w:hint="eastAsia"/>
        </w:rPr>
        <w:t>，新增融资余额新年后第一个交易日增加</w:t>
      </w:r>
      <w:r w:rsidR="003D3266">
        <w:rPr>
          <w:rFonts w:hint="eastAsia"/>
        </w:rPr>
        <w:t>量</w:t>
      </w:r>
      <w:r w:rsidR="00904CA2">
        <w:rPr>
          <w:rFonts w:hint="eastAsia"/>
        </w:rPr>
        <w:t>最大，随后放缓，总体为增加趋势</w:t>
      </w:r>
      <w:r w:rsidR="00B86B44">
        <w:rPr>
          <w:rFonts w:hint="eastAsia"/>
        </w:rPr>
        <w:t>，但是风险偏好正在下降</w:t>
      </w:r>
      <w:r w:rsidR="001B42AC">
        <w:rPr>
          <w:rFonts w:hint="eastAsia"/>
        </w:rPr>
        <w:t>。</w:t>
      </w:r>
    </w:p>
    <w:p w14:paraId="38E79A20" w14:textId="078D3FAA" w:rsidR="00904CA2" w:rsidRDefault="00904CA2" w:rsidP="0013128D">
      <w:pPr>
        <w:ind w:firstLine="480"/>
      </w:pPr>
      <w:r>
        <w:rPr>
          <w:rFonts w:hint="eastAsia"/>
        </w:rPr>
        <w:t>图 2 新增融资余额</w:t>
      </w:r>
    </w:p>
    <w:p w14:paraId="772B231D" w14:textId="663AD356" w:rsidR="0013128D" w:rsidRPr="0013128D" w:rsidRDefault="00DA0D09" w:rsidP="0013128D">
      <w:r>
        <w:rPr>
          <w:noProof/>
        </w:rPr>
        <w:lastRenderedPageBreak/>
        <w:drawing>
          <wp:inline distT="0" distB="0" distL="0" distR="0" wp14:anchorId="79CA711E" wp14:editId="5001822B">
            <wp:extent cx="5274310" cy="171964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1719645"/>
                    </a:xfrm>
                    <a:prstGeom prst="rect">
                      <a:avLst/>
                    </a:prstGeom>
                  </pic:spPr>
                </pic:pic>
              </a:graphicData>
            </a:graphic>
          </wp:inline>
        </w:drawing>
      </w:r>
    </w:p>
    <w:p w14:paraId="762E8E4A" w14:textId="4FD7D775" w:rsidR="009A3A51" w:rsidRDefault="0013128D" w:rsidP="0013128D">
      <w:r>
        <w:rPr>
          <w:rFonts w:hint="eastAsia"/>
        </w:rPr>
        <w:t>数据来源：Wind;整理：富荣基金量化组</w:t>
      </w:r>
    </w:p>
    <w:p w14:paraId="600030D4" w14:textId="3B7124E7" w:rsidR="0013128D" w:rsidRDefault="003D3266" w:rsidP="0013128D">
      <w:pPr>
        <w:ind w:firstLine="480"/>
      </w:pPr>
      <w:r>
        <w:rPr>
          <w:rFonts w:hint="eastAsia"/>
        </w:rPr>
        <w:t>上</w:t>
      </w:r>
      <w:r w:rsidR="00004AAA">
        <w:rPr>
          <w:rFonts w:hint="eastAsia"/>
        </w:rPr>
        <w:t>周，波动率指数</w:t>
      </w:r>
      <w:r w:rsidR="00B86B44">
        <w:rPr>
          <w:rFonts w:hint="eastAsia"/>
        </w:rPr>
        <w:t>开始下降</w:t>
      </w:r>
      <w:r w:rsidR="00004AAA">
        <w:rPr>
          <w:rFonts w:hint="eastAsia"/>
        </w:rPr>
        <w:t>，市场情绪</w:t>
      </w:r>
      <w:r w:rsidR="00B86B44">
        <w:rPr>
          <w:rFonts w:hint="eastAsia"/>
        </w:rPr>
        <w:t>比较明显趋缓</w:t>
      </w:r>
      <w:r w:rsidR="00BA1740">
        <w:rPr>
          <w:rFonts w:hint="eastAsia"/>
        </w:rPr>
        <w:t>，</w:t>
      </w:r>
      <w:r w:rsidR="00904CA2">
        <w:rPr>
          <w:rFonts w:hint="eastAsia"/>
        </w:rPr>
        <w:t>波动率</w:t>
      </w:r>
      <w:r w:rsidR="00B86B44">
        <w:rPr>
          <w:rFonts w:hint="eastAsia"/>
        </w:rPr>
        <w:t>仍</w:t>
      </w:r>
      <w:r w:rsidR="00904CA2">
        <w:rPr>
          <w:rFonts w:hint="eastAsia"/>
        </w:rPr>
        <w:t>处于历史</w:t>
      </w:r>
      <w:r w:rsidR="00B86B44">
        <w:rPr>
          <w:rFonts w:hint="eastAsia"/>
        </w:rPr>
        <w:t>相对</w:t>
      </w:r>
      <w:r w:rsidR="00904CA2">
        <w:rPr>
          <w:rFonts w:hint="eastAsia"/>
        </w:rPr>
        <w:t>高分位</w:t>
      </w:r>
      <w:r w:rsidR="002232B4">
        <w:rPr>
          <w:rFonts w:hint="eastAsia"/>
        </w:rPr>
        <w:t>，</w:t>
      </w:r>
      <w:r>
        <w:rPr>
          <w:rFonts w:hint="eastAsia"/>
        </w:rPr>
        <w:t>之前</w:t>
      </w:r>
      <w:r w:rsidR="00B86B44">
        <w:rPr>
          <w:rFonts w:hint="eastAsia"/>
        </w:rPr>
        <w:t>我们提出</w:t>
      </w:r>
      <w:r w:rsidR="002232B4">
        <w:rPr>
          <w:rFonts w:hint="eastAsia"/>
        </w:rPr>
        <w:t>波动率涨幅巨大与市场情绪相关性较大</w:t>
      </w:r>
      <w:r w:rsidR="00B86B44">
        <w:rPr>
          <w:rFonts w:hint="eastAsia"/>
        </w:rPr>
        <w:t>现在看来是对的。</w:t>
      </w:r>
    </w:p>
    <w:p w14:paraId="50D00DAF" w14:textId="40A42854" w:rsidR="00904CA2" w:rsidRDefault="00904CA2" w:rsidP="0013128D">
      <w:pPr>
        <w:ind w:firstLine="480"/>
      </w:pPr>
      <w:r>
        <w:rPr>
          <w:rFonts w:hint="eastAsia"/>
        </w:rPr>
        <w:t>图 3 波动率指数</w:t>
      </w:r>
    </w:p>
    <w:p w14:paraId="172E80AB" w14:textId="657D1573" w:rsidR="0013128D" w:rsidRDefault="00B86B44" w:rsidP="0013128D">
      <w:r>
        <w:rPr>
          <w:noProof/>
        </w:rPr>
        <w:drawing>
          <wp:inline distT="0" distB="0" distL="0" distR="0" wp14:anchorId="0AACB951" wp14:editId="012275EA">
            <wp:extent cx="5274310" cy="3314147"/>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314147"/>
                    </a:xfrm>
                    <a:prstGeom prst="rect">
                      <a:avLst/>
                    </a:prstGeom>
                  </pic:spPr>
                </pic:pic>
              </a:graphicData>
            </a:graphic>
          </wp:inline>
        </w:drawing>
      </w:r>
    </w:p>
    <w:p w14:paraId="4F33F48F" w14:textId="0EEA4E09" w:rsidR="0013128D" w:rsidRDefault="00620469" w:rsidP="0013128D">
      <w:r>
        <w:rPr>
          <w:rFonts w:hint="eastAsia"/>
        </w:rPr>
        <w:t>数据来源：富荣基金量化组</w:t>
      </w:r>
    </w:p>
    <w:p w14:paraId="4BE73F15" w14:textId="77777777" w:rsidR="00A7342A" w:rsidRDefault="00A7342A" w:rsidP="0013128D"/>
    <w:p w14:paraId="016BE29F" w14:textId="75B713D9" w:rsidR="00A7342A" w:rsidRDefault="00A7342A" w:rsidP="0013128D">
      <w:r w:rsidRPr="00A7342A">
        <w:rPr>
          <w:rFonts w:hint="eastAsia"/>
        </w:rPr>
        <w:t>风险提示：</w:t>
      </w:r>
      <w:r w:rsidRPr="00A7342A">
        <w:t>1、本报告中的信息均来源于我们认为可靠的已公开资料和合作客户的研究成果，但本公司及研究人员对这些信息的准确性和完整性不作任何保证，也不保证本报告所包含的信息或建议在本报告发出后不会发生任何变更，且本报告仅反映发布时的资料、观点和预测，可能在随后会作出调整。2、本报告中的资料、观点和预测等仅供参考，在任何时候均不构成对任何人的个人推荐。市场有风险，投资需谨慎。</w:t>
      </w:r>
    </w:p>
    <w:sectPr w:rsidR="00A73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FF730" w14:textId="77777777" w:rsidR="00C70A97" w:rsidRDefault="00C70A97" w:rsidP="002C4C07">
      <w:pPr>
        <w:spacing w:line="240" w:lineRule="auto"/>
      </w:pPr>
      <w:r>
        <w:separator/>
      </w:r>
    </w:p>
  </w:endnote>
  <w:endnote w:type="continuationSeparator" w:id="0">
    <w:p w14:paraId="7BD6F38E" w14:textId="77777777" w:rsidR="00C70A97" w:rsidRDefault="00C70A97" w:rsidP="002C4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DCBC3" w14:textId="77777777" w:rsidR="00C70A97" w:rsidRDefault="00C70A97" w:rsidP="002C4C07">
      <w:pPr>
        <w:spacing w:line="240" w:lineRule="auto"/>
      </w:pPr>
      <w:r>
        <w:separator/>
      </w:r>
    </w:p>
  </w:footnote>
  <w:footnote w:type="continuationSeparator" w:id="0">
    <w:p w14:paraId="4FE29E35" w14:textId="77777777" w:rsidR="00C70A97" w:rsidRDefault="00C70A97" w:rsidP="002C4C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8A"/>
    <w:rsid w:val="0000012D"/>
    <w:rsid w:val="00004AAA"/>
    <w:rsid w:val="00006729"/>
    <w:rsid w:val="00035595"/>
    <w:rsid w:val="00070AA2"/>
    <w:rsid w:val="00087224"/>
    <w:rsid w:val="0013128D"/>
    <w:rsid w:val="00170D56"/>
    <w:rsid w:val="001867FC"/>
    <w:rsid w:val="001B42AC"/>
    <w:rsid w:val="001D19B6"/>
    <w:rsid w:val="001D6061"/>
    <w:rsid w:val="001F2F6C"/>
    <w:rsid w:val="0020342A"/>
    <w:rsid w:val="002062DE"/>
    <w:rsid w:val="002129BA"/>
    <w:rsid w:val="002232B4"/>
    <w:rsid w:val="002A093A"/>
    <w:rsid w:val="002B15CF"/>
    <w:rsid w:val="002C4C07"/>
    <w:rsid w:val="002C7EF7"/>
    <w:rsid w:val="002D7112"/>
    <w:rsid w:val="002E17CD"/>
    <w:rsid w:val="00314EC4"/>
    <w:rsid w:val="0034141F"/>
    <w:rsid w:val="00374124"/>
    <w:rsid w:val="00386DFB"/>
    <w:rsid w:val="003D3266"/>
    <w:rsid w:val="003D637F"/>
    <w:rsid w:val="003F6050"/>
    <w:rsid w:val="00454A3A"/>
    <w:rsid w:val="004E3614"/>
    <w:rsid w:val="00525A53"/>
    <w:rsid w:val="0057064F"/>
    <w:rsid w:val="005A2D48"/>
    <w:rsid w:val="005C4905"/>
    <w:rsid w:val="005C66C6"/>
    <w:rsid w:val="005E3765"/>
    <w:rsid w:val="00620469"/>
    <w:rsid w:val="00685DD2"/>
    <w:rsid w:val="006965D2"/>
    <w:rsid w:val="006B1D85"/>
    <w:rsid w:val="006C7CF6"/>
    <w:rsid w:val="006E639C"/>
    <w:rsid w:val="0073379B"/>
    <w:rsid w:val="007856BA"/>
    <w:rsid w:val="007B2BEF"/>
    <w:rsid w:val="007D5907"/>
    <w:rsid w:val="007E42CD"/>
    <w:rsid w:val="007F6A29"/>
    <w:rsid w:val="00830122"/>
    <w:rsid w:val="008540B7"/>
    <w:rsid w:val="008732E7"/>
    <w:rsid w:val="008757E1"/>
    <w:rsid w:val="008916E0"/>
    <w:rsid w:val="00893C6A"/>
    <w:rsid w:val="008A74C1"/>
    <w:rsid w:val="008B1754"/>
    <w:rsid w:val="008B27E8"/>
    <w:rsid w:val="00904CA2"/>
    <w:rsid w:val="00907C93"/>
    <w:rsid w:val="00930F5D"/>
    <w:rsid w:val="00953D75"/>
    <w:rsid w:val="00987C63"/>
    <w:rsid w:val="009953B9"/>
    <w:rsid w:val="009A3A51"/>
    <w:rsid w:val="009D02A8"/>
    <w:rsid w:val="00A07990"/>
    <w:rsid w:val="00A24644"/>
    <w:rsid w:val="00A51293"/>
    <w:rsid w:val="00A52850"/>
    <w:rsid w:val="00A61347"/>
    <w:rsid w:val="00A71D62"/>
    <w:rsid w:val="00A72DA9"/>
    <w:rsid w:val="00A7342A"/>
    <w:rsid w:val="00A90927"/>
    <w:rsid w:val="00B236BA"/>
    <w:rsid w:val="00B82632"/>
    <w:rsid w:val="00B86B44"/>
    <w:rsid w:val="00B91093"/>
    <w:rsid w:val="00BA1740"/>
    <w:rsid w:val="00BA3587"/>
    <w:rsid w:val="00BA72C2"/>
    <w:rsid w:val="00BB0FF4"/>
    <w:rsid w:val="00BB3363"/>
    <w:rsid w:val="00BC61FC"/>
    <w:rsid w:val="00BD6BA1"/>
    <w:rsid w:val="00C1492E"/>
    <w:rsid w:val="00C24E54"/>
    <w:rsid w:val="00C70A97"/>
    <w:rsid w:val="00CD5494"/>
    <w:rsid w:val="00CD673E"/>
    <w:rsid w:val="00D055BF"/>
    <w:rsid w:val="00D458F1"/>
    <w:rsid w:val="00D46833"/>
    <w:rsid w:val="00D868FA"/>
    <w:rsid w:val="00DA0D09"/>
    <w:rsid w:val="00DD21CB"/>
    <w:rsid w:val="00DD2E6A"/>
    <w:rsid w:val="00DF6F9A"/>
    <w:rsid w:val="00E34D4B"/>
    <w:rsid w:val="00E73F3E"/>
    <w:rsid w:val="00E86C8A"/>
    <w:rsid w:val="00E87750"/>
    <w:rsid w:val="00E9385A"/>
    <w:rsid w:val="00EF2A7A"/>
    <w:rsid w:val="00F13186"/>
    <w:rsid w:val="00F20633"/>
    <w:rsid w:val="00FC4D42"/>
    <w:rsid w:val="00FC5D34"/>
    <w:rsid w:val="00FF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C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C2"/>
    <w:pPr>
      <w:widowControl w:val="0"/>
      <w:spacing w:line="360" w:lineRule="auto"/>
      <w:jc w:val="both"/>
    </w:pPr>
    <w:rPr>
      <w:rFonts w:ascii="楷体" w:eastAsia="楷体" w:hAnsi="楷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C07"/>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2C4C07"/>
    <w:rPr>
      <w:sz w:val="18"/>
      <w:szCs w:val="18"/>
    </w:rPr>
  </w:style>
  <w:style w:type="paragraph" w:styleId="a4">
    <w:name w:val="footer"/>
    <w:basedOn w:val="a"/>
    <w:link w:val="Char0"/>
    <w:uiPriority w:val="99"/>
    <w:unhideWhenUsed/>
    <w:rsid w:val="002C4C07"/>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2C4C07"/>
    <w:rPr>
      <w:sz w:val="18"/>
      <w:szCs w:val="18"/>
    </w:rPr>
  </w:style>
  <w:style w:type="paragraph" w:styleId="a5">
    <w:name w:val="Balloon Text"/>
    <w:basedOn w:val="a"/>
    <w:link w:val="Char1"/>
    <w:uiPriority w:val="99"/>
    <w:semiHidden/>
    <w:unhideWhenUsed/>
    <w:rsid w:val="002C4C07"/>
    <w:pPr>
      <w:spacing w:line="240" w:lineRule="auto"/>
    </w:pPr>
    <w:rPr>
      <w:sz w:val="18"/>
      <w:szCs w:val="18"/>
    </w:rPr>
  </w:style>
  <w:style w:type="character" w:customStyle="1" w:styleId="Char1">
    <w:name w:val="批注框文本 Char"/>
    <w:basedOn w:val="a0"/>
    <w:link w:val="a5"/>
    <w:uiPriority w:val="99"/>
    <w:semiHidden/>
    <w:rsid w:val="002C4C07"/>
    <w:rPr>
      <w:rFonts w:ascii="楷体" w:eastAsia="楷体" w:hAnsi="楷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C2"/>
    <w:pPr>
      <w:widowControl w:val="0"/>
      <w:spacing w:line="360" w:lineRule="auto"/>
      <w:jc w:val="both"/>
    </w:pPr>
    <w:rPr>
      <w:rFonts w:ascii="楷体" w:eastAsia="楷体" w:hAnsi="楷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C07"/>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2C4C07"/>
    <w:rPr>
      <w:sz w:val="18"/>
      <w:szCs w:val="18"/>
    </w:rPr>
  </w:style>
  <w:style w:type="paragraph" w:styleId="a4">
    <w:name w:val="footer"/>
    <w:basedOn w:val="a"/>
    <w:link w:val="Char0"/>
    <w:uiPriority w:val="99"/>
    <w:unhideWhenUsed/>
    <w:rsid w:val="002C4C07"/>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2C4C07"/>
    <w:rPr>
      <w:sz w:val="18"/>
      <w:szCs w:val="18"/>
    </w:rPr>
  </w:style>
  <w:style w:type="paragraph" w:styleId="a5">
    <w:name w:val="Balloon Text"/>
    <w:basedOn w:val="a"/>
    <w:link w:val="Char1"/>
    <w:uiPriority w:val="99"/>
    <w:semiHidden/>
    <w:unhideWhenUsed/>
    <w:rsid w:val="002C4C07"/>
    <w:pPr>
      <w:spacing w:line="240" w:lineRule="auto"/>
    </w:pPr>
    <w:rPr>
      <w:sz w:val="18"/>
      <w:szCs w:val="18"/>
    </w:rPr>
  </w:style>
  <w:style w:type="character" w:customStyle="1" w:styleId="Char1">
    <w:name w:val="批注框文本 Char"/>
    <w:basedOn w:val="a0"/>
    <w:link w:val="a5"/>
    <w:uiPriority w:val="99"/>
    <w:semiHidden/>
    <w:rsid w:val="002C4C07"/>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邱紫华</dc:creator>
  <cp:lastModifiedBy>Administrator</cp:lastModifiedBy>
  <cp:revision>5</cp:revision>
  <dcterms:created xsi:type="dcterms:W3CDTF">2021-01-18T05:18:00Z</dcterms:created>
  <dcterms:modified xsi:type="dcterms:W3CDTF">2021-01-18T09:17:00Z</dcterms:modified>
</cp:coreProperties>
</file>