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6B" w:rsidRDefault="00DB5CD7">
      <w:pPr>
        <w:jc w:val="center"/>
        <w:rPr>
          <w:b/>
        </w:rPr>
      </w:pPr>
      <w:bookmarkStart w:id="0" w:name="_GoBack"/>
      <w:r>
        <w:rPr>
          <w:rFonts w:hint="eastAsia"/>
          <w:b/>
        </w:rPr>
        <w:t>富荣量化</w:t>
      </w:r>
      <w:r w:rsidR="00B876F4">
        <w:rPr>
          <w:rFonts w:hint="eastAsia"/>
          <w:b/>
        </w:rPr>
        <w:t>：</w:t>
      </w:r>
      <w:r>
        <w:rPr>
          <w:rFonts w:hint="eastAsia"/>
          <w:b/>
          <w:lang w:eastAsia="zh-Hans"/>
        </w:rPr>
        <w:t>市场横盘震荡</w:t>
      </w:r>
      <w:r>
        <w:rPr>
          <w:b/>
          <w:lang w:eastAsia="zh-Hans"/>
        </w:rPr>
        <w:t>，</w:t>
      </w:r>
      <w:r>
        <w:rPr>
          <w:rFonts w:hint="eastAsia"/>
          <w:b/>
          <w:lang w:eastAsia="zh-Hans"/>
        </w:rPr>
        <w:t>小幅收跌</w:t>
      </w:r>
    </w:p>
    <w:bookmarkEnd w:id="0"/>
    <w:p w:rsidR="00D9516B" w:rsidRDefault="00D9516B">
      <w:pPr>
        <w:ind w:firstLineChars="200" w:firstLine="480"/>
      </w:pPr>
    </w:p>
    <w:p w:rsidR="00D9516B" w:rsidRDefault="00DB5CD7">
      <w:pPr>
        <w:ind w:firstLineChars="200" w:firstLine="480"/>
        <w:rPr>
          <w:rFonts w:hint="eastAsia"/>
        </w:rPr>
      </w:pPr>
      <w:r>
        <w:rPr>
          <w:rFonts w:hint="eastAsia"/>
          <w:lang w:eastAsia="zh-Hans"/>
        </w:rPr>
        <w:t>A股市场端午节前表现为横盘震荡</w:t>
      </w:r>
      <w:r>
        <w:rPr>
          <w:lang w:eastAsia="zh-Hans"/>
        </w:rPr>
        <w:t>，</w:t>
      </w:r>
      <w:r>
        <w:rPr>
          <w:rFonts w:hint="eastAsia"/>
          <w:lang w:eastAsia="zh-Hans"/>
        </w:rPr>
        <w:t>最终小幅收跌</w:t>
      </w:r>
      <w:r>
        <w:rPr>
          <w:lang w:eastAsia="zh-Hans"/>
        </w:rPr>
        <w:t>。</w:t>
      </w:r>
      <w:r>
        <w:rPr>
          <w:rFonts w:hint="eastAsia"/>
          <w:lang w:eastAsia="zh-Hans"/>
        </w:rPr>
        <w:t>节前市场是</w:t>
      </w:r>
      <w:r>
        <w:rPr>
          <w:lang w:eastAsia="zh-Hans"/>
        </w:rPr>
        <w:t>6</w:t>
      </w:r>
      <w:r>
        <w:rPr>
          <w:rFonts w:hint="eastAsia"/>
          <w:lang w:eastAsia="zh-Hans"/>
        </w:rPr>
        <w:t>月的第二个交易周</w:t>
      </w:r>
      <w:r>
        <w:rPr>
          <w:lang w:eastAsia="zh-Hans"/>
        </w:rPr>
        <w:t>，</w:t>
      </w:r>
      <w:r>
        <w:rPr>
          <w:rFonts w:hint="eastAsia"/>
          <w:lang w:eastAsia="zh-Hans"/>
        </w:rPr>
        <w:t>各宽基指数表现如下</w:t>
      </w:r>
      <w:r>
        <w:rPr>
          <w:lang w:eastAsia="zh-Hans"/>
        </w:rPr>
        <w:t>（</w:t>
      </w:r>
      <w:r>
        <w:rPr>
          <w:rFonts w:hint="eastAsia"/>
          <w:lang w:eastAsia="zh-Hans"/>
        </w:rPr>
        <w:t>图</w:t>
      </w:r>
      <w:r>
        <w:rPr>
          <w:lang w:eastAsia="zh-Hans"/>
        </w:rPr>
        <w:t>1）：</w:t>
      </w:r>
      <w:r>
        <w:rPr>
          <w:rFonts w:hint="eastAsia"/>
          <w:lang w:eastAsia="zh-Hans"/>
        </w:rPr>
        <w:t>上证指数收跌</w:t>
      </w:r>
      <w:r>
        <w:rPr>
          <w:lang w:eastAsia="zh-Hans"/>
        </w:rPr>
        <w:t>0</w:t>
      </w:r>
      <w:r>
        <w:rPr>
          <w:rFonts w:hint="eastAsia"/>
          <w:lang w:eastAsia="zh-Hans"/>
        </w:rPr>
        <w:t>.</w:t>
      </w:r>
      <w:r>
        <w:rPr>
          <w:lang w:eastAsia="zh-Hans"/>
        </w:rPr>
        <w:t>06%，</w:t>
      </w:r>
      <w:r>
        <w:rPr>
          <w:rFonts w:hint="eastAsia"/>
          <w:lang w:eastAsia="zh-Hans"/>
        </w:rPr>
        <w:t>深证成指收跌</w:t>
      </w:r>
      <w:r>
        <w:rPr>
          <w:lang w:eastAsia="zh-Hans"/>
        </w:rPr>
        <w:t>0</w:t>
      </w:r>
      <w:r>
        <w:rPr>
          <w:rFonts w:hint="eastAsia"/>
          <w:lang w:eastAsia="zh-Hans"/>
        </w:rPr>
        <w:t>.</w:t>
      </w:r>
      <w:r>
        <w:rPr>
          <w:lang w:eastAsia="zh-Hans"/>
        </w:rPr>
        <w:t>47%，</w:t>
      </w:r>
      <w:r>
        <w:rPr>
          <w:rFonts w:hint="eastAsia"/>
          <w:lang w:eastAsia="zh-Hans"/>
        </w:rPr>
        <w:t>沪深</w:t>
      </w:r>
      <w:r>
        <w:rPr>
          <w:lang w:eastAsia="zh-Hans"/>
        </w:rPr>
        <w:t>300</w:t>
      </w:r>
      <w:r>
        <w:rPr>
          <w:rFonts w:hint="eastAsia"/>
          <w:lang w:eastAsia="zh-Hans"/>
        </w:rPr>
        <w:t>指数收跌</w:t>
      </w:r>
      <w:r>
        <w:rPr>
          <w:lang w:eastAsia="zh-Hans"/>
        </w:rPr>
        <w:t>1</w:t>
      </w:r>
      <w:r>
        <w:rPr>
          <w:rFonts w:hint="eastAsia"/>
          <w:lang w:eastAsia="zh-Hans"/>
        </w:rPr>
        <w:t>.</w:t>
      </w:r>
      <w:r>
        <w:rPr>
          <w:lang w:eastAsia="zh-Hans"/>
        </w:rPr>
        <w:t>09%，</w:t>
      </w:r>
      <w:r>
        <w:rPr>
          <w:rFonts w:hint="eastAsia"/>
          <w:lang w:eastAsia="zh-Hans"/>
        </w:rPr>
        <w:t>中证</w:t>
      </w:r>
      <w:r>
        <w:rPr>
          <w:lang w:eastAsia="zh-Hans"/>
        </w:rPr>
        <w:t>500</w:t>
      </w:r>
      <w:r>
        <w:rPr>
          <w:rFonts w:hint="eastAsia"/>
          <w:lang w:eastAsia="zh-Hans"/>
        </w:rPr>
        <w:t>指数上涨</w:t>
      </w:r>
      <w:r>
        <w:rPr>
          <w:lang w:eastAsia="zh-Hans"/>
        </w:rPr>
        <w:t>0</w:t>
      </w:r>
      <w:r>
        <w:rPr>
          <w:rFonts w:hint="eastAsia"/>
          <w:lang w:eastAsia="zh-Hans"/>
        </w:rPr>
        <w:t>.</w:t>
      </w:r>
      <w:r>
        <w:rPr>
          <w:lang w:eastAsia="zh-Hans"/>
        </w:rPr>
        <w:t>49%，</w:t>
      </w:r>
      <w:r>
        <w:rPr>
          <w:rFonts w:hint="eastAsia"/>
          <w:lang w:eastAsia="zh-Hans"/>
        </w:rPr>
        <w:t>创业板指上涨</w:t>
      </w:r>
      <w:r>
        <w:rPr>
          <w:lang w:eastAsia="zh-Hans"/>
        </w:rPr>
        <w:t>1</w:t>
      </w:r>
      <w:r>
        <w:rPr>
          <w:rFonts w:hint="eastAsia"/>
          <w:lang w:eastAsia="zh-Hans"/>
        </w:rPr>
        <w:t>.</w:t>
      </w:r>
      <w:r>
        <w:rPr>
          <w:lang w:eastAsia="zh-Hans"/>
        </w:rPr>
        <w:t>72%。</w:t>
      </w:r>
      <w:r>
        <w:rPr>
          <w:rFonts w:hint="eastAsia"/>
          <w:lang w:eastAsia="zh-Hans"/>
        </w:rPr>
        <w:t>从行业来看</w:t>
      </w:r>
      <w:r w:rsidRPr="001B1564">
        <w:rPr>
          <w:rFonts w:hint="eastAsia"/>
          <w:lang w:eastAsia="zh-Hans"/>
        </w:rPr>
        <w:t>，计算机板块涨幅</w:t>
      </w:r>
      <w:r>
        <w:rPr>
          <w:rFonts w:hint="eastAsia"/>
          <w:lang w:eastAsia="zh-Hans"/>
        </w:rPr>
        <w:t>大幅度</w:t>
      </w:r>
      <w:r w:rsidRPr="001B1564">
        <w:rPr>
          <w:rFonts w:hint="eastAsia"/>
          <w:lang w:eastAsia="zh-Hans"/>
        </w:rPr>
        <w:t>领先，周度涨幅达</w:t>
      </w:r>
      <w:r w:rsidRPr="001B1564">
        <w:rPr>
          <w:lang w:eastAsia="zh-Hans"/>
        </w:rPr>
        <w:t>+6.91%，其次是综合（+5.74%）和汽车（+4.79%）</w:t>
      </w:r>
      <w:r>
        <w:rPr>
          <w:lang w:eastAsia="zh-Hans"/>
        </w:rPr>
        <w:t>，</w:t>
      </w:r>
      <w:r>
        <w:rPr>
          <w:rFonts w:hint="eastAsia"/>
          <w:lang w:eastAsia="zh-Hans"/>
        </w:rPr>
        <w:t>农林牧渔和食品饮料表现最差</w:t>
      </w:r>
      <w:r>
        <w:rPr>
          <w:lang w:eastAsia="zh-Hans"/>
        </w:rPr>
        <w:t>，</w:t>
      </w:r>
      <w:r>
        <w:rPr>
          <w:rFonts w:hint="eastAsia"/>
          <w:lang w:eastAsia="zh-Hans"/>
        </w:rPr>
        <w:t>其中农林牧渔跌幅达到</w:t>
      </w:r>
      <w:r>
        <w:rPr>
          <w:lang w:eastAsia="zh-Hans"/>
        </w:rPr>
        <w:t>4</w:t>
      </w:r>
      <w:r>
        <w:rPr>
          <w:rFonts w:hint="eastAsia"/>
          <w:lang w:eastAsia="zh-Hans"/>
        </w:rPr>
        <w:t>.</w:t>
      </w:r>
      <w:r>
        <w:rPr>
          <w:lang w:eastAsia="zh-Hans"/>
        </w:rPr>
        <w:t>68%，</w:t>
      </w:r>
      <w:r>
        <w:rPr>
          <w:rFonts w:hint="eastAsia"/>
          <w:lang w:eastAsia="zh-Hans"/>
        </w:rPr>
        <w:t>食品饮料跌幅达到</w:t>
      </w:r>
      <w:r>
        <w:rPr>
          <w:lang w:eastAsia="zh-Hans"/>
        </w:rPr>
        <w:t>4</w:t>
      </w:r>
      <w:r>
        <w:rPr>
          <w:rFonts w:hint="eastAsia"/>
          <w:lang w:eastAsia="zh-Hans"/>
        </w:rPr>
        <w:t>.</w:t>
      </w:r>
      <w:r>
        <w:rPr>
          <w:lang w:eastAsia="zh-Hans"/>
        </w:rPr>
        <w:t>47%。</w:t>
      </w:r>
      <w:r>
        <w:rPr>
          <w:rFonts w:hint="eastAsia"/>
          <w:lang w:eastAsia="zh-Hans"/>
        </w:rPr>
        <w:t>进入六月后</w:t>
      </w:r>
      <w:r>
        <w:rPr>
          <w:lang w:eastAsia="zh-Hans"/>
        </w:rPr>
        <w:t>，</w:t>
      </w:r>
      <w:r>
        <w:rPr>
          <w:rFonts w:hint="eastAsia"/>
          <w:lang w:eastAsia="zh-Hans"/>
        </w:rPr>
        <w:t>市场呈现持续震荡的态势</w:t>
      </w:r>
      <w:r>
        <w:rPr>
          <w:lang w:eastAsia="zh-Hans"/>
        </w:rPr>
        <w:t>，</w:t>
      </w:r>
      <w:r>
        <w:rPr>
          <w:rFonts w:hint="eastAsia"/>
          <w:lang w:eastAsia="zh-Hans"/>
        </w:rPr>
        <w:t>沪深</w:t>
      </w:r>
      <w:r>
        <w:rPr>
          <w:lang w:eastAsia="zh-Hans"/>
        </w:rPr>
        <w:t>300</w:t>
      </w:r>
      <w:r>
        <w:rPr>
          <w:rFonts w:hint="eastAsia"/>
          <w:lang w:eastAsia="zh-Hans"/>
        </w:rPr>
        <w:t>的波动率指数在</w:t>
      </w:r>
      <w:r>
        <w:rPr>
          <w:lang w:eastAsia="zh-Hans"/>
        </w:rPr>
        <w:t>5</w:t>
      </w:r>
      <w:r>
        <w:rPr>
          <w:rFonts w:hint="eastAsia"/>
          <w:lang w:eastAsia="zh-Hans"/>
        </w:rPr>
        <w:t>月底冲高后下行</w:t>
      </w:r>
      <w:r>
        <w:rPr>
          <w:lang w:eastAsia="zh-Hans"/>
        </w:rPr>
        <w:t>，</w:t>
      </w:r>
      <w:r>
        <w:rPr>
          <w:rFonts w:hint="eastAsia"/>
          <w:lang w:eastAsia="zh-Hans"/>
        </w:rPr>
        <w:t>盘面表现为中小盘明显占优</w:t>
      </w:r>
      <w:r>
        <w:rPr>
          <w:lang w:eastAsia="zh-Hans"/>
        </w:rPr>
        <w:t>，</w:t>
      </w:r>
      <w:r>
        <w:rPr>
          <w:rFonts w:hint="eastAsia"/>
          <w:lang w:eastAsia="zh-Hans"/>
        </w:rPr>
        <w:t>展望新的一个交易周</w:t>
      </w:r>
      <w:r>
        <w:rPr>
          <w:lang w:eastAsia="zh-Hans"/>
        </w:rPr>
        <w:t>，</w:t>
      </w:r>
      <w:r>
        <w:rPr>
          <w:rFonts w:hint="eastAsia"/>
          <w:lang w:eastAsia="zh-Hans"/>
        </w:rPr>
        <w:t>本周最大事件为周四</w:t>
      </w:r>
      <w:r>
        <w:rPr>
          <w:lang w:eastAsia="zh-Hans"/>
        </w:rPr>
        <w:t>（6</w:t>
      </w:r>
      <w:r>
        <w:rPr>
          <w:rFonts w:hint="eastAsia"/>
          <w:lang w:eastAsia="zh-Hans"/>
        </w:rPr>
        <w:t>月</w:t>
      </w:r>
      <w:r>
        <w:rPr>
          <w:lang w:eastAsia="zh-Hans"/>
        </w:rPr>
        <w:t>17</w:t>
      </w:r>
      <w:r>
        <w:rPr>
          <w:rFonts w:hint="eastAsia"/>
          <w:lang w:eastAsia="zh-Hans"/>
        </w:rPr>
        <w:t>日</w:t>
      </w:r>
      <w:r>
        <w:rPr>
          <w:lang w:eastAsia="zh-Hans"/>
        </w:rPr>
        <w:t>）</w:t>
      </w:r>
      <w:r>
        <w:rPr>
          <w:rFonts w:hint="eastAsia"/>
          <w:lang w:eastAsia="zh-Hans"/>
        </w:rPr>
        <w:t>美联储利率决议会议</w:t>
      </w:r>
      <w:r>
        <w:rPr>
          <w:lang w:eastAsia="zh-Hans"/>
        </w:rPr>
        <w:t>，</w:t>
      </w:r>
      <w:r>
        <w:rPr>
          <w:rFonts w:hint="eastAsia"/>
          <w:lang w:eastAsia="zh-Hans"/>
        </w:rPr>
        <w:t>投资者可以静待事件落地后再寻求新的投资机会</w:t>
      </w:r>
      <w:r>
        <w:rPr>
          <w:lang w:eastAsia="zh-Hans"/>
        </w:rPr>
        <w:t>。</w:t>
      </w:r>
    </w:p>
    <w:p w:rsidR="00B876F4" w:rsidRDefault="00B876F4">
      <w:pPr>
        <w:ind w:firstLineChars="200" w:firstLine="480"/>
        <w:rPr>
          <w:rFonts w:hint="eastAsia"/>
        </w:rPr>
      </w:pPr>
    </w:p>
    <w:p w:rsidR="00B876F4" w:rsidRPr="00B876F4" w:rsidRDefault="00B876F4" w:rsidP="00B876F4">
      <w:pPr>
        <w:ind w:firstLineChars="200" w:firstLine="480"/>
        <w:jc w:val="center"/>
        <w:rPr>
          <w:rFonts w:hint="eastAsia"/>
        </w:rPr>
      </w:pPr>
      <w:r>
        <w:rPr>
          <w:rFonts w:hint="eastAsia"/>
          <w:lang w:eastAsia="zh-Hans"/>
        </w:rPr>
        <w:t>图</w:t>
      </w:r>
      <w:r>
        <w:rPr>
          <w:lang w:eastAsia="zh-Hans"/>
        </w:rPr>
        <w:t xml:space="preserve"> 1</w:t>
      </w:r>
      <w:r>
        <w:rPr>
          <w:rFonts w:hint="eastAsia"/>
        </w:rPr>
        <w:t>：</w:t>
      </w:r>
      <w:r>
        <w:rPr>
          <w:lang w:eastAsia="zh-Hans"/>
        </w:rPr>
        <w:t xml:space="preserve"> </w:t>
      </w:r>
      <w:r>
        <w:rPr>
          <w:rFonts w:hint="eastAsia"/>
          <w:lang w:eastAsia="zh-Hans"/>
        </w:rPr>
        <w:t>各</w:t>
      </w:r>
      <w:r>
        <w:rPr>
          <w:rFonts w:hint="eastAsia"/>
        </w:rPr>
        <w:t>宽基指数与行业指数表现</w:t>
      </w:r>
    </w:p>
    <w:p w:rsidR="00D9516B" w:rsidRDefault="001B1564" w:rsidP="001B1564">
      <w:pPr>
        <w:rPr>
          <w:rFonts w:hint="eastAsia"/>
        </w:rPr>
      </w:pPr>
      <w:r>
        <w:rPr>
          <w:noProof/>
        </w:rPr>
        <w:drawing>
          <wp:inline distT="0" distB="0" distL="0" distR="0" wp14:anchorId="7BB8909A" wp14:editId="72904F9D">
            <wp:extent cx="5274310" cy="3955733"/>
            <wp:effectExtent l="0" t="0" r="2540" b="6985"/>
            <wp:docPr id="2" name="图片 2" descr="C:\Users\qiuzh\AppData\Roaming\Foxmail7\Temp-17400-20210615081417\fox(06-15-08-4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iuzh\AppData\Roaming\Foxmail7\Temp-17400-20210615081417\fox(06-15-08-45-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B876F4" w:rsidRPr="00B876F4" w:rsidRDefault="00B876F4" w:rsidP="001B1564">
      <w:pPr>
        <w:rPr>
          <w:rFonts w:hint="eastAsia"/>
          <w:sz w:val="13"/>
          <w:szCs w:val="13"/>
        </w:rPr>
      </w:pPr>
      <w:r w:rsidRPr="00B876F4">
        <w:rPr>
          <w:rFonts w:ascii="微软雅黑" w:eastAsia="微软雅黑" w:hAnsi="微软雅黑" w:hint="eastAsia"/>
          <w:color w:val="474747"/>
          <w:sz w:val="13"/>
          <w:szCs w:val="13"/>
          <w:shd w:val="clear" w:color="auto" w:fill="FFFFFF"/>
        </w:rPr>
        <w:t>数据：Wind；整理：富荣量化</w:t>
      </w:r>
    </w:p>
    <w:p w:rsidR="00D9516B" w:rsidRDefault="00DB5CD7">
      <w:pPr>
        <w:ind w:firstLineChars="200" w:firstLine="480"/>
      </w:pPr>
      <w:r>
        <w:rPr>
          <w:rFonts w:hint="eastAsia"/>
        </w:rPr>
        <w:t>从资金流动来看（图2），</w:t>
      </w:r>
      <w:r w:rsidR="00B876F4">
        <w:rPr>
          <w:rFonts w:hint="eastAsia"/>
        </w:rPr>
        <w:t>上</w:t>
      </w:r>
      <w:r>
        <w:rPr>
          <w:rFonts w:hint="eastAsia"/>
        </w:rPr>
        <w:t>周</w:t>
      </w:r>
      <w:r>
        <w:rPr>
          <w:rFonts w:hint="eastAsia"/>
          <w:lang w:eastAsia="zh-Hans"/>
        </w:rPr>
        <w:t>北向资金在</w:t>
      </w:r>
      <w:r w:rsidR="001B1564">
        <w:rPr>
          <w:rFonts w:hint="eastAsia"/>
        </w:rPr>
        <w:t>仍然维持净流入，</w:t>
      </w:r>
      <w:r w:rsidR="00B876F4">
        <w:rPr>
          <w:rFonts w:hint="eastAsia"/>
        </w:rPr>
        <w:t>上</w:t>
      </w:r>
      <w:r w:rsidR="001B1564">
        <w:rPr>
          <w:rFonts w:hint="eastAsia"/>
        </w:rPr>
        <w:t>周合计流入</w:t>
      </w:r>
      <w:r w:rsidR="001B1564">
        <w:rPr>
          <w:rFonts w:hint="eastAsia"/>
        </w:rPr>
        <w:lastRenderedPageBreak/>
        <w:t>29.31亿，其中沪股通流入24.04亿，深股通流入5.27亿。</w:t>
      </w:r>
      <w:r>
        <w:rPr>
          <w:rFonts w:hint="eastAsia"/>
          <w:lang w:eastAsia="zh-Hans"/>
        </w:rPr>
        <w:t>从两融资金表现来看</w:t>
      </w:r>
      <w:r>
        <w:rPr>
          <w:lang w:eastAsia="zh-Hans"/>
        </w:rPr>
        <w:t>，</w:t>
      </w:r>
      <w:r w:rsidR="00B876F4">
        <w:rPr>
          <w:rFonts w:hint="eastAsia"/>
        </w:rPr>
        <w:t>上</w:t>
      </w:r>
      <w:r>
        <w:rPr>
          <w:rFonts w:hint="eastAsia"/>
          <w:lang w:eastAsia="zh-Hans"/>
        </w:rPr>
        <w:t>周</w:t>
      </w:r>
      <w:r w:rsidR="001B1564">
        <w:rPr>
          <w:rFonts w:hint="eastAsia"/>
        </w:rPr>
        <w:t>市场在震荡过程中杠杆资金表现趋于谨慎，流入略微缩减。</w:t>
      </w:r>
    </w:p>
    <w:p w:rsidR="00D9516B" w:rsidRDefault="00D9516B">
      <w:pPr>
        <w:ind w:firstLineChars="200" w:firstLine="480"/>
        <w:rPr>
          <w:rFonts w:hint="eastAsia"/>
        </w:rPr>
      </w:pPr>
    </w:p>
    <w:p w:rsidR="00B876F4" w:rsidRPr="00B876F4" w:rsidRDefault="00B876F4" w:rsidP="00B876F4">
      <w:pPr>
        <w:ind w:firstLineChars="200" w:firstLine="480"/>
        <w:jc w:val="center"/>
      </w:pPr>
      <w:r>
        <w:rPr>
          <w:rFonts w:hint="eastAsia"/>
        </w:rPr>
        <w:t>图 2 ：北向资金与新增融资</w:t>
      </w:r>
    </w:p>
    <w:p w:rsidR="001B1564" w:rsidRDefault="001B1564" w:rsidP="001B1564">
      <w:pPr>
        <w:ind w:firstLineChars="200" w:firstLine="480"/>
      </w:pPr>
      <w:r>
        <w:rPr>
          <w:noProof/>
        </w:rPr>
        <w:drawing>
          <wp:inline distT="0" distB="0" distL="0" distR="0" wp14:anchorId="594DFB58" wp14:editId="1FB04E17">
            <wp:extent cx="5544065" cy="1320114"/>
            <wp:effectExtent l="0" t="0" r="0" b="0"/>
            <wp:docPr id="1" name="图片 1" descr="C:\Users\qiuzh\AppData\Roaming\Foxmail7\Temp-17400-20210615081417\fox(06-15-08-44-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uzh\AppData\Roaming\Foxmail7\Temp-17400-20210615081417\fox(06-15-08-44-09)(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7613" cy="1318578"/>
                    </a:xfrm>
                    <a:prstGeom prst="rect">
                      <a:avLst/>
                    </a:prstGeom>
                    <a:noFill/>
                    <a:ln>
                      <a:noFill/>
                    </a:ln>
                  </pic:spPr>
                </pic:pic>
              </a:graphicData>
            </a:graphic>
          </wp:inline>
        </w:drawing>
      </w:r>
    </w:p>
    <w:p w:rsidR="001B1564" w:rsidRDefault="001B1564" w:rsidP="001B1564">
      <w:pPr>
        <w:ind w:firstLineChars="200" w:firstLine="480"/>
      </w:pPr>
      <w:r>
        <w:rPr>
          <w:rFonts w:hint="eastAsia"/>
        </w:rPr>
        <w:t>数据来源：</w:t>
      </w:r>
      <w:proofErr w:type="gramStart"/>
      <w:r>
        <w:rPr>
          <w:rFonts w:hint="eastAsia"/>
        </w:rPr>
        <w:t>wind</w:t>
      </w:r>
      <w:proofErr w:type="gramEnd"/>
    </w:p>
    <w:p w:rsidR="00D9516B" w:rsidRDefault="00DB5CD7">
      <w:pPr>
        <w:ind w:firstLineChars="200" w:firstLine="480"/>
        <w:rPr>
          <w:rFonts w:hint="eastAsia"/>
        </w:rPr>
      </w:pPr>
      <w:r>
        <w:rPr>
          <w:rFonts w:hint="eastAsia"/>
        </w:rPr>
        <w:t>从市场波动率来看，</w:t>
      </w:r>
      <w:r w:rsidR="00B876F4">
        <w:rPr>
          <w:rFonts w:hint="eastAsia"/>
        </w:rPr>
        <w:t>上</w:t>
      </w:r>
      <w:r>
        <w:rPr>
          <w:rFonts w:hint="eastAsia"/>
        </w:rPr>
        <w:t>周市场</w:t>
      </w:r>
      <w:r>
        <w:rPr>
          <w:rFonts w:hint="eastAsia"/>
          <w:lang w:eastAsia="zh-Hans"/>
        </w:rPr>
        <w:t>波动率</w:t>
      </w:r>
      <w:r w:rsidR="001B1564">
        <w:rPr>
          <w:rFonts w:hint="eastAsia"/>
        </w:rPr>
        <w:t>在5月底冲高后开始回落，</w:t>
      </w:r>
      <w:r>
        <w:rPr>
          <w:rFonts w:hint="eastAsia"/>
          <w:lang w:eastAsia="zh-Hans"/>
        </w:rPr>
        <w:t>总体维持在震荡</w:t>
      </w:r>
      <w:r w:rsidR="001B1564">
        <w:rPr>
          <w:rFonts w:hint="eastAsia"/>
        </w:rPr>
        <w:t>下跌</w:t>
      </w:r>
      <w:r>
        <w:rPr>
          <w:rFonts w:hint="eastAsia"/>
          <w:lang w:eastAsia="zh-Hans"/>
        </w:rPr>
        <w:t>的状态</w:t>
      </w:r>
      <w:r>
        <w:rPr>
          <w:lang w:eastAsia="zh-Hans"/>
        </w:rPr>
        <w:t>。</w:t>
      </w:r>
      <w:r>
        <w:rPr>
          <w:rFonts w:hint="eastAsia"/>
          <w:lang w:eastAsia="zh-Hans"/>
        </w:rPr>
        <w:t>A股市场</w:t>
      </w:r>
      <w:r w:rsidR="001B1564">
        <w:rPr>
          <w:rFonts w:hint="eastAsia"/>
        </w:rPr>
        <w:t>在5月底大幅度拉升后</w:t>
      </w:r>
      <w:r w:rsidR="001B1564">
        <w:rPr>
          <w:rFonts w:hint="eastAsia"/>
          <w:lang w:eastAsia="zh-Hans"/>
        </w:rPr>
        <w:t>市场情绪</w:t>
      </w:r>
      <w:r w:rsidR="001B1564">
        <w:rPr>
          <w:rFonts w:hint="eastAsia"/>
        </w:rPr>
        <w:t>开始回落</w:t>
      </w:r>
      <w:r>
        <w:rPr>
          <w:lang w:eastAsia="zh-Hans"/>
        </w:rPr>
        <w:t>，</w:t>
      </w:r>
      <w:r w:rsidR="00B876F4">
        <w:rPr>
          <w:rFonts w:hint="eastAsia"/>
        </w:rPr>
        <w:t>上</w:t>
      </w:r>
      <w:r w:rsidR="001B1564">
        <w:rPr>
          <w:rFonts w:hint="eastAsia"/>
        </w:rPr>
        <w:t>周</w:t>
      </w:r>
      <w:r>
        <w:rPr>
          <w:rFonts w:hint="eastAsia"/>
          <w:lang w:eastAsia="zh-Hans"/>
        </w:rPr>
        <w:t>沪深</w:t>
      </w:r>
      <w:r>
        <w:rPr>
          <w:lang w:eastAsia="zh-Hans"/>
        </w:rPr>
        <w:t>300</w:t>
      </w:r>
      <w:r w:rsidR="00231E8E">
        <w:rPr>
          <w:rFonts w:hint="eastAsia"/>
          <w:lang w:eastAsia="zh-Hans"/>
        </w:rPr>
        <w:t>期权波动率</w:t>
      </w:r>
      <w:r w:rsidR="00231E8E">
        <w:rPr>
          <w:rFonts w:hint="eastAsia"/>
        </w:rPr>
        <w:t>震荡下跌</w:t>
      </w:r>
      <w:r>
        <w:rPr>
          <w:rFonts w:hint="eastAsia"/>
        </w:rPr>
        <w:t>（图3）。</w:t>
      </w:r>
    </w:p>
    <w:p w:rsidR="00B876F4" w:rsidRDefault="00B876F4">
      <w:pPr>
        <w:ind w:firstLineChars="200" w:firstLine="480"/>
        <w:rPr>
          <w:rFonts w:hint="eastAsia"/>
        </w:rPr>
      </w:pPr>
    </w:p>
    <w:p w:rsidR="00B876F4" w:rsidRDefault="00B876F4" w:rsidP="00B876F4">
      <w:pPr>
        <w:jc w:val="center"/>
      </w:pPr>
      <w:r>
        <w:rPr>
          <w:rFonts w:hint="eastAsia"/>
        </w:rPr>
        <w:t xml:space="preserve">图3 </w:t>
      </w:r>
      <w:r>
        <w:rPr>
          <w:rFonts w:hint="eastAsia"/>
        </w:rPr>
        <w:t>：</w:t>
      </w:r>
      <w:r>
        <w:rPr>
          <w:rFonts w:hint="eastAsia"/>
        </w:rPr>
        <w:t>沪深300波动率指数</w:t>
      </w:r>
    </w:p>
    <w:p w:rsidR="00D9516B" w:rsidRDefault="00231E8E">
      <w:r>
        <w:rPr>
          <w:noProof/>
        </w:rPr>
        <w:drawing>
          <wp:inline distT="0" distB="0" distL="0" distR="0" wp14:anchorId="49B08A24" wp14:editId="14B0735A">
            <wp:extent cx="5274310" cy="3232346"/>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232346"/>
                    </a:xfrm>
                    <a:prstGeom prst="rect">
                      <a:avLst/>
                    </a:prstGeom>
                  </pic:spPr>
                </pic:pic>
              </a:graphicData>
            </a:graphic>
          </wp:inline>
        </w:drawing>
      </w:r>
    </w:p>
    <w:p w:rsidR="00231E8E" w:rsidRDefault="00231E8E">
      <w:r>
        <w:rPr>
          <w:rFonts w:hint="eastAsia"/>
        </w:rPr>
        <w:t>数据来源：wind;富荣量化整理计算</w:t>
      </w:r>
    </w:p>
    <w:p w:rsidR="00D9516B" w:rsidRDefault="00D9516B">
      <w:pPr>
        <w:rPr>
          <w:rFonts w:hint="eastAsia"/>
        </w:rPr>
      </w:pPr>
    </w:p>
    <w:p w:rsidR="00B876F4" w:rsidRPr="00B876F4" w:rsidRDefault="00B876F4">
      <w:pPr>
        <w:rPr>
          <w:sz w:val="13"/>
          <w:szCs w:val="13"/>
        </w:rPr>
      </w:pPr>
      <w:r w:rsidRPr="00B876F4">
        <w:rPr>
          <w:rFonts w:ascii="微软雅黑" w:eastAsia="微软雅黑" w:hAnsi="微软雅黑" w:hint="eastAsia"/>
          <w:color w:val="474747"/>
          <w:sz w:val="13"/>
          <w:szCs w:val="13"/>
          <w:shd w:val="clear" w:color="auto" w:fill="FFFFFF"/>
        </w:rPr>
        <w:t>风险提示：1、本报告中的信息均来源于我们认为可靠的已公开资料和合作客户的研究成果，但本公司及研究人员对这些信息的准确性和完整性不作任何保证，也不保证本报告所包含的信息或建议在本报告发出后不会发生任何变更，且本报告仅反映发布时的资料、观点和预测，可能在随后会</w:t>
      </w:r>
      <w:proofErr w:type="gramStart"/>
      <w:r w:rsidRPr="00B876F4">
        <w:rPr>
          <w:rFonts w:ascii="微软雅黑" w:eastAsia="微软雅黑" w:hAnsi="微软雅黑" w:hint="eastAsia"/>
          <w:color w:val="474747"/>
          <w:sz w:val="13"/>
          <w:szCs w:val="13"/>
          <w:shd w:val="clear" w:color="auto" w:fill="FFFFFF"/>
        </w:rPr>
        <w:lastRenderedPageBreak/>
        <w:t>作出</w:t>
      </w:r>
      <w:proofErr w:type="gramEnd"/>
      <w:r w:rsidRPr="00B876F4">
        <w:rPr>
          <w:rFonts w:ascii="微软雅黑" w:eastAsia="微软雅黑" w:hAnsi="微软雅黑" w:hint="eastAsia"/>
          <w:color w:val="474747"/>
          <w:sz w:val="13"/>
          <w:szCs w:val="13"/>
          <w:shd w:val="clear" w:color="auto" w:fill="FFFFFF"/>
        </w:rPr>
        <w:t>调整。2、本报告中的资料、观点和预测等仅供参考，在任何时候均不构成对任何人的个人推荐。市场有风险，投资需谨慎。</w:t>
      </w:r>
    </w:p>
    <w:p w:rsidR="00D9516B" w:rsidRDefault="00D9516B">
      <w:pPr>
        <w:jc w:val="center"/>
      </w:pPr>
    </w:p>
    <w:sectPr w:rsidR="00D95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紫华">
    <w15:presenceInfo w15:providerId="WPS Office" w15:userId="72663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8A"/>
    <w:rsid w:val="0000012D"/>
    <w:rsid w:val="00023027"/>
    <w:rsid w:val="00035595"/>
    <w:rsid w:val="00070AA2"/>
    <w:rsid w:val="00074AEA"/>
    <w:rsid w:val="00161CBB"/>
    <w:rsid w:val="0018534E"/>
    <w:rsid w:val="001867FC"/>
    <w:rsid w:val="001B1564"/>
    <w:rsid w:val="001D19B6"/>
    <w:rsid w:val="001D6061"/>
    <w:rsid w:val="0020342A"/>
    <w:rsid w:val="002062DE"/>
    <w:rsid w:val="002129BA"/>
    <w:rsid w:val="00231E8E"/>
    <w:rsid w:val="002416ED"/>
    <w:rsid w:val="002563D9"/>
    <w:rsid w:val="002A093A"/>
    <w:rsid w:val="002B15CF"/>
    <w:rsid w:val="002C4C07"/>
    <w:rsid w:val="002C7EF7"/>
    <w:rsid w:val="002E17CD"/>
    <w:rsid w:val="00374124"/>
    <w:rsid w:val="00386DFB"/>
    <w:rsid w:val="003B1CAC"/>
    <w:rsid w:val="003D637F"/>
    <w:rsid w:val="003F6050"/>
    <w:rsid w:val="004157F5"/>
    <w:rsid w:val="00444648"/>
    <w:rsid w:val="00454A3A"/>
    <w:rsid w:val="004A5394"/>
    <w:rsid w:val="004E3614"/>
    <w:rsid w:val="004E52FE"/>
    <w:rsid w:val="00525A53"/>
    <w:rsid w:val="00531B02"/>
    <w:rsid w:val="005A2D48"/>
    <w:rsid w:val="005C4905"/>
    <w:rsid w:val="005C760F"/>
    <w:rsid w:val="006965D2"/>
    <w:rsid w:val="006B1D85"/>
    <w:rsid w:val="006C7CF6"/>
    <w:rsid w:val="006E639C"/>
    <w:rsid w:val="0073379B"/>
    <w:rsid w:val="00747B9D"/>
    <w:rsid w:val="007528BE"/>
    <w:rsid w:val="00756EC7"/>
    <w:rsid w:val="007D5907"/>
    <w:rsid w:val="007D7875"/>
    <w:rsid w:val="007F6A29"/>
    <w:rsid w:val="00810078"/>
    <w:rsid w:val="00830122"/>
    <w:rsid w:val="00830C71"/>
    <w:rsid w:val="008540B7"/>
    <w:rsid w:val="008916E0"/>
    <w:rsid w:val="00893C6A"/>
    <w:rsid w:val="00896001"/>
    <w:rsid w:val="008A74C1"/>
    <w:rsid w:val="008B1754"/>
    <w:rsid w:val="008B27E8"/>
    <w:rsid w:val="008B4D1A"/>
    <w:rsid w:val="008D03D4"/>
    <w:rsid w:val="008F60FD"/>
    <w:rsid w:val="00907C93"/>
    <w:rsid w:val="00981BC3"/>
    <w:rsid w:val="00987C63"/>
    <w:rsid w:val="009953B9"/>
    <w:rsid w:val="009A6EBC"/>
    <w:rsid w:val="009D02A8"/>
    <w:rsid w:val="00A07990"/>
    <w:rsid w:val="00A47AFD"/>
    <w:rsid w:val="00A51293"/>
    <w:rsid w:val="00A61347"/>
    <w:rsid w:val="00A842A3"/>
    <w:rsid w:val="00A90927"/>
    <w:rsid w:val="00AD037A"/>
    <w:rsid w:val="00B14C31"/>
    <w:rsid w:val="00B5310C"/>
    <w:rsid w:val="00B82632"/>
    <w:rsid w:val="00B87681"/>
    <w:rsid w:val="00B876F4"/>
    <w:rsid w:val="00B91093"/>
    <w:rsid w:val="00BA3587"/>
    <w:rsid w:val="00BA72C2"/>
    <w:rsid w:val="00BC61FC"/>
    <w:rsid w:val="00BD6BA1"/>
    <w:rsid w:val="00C24E54"/>
    <w:rsid w:val="00C53CF8"/>
    <w:rsid w:val="00CA38CF"/>
    <w:rsid w:val="00CD5494"/>
    <w:rsid w:val="00CD673E"/>
    <w:rsid w:val="00D055BF"/>
    <w:rsid w:val="00D058C0"/>
    <w:rsid w:val="00D46833"/>
    <w:rsid w:val="00D9516B"/>
    <w:rsid w:val="00DB5CD7"/>
    <w:rsid w:val="00DD21CB"/>
    <w:rsid w:val="00DD26E5"/>
    <w:rsid w:val="00DD2E6A"/>
    <w:rsid w:val="00DD6213"/>
    <w:rsid w:val="00DF6F9A"/>
    <w:rsid w:val="00E23413"/>
    <w:rsid w:val="00E619FD"/>
    <w:rsid w:val="00E86C8A"/>
    <w:rsid w:val="00E87750"/>
    <w:rsid w:val="00E94CFB"/>
    <w:rsid w:val="00EA7100"/>
    <w:rsid w:val="00EB7D3C"/>
    <w:rsid w:val="00EF2A7A"/>
    <w:rsid w:val="00EF75F8"/>
    <w:rsid w:val="00F1138A"/>
    <w:rsid w:val="00F13186"/>
    <w:rsid w:val="00F64709"/>
    <w:rsid w:val="00FA2748"/>
    <w:rsid w:val="00FB18F7"/>
    <w:rsid w:val="00FC0454"/>
    <w:rsid w:val="00FC5D34"/>
    <w:rsid w:val="00FD6898"/>
    <w:rsid w:val="00FF648F"/>
    <w:rsid w:val="5D69B48E"/>
    <w:rsid w:val="5FFDA054"/>
    <w:rsid w:val="672F274D"/>
    <w:rsid w:val="749F4A0C"/>
    <w:rsid w:val="77FE1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楷体" w:eastAsia="楷体" w:hAnsi="楷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rFonts w:asciiTheme="minorHAnsi" w:eastAsiaTheme="minorEastAsia" w:hAnsiTheme="minorHAns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楷体" w:eastAsia="楷体" w:hAnsi="楷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楷体" w:eastAsia="楷体" w:hAnsi="楷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rFonts w:asciiTheme="minorHAnsi" w:eastAsiaTheme="minorEastAsia" w:hAnsiTheme="minorHAns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楷体" w:eastAsia="楷体" w:hAnsi="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邱紫华</dc:creator>
  <cp:lastModifiedBy>Administrator</cp:lastModifiedBy>
  <cp:revision>2</cp:revision>
  <dcterms:created xsi:type="dcterms:W3CDTF">2021-06-15T01:02:00Z</dcterms:created>
  <dcterms:modified xsi:type="dcterms:W3CDTF">2021-06-15T01:02:00Z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