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Pr="004C3E2B" w:rsidRDefault="001357FD" w:rsidP="009A2BA0">
      <w:pPr>
        <w:spacing w:beforeLines="100" w:before="312"/>
        <w:jc w:val="center"/>
        <w:rPr>
          <w:rFonts w:ascii="楷体" w:eastAsia="楷体" w:hAnsi="楷体"/>
          <w:b/>
          <w:sz w:val="44"/>
          <w:szCs w:val="44"/>
        </w:rPr>
      </w:pPr>
      <w:r w:rsidRPr="004C3E2B">
        <w:rPr>
          <w:rFonts w:ascii="楷体" w:eastAsia="楷体" w:hAnsi="楷体" w:hint="eastAsia"/>
          <w:b/>
          <w:sz w:val="44"/>
          <w:szCs w:val="44"/>
        </w:rPr>
        <w:t>富荣基金</w:t>
      </w:r>
      <w:r w:rsidR="00960960" w:rsidRPr="004C3E2B">
        <w:rPr>
          <w:rFonts w:ascii="楷体" w:eastAsia="楷体" w:hAnsi="楷体" w:hint="eastAsia"/>
          <w:b/>
          <w:sz w:val="44"/>
          <w:szCs w:val="44"/>
        </w:rPr>
        <w:t>固定收益</w:t>
      </w:r>
      <w:r w:rsidR="00F24889" w:rsidRPr="004C3E2B">
        <w:rPr>
          <w:rFonts w:ascii="楷体" w:eastAsia="楷体" w:hAnsi="楷体" w:hint="eastAsia"/>
          <w:b/>
          <w:sz w:val="44"/>
          <w:szCs w:val="44"/>
        </w:rPr>
        <w:t>周报</w:t>
      </w:r>
    </w:p>
    <w:p w14:paraId="08CBB8BB" w14:textId="05515AD0" w:rsidR="00832986" w:rsidRPr="00C67176" w:rsidRDefault="00832986" w:rsidP="00E543BE">
      <w:pPr>
        <w:widowControl/>
        <w:jc w:val="center"/>
        <w:rPr>
          <w:rFonts w:ascii="楷体" w:eastAsia="楷体" w:hAnsi="楷体"/>
          <w:sz w:val="28"/>
          <w:szCs w:val="28"/>
        </w:rPr>
      </w:pPr>
      <w:r w:rsidRPr="00C67176">
        <w:rPr>
          <w:rFonts w:ascii="楷体" w:eastAsia="楷体" w:hAnsi="楷体" w:hint="eastAsia"/>
          <w:sz w:val="28"/>
          <w:szCs w:val="28"/>
        </w:rPr>
        <w:t>——</w:t>
      </w:r>
      <w:r w:rsidR="00A510C3" w:rsidRPr="00A510C3">
        <w:rPr>
          <w:rFonts w:ascii="楷体" w:eastAsia="楷体" w:hAnsi="楷体" w:hint="eastAsia"/>
          <w:sz w:val="28"/>
          <w:szCs w:val="28"/>
        </w:rPr>
        <w:t>跨季资金充裕</w:t>
      </w:r>
      <w:r w:rsidR="00CD02EA" w:rsidRPr="00C67176">
        <w:rPr>
          <w:rFonts w:ascii="楷体" w:eastAsia="楷体" w:hAnsi="楷体" w:hint="eastAsia"/>
          <w:sz w:val="28"/>
          <w:szCs w:val="28"/>
        </w:rPr>
        <w:t>，</w:t>
      </w:r>
      <w:r w:rsidR="00A510C3">
        <w:rPr>
          <w:rFonts w:ascii="楷体" w:eastAsia="楷体" w:hAnsi="楷体" w:hint="eastAsia"/>
          <w:sz w:val="28"/>
          <w:szCs w:val="28"/>
        </w:rPr>
        <w:t>美债上行突破</w:t>
      </w:r>
    </w:p>
    <w:p w14:paraId="782ED204" w14:textId="0A0F3009" w:rsidR="003E4A57" w:rsidRDefault="005E5CB1" w:rsidP="009A2BA0">
      <w:pPr>
        <w:pStyle w:val="Header1"/>
        <w:spacing w:before="240"/>
        <w:rPr>
          <w:rFonts w:ascii="华文楷体" w:hAnsi="华文楷体"/>
          <w:b w:val="0"/>
          <w:color w:val="auto"/>
          <w:sz w:val="24"/>
          <w:szCs w:val="24"/>
        </w:rPr>
      </w:pPr>
      <w:r w:rsidRPr="003B6164">
        <w:rPr>
          <w:rFonts w:hint="eastAsia"/>
          <w:color w:val="C45911" w:themeColor="accent2" w:themeShade="BF"/>
        </w:rPr>
        <w:t>一、</w:t>
      </w:r>
      <w:r w:rsidR="00B76849">
        <w:rPr>
          <w:rFonts w:hint="eastAsia"/>
          <w:color w:val="C45911" w:themeColor="accent2" w:themeShade="BF"/>
        </w:rPr>
        <w:t>本周专题</w:t>
      </w:r>
    </w:p>
    <w:p w14:paraId="78206516" w14:textId="2955DBE5" w:rsidR="008D1D18" w:rsidRPr="00874A74" w:rsidRDefault="00874A74" w:rsidP="008D1D18">
      <w:pPr>
        <w:pStyle w:val="Header1"/>
        <w:spacing w:before="240"/>
        <w:ind w:firstLineChars="200" w:firstLine="480"/>
        <w:rPr>
          <w:rFonts w:ascii="华文楷体" w:hAnsi="华文楷体"/>
          <w:bCs/>
          <w:color w:val="auto"/>
          <w:sz w:val="24"/>
          <w:szCs w:val="24"/>
        </w:rPr>
      </w:pPr>
      <w:r w:rsidRPr="00874A74">
        <w:rPr>
          <w:rFonts w:ascii="华文楷体" w:hAnsi="华文楷体" w:hint="eastAsia"/>
          <w:bCs/>
          <w:color w:val="auto"/>
          <w:sz w:val="24"/>
          <w:szCs w:val="24"/>
        </w:rPr>
        <w:t>专题</w:t>
      </w:r>
      <w:proofErr w:type="gramStart"/>
      <w:r w:rsidRPr="00874A74">
        <w:rPr>
          <w:rFonts w:ascii="华文楷体" w:hAnsi="华文楷体" w:hint="eastAsia"/>
          <w:bCs/>
          <w:color w:val="auto"/>
          <w:sz w:val="24"/>
          <w:szCs w:val="24"/>
        </w:rPr>
        <w:t>一</w:t>
      </w:r>
      <w:proofErr w:type="gramEnd"/>
      <w:r w:rsidRPr="00874A74">
        <w:rPr>
          <w:rFonts w:ascii="华文楷体" w:hAnsi="华文楷体" w:hint="eastAsia"/>
          <w:bCs/>
          <w:color w:val="auto"/>
          <w:sz w:val="24"/>
          <w:szCs w:val="24"/>
        </w:rPr>
        <w:t>：</w:t>
      </w:r>
      <w:r w:rsidR="008D1D18" w:rsidRPr="00874A74">
        <w:rPr>
          <w:rFonts w:ascii="华文楷体" w:hAnsi="华文楷体" w:hint="eastAsia"/>
          <w:bCs/>
          <w:color w:val="auto"/>
          <w:sz w:val="24"/>
          <w:szCs w:val="24"/>
        </w:rPr>
        <w:t>白宫与参众两院就后续财政计划的支付方案达成一致，美债上破1.4%</w:t>
      </w:r>
    </w:p>
    <w:p w14:paraId="0DD2E944" w14:textId="0E0757F6" w:rsidR="008D1D18" w:rsidRPr="008D1D18" w:rsidRDefault="008D1D18" w:rsidP="008D1D18">
      <w:pPr>
        <w:pStyle w:val="Header1"/>
        <w:spacing w:before="240"/>
        <w:ind w:firstLineChars="200" w:firstLine="480"/>
        <w:rPr>
          <w:rFonts w:ascii="华文楷体" w:hAnsi="华文楷体"/>
          <w:b w:val="0"/>
          <w:color w:val="auto"/>
          <w:sz w:val="24"/>
          <w:szCs w:val="24"/>
        </w:rPr>
      </w:pPr>
      <w:r w:rsidRPr="008D1D18">
        <w:rPr>
          <w:rFonts w:ascii="华文楷体" w:hAnsi="华文楷体" w:hint="eastAsia"/>
          <w:b w:val="0"/>
          <w:color w:val="auto"/>
          <w:sz w:val="24"/>
          <w:szCs w:val="24"/>
        </w:rPr>
        <w:t>1）白宫、参众两院就基建计划的支付方案达成一致，拜登基建计划更进一步。民主党已在2021年8月10日起草了一份包含3.5</w:t>
      </w:r>
      <w:proofErr w:type="gramStart"/>
      <w:r w:rsidRPr="008D1D18">
        <w:rPr>
          <w:rFonts w:ascii="华文楷体" w:hAnsi="华文楷体" w:hint="eastAsia"/>
          <w:b w:val="0"/>
          <w:color w:val="auto"/>
          <w:sz w:val="24"/>
          <w:szCs w:val="24"/>
        </w:rPr>
        <w:t>万亿</w:t>
      </w:r>
      <w:proofErr w:type="gramEnd"/>
      <w:r w:rsidRPr="008D1D18">
        <w:rPr>
          <w:rFonts w:ascii="华文楷体" w:hAnsi="华文楷体" w:hint="eastAsia"/>
          <w:b w:val="0"/>
          <w:color w:val="auto"/>
          <w:sz w:val="24"/>
          <w:szCs w:val="24"/>
        </w:rPr>
        <w:t>美元财政计划的2022财年预算决议案讨论要点。当前白宫、参众两院就后续财政计划支付方案达成一致，拜登基建计划通过概率显著提升。</w:t>
      </w:r>
    </w:p>
    <w:p w14:paraId="6F4B9B4F" w14:textId="64BBA720" w:rsidR="008D1D18" w:rsidRPr="008D1D18" w:rsidRDefault="008D1D18" w:rsidP="008D1D18">
      <w:pPr>
        <w:pStyle w:val="Header1"/>
        <w:spacing w:before="240"/>
        <w:ind w:firstLineChars="200" w:firstLine="480"/>
        <w:rPr>
          <w:rFonts w:ascii="华文楷体" w:hAnsi="华文楷体"/>
          <w:b w:val="0"/>
          <w:color w:val="auto"/>
          <w:sz w:val="24"/>
          <w:szCs w:val="24"/>
        </w:rPr>
      </w:pPr>
      <w:r w:rsidRPr="008D1D18">
        <w:rPr>
          <w:rFonts w:ascii="华文楷体" w:hAnsi="华文楷体" w:hint="eastAsia"/>
          <w:b w:val="0"/>
          <w:color w:val="auto"/>
          <w:sz w:val="24"/>
          <w:szCs w:val="24"/>
        </w:rPr>
        <w:t>2）货币政策</w:t>
      </w:r>
      <w:proofErr w:type="gramStart"/>
      <w:r w:rsidRPr="008D1D18">
        <w:rPr>
          <w:rFonts w:ascii="华文楷体" w:hAnsi="华文楷体" w:hint="eastAsia"/>
          <w:b w:val="0"/>
          <w:color w:val="auto"/>
          <w:sz w:val="24"/>
          <w:szCs w:val="24"/>
        </w:rPr>
        <w:t>边际转紧叠加财政扩支预期</w:t>
      </w:r>
      <w:proofErr w:type="gramEnd"/>
      <w:r w:rsidRPr="008D1D18">
        <w:rPr>
          <w:rFonts w:ascii="华文楷体" w:hAnsi="华文楷体" w:hint="eastAsia"/>
          <w:b w:val="0"/>
          <w:color w:val="auto"/>
          <w:sz w:val="24"/>
          <w:szCs w:val="24"/>
        </w:rPr>
        <w:t>上升，美债收益率面临阶段性压力。展望四季度，美联储购买美债减速，意味着美</w:t>
      </w:r>
      <w:proofErr w:type="gramStart"/>
      <w:r w:rsidRPr="008D1D18">
        <w:rPr>
          <w:rFonts w:ascii="华文楷体" w:hAnsi="华文楷体" w:hint="eastAsia"/>
          <w:b w:val="0"/>
          <w:color w:val="auto"/>
          <w:sz w:val="24"/>
          <w:szCs w:val="24"/>
        </w:rPr>
        <w:t>债整体</w:t>
      </w:r>
      <w:proofErr w:type="gramEnd"/>
      <w:r w:rsidRPr="008D1D18">
        <w:rPr>
          <w:rFonts w:ascii="华文楷体" w:hAnsi="华文楷体" w:hint="eastAsia"/>
          <w:b w:val="0"/>
          <w:color w:val="auto"/>
          <w:sz w:val="24"/>
          <w:szCs w:val="24"/>
        </w:rPr>
        <w:t>需求面临边际减少的压力。而从供给端来看，四季度，美国5500亿美元传统基建计划大概率将落地，3.5</w:t>
      </w:r>
      <w:proofErr w:type="gramStart"/>
      <w:r w:rsidRPr="008D1D18">
        <w:rPr>
          <w:rFonts w:ascii="华文楷体" w:hAnsi="华文楷体" w:hint="eastAsia"/>
          <w:b w:val="0"/>
          <w:color w:val="auto"/>
          <w:sz w:val="24"/>
          <w:szCs w:val="24"/>
        </w:rPr>
        <w:t>万亿</w:t>
      </w:r>
      <w:proofErr w:type="gramEnd"/>
      <w:r w:rsidRPr="008D1D18">
        <w:rPr>
          <w:rFonts w:ascii="华文楷体" w:hAnsi="华文楷体" w:hint="eastAsia"/>
          <w:b w:val="0"/>
          <w:color w:val="auto"/>
          <w:sz w:val="24"/>
          <w:szCs w:val="24"/>
        </w:rPr>
        <w:t>美元财政支出计划也将进入国会投票程序。一旦债务上限被重新冻结或者提升，新增的财政刺激计划意味着美债供给也将大量提升。因此，美债长</w:t>
      </w:r>
      <w:proofErr w:type="gramStart"/>
      <w:r w:rsidRPr="008D1D18">
        <w:rPr>
          <w:rFonts w:ascii="华文楷体" w:hAnsi="华文楷体" w:hint="eastAsia"/>
          <w:b w:val="0"/>
          <w:color w:val="auto"/>
          <w:sz w:val="24"/>
          <w:szCs w:val="24"/>
        </w:rPr>
        <w:t>端利率</w:t>
      </w:r>
      <w:proofErr w:type="gramEnd"/>
      <w:r w:rsidRPr="008D1D18">
        <w:rPr>
          <w:rFonts w:ascii="华文楷体" w:hAnsi="华文楷体" w:hint="eastAsia"/>
          <w:b w:val="0"/>
          <w:color w:val="auto"/>
          <w:sz w:val="24"/>
          <w:szCs w:val="24"/>
        </w:rPr>
        <w:t>可能阶段性面临上行推力。</w:t>
      </w:r>
    </w:p>
    <w:p w14:paraId="42921C16" w14:textId="72954D19" w:rsidR="008D1D18" w:rsidRPr="008D1D18" w:rsidRDefault="008D1D18" w:rsidP="008D1D18">
      <w:pPr>
        <w:pStyle w:val="Header1"/>
        <w:spacing w:before="240"/>
        <w:ind w:firstLineChars="200" w:firstLine="480"/>
        <w:rPr>
          <w:rFonts w:ascii="华文楷体" w:hAnsi="华文楷体"/>
          <w:b w:val="0"/>
          <w:color w:val="auto"/>
          <w:sz w:val="24"/>
          <w:szCs w:val="24"/>
        </w:rPr>
      </w:pPr>
      <w:r w:rsidRPr="008D1D18">
        <w:rPr>
          <w:rFonts w:ascii="华文楷体" w:hAnsi="华文楷体" w:hint="eastAsia"/>
          <w:b w:val="0"/>
          <w:color w:val="auto"/>
          <w:sz w:val="24"/>
          <w:szCs w:val="24"/>
        </w:rPr>
        <w:t>3）海外金融市场反映风险偏好上升。截止北京时间9月24日0点，美国10年期国债收益率由1.32%快速上升8bp至1.40%，2年期国债收益率上行1bp至0.25%，国债收益率曲线出现陡峭化。与此同时，</w:t>
      </w:r>
      <w:proofErr w:type="gramStart"/>
      <w:r w:rsidRPr="008D1D18">
        <w:rPr>
          <w:rFonts w:ascii="华文楷体" w:hAnsi="华文楷体" w:hint="eastAsia"/>
          <w:b w:val="0"/>
          <w:color w:val="auto"/>
          <w:sz w:val="24"/>
          <w:szCs w:val="24"/>
        </w:rPr>
        <w:t>美国标普</w:t>
      </w:r>
      <w:proofErr w:type="gramEnd"/>
      <w:r w:rsidRPr="008D1D18">
        <w:rPr>
          <w:rFonts w:ascii="华文楷体" w:hAnsi="华文楷体" w:hint="eastAsia"/>
          <w:b w:val="0"/>
          <w:color w:val="auto"/>
          <w:sz w:val="24"/>
          <w:szCs w:val="24"/>
        </w:rPr>
        <w:t>500指数上涨1.31%，大宗原油价格上行1.58%，而黄金下跌1.03%，财政刺激预期升温背景下市场风险偏好出现回升。</w:t>
      </w:r>
    </w:p>
    <w:p w14:paraId="4AAC99E4" w14:textId="35F5AA3D" w:rsidR="00F3595A" w:rsidRPr="00874A74" w:rsidRDefault="008D1D18" w:rsidP="008D1D18">
      <w:pPr>
        <w:pStyle w:val="Header1"/>
        <w:spacing w:before="240"/>
        <w:ind w:firstLineChars="200" w:firstLine="480"/>
        <w:rPr>
          <w:rFonts w:ascii="华文楷体" w:hAnsi="华文楷体"/>
          <w:b w:val="0"/>
          <w:color w:val="auto"/>
          <w:sz w:val="24"/>
          <w:szCs w:val="24"/>
        </w:rPr>
      </w:pPr>
      <w:r w:rsidRPr="008D1D18">
        <w:rPr>
          <w:rFonts w:ascii="华文楷体" w:hAnsi="华文楷体" w:hint="eastAsia"/>
          <w:b w:val="0"/>
          <w:color w:val="auto"/>
          <w:sz w:val="24"/>
          <w:szCs w:val="24"/>
        </w:rPr>
        <w:t>4）展望后市，黄金或将继续承压、股票风格</w:t>
      </w:r>
      <w:proofErr w:type="gramStart"/>
      <w:r w:rsidRPr="008D1D18">
        <w:rPr>
          <w:rFonts w:ascii="华文楷体" w:hAnsi="华文楷体" w:hint="eastAsia"/>
          <w:b w:val="0"/>
          <w:color w:val="auto"/>
          <w:sz w:val="24"/>
          <w:szCs w:val="24"/>
        </w:rPr>
        <w:t>会阶段</w:t>
      </w:r>
      <w:proofErr w:type="gramEnd"/>
      <w:r w:rsidRPr="008D1D18">
        <w:rPr>
          <w:rFonts w:ascii="华文楷体" w:hAnsi="华文楷体" w:hint="eastAsia"/>
          <w:b w:val="0"/>
          <w:color w:val="auto"/>
          <w:sz w:val="24"/>
          <w:szCs w:val="24"/>
        </w:rPr>
        <w:t>转向价值，但中期仍偏向成长。此轮利率变化与2月初有一些可以</w:t>
      </w:r>
      <w:r w:rsidR="00A222E7">
        <w:rPr>
          <w:rFonts w:ascii="华文楷体" w:hAnsi="华文楷体" w:hint="eastAsia"/>
          <w:b w:val="0"/>
          <w:color w:val="auto"/>
          <w:sz w:val="24"/>
          <w:szCs w:val="24"/>
        </w:rPr>
        <w:t>参考</w:t>
      </w:r>
      <w:r w:rsidRPr="008D1D18">
        <w:rPr>
          <w:rFonts w:ascii="华文楷体" w:hAnsi="华文楷体" w:hint="eastAsia"/>
          <w:b w:val="0"/>
          <w:color w:val="auto"/>
          <w:sz w:val="24"/>
          <w:szCs w:val="24"/>
        </w:rPr>
        <w:t>和借鉴之处，但是大的经济周期和政策环境已然不同。一方面，美国增长已经不像去年底处于修复的初期，向上的二阶导数最快的阶段逐步过去。另一方面，货币政策环境已然不同，最新的9月FOMC会议已经传递了较为强烈的QE减量即将开始的信号。这一背景下，黄金或将继续承压、股票风格在利率阶段性上行期间可能会再转向银行等价值股，但由于增长周期也可能逐步回落，预计中期可能还是以与大的宏观增长环境相关性</w:t>
      </w:r>
      <w:r w:rsidRPr="00874A74">
        <w:rPr>
          <w:rFonts w:ascii="华文楷体" w:hAnsi="华文楷体" w:hint="eastAsia"/>
          <w:b w:val="0"/>
          <w:color w:val="auto"/>
          <w:sz w:val="24"/>
          <w:szCs w:val="24"/>
        </w:rPr>
        <w:t>较低的成长为主。</w:t>
      </w:r>
    </w:p>
    <w:p w14:paraId="3318BF3E" w14:textId="576D6F3C" w:rsidR="00874A74" w:rsidRPr="00874A74" w:rsidRDefault="00874A74" w:rsidP="00874A74">
      <w:pPr>
        <w:pStyle w:val="Header1"/>
        <w:spacing w:before="240"/>
        <w:ind w:firstLineChars="200" w:firstLine="480"/>
        <w:rPr>
          <w:rFonts w:ascii="华文楷体" w:hAnsi="华文楷体"/>
          <w:bCs/>
          <w:color w:val="auto"/>
          <w:sz w:val="24"/>
          <w:szCs w:val="24"/>
        </w:rPr>
      </w:pPr>
      <w:r w:rsidRPr="00874A74">
        <w:rPr>
          <w:rFonts w:ascii="华文楷体" w:hAnsi="华文楷体" w:hint="eastAsia"/>
          <w:bCs/>
          <w:color w:val="auto"/>
          <w:sz w:val="24"/>
          <w:szCs w:val="24"/>
        </w:rPr>
        <w:t>专题二：限电</w:t>
      </w:r>
    </w:p>
    <w:p w14:paraId="1D558158" w14:textId="0B0DFFBD" w:rsidR="00874A74" w:rsidRPr="00874A74" w:rsidRDefault="00874A74" w:rsidP="00874A74">
      <w:pPr>
        <w:pStyle w:val="Header1"/>
        <w:spacing w:before="240"/>
        <w:ind w:firstLineChars="200" w:firstLine="480"/>
        <w:rPr>
          <w:rFonts w:ascii="华文楷体" w:hAnsi="华文楷体"/>
          <w:b w:val="0"/>
          <w:color w:val="auto"/>
          <w:sz w:val="24"/>
          <w:szCs w:val="24"/>
        </w:rPr>
      </w:pPr>
      <w:r w:rsidRPr="00874A74">
        <w:rPr>
          <w:rFonts w:ascii="华文楷体" w:hAnsi="华文楷体" w:hint="eastAsia"/>
          <w:b w:val="0"/>
          <w:color w:val="auto"/>
          <w:sz w:val="24"/>
          <w:szCs w:val="24"/>
        </w:rPr>
        <w:t>限电的原因：</w:t>
      </w:r>
    </w:p>
    <w:p w14:paraId="744FC529" w14:textId="77777777" w:rsidR="00874A74" w:rsidRPr="00874A74" w:rsidRDefault="00874A74" w:rsidP="00874A74">
      <w:pPr>
        <w:pStyle w:val="Header1"/>
        <w:spacing w:before="240"/>
        <w:ind w:firstLineChars="200" w:firstLine="480"/>
        <w:rPr>
          <w:rFonts w:ascii="华文楷体" w:hAnsi="华文楷体"/>
          <w:b w:val="0"/>
          <w:color w:val="auto"/>
          <w:sz w:val="24"/>
          <w:szCs w:val="24"/>
        </w:rPr>
      </w:pPr>
      <w:r w:rsidRPr="00874A74">
        <w:rPr>
          <w:rFonts w:ascii="华文楷体" w:hAnsi="华文楷体" w:hint="eastAsia"/>
          <w:b w:val="0"/>
          <w:color w:val="auto"/>
          <w:sz w:val="24"/>
          <w:szCs w:val="24"/>
        </w:rPr>
        <w:t>1）需求端，今年1-8月我国全社会用电量54703亿兆瓦时，同比增14.72%，相比2019年同期增15.35%，增速明显高于往年；</w:t>
      </w:r>
    </w:p>
    <w:p w14:paraId="334BBEF1" w14:textId="77777777" w:rsidR="00874A74" w:rsidRPr="00874A74" w:rsidRDefault="00874A74" w:rsidP="00874A74">
      <w:pPr>
        <w:pStyle w:val="Header1"/>
        <w:spacing w:before="240"/>
        <w:ind w:firstLineChars="200" w:firstLine="480"/>
        <w:rPr>
          <w:rFonts w:ascii="华文楷体" w:hAnsi="华文楷体"/>
          <w:b w:val="0"/>
          <w:color w:val="auto"/>
          <w:sz w:val="24"/>
          <w:szCs w:val="24"/>
        </w:rPr>
      </w:pPr>
      <w:r w:rsidRPr="00874A74">
        <w:rPr>
          <w:rFonts w:ascii="华文楷体" w:hAnsi="华文楷体" w:hint="eastAsia"/>
          <w:b w:val="0"/>
          <w:color w:val="auto"/>
          <w:sz w:val="24"/>
          <w:szCs w:val="24"/>
        </w:rPr>
        <w:t>2）供给端，总装机容量增速尚可，但稳定电源火电的增速持续下滑；</w:t>
      </w:r>
      <w:proofErr w:type="gramStart"/>
      <w:r w:rsidRPr="00874A74">
        <w:rPr>
          <w:rFonts w:ascii="华文楷体" w:hAnsi="华文楷体" w:hint="eastAsia"/>
          <w:b w:val="0"/>
          <w:color w:val="auto"/>
          <w:sz w:val="24"/>
          <w:szCs w:val="24"/>
        </w:rPr>
        <w:t>前8月</w:t>
      </w:r>
      <w:proofErr w:type="gramEnd"/>
      <w:r w:rsidRPr="00874A74">
        <w:rPr>
          <w:rFonts w:ascii="华文楷体" w:hAnsi="华文楷体" w:hint="eastAsia"/>
          <w:b w:val="0"/>
          <w:color w:val="auto"/>
          <w:sz w:val="24"/>
          <w:szCs w:val="24"/>
        </w:rPr>
        <w:t>火电设备的平均利用小时2988小时，高于过去两年，是2015年来的最高值，之前年度峰值约3900小时。</w:t>
      </w:r>
    </w:p>
    <w:p w14:paraId="7BE8DF91" w14:textId="77777777" w:rsidR="00874A74" w:rsidRPr="00874A74" w:rsidRDefault="00874A74" w:rsidP="00874A74">
      <w:pPr>
        <w:pStyle w:val="Header1"/>
        <w:spacing w:before="240"/>
        <w:ind w:firstLineChars="200" w:firstLine="480"/>
        <w:rPr>
          <w:rFonts w:ascii="华文楷体" w:hAnsi="华文楷体"/>
          <w:b w:val="0"/>
          <w:color w:val="auto"/>
          <w:sz w:val="24"/>
          <w:szCs w:val="24"/>
        </w:rPr>
      </w:pPr>
      <w:r w:rsidRPr="00874A74">
        <w:rPr>
          <w:rFonts w:ascii="华文楷体" w:hAnsi="华文楷体" w:hint="eastAsia"/>
          <w:b w:val="0"/>
          <w:color w:val="auto"/>
          <w:sz w:val="24"/>
          <w:szCs w:val="24"/>
        </w:rPr>
        <w:t>3）政策端，8 月 17 日发改委印发了《2021 年上半年各地区能耗双控目标完成情况晴雨表》，随后多个预警省份出现限电限产措施，赶工完成全年目标。</w:t>
      </w:r>
    </w:p>
    <w:p w14:paraId="32F9B3E8" w14:textId="77777777" w:rsidR="00874A74" w:rsidRPr="00874A74" w:rsidRDefault="00874A74" w:rsidP="00874A74">
      <w:pPr>
        <w:pStyle w:val="Header1"/>
        <w:spacing w:before="240"/>
        <w:ind w:firstLineChars="200" w:firstLine="480"/>
        <w:rPr>
          <w:rFonts w:ascii="华文楷体" w:hAnsi="华文楷体"/>
          <w:bCs/>
          <w:color w:val="auto"/>
          <w:sz w:val="24"/>
          <w:szCs w:val="24"/>
        </w:rPr>
      </w:pPr>
      <w:r w:rsidRPr="00874A74">
        <w:rPr>
          <w:rFonts w:ascii="华文楷体" w:hAnsi="华文楷体" w:hint="eastAsia"/>
          <w:bCs/>
          <w:color w:val="auto"/>
          <w:sz w:val="24"/>
          <w:szCs w:val="24"/>
        </w:rPr>
        <w:lastRenderedPageBreak/>
        <w:t>限电的影响：</w:t>
      </w:r>
    </w:p>
    <w:p w14:paraId="30779DDA" w14:textId="2C90A5C7" w:rsidR="00874A74" w:rsidRPr="00874A74" w:rsidRDefault="00874A74" w:rsidP="00874A74">
      <w:pPr>
        <w:pStyle w:val="Header1"/>
        <w:spacing w:before="240"/>
        <w:ind w:firstLineChars="200" w:firstLine="480"/>
        <w:rPr>
          <w:rFonts w:ascii="华文楷体" w:hAnsi="华文楷体"/>
          <w:b w:val="0"/>
          <w:color w:val="auto"/>
          <w:sz w:val="24"/>
          <w:szCs w:val="24"/>
        </w:rPr>
      </w:pPr>
      <w:r w:rsidRPr="00874A74">
        <w:rPr>
          <w:rFonts w:ascii="华文楷体" w:hAnsi="华文楷体" w:hint="eastAsia"/>
          <w:b w:val="0"/>
          <w:color w:val="auto"/>
          <w:sz w:val="24"/>
          <w:szCs w:val="24"/>
        </w:rPr>
        <w:t>1）高耗能产业的限电、限产是降低能耗总量的有效手段，短期影响开工率，中长期影响相关行业</w:t>
      </w:r>
      <w:r w:rsidR="00A222E7">
        <w:rPr>
          <w:rFonts w:ascii="华文楷体" w:hAnsi="华文楷体" w:hint="eastAsia"/>
          <w:b w:val="0"/>
          <w:color w:val="auto"/>
          <w:sz w:val="24"/>
          <w:szCs w:val="24"/>
        </w:rPr>
        <w:t>的</w:t>
      </w:r>
      <w:r w:rsidRPr="00874A74">
        <w:rPr>
          <w:rFonts w:ascii="华文楷体" w:hAnsi="华文楷体" w:hint="eastAsia"/>
          <w:b w:val="0"/>
          <w:color w:val="auto"/>
          <w:sz w:val="24"/>
          <w:szCs w:val="24"/>
        </w:rPr>
        <w:t xml:space="preserve">产能扩张；钢铁、电解铝等行业供给端将基本稳定，具备全产业链或效率优势的化工企业受益。 </w:t>
      </w:r>
    </w:p>
    <w:p w14:paraId="77EF947A" w14:textId="2CF68725" w:rsidR="00874A74" w:rsidRPr="00874A74" w:rsidRDefault="00874A74" w:rsidP="00874A74">
      <w:pPr>
        <w:pStyle w:val="Header1"/>
        <w:spacing w:before="240"/>
        <w:ind w:firstLineChars="200" w:firstLine="480"/>
        <w:rPr>
          <w:rFonts w:ascii="华文楷体" w:hAnsi="华文楷体"/>
          <w:b w:val="0"/>
          <w:color w:val="auto"/>
          <w:sz w:val="24"/>
          <w:szCs w:val="24"/>
        </w:rPr>
      </w:pPr>
      <w:r w:rsidRPr="00874A74">
        <w:rPr>
          <w:rFonts w:ascii="华文楷体" w:hAnsi="华文楷体" w:hint="eastAsia"/>
          <w:b w:val="0"/>
          <w:color w:val="auto"/>
          <w:sz w:val="24"/>
          <w:szCs w:val="24"/>
        </w:rPr>
        <w:t>2）9-10月份是传统的投资旺季，原材料等供给短缺或对短期价格进一步造成冲击，9月以来动力煤指数增长35.80%，水泥价格指数增长23.14%，</w:t>
      </w:r>
      <w:proofErr w:type="gramStart"/>
      <w:r w:rsidRPr="00874A74">
        <w:rPr>
          <w:rFonts w:ascii="华文楷体" w:hAnsi="华文楷体" w:hint="eastAsia"/>
          <w:b w:val="0"/>
          <w:color w:val="auto"/>
          <w:sz w:val="24"/>
          <w:szCs w:val="24"/>
        </w:rPr>
        <w:t>沪铝指数增长</w:t>
      </w:r>
      <w:proofErr w:type="gramEnd"/>
      <w:r w:rsidRPr="00874A74">
        <w:rPr>
          <w:rFonts w:ascii="华文楷体" w:hAnsi="华文楷体" w:hint="eastAsia"/>
          <w:b w:val="0"/>
          <w:color w:val="auto"/>
          <w:sz w:val="24"/>
          <w:szCs w:val="24"/>
        </w:rPr>
        <w:t>9.69%，螺纹钢指数增长4.31%，PTA指数增长4.58%。需观察对CPI</w:t>
      </w:r>
      <w:r w:rsidR="00A222E7">
        <w:rPr>
          <w:rFonts w:ascii="华文楷体" w:hAnsi="华文楷体" w:hint="eastAsia"/>
          <w:b w:val="0"/>
          <w:color w:val="auto"/>
          <w:sz w:val="24"/>
          <w:szCs w:val="24"/>
        </w:rPr>
        <w:t>的传导</w:t>
      </w:r>
      <w:r w:rsidRPr="00874A74">
        <w:rPr>
          <w:rFonts w:ascii="华文楷体" w:hAnsi="华文楷体" w:hint="eastAsia"/>
          <w:b w:val="0"/>
          <w:color w:val="auto"/>
          <w:sz w:val="24"/>
          <w:szCs w:val="24"/>
        </w:rPr>
        <w:t>。</w:t>
      </w:r>
    </w:p>
    <w:p w14:paraId="3D1FF5D2" w14:textId="77777777" w:rsidR="00874A74" w:rsidRPr="00874A74" w:rsidRDefault="00874A74" w:rsidP="00874A74">
      <w:pPr>
        <w:pStyle w:val="Header1"/>
        <w:spacing w:before="240"/>
        <w:ind w:firstLineChars="200" w:firstLine="480"/>
        <w:rPr>
          <w:rFonts w:ascii="华文楷体" w:hAnsi="华文楷体"/>
          <w:b w:val="0"/>
          <w:color w:val="auto"/>
          <w:sz w:val="24"/>
          <w:szCs w:val="24"/>
        </w:rPr>
      </w:pPr>
      <w:r w:rsidRPr="00874A74">
        <w:rPr>
          <w:rFonts w:ascii="华文楷体" w:hAnsi="华文楷体" w:hint="eastAsia"/>
          <w:b w:val="0"/>
          <w:color w:val="auto"/>
          <w:sz w:val="24"/>
          <w:szCs w:val="24"/>
        </w:rPr>
        <w:t>3）地产投资低迷、外需增速收敛叠加制造业上的双控，或使四季度宏观经济下行压力加剧。</w:t>
      </w:r>
    </w:p>
    <w:p w14:paraId="1B7E58CA" w14:textId="0E26498A" w:rsidR="00874A74" w:rsidRPr="00F3595A" w:rsidRDefault="00874A74" w:rsidP="00874A74">
      <w:pPr>
        <w:pStyle w:val="Header1"/>
        <w:spacing w:before="240"/>
        <w:ind w:firstLineChars="200" w:firstLine="480"/>
        <w:rPr>
          <w:rFonts w:ascii="华文楷体" w:hAnsi="华文楷体"/>
          <w:b w:val="0"/>
          <w:color w:val="auto"/>
          <w:sz w:val="24"/>
          <w:szCs w:val="24"/>
        </w:rPr>
      </w:pPr>
      <w:r w:rsidRPr="00874A74">
        <w:rPr>
          <w:rFonts w:ascii="华文楷体" w:hAnsi="华文楷体" w:hint="eastAsia"/>
          <w:b w:val="0"/>
          <w:color w:val="auto"/>
          <w:sz w:val="24"/>
          <w:szCs w:val="24"/>
        </w:rPr>
        <w:t>4）长期政策定力较强，关注短期多方压力下部分政策结构性缓和的信号。</w:t>
      </w:r>
    </w:p>
    <w:p w14:paraId="7EEDEF05" w14:textId="07D2C6E3" w:rsidR="00E0626C" w:rsidRPr="003E4A57" w:rsidRDefault="003E4A57" w:rsidP="003E4A57">
      <w:pPr>
        <w:pStyle w:val="Header1"/>
        <w:spacing w:before="240"/>
        <w:ind w:firstLineChars="200" w:firstLine="480"/>
        <w:rPr>
          <w:rFonts w:ascii="华文楷体" w:hAnsi="华文楷体"/>
          <w:b w:val="0"/>
          <w:color w:val="auto"/>
          <w:sz w:val="24"/>
          <w:szCs w:val="24"/>
        </w:rPr>
      </w:pPr>
      <w:r w:rsidRPr="003E4A57">
        <w:rPr>
          <w:rFonts w:ascii="华文楷体" w:hAnsi="华文楷体"/>
          <w:b w:val="0"/>
          <w:color w:val="auto"/>
          <w:sz w:val="24"/>
          <w:szCs w:val="24"/>
        </w:rPr>
        <w:cr/>
      </w:r>
      <w:r w:rsidR="005E5CB1" w:rsidRPr="007353FF">
        <w:rPr>
          <w:rFonts w:hint="eastAsia"/>
          <w:color w:val="C45911" w:themeColor="accent2" w:themeShade="BF"/>
        </w:rPr>
        <w:t>二</w:t>
      </w:r>
      <w:r w:rsidR="00E0626C" w:rsidRPr="007353FF">
        <w:rPr>
          <w:rFonts w:hint="eastAsia"/>
          <w:color w:val="C45911" w:themeColor="accent2" w:themeShade="BF"/>
        </w:rPr>
        <w:t>、上周回顾</w:t>
      </w:r>
    </w:p>
    <w:p w14:paraId="704BC20A" w14:textId="651144BD" w:rsidR="00E0626C" w:rsidRPr="007A1586" w:rsidRDefault="00E0626C" w:rsidP="009A2BA0">
      <w:pPr>
        <w:pStyle w:val="Header2"/>
        <w:rPr>
          <w:sz w:val="28"/>
          <w:szCs w:val="21"/>
        </w:rPr>
      </w:pPr>
      <w:r w:rsidRPr="00500BB1">
        <w:rPr>
          <w:rFonts w:hint="eastAsia"/>
          <w:sz w:val="28"/>
          <w:szCs w:val="21"/>
          <w:lang w:eastAsia="zh-CN"/>
        </w:rPr>
        <w:t>1</w:t>
      </w:r>
      <w:r w:rsidRPr="00500BB1">
        <w:rPr>
          <w:rFonts w:hint="eastAsia"/>
          <w:sz w:val="28"/>
          <w:szCs w:val="21"/>
          <w:lang w:eastAsia="zh-CN"/>
        </w:rPr>
        <w:t>、</w:t>
      </w:r>
      <w:r w:rsidRPr="00CD2B4D">
        <w:rPr>
          <w:rFonts w:hint="eastAsia"/>
          <w:sz w:val="28"/>
          <w:szCs w:val="21"/>
        </w:rPr>
        <w:t>利率债</w:t>
      </w:r>
    </w:p>
    <w:p w14:paraId="33F356F9" w14:textId="50AFDD60" w:rsidR="00A917BC" w:rsidRPr="00500BB1" w:rsidRDefault="007A78CB" w:rsidP="007A1586">
      <w:pPr>
        <w:pStyle w:val="Header1"/>
        <w:spacing w:before="240"/>
        <w:ind w:firstLine="480"/>
        <w:rPr>
          <w:rFonts w:ascii="华文楷体" w:hAnsi="华文楷体"/>
          <w:sz w:val="24"/>
          <w:szCs w:val="24"/>
          <w:highlight w:val="yellow"/>
        </w:rPr>
      </w:pPr>
      <w:r w:rsidRPr="007A78CB">
        <w:rPr>
          <w:rFonts w:ascii="华文楷体" w:hAnsi="华文楷体" w:hint="eastAsia"/>
          <w:b w:val="0"/>
          <w:color w:val="auto"/>
          <w:sz w:val="24"/>
          <w:szCs w:val="24"/>
        </w:rPr>
        <w:t>上周节后仅有三个交易日，但央行公开市场操作净投放2200亿元，跨季资金供给充裕，10年国债活跃</w:t>
      </w:r>
      <w:proofErr w:type="gramStart"/>
      <w:r w:rsidRPr="007A78CB">
        <w:rPr>
          <w:rFonts w:ascii="华文楷体" w:hAnsi="华文楷体" w:hint="eastAsia"/>
          <w:b w:val="0"/>
          <w:color w:val="auto"/>
          <w:sz w:val="24"/>
          <w:szCs w:val="24"/>
        </w:rPr>
        <w:t>券</w:t>
      </w:r>
      <w:proofErr w:type="gramEnd"/>
      <w:r w:rsidRPr="007A78CB">
        <w:rPr>
          <w:rFonts w:ascii="华文楷体" w:hAnsi="华文楷体" w:hint="eastAsia"/>
          <w:b w:val="0"/>
          <w:color w:val="auto"/>
          <w:sz w:val="24"/>
          <w:szCs w:val="24"/>
        </w:rPr>
        <w:t>全周下行0.5bp，利率曲线</w:t>
      </w:r>
      <w:proofErr w:type="gramStart"/>
      <w:r w:rsidRPr="007A78CB">
        <w:rPr>
          <w:rFonts w:ascii="华文楷体" w:hAnsi="华文楷体" w:hint="eastAsia"/>
          <w:b w:val="0"/>
          <w:color w:val="auto"/>
          <w:sz w:val="24"/>
          <w:szCs w:val="24"/>
        </w:rPr>
        <w:t>小幅走阔</w:t>
      </w:r>
      <w:proofErr w:type="gramEnd"/>
      <w:r w:rsidRPr="007A78CB">
        <w:rPr>
          <w:rFonts w:ascii="华文楷体" w:hAnsi="华文楷体" w:hint="eastAsia"/>
          <w:b w:val="0"/>
          <w:color w:val="auto"/>
          <w:sz w:val="24"/>
          <w:szCs w:val="24"/>
        </w:rPr>
        <w:t>。全周1Y、5Y、10Y国债中债估值分别变动-0.8BP、-0.2BP和+0BP，10-1Y国债利差上行0.9bp。</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B41E24" w14:paraId="26C17AB1" w14:textId="77777777" w:rsidTr="00202D86">
        <w:trPr>
          <w:jc w:val="center"/>
        </w:trPr>
        <w:tc>
          <w:tcPr>
            <w:tcW w:w="4939" w:type="dxa"/>
            <w:vAlign w:val="center"/>
          </w:tcPr>
          <w:p w14:paraId="6C73AA55" w14:textId="11937E54" w:rsidR="00E0626C" w:rsidRPr="00B41E24" w:rsidRDefault="00E0626C" w:rsidP="00BA168E">
            <w:pPr>
              <w:pStyle w:val="ChartHeading"/>
              <w:jc w:val="both"/>
            </w:pPr>
            <w:r w:rsidRPr="00B41E24">
              <w:rPr>
                <w:rFonts w:hint="eastAsia"/>
              </w:rPr>
              <w:t>图表</w:t>
            </w:r>
            <w:r w:rsidRPr="00B41E24">
              <w:t xml:space="preserve">. </w:t>
            </w:r>
            <w:r w:rsidRPr="00B41E24">
              <w:rPr>
                <w:rFonts w:hint="eastAsia"/>
              </w:rPr>
              <w:t>国债收益率曲线和变化</w:t>
            </w:r>
          </w:p>
        </w:tc>
        <w:tc>
          <w:tcPr>
            <w:tcW w:w="4938" w:type="dxa"/>
            <w:vAlign w:val="center"/>
          </w:tcPr>
          <w:p w14:paraId="2C5A7EDC" w14:textId="7D7F9BC1" w:rsidR="00E0626C" w:rsidRPr="00B41E24" w:rsidRDefault="00E0626C" w:rsidP="009A2BA0">
            <w:pPr>
              <w:pStyle w:val="ChartHeading"/>
              <w:jc w:val="both"/>
            </w:pPr>
            <w:r w:rsidRPr="00B41E24">
              <w:rPr>
                <w:rFonts w:hint="eastAsia"/>
              </w:rPr>
              <w:t>图表</w:t>
            </w:r>
            <w:r w:rsidRPr="00B41E24">
              <w:t xml:space="preserve">. </w:t>
            </w:r>
            <w:proofErr w:type="gramStart"/>
            <w:r w:rsidRPr="00B41E24">
              <w:rPr>
                <w:rFonts w:hint="eastAsia"/>
              </w:rPr>
              <w:t>国开债收益率曲线</w:t>
            </w:r>
            <w:proofErr w:type="gramEnd"/>
            <w:r w:rsidRPr="00B41E24">
              <w:rPr>
                <w:rFonts w:hint="eastAsia"/>
              </w:rPr>
              <w:t>和变化</w:t>
            </w:r>
          </w:p>
        </w:tc>
      </w:tr>
      <w:tr w:rsidR="00E0626C" w:rsidRPr="00B41E24" w14:paraId="1094FBBD" w14:textId="77777777" w:rsidTr="007A78CB">
        <w:tblPrEx>
          <w:tblCellMar>
            <w:left w:w="108" w:type="dxa"/>
            <w:right w:w="108" w:type="dxa"/>
          </w:tblCellMar>
        </w:tblPrEx>
        <w:trPr>
          <w:trHeight w:val="2854"/>
          <w:jc w:val="center"/>
        </w:trPr>
        <w:tc>
          <w:tcPr>
            <w:tcW w:w="4939" w:type="dxa"/>
            <w:vAlign w:val="center"/>
          </w:tcPr>
          <w:p w14:paraId="678C97B0" w14:textId="63558842" w:rsidR="00E0626C" w:rsidRPr="00B41E24" w:rsidRDefault="007A78CB" w:rsidP="002104B2">
            <w:pPr>
              <w:rPr>
                <w:noProof/>
              </w:rPr>
            </w:pPr>
            <w:r>
              <w:rPr>
                <w:noProof/>
              </w:rPr>
              <w:drawing>
                <wp:inline distT="0" distB="0" distL="0" distR="0" wp14:anchorId="63593FAA" wp14:editId="71EC47FA">
                  <wp:extent cx="2622794" cy="1674230"/>
                  <wp:effectExtent l="0" t="0" r="6350" b="2540"/>
                  <wp:docPr id="2" name="图表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38" w:type="dxa"/>
            <w:vAlign w:val="center"/>
          </w:tcPr>
          <w:p w14:paraId="17A42E68" w14:textId="2D3F0F01" w:rsidR="00E0626C" w:rsidRPr="00B41E24" w:rsidRDefault="007A78CB" w:rsidP="009A2BA0">
            <w:pPr>
              <w:jc w:val="center"/>
              <w:rPr>
                <w:noProof/>
                <w:szCs w:val="18"/>
              </w:rPr>
            </w:pPr>
            <w:r>
              <w:rPr>
                <w:noProof/>
              </w:rPr>
              <w:drawing>
                <wp:inline distT="0" distB="0" distL="0" distR="0" wp14:anchorId="672F6830" wp14:editId="20BCD693">
                  <wp:extent cx="2683119" cy="1709790"/>
                  <wp:effectExtent l="0" t="0" r="3175" b="5080"/>
                  <wp:docPr id="3" name="图表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0626C" w:rsidRPr="00500BB1" w14:paraId="70E50E5B" w14:textId="77777777" w:rsidTr="00202D86">
        <w:trPr>
          <w:trHeight w:val="64"/>
          <w:jc w:val="center"/>
        </w:trPr>
        <w:tc>
          <w:tcPr>
            <w:tcW w:w="4939" w:type="dxa"/>
            <w:vAlign w:val="center"/>
          </w:tcPr>
          <w:p w14:paraId="3E8A3EBA" w14:textId="77777777" w:rsidR="00E0626C" w:rsidRPr="00B41E24" w:rsidRDefault="00E0626C" w:rsidP="009A2BA0">
            <w:pPr>
              <w:pStyle w:val="Source"/>
              <w:jc w:val="both"/>
              <w:rPr>
                <w:kern w:val="0"/>
              </w:rPr>
            </w:pPr>
            <w:r w:rsidRPr="00B41E24">
              <w:rPr>
                <w:rFonts w:hint="eastAsia"/>
                <w:kern w:val="0"/>
              </w:rPr>
              <w:t>资料来源：万得，富荣基金</w:t>
            </w:r>
          </w:p>
        </w:tc>
        <w:tc>
          <w:tcPr>
            <w:tcW w:w="4938" w:type="dxa"/>
            <w:vAlign w:val="center"/>
          </w:tcPr>
          <w:p w14:paraId="589540D5" w14:textId="77777777" w:rsidR="00E0626C" w:rsidRPr="00B41E24" w:rsidRDefault="00E0626C" w:rsidP="009A2BA0">
            <w:pPr>
              <w:pStyle w:val="Source"/>
              <w:jc w:val="both"/>
              <w:rPr>
                <w:kern w:val="0"/>
              </w:rPr>
            </w:pPr>
            <w:r w:rsidRPr="00B41E24">
              <w:rPr>
                <w:rFonts w:hint="eastAsia"/>
                <w:kern w:val="0"/>
              </w:rPr>
              <w:t>资料来源：万得，富荣基金</w:t>
            </w:r>
          </w:p>
        </w:tc>
      </w:tr>
    </w:tbl>
    <w:p w14:paraId="548449F9" w14:textId="77777777" w:rsidR="00A314E6" w:rsidRDefault="00A314E6" w:rsidP="00A314E6">
      <w:pPr>
        <w:pStyle w:val="Header2"/>
        <w:rPr>
          <w:rFonts w:ascii="华文楷体" w:eastAsia="PMingLiU" w:hAnsi="华文楷体"/>
          <w:b w:val="0"/>
          <w:szCs w:val="24"/>
        </w:rPr>
      </w:pPr>
    </w:p>
    <w:p w14:paraId="65C5336B" w14:textId="77777777" w:rsidR="00A314E6" w:rsidRDefault="00A314E6" w:rsidP="00A314E6">
      <w:pPr>
        <w:pStyle w:val="Header2"/>
        <w:rPr>
          <w:rFonts w:ascii="华文楷体" w:eastAsia="PMingLiU" w:hAnsi="华文楷体"/>
          <w:b w:val="0"/>
          <w:szCs w:val="24"/>
        </w:rPr>
      </w:pPr>
    </w:p>
    <w:p w14:paraId="18D67482" w14:textId="428AE6CE" w:rsidR="00E0626C" w:rsidRPr="00CD2B4D" w:rsidRDefault="00A314E6" w:rsidP="00A314E6">
      <w:pPr>
        <w:pStyle w:val="Header2"/>
        <w:rPr>
          <w:rFonts w:eastAsia="PMingLiU"/>
          <w:sz w:val="28"/>
          <w:szCs w:val="21"/>
        </w:rPr>
      </w:pPr>
      <w:r w:rsidRPr="003E4A57">
        <w:rPr>
          <w:rFonts w:ascii="华文楷体" w:hAnsi="华文楷体"/>
          <w:b w:val="0"/>
          <w:szCs w:val="24"/>
        </w:rPr>
        <w:cr/>
      </w:r>
      <w:r w:rsidR="007A1586">
        <w:rPr>
          <w:sz w:val="28"/>
          <w:szCs w:val="21"/>
          <w:lang w:eastAsia="zh-CN"/>
        </w:rPr>
        <w:t>2</w:t>
      </w:r>
      <w:r w:rsidR="00E0626C" w:rsidRPr="00CD2B4D">
        <w:rPr>
          <w:rFonts w:hint="eastAsia"/>
          <w:sz w:val="28"/>
          <w:szCs w:val="21"/>
          <w:lang w:eastAsia="zh-CN"/>
        </w:rPr>
        <w:t>、</w:t>
      </w:r>
      <w:r w:rsidR="00E0626C" w:rsidRPr="00CD2B4D">
        <w:rPr>
          <w:rFonts w:hint="eastAsia"/>
          <w:sz w:val="28"/>
          <w:szCs w:val="21"/>
        </w:rPr>
        <w:t>信用债</w:t>
      </w:r>
    </w:p>
    <w:p w14:paraId="65D1F2BE" w14:textId="3E9D3E4C" w:rsidR="00CD1AE8" w:rsidRPr="003E4A57" w:rsidRDefault="007A78CB" w:rsidP="007A78CB">
      <w:pPr>
        <w:pStyle w:val="Body-text"/>
        <w:spacing w:after="240"/>
        <w:ind w:firstLineChars="200" w:firstLine="480"/>
        <w:rPr>
          <w:rFonts w:ascii="华文楷体" w:hAnsi="华文楷体"/>
          <w:sz w:val="24"/>
          <w:szCs w:val="24"/>
          <w:highlight w:val="yellow"/>
          <w:lang w:eastAsia="zh-CN"/>
        </w:rPr>
      </w:pPr>
      <w:r w:rsidRPr="007A78CB">
        <w:rPr>
          <w:rFonts w:ascii="华文楷体" w:hAnsi="华文楷体" w:hint="eastAsia"/>
          <w:sz w:val="24"/>
          <w:szCs w:val="24"/>
          <w:lang w:eastAsia="zh-CN"/>
        </w:rPr>
        <w:t>信用</w:t>
      </w:r>
      <w:proofErr w:type="gramStart"/>
      <w:r w:rsidRPr="007A78CB">
        <w:rPr>
          <w:rFonts w:ascii="华文楷体" w:hAnsi="华文楷体" w:hint="eastAsia"/>
          <w:sz w:val="24"/>
          <w:szCs w:val="24"/>
          <w:lang w:eastAsia="zh-CN"/>
        </w:rPr>
        <w:t>债继续</w:t>
      </w:r>
      <w:proofErr w:type="gramEnd"/>
      <w:r w:rsidRPr="007A78CB">
        <w:rPr>
          <w:rFonts w:ascii="华文楷体" w:hAnsi="华文楷体" w:hint="eastAsia"/>
          <w:sz w:val="24"/>
          <w:szCs w:val="24"/>
          <w:lang w:eastAsia="zh-CN"/>
        </w:rPr>
        <w:t>调整，3年期城</w:t>
      </w:r>
      <w:proofErr w:type="gramStart"/>
      <w:r w:rsidRPr="007A78CB">
        <w:rPr>
          <w:rFonts w:ascii="华文楷体" w:hAnsi="华文楷体" w:hint="eastAsia"/>
          <w:sz w:val="24"/>
          <w:szCs w:val="24"/>
          <w:lang w:eastAsia="zh-CN"/>
        </w:rPr>
        <w:t>投债变化</w:t>
      </w:r>
      <w:proofErr w:type="gramEnd"/>
      <w:r w:rsidRPr="007A78CB">
        <w:rPr>
          <w:rFonts w:ascii="华文楷体" w:hAnsi="华文楷体" w:hint="eastAsia"/>
          <w:sz w:val="24"/>
          <w:szCs w:val="24"/>
          <w:lang w:eastAsia="zh-CN"/>
        </w:rPr>
        <w:t>2~3BP，3年期中</w:t>
      </w:r>
      <w:proofErr w:type="gramStart"/>
      <w:r w:rsidRPr="007A78CB">
        <w:rPr>
          <w:rFonts w:ascii="华文楷体" w:hAnsi="华文楷体" w:hint="eastAsia"/>
          <w:sz w:val="24"/>
          <w:szCs w:val="24"/>
          <w:lang w:eastAsia="zh-CN"/>
        </w:rPr>
        <w:t>票变化</w:t>
      </w:r>
      <w:proofErr w:type="gramEnd"/>
      <w:r w:rsidRPr="007A78CB">
        <w:rPr>
          <w:rFonts w:ascii="华文楷体" w:hAnsi="华文楷体" w:hint="eastAsia"/>
          <w:sz w:val="24"/>
          <w:szCs w:val="24"/>
          <w:lang w:eastAsia="zh-CN"/>
        </w:rPr>
        <w:t>3~4BP。1Y期限</w:t>
      </w:r>
      <w:proofErr w:type="gramStart"/>
      <w:r w:rsidRPr="007A78CB">
        <w:rPr>
          <w:rFonts w:ascii="华文楷体" w:hAnsi="华文楷体" w:hint="eastAsia"/>
          <w:sz w:val="24"/>
          <w:szCs w:val="24"/>
          <w:lang w:eastAsia="zh-CN"/>
        </w:rPr>
        <w:t>短融变化</w:t>
      </w:r>
      <w:proofErr w:type="gramEnd"/>
      <w:r w:rsidRPr="007A78CB">
        <w:rPr>
          <w:rFonts w:ascii="华文楷体" w:hAnsi="华文楷体" w:hint="eastAsia"/>
          <w:sz w:val="24"/>
          <w:szCs w:val="24"/>
          <w:lang w:eastAsia="zh-CN"/>
        </w:rPr>
        <w:t>3~5BP，3年AAA企业</w:t>
      </w:r>
      <w:proofErr w:type="gramStart"/>
      <w:r w:rsidRPr="007A78CB">
        <w:rPr>
          <w:rFonts w:ascii="华文楷体" w:hAnsi="华文楷体" w:hint="eastAsia"/>
          <w:sz w:val="24"/>
          <w:szCs w:val="24"/>
          <w:lang w:eastAsia="zh-CN"/>
        </w:rPr>
        <w:t>债变化</w:t>
      </w:r>
      <w:proofErr w:type="gramEnd"/>
      <w:r w:rsidRPr="007A78CB">
        <w:rPr>
          <w:rFonts w:ascii="华文楷体" w:hAnsi="华文楷体" w:hint="eastAsia"/>
          <w:sz w:val="24"/>
          <w:szCs w:val="24"/>
          <w:lang w:eastAsia="zh-CN"/>
        </w:rPr>
        <w:t>-2~0BP，5Y企业</w:t>
      </w:r>
      <w:proofErr w:type="gramStart"/>
      <w:r w:rsidRPr="007A78CB">
        <w:rPr>
          <w:rFonts w:ascii="华文楷体" w:hAnsi="华文楷体" w:hint="eastAsia"/>
          <w:sz w:val="24"/>
          <w:szCs w:val="24"/>
          <w:lang w:eastAsia="zh-CN"/>
        </w:rPr>
        <w:t>债变化</w:t>
      </w:r>
      <w:proofErr w:type="gramEnd"/>
      <w:r w:rsidRPr="007A78CB">
        <w:rPr>
          <w:rFonts w:ascii="华文楷体" w:hAnsi="华文楷体" w:hint="eastAsia"/>
          <w:sz w:val="24"/>
          <w:szCs w:val="24"/>
          <w:lang w:eastAsia="zh-CN"/>
        </w:rPr>
        <w:t>0~1BP左右，</w:t>
      </w:r>
      <w:proofErr w:type="gramStart"/>
      <w:r w:rsidRPr="007A78CB">
        <w:rPr>
          <w:rFonts w:ascii="华文楷体" w:hAnsi="华文楷体" w:hint="eastAsia"/>
          <w:sz w:val="24"/>
          <w:szCs w:val="24"/>
          <w:lang w:eastAsia="zh-CN"/>
        </w:rPr>
        <w:t>城投债</w:t>
      </w:r>
      <w:proofErr w:type="gramEnd"/>
      <w:r w:rsidRPr="007A78CB">
        <w:rPr>
          <w:rFonts w:ascii="华文楷体" w:hAnsi="华文楷体" w:hint="eastAsia"/>
          <w:sz w:val="24"/>
          <w:szCs w:val="24"/>
          <w:lang w:eastAsia="zh-CN"/>
        </w:rPr>
        <w:t>3Y期限品种变化2~3BP，5Y品种变化-5~8BP，7Y品种变化-6~7BP左右。具体来看收益率分位数，1Y品种收益率分位数在15%~20%以内；3Y品种收益率分位数在8%~16%区间</w:t>
      </w:r>
      <w:r w:rsidR="00EC56B8">
        <w:rPr>
          <w:rFonts w:ascii="华文楷体" w:hAnsi="华文楷体" w:hint="eastAsia"/>
          <w:sz w:val="24"/>
          <w:szCs w:val="24"/>
          <w:lang w:eastAsia="zh-CN"/>
        </w:rPr>
        <w:t>；</w:t>
      </w:r>
      <w:r w:rsidRPr="007A78CB">
        <w:rPr>
          <w:rFonts w:ascii="华文楷体" w:hAnsi="华文楷体" w:hint="eastAsia"/>
          <w:sz w:val="24"/>
          <w:szCs w:val="24"/>
          <w:lang w:eastAsia="zh-CN"/>
        </w:rPr>
        <w:t>5Y及7Y等中长期</w:t>
      </w:r>
      <w:proofErr w:type="gramStart"/>
      <w:r w:rsidRPr="007A78CB">
        <w:rPr>
          <w:rFonts w:ascii="华文楷体" w:hAnsi="华文楷体" w:hint="eastAsia"/>
          <w:sz w:val="24"/>
          <w:szCs w:val="24"/>
          <w:lang w:eastAsia="zh-CN"/>
        </w:rPr>
        <w:t>限品种</w:t>
      </w:r>
      <w:proofErr w:type="gramEnd"/>
      <w:r w:rsidRPr="007A78CB">
        <w:rPr>
          <w:rFonts w:ascii="华文楷体" w:hAnsi="华文楷体" w:hint="eastAsia"/>
          <w:sz w:val="24"/>
          <w:szCs w:val="24"/>
          <w:lang w:eastAsia="zh-CN"/>
        </w:rPr>
        <w:t>处于5%~12%分位数。</w:t>
      </w:r>
    </w:p>
    <w:tbl>
      <w:tblPr>
        <w:tblW w:w="9713" w:type="dxa"/>
        <w:jc w:val="center"/>
        <w:tblCellMar>
          <w:left w:w="0" w:type="dxa"/>
          <w:right w:w="0" w:type="dxa"/>
        </w:tblCellMar>
        <w:tblLook w:val="01E0" w:firstRow="1" w:lastRow="1" w:firstColumn="1" w:lastColumn="1" w:noHBand="0" w:noVBand="0"/>
      </w:tblPr>
      <w:tblGrid>
        <w:gridCol w:w="9864"/>
      </w:tblGrid>
      <w:tr w:rsidR="00E0626C" w:rsidRPr="00B41E24" w14:paraId="5602CC82" w14:textId="77777777" w:rsidTr="00220902">
        <w:trPr>
          <w:trHeight w:val="360"/>
          <w:jc w:val="center"/>
        </w:trPr>
        <w:tc>
          <w:tcPr>
            <w:tcW w:w="9713" w:type="dxa"/>
            <w:vAlign w:val="center"/>
          </w:tcPr>
          <w:p w14:paraId="1C0DBC70" w14:textId="4A8BBE5E" w:rsidR="00E0626C" w:rsidRPr="00B41E24" w:rsidRDefault="00E0626C" w:rsidP="009A2BA0">
            <w:pPr>
              <w:pStyle w:val="ChartHeading"/>
              <w:jc w:val="both"/>
            </w:pPr>
            <w:r w:rsidRPr="00B41E24">
              <w:rPr>
                <w:rFonts w:hint="eastAsia"/>
              </w:rPr>
              <w:lastRenderedPageBreak/>
              <w:t>图表</w:t>
            </w:r>
            <w:r w:rsidRPr="00B41E24">
              <w:t xml:space="preserve">. </w:t>
            </w:r>
            <w:r w:rsidR="00F966B6" w:rsidRPr="00B41E24">
              <w:rPr>
                <w:rFonts w:hint="eastAsia"/>
              </w:rPr>
              <w:t>信用债收益率、利差变化情况</w:t>
            </w:r>
          </w:p>
        </w:tc>
      </w:tr>
      <w:tr w:rsidR="00E0626C" w:rsidRPr="00B41E24" w14:paraId="1114B583" w14:textId="77777777" w:rsidTr="007A1586">
        <w:tblPrEx>
          <w:tblCellMar>
            <w:left w:w="108" w:type="dxa"/>
            <w:right w:w="108" w:type="dxa"/>
          </w:tblCellMar>
        </w:tblPrEx>
        <w:trPr>
          <w:trHeight w:val="74"/>
          <w:jc w:val="center"/>
        </w:trPr>
        <w:tc>
          <w:tcPr>
            <w:tcW w:w="9713" w:type="dxa"/>
            <w:vAlign w:val="center"/>
          </w:tcPr>
          <w:tbl>
            <w:tblPr>
              <w:tblW w:w="9638" w:type="dxa"/>
              <w:tblLook w:val="04A0" w:firstRow="1" w:lastRow="0" w:firstColumn="1" w:lastColumn="0" w:noHBand="0" w:noVBand="1"/>
            </w:tblPr>
            <w:tblGrid>
              <w:gridCol w:w="1309"/>
              <w:gridCol w:w="740"/>
              <w:gridCol w:w="920"/>
              <w:gridCol w:w="920"/>
              <w:gridCol w:w="920"/>
              <w:gridCol w:w="1149"/>
              <w:gridCol w:w="920"/>
              <w:gridCol w:w="920"/>
              <w:gridCol w:w="920"/>
              <w:gridCol w:w="920"/>
            </w:tblGrid>
            <w:tr w:rsidR="007A78CB" w:rsidRPr="003F4793" w14:paraId="15070232" w14:textId="77777777" w:rsidTr="00E10EDA">
              <w:trPr>
                <w:trHeight w:val="310"/>
              </w:trPr>
              <w:tc>
                <w:tcPr>
                  <w:tcW w:w="1309" w:type="dxa"/>
                  <w:tcBorders>
                    <w:top w:val="nil"/>
                    <w:left w:val="nil"/>
                    <w:bottom w:val="single" w:sz="12" w:space="0" w:color="FFFFFF"/>
                    <w:right w:val="single" w:sz="8" w:space="0" w:color="FFFFFF"/>
                  </w:tcBorders>
                  <w:shd w:val="clear" w:color="000000" w:fill="F79646"/>
                  <w:noWrap/>
                  <w:vAlign w:val="center"/>
                  <w:hideMark/>
                </w:tcPr>
                <w:p w14:paraId="413AFE14" w14:textId="37F9326F"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收益率(%)</w:t>
                  </w:r>
                </w:p>
              </w:tc>
              <w:tc>
                <w:tcPr>
                  <w:tcW w:w="740" w:type="dxa"/>
                  <w:tcBorders>
                    <w:top w:val="nil"/>
                    <w:left w:val="nil"/>
                    <w:bottom w:val="single" w:sz="12" w:space="0" w:color="FFFFFF"/>
                    <w:right w:val="single" w:sz="8" w:space="0" w:color="FFFFFF"/>
                  </w:tcBorders>
                  <w:shd w:val="clear" w:color="000000" w:fill="F79646"/>
                  <w:noWrap/>
                  <w:vAlign w:val="center"/>
                  <w:hideMark/>
                </w:tcPr>
                <w:p w14:paraId="0F3218AA" w14:textId="0F8CCD64"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FE8EB9B" w14:textId="2C483671"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75A35579" w14:textId="3B0DFADE"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612FDB1" w14:textId="09D13239"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719B3728" w14:textId="0DF5E714"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6A9FDAC9" w14:textId="1E7358DF"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1994889" w14:textId="0D803834"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40805862" w14:textId="090511A6"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6CB6C50" w14:textId="0E7DBB12"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7A78CB" w:rsidRPr="003F4793" w14:paraId="759A3C98"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48EBF66E" w14:textId="735C376E"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1F59B1A1" w14:textId="050E253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2.83 </w:t>
                  </w:r>
                </w:p>
              </w:tc>
              <w:tc>
                <w:tcPr>
                  <w:tcW w:w="920" w:type="dxa"/>
                  <w:tcBorders>
                    <w:top w:val="nil"/>
                    <w:left w:val="nil"/>
                    <w:bottom w:val="single" w:sz="8" w:space="0" w:color="FFFFFF"/>
                    <w:right w:val="single" w:sz="8" w:space="0" w:color="FFFFFF"/>
                  </w:tcBorders>
                  <w:shd w:val="clear" w:color="000000" w:fill="FCD5B4"/>
                  <w:noWrap/>
                  <w:vAlign w:val="center"/>
                  <w:hideMark/>
                </w:tcPr>
                <w:p w14:paraId="4F0034E5" w14:textId="7BA7D4A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2.96 </w:t>
                  </w:r>
                </w:p>
              </w:tc>
              <w:tc>
                <w:tcPr>
                  <w:tcW w:w="920" w:type="dxa"/>
                  <w:tcBorders>
                    <w:top w:val="nil"/>
                    <w:left w:val="nil"/>
                    <w:bottom w:val="single" w:sz="8" w:space="0" w:color="FFFFFF"/>
                    <w:right w:val="single" w:sz="8" w:space="0" w:color="FFFFFF"/>
                  </w:tcBorders>
                  <w:shd w:val="clear" w:color="000000" w:fill="FCD5B4"/>
                  <w:noWrap/>
                  <w:vAlign w:val="center"/>
                  <w:hideMark/>
                </w:tcPr>
                <w:p w14:paraId="55FA1300" w14:textId="1EF64DF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3.09 </w:t>
                  </w:r>
                </w:p>
              </w:tc>
              <w:tc>
                <w:tcPr>
                  <w:tcW w:w="920" w:type="dxa"/>
                  <w:tcBorders>
                    <w:top w:val="nil"/>
                    <w:left w:val="nil"/>
                    <w:bottom w:val="single" w:sz="8" w:space="0" w:color="FFFFFF"/>
                    <w:right w:val="single" w:sz="8" w:space="0" w:color="FFFFFF"/>
                  </w:tcBorders>
                  <w:shd w:val="clear" w:color="000000" w:fill="FCD5B4"/>
                  <w:noWrap/>
                  <w:vAlign w:val="center"/>
                  <w:hideMark/>
                </w:tcPr>
                <w:p w14:paraId="75B7D0B9" w14:textId="6578778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5.44 </w:t>
                  </w:r>
                </w:p>
              </w:tc>
              <w:tc>
                <w:tcPr>
                  <w:tcW w:w="1149" w:type="dxa"/>
                  <w:tcBorders>
                    <w:top w:val="nil"/>
                    <w:left w:val="nil"/>
                    <w:bottom w:val="single" w:sz="8" w:space="0" w:color="FFFFFF"/>
                    <w:right w:val="single" w:sz="8" w:space="0" w:color="FFFFFF"/>
                  </w:tcBorders>
                  <w:shd w:val="clear" w:color="000000" w:fill="FCD5B4"/>
                  <w:noWrap/>
                  <w:vAlign w:val="center"/>
                  <w:hideMark/>
                </w:tcPr>
                <w:p w14:paraId="27CF2E5D" w14:textId="1CE9E06F"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523261A7" w14:textId="4E63C04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0.45 </w:t>
                  </w:r>
                </w:p>
              </w:tc>
              <w:tc>
                <w:tcPr>
                  <w:tcW w:w="920" w:type="dxa"/>
                  <w:tcBorders>
                    <w:top w:val="nil"/>
                    <w:left w:val="nil"/>
                    <w:bottom w:val="single" w:sz="8" w:space="0" w:color="FFFFFF"/>
                    <w:right w:val="single" w:sz="8" w:space="0" w:color="FFFFFF"/>
                  </w:tcBorders>
                  <w:shd w:val="clear" w:color="000000" w:fill="FCD5B4"/>
                  <w:noWrap/>
                  <w:vAlign w:val="center"/>
                  <w:hideMark/>
                </w:tcPr>
                <w:p w14:paraId="71D92286" w14:textId="65D941A2"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0.58 </w:t>
                  </w:r>
                </w:p>
              </w:tc>
              <w:tc>
                <w:tcPr>
                  <w:tcW w:w="920" w:type="dxa"/>
                  <w:tcBorders>
                    <w:top w:val="nil"/>
                    <w:left w:val="nil"/>
                    <w:bottom w:val="single" w:sz="8" w:space="0" w:color="FFFFFF"/>
                    <w:right w:val="single" w:sz="8" w:space="0" w:color="FFFFFF"/>
                  </w:tcBorders>
                  <w:shd w:val="clear" w:color="000000" w:fill="FCD5B4"/>
                  <w:noWrap/>
                  <w:vAlign w:val="center"/>
                  <w:hideMark/>
                </w:tcPr>
                <w:p w14:paraId="320E6D3C" w14:textId="5B41C3E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0.71 </w:t>
                  </w:r>
                </w:p>
              </w:tc>
              <w:tc>
                <w:tcPr>
                  <w:tcW w:w="920" w:type="dxa"/>
                  <w:tcBorders>
                    <w:top w:val="nil"/>
                    <w:left w:val="nil"/>
                    <w:bottom w:val="single" w:sz="8" w:space="0" w:color="FFFFFF"/>
                    <w:right w:val="single" w:sz="8" w:space="0" w:color="FFFFFF"/>
                  </w:tcBorders>
                  <w:shd w:val="clear" w:color="000000" w:fill="FCD5B4"/>
                  <w:noWrap/>
                  <w:vAlign w:val="center"/>
                  <w:hideMark/>
                </w:tcPr>
                <w:p w14:paraId="6E8168B1" w14:textId="618D17C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3.06 </w:t>
                  </w:r>
                </w:p>
              </w:tc>
            </w:tr>
            <w:tr w:rsidR="007A78CB" w:rsidRPr="003F4793" w14:paraId="3A66D0A6"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9137B72" w14:textId="249DE9B6"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3B73915E" w14:textId="14F8EF6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3.15 </w:t>
                  </w:r>
                </w:p>
              </w:tc>
              <w:tc>
                <w:tcPr>
                  <w:tcW w:w="920" w:type="dxa"/>
                  <w:tcBorders>
                    <w:top w:val="nil"/>
                    <w:left w:val="nil"/>
                    <w:bottom w:val="single" w:sz="8" w:space="0" w:color="FFFFFF"/>
                    <w:right w:val="single" w:sz="8" w:space="0" w:color="FFFFFF"/>
                  </w:tcBorders>
                  <w:shd w:val="clear" w:color="000000" w:fill="FDE9D9"/>
                  <w:noWrap/>
                  <w:vAlign w:val="center"/>
                  <w:hideMark/>
                </w:tcPr>
                <w:p w14:paraId="5B9C8B87" w14:textId="0AABACE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3.34 </w:t>
                  </w:r>
                </w:p>
              </w:tc>
              <w:tc>
                <w:tcPr>
                  <w:tcW w:w="920" w:type="dxa"/>
                  <w:tcBorders>
                    <w:top w:val="nil"/>
                    <w:left w:val="nil"/>
                    <w:bottom w:val="single" w:sz="8" w:space="0" w:color="FFFFFF"/>
                    <w:right w:val="single" w:sz="8" w:space="0" w:color="FFFFFF"/>
                  </w:tcBorders>
                  <w:shd w:val="clear" w:color="000000" w:fill="FDE9D9"/>
                  <w:noWrap/>
                  <w:vAlign w:val="center"/>
                  <w:hideMark/>
                </w:tcPr>
                <w:p w14:paraId="1FA1A5B8" w14:textId="77A4C47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3.84 </w:t>
                  </w:r>
                </w:p>
              </w:tc>
              <w:tc>
                <w:tcPr>
                  <w:tcW w:w="920" w:type="dxa"/>
                  <w:tcBorders>
                    <w:top w:val="nil"/>
                    <w:left w:val="nil"/>
                    <w:bottom w:val="single" w:sz="8" w:space="0" w:color="FFFFFF"/>
                    <w:right w:val="single" w:sz="8" w:space="0" w:color="FFFFFF"/>
                  </w:tcBorders>
                  <w:shd w:val="clear" w:color="000000" w:fill="FDE9D9"/>
                  <w:noWrap/>
                  <w:vAlign w:val="center"/>
                  <w:hideMark/>
                </w:tcPr>
                <w:p w14:paraId="175F37FF" w14:textId="0283E67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6.18 </w:t>
                  </w:r>
                </w:p>
              </w:tc>
              <w:tc>
                <w:tcPr>
                  <w:tcW w:w="1149" w:type="dxa"/>
                  <w:tcBorders>
                    <w:top w:val="nil"/>
                    <w:left w:val="nil"/>
                    <w:bottom w:val="single" w:sz="8" w:space="0" w:color="FFFFFF"/>
                    <w:right w:val="single" w:sz="8" w:space="0" w:color="FFFFFF"/>
                  </w:tcBorders>
                  <w:shd w:val="clear" w:color="000000" w:fill="FDE9D9"/>
                  <w:noWrap/>
                  <w:vAlign w:val="center"/>
                  <w:hideMark/>
                </w:tcPr>
                <w:p w14:paraId="3AF3F54C" w14:textId="7533E83D"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3C163F46" w14:textId="2BC07AF2"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0.60 </w:t>
                  </w:r>
                </w:p>
              </w:tc>
              <w:tc>
                <w:tcPr>
                  <w:tcW w:w="920" w:type="dxa"/>
                  <w:tcBorders>
                    <w:top w:val="nil"/>
                    <w:left w:val="nil"/>
                    <w:bottom w:val="single" w:sz="8" w:space="0" w:color="FFFFFF"/>
                    <w:right w:val="single" w:sz="8" w:space="0" w:color="FFFFFF"/>
                  </w:tcBorders>
                  <w:shd w:val="clear" w:color="000000" w:fill="FDE9D9"/>
                  <w:noWrap/>
                  <w:vAlign w:val="center"/>
                  <w:hideMark/>
                </w:tcPr>
                <w:p w14:paraId="3C863207" w14:textId="40A0AF5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0.80 </w:t>
                  </w:r>
                </w:p>
              </w:tc>
              <w:tc>
                <w:tcPr>
                  <w:tcW w:w="920" w:type="dxa"/>
                  <w:tcBorders>
                    <w:top w:val="nil"/>
                    <w:left w:val="nil"/>
                    <w:bottom w:val="single" w:sz="8" w:space="0" w:color="FFFFFF"/>
                    <w:right w:val="single" w:sz="8" w:space="0" w:color="FFFFFF"/>
                  </w:tcBorders>
                  <w:shd w:val="clear" w:color="000000" w:fill="FDE9D9"/>
                  <w:noWrap/>
                  <w:vAlign w:val="center"/>
                  <w:hideMark/>
                </w:tcPr>
                <w:p w14:paraId="033A08F8" w14:textId="5CF5A49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1.30 </w:t>
                  </w:r>
                </w:p>
              </w:tc>
              <w:tc>
                <w:tcPr>
                  <w:tcW w:w="920" w:type="dxa"/>
                  <w:tcBorders>
                    <w:top w:val="nil"/>
                    <w:left w:val="nil"/>
                    <w:bottom w:val="single" w:sz="8" w:space="0" w:color="FFFFFF"/>
                    <w:right w:val="single" w:sz="8" w:space="0" w:color="FFFFFF"/>
                  </w:tcBorders>
                  <w:shd w:val="clear" w:color="000000" w:fill="FDE9D9"/>
                  <w:noWrap/>
                  <w:vAlign w:val="center"/>
                  <w:hideMark/>
                </w:tcPr>
                <w:p w14:paraId="6476BE13" w14:textId="7D2FE68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3.64 </w:t>
                  </w:r>
                </w:p>
              </w:tc>
            </w:tr>
            <w:tr w:rsidR="007A78CB" w:rsidRPr="003F4793" w14:paraId="1D6AAB92"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55F3072" w14:textId="189BA5AC"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7FD24B78" w14:textId="06ADF3F2"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3.48 </w:t>
                  </w:r>
                </w:p>
              </w:tc>
              <w:tc>
                <w:tcPr>
                  <w:tcW w:w="920" w:type="dxa"/>
                  <w:tcBorders>
                    <w:top w:val="nil"/>
                    <w:left w:val="nil"/>
                    <w:bottom w:val="single" w:sz="8" w:space="0" w:color="FFFFFF"/>
                    <w:right w:val="single" w:sz="8" w:space="0" w:color="FFFFFF"/>
                  </w:tcBorders>
                  <w:shd w:val="clear" w:color="000000" w:fill="FCD5B4"/>
                  <w:noWrap/>
                  <w:vAlign w:val="center"/>
                  <w:hideMark/>
                </w:tcPr>
                <w:p w14:paraId="41A6346D" w14:textId="377F000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3.70 </w:t>
                  </w:r>
                </w:p>
              </w:tc>
              <w:tc>
                <w:tcPr>
                  <w:tcW w:w="920" w:type="dxa"/>
                  <w:tcBorders>
                    <w:top w:val="nil"/>
                    <w:left w:val="nil"/>
                    <w:bottom w:val="single" w:sz="8" w:space="0" w:color="FFFFFF"/>
                    <w:right w:val="single" w:sz="8" w:space="0" w:color="FFFFFF"/>
                  </w:tcBorders>
                  <w:shd w:val="clear" w:color="000000" w:fill="FCD5B4"/>
                  <w:noWrap/>
                  <w:vAlign w:val="center"/>
                  <w:hideMark/>
                </w:tcPr>
                <w:p w14:paraId="203620ED" w14:textId="54E370B2"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4.32 </w:t>
                  </w:r>
                </w:p>
              </w:tc>
              <w:tc>
                <w:tcPr>
                  <w:tcW w:w="920" w:type="dxa"/>
                  <w:tcBorders>
                    <w:top w:val="nil"/>
                    <w:left w:val="nil"/>
                    <w:bottom w:val="single" w:sz="8" w:space="0" w:color="FFFFFF"/>
                    <w:right w:val="single" w:sz="8" w:space="0" w:color="FFFFFF"/>
                  </w:tcBorders>
                  <w:shd w:val="clear" w:color="000000" w:fill="FCD5B4"/>
                  <w:noWrap/>
                  <w:vAlign w:val="center"/>
                  <w:hideMark/>
                </w:tcPr>
                <w:p w14:paraId="5799EA14" w14:textId="779CD94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6.66 </w:t>
                  </w:r>
                </w:p>
              </w:tc>
              <w:tc>
                <w:tcPr>
                  <w:tcW w:w="1149" w:type="dxa"/>
                  <w:tcBorders>
                    <w:top w:val="nil"/>
                    <w:left w:val="nil"/>
                    <w:bottom w:val="single" w:sz="8" w:space="0" w:color="FFFFFF"/>
                    <w:right w:val="single" w:sz="8" w:space="0" w:color="FFFFFF"/>
                  </w:tcBorders>
                  <w:shd w:val="clear" w:color="000000" w:fill="FCD5B4"/>
                  <w:noWrap/>
                  <w:vAlign w:val="center"/>
                  <w:hideMark/>
                </w:tcPr>
                <w:p w14:paraId="46B5F421" w14:textId="160855C3"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4D638149" w14:textId="145EE34B"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0.76 </w:t>
                  </w:r>
                </w:p>
              </w:tc>
              <w:tc>
                <w:tcPr>
                  <w:tcW w:w="920" w:type="dxa"/>
                  <w:tcBorders>
                    <w:top w:val="nil"/>
                    <w:left w:val="nil"/>
                    <w:bottom w:val="single" w:sz="8" w:space="0" w:color="FFFFFF"/>
                    <w:right w:val="single" w:sz="8" w:space="0" w:color="FFFFFF"/>
                  </w:tcBorders>
                  <w:shd w:val="clear" w:color="000000" w:fill="FCD5B4"/>
                  <w:noWrap/>
                  <w:vAlign w:val="center"/>
                  <w:hideMark/>
                </w:tcPr>
                <w:p w14:paraId="7D63AB8D" w14:textId="6C0D394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0.98 </w:t>
                  </w:r>
                </w:p>
              </w:tc>
              <w:tc>
                <w:tcPr>
                  <w:tcW w:w="920" w:type="dxa"/>
                  <w:tcBorders>
                    <w:top w:val="nil"/>
                    <w:left w:val="nil"/>
                    <w:bottom w:val="single" w:sz="8" w:space="0" w:color="FFFFFF"/>
                    <w:right w:val="single" w:sz="8" w:space="0" w:color="FFFFFF"/>
                  </w:tcBorders>
                  <w:shd w:val="clear" w:color="000000" w:fill="FCD5B4"/>
                  <w:noWrap/>
                  <w:vAlign w:val="center"/>
                  <w:hideMark/>
                </w:tcPr>
                <w:p w14:paraId="73B93ED9" w14:textId="2DDE072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1.60 </w:t>
                  </w:r>
                </w:p>
              </w:tc>
              <w:tc>
                <w:tcPr>
                  <w:tcW w:w="920" w:type="dxa"/>
                  <w:tcBorders>
                    <w:top w:val="nil"/>
                    <w:left w:val="nil"/>
                    <w:bottom w:val="single" w:sz="8" w:space="0" w:color="FFFFFF"/>
                    <w:right w:val="single" w:sz="8" w:space="0" w:color="FFFFFF"/>
                  </w:tcBorders>
                  <w:shd w:val="clear" w:color="000000" w:fill="FCD5B4"/>
                  <w:noWrap/>
                  <w:vAlign w:val="center"/>
                  <w:hideMark/>
                </w:tcPr>
                <w:p w14:paraId="24AD0A23" w14:textId="7F946D6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3.94 </w:t>
                  </w:r>
                </w:p>
              </w:tc>
            </w:tr>
            <w:tr w:rsidR="007A78CB" w:rsidRPr="003F4793" w14:paraId="3DB9FAE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2044C520" w14:textId="17AEBD54"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094B223D" w14:textId="52BFB74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3.12 </w:t>
                  </w:r>
                </w:p>
              </w:tc>
              <w:tc>
                <w:tcPr>
                  <w:tcW w:w="920" w:type="dxa"/>
                  <w:tcBorders>
                    <w:top w:val="nil"/>
                    <w:left w:val="nil"/>
                    <w:bottom w:val="single" w:sz="8" w:space="0" w:color="FFFFFF"/>
                    <w:right w:val="single" w:sz="8" w:space="0" w:color="FFFFFF"/>
                  </w:tcBorders>
                  <w:shd w:val="clear" w:color="000000" w:fill="FDE9D9"/>
                  <w:noWrap/>
                  <w:vAlign w:val="center"/>
                  <w:hideMark/>
                </w:tcPr>
                <w:p w14:paraId="226D27D3" w14:textId="57398B0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3.32 </w:t>
                  </w:r>
                </w:p>
              </w:tc>
              <w:tc>
                <w:tcPr>
                  <w:tcW w:w="920" w:type="dxa"/>
                  <w:tcBorders>
                    <w:top w:val="nil"/>
                    <w:left w:val="nil"/>
                    <w:bottom w:val="single" w:sz="8" w:space="0" w:color="FFFFFF"/>
                    <w:right w:val="single" w:sz="8" w:space="0" w:color="FFFFFF"/>
                  </w:tcBorders>
                  <w:shd w:val="clear" w:color="000000" w:fill="FDE9D9"/>
                  <w:noWrap/>
                  <w:vAlign w:val="center"/>
                  <w:hideMark/>
                </w:tcPr>
                <w:p w14:paraId="509D7CD4" w14:textId="094A433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3.95 </w:t>
                  </w:r>
                </w:p>
              </w:tc>
              <w:tc>
                <w:tcPr>
                  <w:tcW w:w="920" w:type="dxa"/>
                  <w:tcBorders>
                    <w:top w:val="nil"/>
                    <w:left w:val="nil"/>
                    <w:bottom w:val="single" w:sz="8" w:space="0" w:color="FFFFFF"/>
                    <w:right w:val="single" w:sz="8" w:space="0" w:color="FFFFFF"/>
                  </w:tcBorders>
                  <w:shd w:val="clear" w:color="000000" w:fill="FDE9D9"/>
                  <w:noWrap/>
                  <w:vAlign w:val="center"/>
                  <w:hideMark/>
                </w:tcPr>
                <w:p w14:paraId="44CAAD2D" w14:textId="010191F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6.29 </w:t>
                  </w:r>
                </w:p>
              </w:tc>
              <w:tc>
                <w:tcPr>
                  <w:tcW w:w="1149" w:type="dxa"/>
                  <w:tcBorders>
                    <w:top w:val="nil"/>
                    <w:left w:val="nil"/>
                    <w:bottom w:val="single" w:sz="8" w:space="0" w:color="FFFFFF"/>
                    <w:right w:val="single" w:sz="8" w:space="0" w:color="FFFFFF"/>
                  </w:tcBorders>
                  <w:shd w:val="clear" w:color="000000" w:fill="FDE9D9"/>
                  <w:noWrap/>
                  <w:vAlign w:val="center"/>
                  <w:hideMark/>
                </w:tcPr>
                <w:p w14:paraId="2E628139" w14:textId="5D42A243"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14043470" w14:textId="2498C4B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0.58 </w:t>
                  </w:r>
                </w:p>
              </w:tc>
              <w:tc>
                <w:tcPr>
                  <w:tcW w:w="920" w:type="dxa"/>
                  <w:tcBorders>
                    <w:top w:val="nil"/>
                    <w:left w:val="nil"/>
                    <w:bottom w:val="single" w:sz="8" w:space="0" w:color="FFFFFF"/>
                    <w:right w:val="single" w:sz="8" w:space="0" w:color="FFFFFF"/>
                  </w:tcBorders>
                  <w:shd w:val="clear" w:color="000000" w:fill="FDE9D9"/>
                  <w:noWrap/>
                  <w:vAlign w:val="center"/>
                  <w:hideMark/>
                </w:tcPr>
                <w:p w14:paraId="005C602B" w14:textId="281CB3B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0.78 </w:t>
                  </w:r>
                </w:p>
              </w:tc>
              <w:tc>
                <w:tcPr>
                  <w:tcW w:w="920" w:type="dxa"/>
                  <w:tcBorders>
                    <w:top w:val="nil"/>
                    <w:left w:val="nil"/>
                    <w:bottom w:val="single" w:sz="8" w:space="0" w:color="FFFFFF"/>
                    <w:right w:val="single" w:sz="8" w:space="0" w:color="FFFFFF"/>
                  </w:tcBorders>
                  <w:shd w:val="clear" w:color="000000" w:fill="FDE9D9"/>
                  <w:noWrap/>
                  <w:vAlign w:val="center"/>
                  <w:hideMark/>
                </w:tcPr>
                <w:p w14:paraId="72E1FCED" w14:textId="1AA37CB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1.41 </w:t>
                  </w:r>
                </w:p>
              </w:tc>
              <w:tc>
                <w:tcPr>
                  <w:tcW w:w="920" w:type="dxa"/>
                  <w:tcBorders>
                    <w:top w:val="nil"/>
                    <w:left w:val="nil"/>
                    <w:bottom w:val="single" w:sz="8" w:space="0" w:color="FFFFFF"/>
                    <w:right w:val="single" w:sz="8" w:space="0" w:color="FFFFFF"/>
                  </w:tcBorders>
                  <w:shd w:val="clear" w:color="000000" w:fill="FDE9D9"/>
                  <w:noWrap/>
                  <w:vAlign w:val="center"/>
                  <w:hideMark/>
                </w:tcPr>
                <w:p w14:paraId="62B10FDA" w14:textId="2A92E1C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3.75 </w:t>
                  </w:r>
                </w:p>
              </w:tc>
            </w:tr>
            <w:tr w:rsidR="007A78CB" w:rsidRPr="003F4793" w14:paraId="6E6959B5"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22DA7E07" w14:textId="076DFE5C"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3321A8C9" w14:textId="6FD92F0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3.47 </w:t>
                  </w:r>
                </w:p>
              </w:tc>
              <w:tc>
                <w:tcPr>
                  <w:tcW w:w="920" w:type="dxa"/>
                  <w:tcBorders>
                    <w:top w:val="nil"/>
                    <w:left w:val="nil"/>
                    <w:bottom w:val="single" w:sz="8" w:space="0" w:color="FFFFFF"/>
                    <w:right w:val="single" w:sz="8" w:space="0" w:color="FFFFFF"/>
                  </w:tcBorders>
                  <w:shd w:val="clear" w:color="000000" w:fill="FCD5B4"/>
                  <w:noWrap/>
                  <w:vAlign w:val="center"/>
                  <w:hideMark/>
                </w:tcPr>
                <w:p w14:paraId="2D55037C" w14:textId="5D5699C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3.67 </w:t>
                  </w:r>
                </w:p>
              </w:tc>
              <w:tc>
                <w:tcPr>
                  <w:tcW w:w="920" w:type="dxa"/>
                  <w:tcBorders>
                    <w:top w:val="nil"/>
                    <w:left w:val="nil"/>
                    <w:bottom w:val="single" w:sz="8" w:space="0" w:color="FFFFFF"/>
                    <w:right w:val="single" w:sz="8" w:space="0" w:color="FFFFFF"/>
                  </w:tcBorders>
                  <w:shd w:val="clear" w:color="000000" w:fill="FCD5B4"/>
                  <w:noWrap/>
                  <w:vAlign w:val="center"/>
                  <w:hideMark/>
                </w:tcPr>
                <w:p w14:paraId="31736512" w14:textId="4DA65B1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4.37 </w:t>
                  </w:r>
                </w:p>
              </w:tc>
              <w:tc>
                <w:tcPr>
                  <w:tcW w:w="920" w:type="dxa"/>
                  <w:tcBorders>
                    <w:top w:val="nil"/>
                    <w:left w:val="nil"/>
                    <w:bottom w:val="single" w:sz="8" w:space="0" w:color="FFFFFF"/>
                    <w:right w:val="single" w:sz="8" w:space="0" w:color="FFFFFF"/>
                  </w:tcBorders>
                  <w:shd w:val="clear" w:color="000000" w:fill="FCD5B4"/>
                  <w:noWrap/>
                  <w:vAlign w:val="center"/>
                  <w:hideMark/>
                </w:tcPr>
                <w:p w14:paraId="32F91FC8" w14:textId="189EABD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6.72 </w:t>
                  </w:r>
                </w:p>
              </w:tc>
              <w:tc>
                <w:tcPr>
                  <w:tcW w:w="1149" w:type="dxa"/>
                  <w:tcBorders>
                    <w:top w:val="nil"/>
                    <w:left w:val="nil"/>
                    <w:bottom w:val="single" w:sz="8" w:space="0" w:color="FFFFFF"/>
                    <w:right w:val="single" w:sz="8" w:space="0" w:color="FFFFFF"/>
                  </w:tcBorders>
                  <w:shd w:val="clear" w:color="000000" w:fill="FCD5B4"/>
                  <w:noWrap/>
                  <w:vAlign w:val="center"/>
                  <w:hideMark/>
                </w:tcPr>
                <w:p w14:paraId="1A4516FF" w14:textId="463AC335"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678FF838" w14:textId="0CDCCD3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0.75 </w:t>
                  </w:r>
                </w:p>
              </w:tc>
              <w:tc>
                <w:tcPr>
                  <w:tcW w:w="920" w:type="dxa"/>
                  <w:tcBorders>
                    <w:top w:val="nil"/>
                    <w:left w:val="nil"/>
                    <w:bottom w:val="single" w:sz="8" w:space="0" w:color="FFFFFF"/>
                    <w:right w:val="single" w:sz="8" w:space="0" w:color="FFFFFF"/>
                  </w:tcBorders>
                  <w:shd w:val="clear" w:color="000000" w:fill="FCD5B4"/>
                  <w:noWrap/>
                  <w:vAlign w:val="center"/>
                  <w:hideMark/>
                </w:tcPr>
                <w:p w14:paraId="19327668" w14:textId="49D23A5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0.95 </w:t>
                  </w:r>
                </w:p>
              </w:tc>
              <w:tc>
                <w:tcPr>
                  <w:tcW w:w="920" w:type="dxa"/>
                  <w:tcBorders>
                    <w:top w:val="nil"/>
                    <w:left w:val="nil"/>
                    <w:bottom w:val="single" w:sz="8" w:space="0" w:color="FFFFFF"/>
                    <w:right w:val="single" w:sz="8" w:space="0" w:color="FFFFFF"/>
                  </w:tcBorders>
                  <w:shd w:val="clear" w:color="000000" w:fill="FCD5B4"/>
                  <w:noWrap/>
                  <w:vAlign w:val="center"/>
                  <w:hideMark/>
                </w:tcPr>
                <w:p w14:paraId="3FF52323" w14:textId="5FBF6D7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1.65 </w:t>
                  </w:r>
                </w:p>
              </w:tc>
              <w:tc>
                <w:tcPr>
                  <w:tcW w:w="920" w:type="dxa"/>
                  <w:tcBorders>
                    <w:top w:val="nil"/>
                    <w:left w:val="nil"/>
                    <w:bottom w:val="single" w:sz="8" w:space="0" w:color="FFFFFF"/>
                    <w:right w:val="single" w:sz="8" w:space="0" w:color="FFFFFF"/>
                  </w:tcBorders>
                  <w:shd w:val="clear" w:color="000000" w:fill="FCD5B4"/>
                  <w:noWrap/>
                  <w:vAlign w:val="center"/>
                  <w:hideMark/>
                </w:tcPr>
                <w:p w14:paraId="3A51C7C3" w14:textId="67C3CA9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4.00 </w:t>
                  </w:r>
                </w:p>
              </w:tc>
            </w:tr>
            <w:tr w:rsidR="007A78CB" w:rsidRPr="003F4793" w14:paraId="10282E85"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5AA354BC" w14:textId="13C6B37F"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46F6A45C" w14:textId="72D0249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3.66 </w:t>
                  </w:r>
                </w:p>
              </w:tc>
              <w:tc>
                <w:tcPr>
                  <w:tcW w:w="920" w:type="dxa"/>
                  <w:tcBorders>
                    <w:top w:val="nil"/>
                    <w:left w:val="nil"/>
                    <w:bottom w:val="single" w:sz="8" w:space="0" w:color="FFFFFF"/>
                    <w:right w:val="single" w:sz="8" w:space="0" w:color="FFFFFF"/>
                  </w:tcBorders>
                  <w:shd w:val="clear" w:color="000000" w:fill="FDE9D9"/>
                  <w:noWrap/>
                  <w:vAlign w:val="center"/>
                  <w:hideMark/>
                </w:tcPr>
                <w:p w14:paraId="7F0C451E" w14:textId="0580D6E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3.87 </w:t>
                  </w:r>
                </w:p>
              </w:tc>
              <w:tc>
                <w:tcPr>
                  <w:tcW w:w="920" w:type="dxa"/>
                  <w:tcBorders>
                    <w:top w:val="nil"/>
                    <w:left w:val="nil"/>
                    <w:bottom w:val="single" w:sz="8" w:space="0" w:color="FFFFFF"/>
                    <w:right w:val="single" w:sz="8" w:space="0" w:color="FFFFFF"/>
                  </w:tcBorders>
                  <w:shd w:val="clear" w:color="000000" w:fill="FDE9D9"/>
                  <w:noWrap/>
                  <w:vAlign w:val="center"/>
                  <w:hideMark/>
                </w:tcPr>
                <w:p w14:paraId="14C49F17" w14:textId="3828BCF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4.57 </w:t>
                  </w:r>
                </w:p>
              </w:tc>
              <w:tc>
                <w:tcPr>
                  <w:tcW w:w="920" w:type="dxa"/>
                  <w:tcBorders>
                    <w:top w:val="nil"/>
                    <w:left w:val="nil"/>
                    <w:bottom w:val="single" w:sz="8" w:space="0" w:color="FFFFFF"/>
                    <w:right w:val="single" w:sz="8" w:space="0" w:color="FFFFFF"/>
                  </w:tcBorders>
                  <w:shd w:val="clear" w:color="000000" w:fill="FDE9D9"/>
                  <w:noWrap/>
                  <w:vAlign w:val="center"/>
                  <w:hideMark/>
                </w:tcPr>
                <w:p w14:paraId="5617ED53" w14:textId="26DCE6A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6.91 </w:t>
                  </w:r>
                </w:p>
              </w:tc>
              <w:tc>
                <w:tcPr>
                  <w:tcW w:w="1149" w:type="dxa"/>
                  <w:tcBorders>
                    <w:top w:val="nil"/>
                    <w:left w:val="nil"/>
                    <w:bottom w:val="single" w:sz="8" w:space="0" w:color="FFFFFF"/>
                    <w:right w:val="single" w:sz="8" w:space="0" w:color="FFFFFF"/>
                  </w:tcBorders>
                  <w:shd w:val="clear" w:color="000000" w:fill="FDE9D9"/>
                  <w:noWrap/>
                  <w:vAlign w:val="center"/>
                  <w:hideMark/>
                </w:tcPr>
                <w:p w14:paraId="6EF87D4A" w14:textId="39A92377"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4DEB6E8D" w14:textId="4479763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0.81 </w:t>
                  </w:r>
                </w:p>
              </w:tc>
              <w:tc>
                <w:tcPr>
                  <w:tcW w:w="920" w:type="dxa"/>
                  <w:tcBorders>
                    <w:top w:val="nil"/>
                    <w:left w:val="nil"/>
                    <w:bottom w:val="single" w:sz="8" w:space="0" w:color="FFFFFF"/>
                    <w:right w:val="single" w:sz="8" w:space="0" w:color="FFFFFF"/>
                  </w:tcBorders>
                  <w:shd w:val="clear" w:color="000000" w:fill="FDE9D9"/>
                  <w:noWrap/>
                  <w:vAlign w:val="center"/>
                  <w:hideMark/>
                </w:tcPr>
                <w:p w14:paraId="5BFCFC00" w14:textId="144F93AB"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1.02 </w:t>
                  </w:r>
                </w:p>
              </w:tc>
              <w:tc>
                <w:tcPr>
                  <w:tcW w:w="920" w:type="dxa"/>
                  <w:tcBorders>
                    <w:top w:val="nil"/>
                    <w:left w:val="nil"/>
                    <w:bottom w:val="single" w:sz="8" w:space="0" w:color="FFFFFF"/>
                    <w:right w:val="single" w:sz="8" w:space="0" w:color="FFFFFF"/>
                  </w:tcBorders>
                  <w:shd w:val="clear" w:color="000000" w:fill="FDE9D9"/>
                  <w:noWrap/>
                  <w:vAlign w:val="center"/>
                  <w:hideMark/>
                </w:tcPr>
                <w:p w14:paraId="135C719B" w14:textId="0A23A89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1.72 </w:t>
                  </w:r>
                </w:p>
              </w:tc>
              <w:tc>
                <w:tcPr>
                  <w:tcW w:w="920" w:type="dxa"/>
                  <w:tcBorders>
                    <w:top w:val="nil"/>
                    <w:left w:val="nil"/>
                    <w:bottom w:val="single" w:sz="8" w:space="0" w:color="FFFFFF"/>
                    <w:right w:val="single" w:sz="8" w:space="0" w:color="FFFFFF"/>
                  </w:tcBorders>
                  <w:shd w:val="clear" w:color="000000" w:fill="FDE9D9"/>
                  <w:noWrap/>
                  <w:vAlign w:val="center"/>
                  <w:hideMark/>
                </w:tcPr>
                <w:p w14:paraId="5C7F0679" w14:textId="41ED26B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4.06 </w:t>
                  </w:r>
                </w:p>
              </w:tc>
            </w:tr>
            <w:tr w:rsidR="007A78CB" w:rsidRPr="003F4793" w14:paraId="4B34B1BF"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708D60A2" w14:textId="0F2F5F03"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7AC10927" w14:textId="2A57A08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3.17 </w:t>
                  </w:r>
                </w:p>
              </w:tc>
              <w:tc>
                <w:tcPr>
                  <w:tcW w:w="920" w:type="dxa"/>
                  <w:tcBorders>
                    <w:top w:val="nil"/>
                    <w:left w:val="nil"/>
                    <w:bottom w:val="single" w:sz="8" w:space="0" w:color="FFFFFF"/>
                    <w:right w:val="single" w:sz="8" w:space="0" w:color="FFFFFF"/>
                  </w:tcBorders>
                  <w:shd w:val="clear" w:color="000000" w:fill="FCD5B4"/>
                  <w:noWrap/>
                  <w:vAlign w:val="center"/>
                  <w:hideMark/>
                </w:tcPr>
                <w:p w14:paraId="5A89295C" w14:textId="3AB98DCB"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3.33 </w:t>
                  </w:r>
                </w:p>
              </w:tc>
              <w:tc>
                <w:tcPr>
                  <w:tcW w:w="920" w:type="dxa"/>
                  <w:tcBorders>
                    <w:top w:val="nil"/>
                    <w:left w:val="nil"/>
                    <w:bottom w:val="single" w:sz="8" w:space="0" w:color="FFFFFF"/>
                    <w:right w:val="single" w:sz="8" w:space="0" w:color="FFFFFF"/>
                  </w:tcBorders>
                  <w:shd w:val="clear" w:color="000000" w:fill="FCD5B4"/>
                  <w:noWrap/>
                  <w:vAlign w:val="center"/>
                  <w:hideMark/>
                </w:tcPr>
                <w:p w14:paraId="5B048291" w14:textId="302D25D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3.53 </w:t>
                  </w:r>
                </w:p>
              </w:tc>
              <w:tc>
                <w:tcPr>
                  <w:tcW w:w="920" w:type="dxa"/>
                  <w:tcBorders>
                    <w:top w:val="nil"/>
                    <w:left w:val="nil"/>
                    <w:bottom w:val="single" w:sz="8" w:space="0" w:color="FFFFFF"/>
                    <w:right w:val="single" w:sz="8" w:space="0" w:color="FFFFFF"/>
                  </w:tcBorders>
                  <w:shd w:val="clear" w:color="000000" w:fill="FCD5B4"/>
                  <w:noWrap/>
                  <w:vAlign w:val="center"/>
                  <w:hideMark/>
                </w:tcPr>
                <w:p w14:paraId="5711CDD7" w14:textId="52F2057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6.00 </w:t>
                  </w:r>
                </w:p>
              </w:tc>
              <w:tc>
                <w:tcPr>
                  <w:tcW w:w="1149" w:type="dxa"/>
                  <w:tcBorders>
                    <w:top w:val="nil"/>
                    <w:left w:val="nil"/>
                    <w:bottom w:val="single" w:sz="8" w:space="0" w:color="FFFFFF"/>
                    <w:right w:val="single" w:sz="8" w:space="0" w:color="FFFFFF"/>
                  </w:tcBorders>
                  <w:shd w:val="clear" w:color="000000" w:fill="FCD5B4"/>
                  <w:noWrap/>
                  <w:vAlign w:val="center"/>
                  <w:hideMark/>
                </w:tcPr>
                <w:p w14:paraId="611290CA" w14:textId="7709347F"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20496D80" w14:textId="421DB34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0.62 </w:t>
                  </w:r>
                </w:p>
              </w:tc>
              <w:tc>
                <w:tcPr>
                  <w:tcW w:w="920" w:type="dxa"/>
                  <w:tcBorders>
                    <w:top w:val="nil"/>
                    <w:left w:val="nil"/>
                    <w:bottom w:val="single" w:sz="8" w:space="0" w:color="FFFFFF"/>
                    <w:right w:val="single" w:sz="8" w:space="0" w:color="FFFFFF"/>
                  </w:tcBorders>
                  <w:shd w:val="clear" w:color="000000" w:fill="FCD5B4"/>
                  <w:noWrap/>
                  <w:vAlign w:val="center"/>
                  <w:hideMark/>
                </w:tcPr>
                <w:p w14:paraId="3BFA925B" w14:textId="60588F6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0.78 </w:t>
                  </w:r>
                </w:p>
              </w:tc>
              <w:tc>
                <w:tcPr>
                  <w:tcW w:w="920" w:type="dxa"/>
                  <w:tcBorders>
                    <w:top w:val="nil"/>
                    <w:left w:val="nil"/>
                    <w:bottom w:val="single" w:sz="8" w:space="0" w:color="FFFFFF"/>
                    <w:right w:val="single" w:sz="8" w:space="0" w:color="FFFFFF"/>
                  </w:tcBorders>
                  <w:shd w:val="clear" w:color="000000" w:fill="FCD5B4"/>
                  <w:noWrap/>
                  <w:vAlign w:val="center"/>
                  <w:hideMark/>
                </w:tcPr>
                <w:p w14:paraId="16CD7225" w14:textId="50C4092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0.99 </w:t>
                  </w:r>
                </w:p>
              </w:tc>
              <w:tc>
                <w:tcPr>
                  <w:tcW w:w="920" w:type="dxa"/>
                  <w:tcBorders>
                    <w:top w:val="nil"/>
                    <w:left w:val="nil"/>
                    <w:bottom w:val="single" w:sz="8" w:space="0" w:color="FFFFFF"/>
                    <w:right w:val="single" w:sz="8" w:space="0" w:color="FFFFFF"/>
                  </w:tcBorders>
                  <w:shd w:val="clear" w:color="000000" w:fill="FCD5B4"/>
                  <w:noWrap/>
                  <w:vAlign w:val="center"/>
                  <w:hideMark/>
                </w:tcPr>
                <w:p w14:paraId="62A0BB0C" w14:textId="6B28424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3.46 </w:t>
                  </w:r>
                </w:p>
              </w:tc>
            </w:tr>
            <w:tr w:rsidR="007A78CB" w:rsidRPr="003F4793" w14:paraId="410B429A"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F93C5ED" w14:textId="33BDC244"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231CF143" w14:textId="53EBD46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3.50 </w:t>
                  </w:r>
                </w:p>
              </w:tc>
              <w:tc>
                <w:tcPr>
                  <w:tcW w:w="920" w:type="dxa"/>
                  <w:tcBorders>
                    <w:top w:val="nil"/>
                    <w:left w:val="nil"/>
                    <w:bottom w:val="single" w:sz="8" w:space="0" w:color="FFFFFF"/>
                    <w:right w:val="single" w:sz="8" w:space="0" w:color="FFFFFF"/>
                  </w:tcBorders>
                  <w:shd w:val="clear" w:color="000000" w:fill="FDE9D9"/>
                  <w:noWrap/>
                  <w:vAlign w:val="center"/>
                  <w:hideMark/>
                </w:tcPr>
                <w:p w14:paraId="28605ADA" w14:textId="556491A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3.77 </w:t>
                  </w:r>
                </w:p>
              </w:tc>
              <w:tc>
                <w:tcPr>
                  <w:tcW w:w="920" w:type="dxa"/>
                  <w:tcBorders>
                    <w:top w:val="nil"/>
                    <w:left w:val="nil"/>
                    <w:bottom w:val="single" w:sz="8" w:space="0" w:color="FFFFFF"/>
                    <w:right w:val="single" w:sz="8" w:space="0" w:color="FFFFFF"/>
                  </w:tcBorders>
                  <w:shd w:val="clear" w:color="000000" w:fill="FDE9D9"/>
                  <w:noWrap/>
                  <w:vAlign w:val="center"/>
                  <w:hideMark/>
                </w:tcPr>
                <w:p w14:paraId="138A29ED" w14:textId="38F67B4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4.02 </w:t>
                  </w:r>
                </w:p>
              </w:tc>
              <w:tc>
                <w:tcPr>
                  <w:tcW w:w="920" w:type="dxa"/>
                  <w:tcBorders>
                    <w:top w:val="nil"/>
                    <w:left w:val="nil"/>
                    <w:bottom w:val="single" w:sz="8" w:space="0" w:color="FFFFFF"/>
                    <w:right w:val="single" w:sz="8" w:space="0" w:color="FFFFFF"/>
                  </w:tcBorders>
                  <w:shd w:val="clear" w:color="000000" w:fill="FDE9D9"/>
                  <w:noWrap/>
                  <w:vAlign w:val="center"/>
                  <w:hideMark/>
                </w:tcPr>
                <w:p w14:paraId="36771C93" w14:textId="14F67E2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6.75 </w:t>
                  </w:r>
                </w:p>
              </w:tc>
              <w:tc>
                <w:tcPr>
                  <w:tcW w:w="1149" w:type="dxa"/>
                  <w:tcBorders>
                    <w:top w:val="nil"/>
                    <w:left w:val="nil"/>
                    <w:bottom w:val="single" w:sz="8" w:space="0" w:color="FFFFFF"/>
                    <w:right w:val="single" w:sz="8" w:space="0" w:color="FFFFFF"/>
                  </w:tcBorders>
                  <w:shd w:val="clear" w:color="000000" w:fill="FDE9D9"/>
                  <w:noWrap/>
                  <w:vAlign w:val="center"/>
                  <w:hideMark/>
                </w:tcPr>
                <w:p w14:paraId="12900514" w14:textId="24C53099"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3A1F834B" w14:textId="060C286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0.78 </w:t>
                  </w:r>
                </w:p>
              </w:tc>
              <w:tc>
                <w:tcPr>
                  <w:tcW w:w="920" w:type="dxa"/>
                  <w:tcBorders>
                    <w:top w:val="nil"/>
                    <w:left w:val="nil"/>
                    <w:bottom w:val="single" w:sz="8" w:space="0" w:color="FFFFFF"/>
                    <w:right w:val="single" w:sz="8" w:space="0" w:color="FFFFFF"/>
                  </w:tcBorders>
                  <w:shd w:val="clear" w:color="000000" w:fill="FDE9D9"/>
                  <w:noWrap/>
                  <w:vAlign w:val="center"/>
                  <w:hideMark/>
                </w:tcPr>
                <w:p w14:paraId="65FCA278" w14:textId="2C70EAF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1.05 </w:t>
                  </w:r>
                </w:p>
              </w:tc>
              <w:tc>
                <w:tcPr>
                  <w:tcW w:w="920" w:type="dxa"/>
                  <w:tcBorders>
                    <w:top w:val="nil"/>
                    <w:left w:val="nil"/>
                    <w:bottom w:val="single" w:sz="8" w:space="0" w:color="FFFFFF"/>
                    <w:right w:val="single" w:sz="8" w:space="0" w:color="FFFFFF"/>
                  </w:tcBorders>
                  <w:shd w:val="clear" w:color="000000" w:fill="FDE9D9"/>
                  <w:noWrap/>
                  <w:vAlign w:val="center"/>
                  <w:hideMark/>
                </w:tcPr>
                <w:p w14:paraId="27F1C7B6" w14:textId="302EAC2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1.30 </w:t>
                  </w:r>
                </w:p>
              </w:tc>
              <w:tc>
                <w:tcPr>
                  <w:tcW w:w="920" w:type="dxa"/>
                  <w:tcBorders>
                    <w:top w:val="nil"/>
                    <w:left w:val="nil"/>
                    <w:bottom w:val="single" w:sz="8" w:space="0" w:color="FFFFFF"/>
                    <w:right w:val="single" w:sz="8" w:space="0" w:color="FFFFFF"/>
                  </w:tcBorders>
                  <w:shd w:val="clear" w:color="000000" w:fill="FDE9D9"/>
                  <w:noWrap/>
                  <w:vAlign w:val="center"/>
                  <w:hideMark/>
                </w:tcPr>
                <w:p w14:paraId="01875D19" w14:textId="73DCC6B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4.03 </w:t>
                  </w:r>
                </w:p>
              </w:tc>
            </w:tr>
            <w:tr w:rsidR="007A78CB" w:rsidRPr="003F4793" w14:paraId="3E035994" w14:textId="77777777" w:rsidTr="00E10EDA">
              <w:trPr>
                <w:trHeight w:val="310"/>
              </w:trPr>
              <w:tc>
                <w:tcPr>
                  <w:tcW w:w="1309" w:type="dxa"/>
                  <w:tcBorders>
                    <w:top w:val="nil"/>
                    <w:left w:val="nil"/>
                    <w:bottom w:val="nil"/>
                    <w:right w:val="nil"/>
                  </w:tcBorders>
                  <w:shd w:val="clear" w:color="000000" w:fill="FCD5B4"/>
                  <w:noWrap/>
                  <w:vAlign w:val="center"/>
                  <w:hideMark/>
                </w:tcPr>
                <w:p w14:paraId="6806E277" w14:textId="2C29BD74"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6B2AD056" w14:textId="7135CEC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3.74 </w:t>
                  </w:r>
                </w:p>
              </w:tc>
              <w:tc>
                <w:tcPr>
                  <w:tcW w:w="920" w:type="dxa"/>
                  <w:tcBorders>
                    <w:top w:val="nil"/>
                    <w:left w:val="nil"/>
                    <w:bottom w:val="single" w:sz="8" w:space="0" w:color="FFFFFF"/>
                    <w:right w:val="single" w:sz="8" w:space="0" w:color="FFFFFF"/>
                  </w:tcBorders>
                  <w:shd w:val="clear" w:color="000000" w:fill="FCD5B4"/>
                  <w:noWrap/>
                  <w:vAlign w:val="center"/>
                  <w:hideMark/>
                </w:tcPr>
                <w:p w14:paraId="64875CAA" w14:textId="7A32F9EB"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4.01 </w:t>
                  </w:r>
                </w:p>
              </w:tc>
              <w:tc>
                <w:tcPr>
                  <w:tcW w:w="920" w:type="dxa"/>
                  <w:tcBorders>
                    <w:top w:val="nil"/>
                    <w:left w:val="nil"/>
                    <w:bottom w:val="single" w:sz="8" w:space="0" w:color="FFFFFF"/>
                    <w:right w:val="single" w:sz="8" w:space="0" w:color="FFFFFF"/>
                  </w:tcBorders>
                  <w:shd w:val="clear" w:color="000000" w:fill="FCD5B4"/>
                  <w:noWrap/>
                  <w:vAlign w:val="center"/>
                  <w:hideMark/>
                </w:tcPr>
                <w:p w14:paraId="37FAD57A" w14:textId="0029A3E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4.43 </w:t>
                  </w:r>
                </w:p>
              </w:tc>
              <w:tc>
                <w:tcPr>
                  <w:tcW w:w="920" w:type="dxa"/>
                  <w:tcBorders>
                    <w:top w:val="nil"/>
                    <w:left w:val="nil"/>
                    <w:bottom w:val="single" w:sz="8" w:space="0" w:color="FFFFFF"/>
                    <w:right w:val="single" w:sz="8" w:space="0" w:color="FFFFFF"/>
                  </w:tcBorders>
                  <w:shd w:val="clear" w:color="000000" w:fill="FCD5B4"/>
                  <w:noWrap/>
                  <w:vAlign w:val="center"/>
                  <w:hideMark/>
                </w:tcPr>
                <w:p w14:paraId="2CDC7C7E" w14:textId="58241D7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7.17 </w:t>
                  </w:r>
                </w:p>
              </w:tc>
              <w:tc>
                <w:tcPr>
                  <w:tcW w:w="1149" w:type="dxa"/>
                  <w:tcBorders>
                    <w:top w:val="nil"/>
                    <w:left w:val="nil"/>
                    <w:bottom w:val="nil"/>
                    <w:right w:val="nil"/>
                  </w:tcBorders>
                  <w:shd w:val="clear" w:color="000000" w:fill="FCD5B4"/>
                  <w:noWrap/>
                  <w:vAlign w:val="center"/>
                  <w:hideMark/>
                </w:tcPr>
                <w:p w14:paraId="21A0B914" w14:textId="604C56D2"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2DE8FCCC" w14:textId="3015900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0.89 </w:t>
                  </w:r>
                </w:p>
              </w:tc>
              <w:tc>
                <w:tcPr>
                  <w:tcW w:w="920" w:type="dxa"/>
                  <w:tcBorders>
                    <w:top w:val="nil"/>
                    <w:left w:val="nil"/>
                    <w:bottom w:val="single" w:sz="8" w:space="0" w:color="FFFFFF"/>
                    <w:right w:val="single" w:sz="8" w:space="0" w:color="FFFFFF"/>
                  </w:tcBorders>
                  <w:shd w:val="clear" w:color="000000" w:fill="FCD5B4"/>
                  <w:noWrap/>
                  <w:vAlign w:val="center"/>
                  <w:hideMark/>
                </w:tcPr>
                <w:p w14:paraId="5E36F15A" w14:textId="2CB259A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1.16 </w:t>
                  </w:r>
                </w:p>
              </w:tc>
              <w:tc>
                <w:tcPr>
                  <w:tcW w:w="920" w:type="dxa"/>
                  <w:tcBorders>
                    <w:top w:val="nil"/>
                    <w:left w:val="nil"/>
                    <w:bottom w:val="single" w:sz="8" w:space="0" w:color="FFFFFF"/>
                    <w:right w:val="single" w:sz="8" w:space="0" w:color="FFFFFF"/>
                  </w:tcBorders>
                  <w:shd w:val="clear" w:color="000000" w:fill="FCD5B4"/>
                  <w:noWrap/>
                  <w:vAlign w:val="center"/>
                  <w:hideMark/>
                </w:tcPr>
                <w:p w14:paraId="7CD60254" w14:textId="523E915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1.58 </w:t>
                  </w:r>
                </w:p>
              </w:tc>
              <w:tc>
                <w:tcPr>
                  <w:tcW w:w="920" w:type="dxa"/>
                  <w:tcBorders>
                    <w:top w:val="nil"/>
                    <w:left w:val="nil"/>
                    <w:bottom w:val="single" w:sz="8" w:space="0" w:color="FFFFFF"/>
                    <w:right w:val="single" w:sz="8" w:space="0" w:color="FFFFFF"/>
                  </w:tcBorders>
                  <w:shd w:val="clear" w:color="000000" w:fill="FCD5B4"/>
                  <w:noWrap/>
                  <w:vAlign w:val="center"/>
                  <w:hideMark/>
                </w:tcPr>
                <w:p w14:paraId="39243B4A" w14:textId="40809EC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4.32 </w:t>
                  </w:r>
                </w:p>
              </w:tc>
            </w:tr>
            <w:tr w:rsidR="007A78CB" w:rsidRPr="003F4793" w14:paraId="7406B1F6" w14:textId="77777777" w:rsidTr="00E10EDA">
              <w:trPr>
                <w:trHeight w:val="160"/>
              </w:trPr>
              <w:tc>
                <w:tcPr>
                  <w:tcW w:w="1309" w:type="dxa"/>
                  <w:tcBorders>
                    <w:top w:val="nil"/>
                    <w:left w:val="nil"/>
                    <w:bottom w:val="nil"/>
                    <w:right w:val="nil"/>
                  </w:tcBorders>
                  <w:shd w:val="clear" w:color="auto" w:fill="auto"/>
                  <w:noWrap/>
                  <w:vAlign w:val="center"/>
                  <w:hideMark/>
                </w:tcPr>
                <w:p w14:paraId="2190587C" w14:textId="77777777" w:rsidR="007A78CB" w:rsidRPr="003F4793" w:rsidRDefault="007A78CB" w:rsidP="007A78CB">
                  <w:pPr>
                    <w:widowControl/>
                    <w:jc w:val="center"/>
                    <w:rPr>
                      <w:rFonts w:ascii="KaiTi" w:eastAsia="KaiTi" w:hAnsi="KaiTi" w:cs="Calibri"/>
                      <w:color w:val="000000"/>
                      <w:kern w:val="0"/>
                      <w:szCs w:val="21"/>
                    </w:rPr>
                  </w:pPr>
                </w:p>
              </w:tc>
              <w:tc>
                <w:tcPr>
                  <w:tcW w:w="740" w:type="dxa"/>
                  <w:tcBorders>
                    <w:top w:val="nil"/>
                    <w:left w:val="nil"/>
                    <w:bottom w:val="nil"/>
                    <w:right w:val="nil"/>
                  </w:tcBorders>
                  <w:shd w:val="clear" w:color="auto" w:fill="auto"/>
                  <w:noWrap/>
                  <w:vAlign w:val="center"/>
                  <w:hideMark/>
                </w:tcPr>
                <w:p w14:paraId="399F5F18"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320FF196"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28B3E77A"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8C400F3" w14:textId="77777777" w:rsidR="007A78CB" w:rsidRPr="003F4793" w:rsidRDefault="007A78CB" w:rsidP="007A78CB">
                  <w:pPr>
                    <w:widowControl/>
                    <w:jc w:val="center"/>
                    <w:rPr>
                      <w:rFonts w:ascii="KaiTi" w:eastAsia="KaiTi" w:hAnsi="KaiTi"/>
                      <w:kern w:val="0"/>
                      <w:sz w:val="20"/>
                      <w:szCs w:val="20"/>
                    </w:rPr>
                  </w:pPr>
                </w:p>
              </w:tc>
              <w:tc>
                <w:tcPr>
                  <w:tcW w:w="1149" w:type="dxa"/>
                  <w:tcBorders>
                    <w:top w:val="nil"/>
                    <w:left w:val="nil"/>
                    <w:bottom w:val="nil"/>
                    <w:right w:val="nil"/>
                  </w:tcBorders>
                  <w:shd w:val="clear" w:color="auto" w:fill="auto"/>
                  <w:noWrap/>
                  <w:vAlign w:val="center"/>
                  <w:hideMark/>
                </w:tcPr>
                <w:p w14:paraId="326524A6"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6D3BBAE2"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277D745A"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2E56B1A"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064A8616" w14:textId="77777777" w:rsidR="007A78CB" w:rsidRPr="003F4793" w:rsidRDefault="007A78CB" w:rsidP="007A78CB">
                  <w:pPr>
                    <w:widowControl/>
                    <w:jc w:val="center"/>
                    <w:rPr>
                      <w:rFonts w:ascii="KaiTi" w:eastAsia="KaiTi" w:hAnsi="KaiTi"/>
                      <w:kern w:val="0"/>
                      <w:sz w:val="20"/>
                      <w:szCs w:val="20"/>
                    </w:rPr>
                  </w:pPr>
                </w:p>
              </w:tc>
            </w:tr>
            <w:tr w:rsidR="007A78CB" w:rsidRPr="003F4793" w14:paraId="67AF4F87" w14:textId="77777777" w:rsidTr="00E10EDA">
              <w:trPr>
                <w:trHeight w:val="74"/>
              </w:trPr>
              <w:tc>
                <w:tcPr>
                  <w:tcW w:w="1309" w:type="dxa"/>
                  <w:tcBorders>
                    <w:top w:val="nil"/>
                    <w:left w:val="nil"/>
                    <w:bottom w:val="single" w:sz="12" w:space="0" w:color="FFFFFF"/>
                    <w:right w:val="single" w:sz="8" w:space="0" w:color="FFFFFF"/>
                  </w:tcBorders>
                  <w:shd w:val="clear" w:color="000000" w:fill="F79646"/>
                  <w:noWrap/>
                  <w:vAlign w:val="center"/>
                  <w:hideMark/>
                </w:tcPr>
                <w:p w14:paraId="3FE61E82" w14:textId="43CC03F2" w:rsidR="007A78CB" w:rsidRPr="003F4793" w:rsidRDefault="007A78CB" w:rsidP="007A78CB">
                  <w:pPr>
                    <w:widowControl/>
                    <w:jc w:val="center"/>
                    <w:rPr>
                      <w:rFonts w:ascii="KaiTi" w:eastAsia="KaiTi" w:hAnsi="KaiTi" w:cs="宋体"/>
                      <w:b/>
                      <w:bCs/>
                      <w:color w:val="FFFFFF"/>
                      <w:kern w:val="0"/>
                      <w:sz w:val="20"/>
                      <w:szCs w:val="20"/>
                    </w:rPr>
                  </w:pPr>
                  <w:proofErr w:type="gramStart"/>
                  <w:r>
                    <w:rPr>
                      <w:rFonts w:ascii="楷体" w:eastAsia="楷体" w:hAnsi="楷体" w:hint="eastAsia"/>
                      <w:b/>
                      <w:bCs/>
                      <w:color w:val="FFFFFF"/>
                      <w:sz w:val="20"/>
                      <w:szCs w:val="20"/>
                    </w:rPr>
                    <w:t>周变化</w:t>
                  </w:r>
                  <w:proofErr w:type="gramEnd"/>
                  <w:r>
                    <w:rPr>
                      <w:rFonts w:ascii="楷体" w:eastAsia="楷体" w:hAnsi="楷体" w:hint="eastAsia"/>
                      <w:b/>
                      <w:bCs/>
                      <w:color w:val="FFFFFF"/>
                      <w:sz w:val="20"/>
                      <w:szCs w:val="20"/>
                    </w:rPr>
                    <w:t>(BP)</w:t>
                  </w:r>
                </w:p>
              </w:tc>
              <w:tc>
                <w:tcPr>
                  <w:tcW w:w="740" w:type="dxa"/>
                  <w:tcBorders>
                    <w:top w:val="nil"/>
                    <w:left w:val="nil"/>
                    <w:bottom w:val="single" w:sz="12" w:space="0" w:color="FFFFFF"/>
                    <w:right w:val="single" w:sz="8" w:space="0" w:color="FFFFFF"/>
                  </w:tcBorders>
                  <w:shd w:val="clear" w:color="000000" w:fill="F79646"/>
                  <w:noWrap/>
                  <w:vAlign w:val="center"/>
                  <w:hideMark/>
                </w:tcPr>
                <w:p w14:paraId="7A2D29AE" w14:textId="5EDC88F4"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31A4EADA" w14:textId="1774324E"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ED283BD" w14:textId="12EAB5B8"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D14BBA3" w14:textId="233DC17A"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6F6F04C0" w14:textId="522F0A31"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11161DDB" w14:textId="2A3FB32A"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188427D0" w14:textId="03C84525"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0F81475" w14:textId="733107AE"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68358154" w14:textId="1FD03105"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7A78CB" w:rsidRPr="003F4793" w14:paraId="691FA2FB"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4B8AC9FB" w14:textId="2C2069E0"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26737727" w14:textId="47A34CF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2.8 </w:t>
                  </w:r>
                </w:p>
              </w:tc>
              <w:tc>
                <w:tcPr>
                  <w:tcW w:w="920" w:type="dxa"/>
                  <w:tcBorders>
                    <w:top w:val="nil"/>
                    <w:left w:val="nil"/>
                    <w:bottom w:val="single" w:sz="8" w:space="0" w:color="FFFFFF"/>
                    <w:right w:val="single" w:sz="8" w:space="0" w:color="FFFFFF"/>
                  </w:tcBorders>
                  <w:shd w:val="clear" w:color="000000" w:fill="FCD5B4"/>
                  <w:noWrap/>
                  <w:vAlign w:val="center"/>
                  <w:hideMark/>
                </w:tcPr>
                <w:p w14:paraId="36AEEC42" w14:textId="71309FA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2.8 </w:t>
                  </w:r>
                </w:p>
              </w:tc>
              <w:tc>
                <w:tcPr>
                  <w:tcW w:w="920" w:type="dxa"/>
                  <w:tcBorders>
                    <w:top w:val="nil"/>
                    <w:left w:val="nil"/>
                    <w:bottom w:val="single" w:sz="8" w:space="0" w:color="FFFFFF"/>
                    <w:right w:val="single" w:sz="8" w:space="0" w:color="FFFFFF"/>
                  </w:tcBorders>
                  <w:shd w:val="clear" w:color="000000" w:fill="FCD5B4"/>
                  <w:noWrap/>
                  <w:vAlign w:val="center"/>
                  <w:hideMark/>
                </w:tcPr>
                <w:p w14:paraId="6FAA78B0" w14:textId="081540D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4.9 </w:t>
                  </w:r>
                </w:p>
              </w:tc>
              <w:tc>
                <w:tcPr>
                  <w:tcW w:w="920" w:type="dxa"/>
                  <w:tcBorders>
                    <w:top w:val="nil"/>
                    <w:left w:val="nil"/>
                    <w:bottom w:val="single" w:sz="8" w:space="0" w:color="FFFFFF"/>
                    <w:right w:val="single" w:sz="8" w:space="0" w:color="FFFFFF"/>
                  </w:tcBorders>
                  <w:shd w:val="clear" w:color="000000" w:fill="FCD5B4"/>
                  <w:noWrap/>
                  <w:vAlign w:val="center"/>
                  <w:hideMark/>
                </w:tcPr>
                <w:p w14:paraId="79E4FA89" w14:textId="6FAFF48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4.8 </w:t>
                  </w:r>
                </w:p>
              </w:tc>
              <w:tc>
                <w:tcPr>
                  <w:tcW w:w="1149" w:type="dxa"/>
                  <w:tcBorders>
                    <w:top w:val="nil"/>
                    <w:left w:val="nil"/>
                    <w:bottom w:val="single" w:sz="8" w:space="0" w:color="FFFFFF"/>
                    <w:right w:val="single" w:sz="8" w:space="0" w:color="FFFFFF"/>
                  </w:tcBorders>
                  <w:shd w:val="clear" w:color="000000" w:fill="FCD5B4"/>
                  <w:noWrap/>
                  <w:vAlign w:val="center"/>
                  <w:hideMark/>
                </w:tcPr>
                <w:p w14:paraId="606C4AAF" w14:textId="6391F722"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357A1196" w14:textId="55E8120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3.7 </w:t>
                  </w:r>
                </w:p>
              </w:tc>
              <w:tc>
                <w:tcPr>
                  <w:tcW w:w="920" w:type="dxa"/>
                  <w:tcBorders>
                    <w:top w:val="nil"/>
                    <w:left w:val="nil"/>
                    <w:bottom w:val="single" w:sz="8" w:space="0" w:color="FFFFFF"/>
                    <w:right w:val="single" w:sz="8" w:space="0" w:color="FFFFFF"/>
                  </w:tcBorders>
                  <w:shd w:val="clear" w:color="000000" w:fill="FCD5B4"/>
                  <w:noWrap/>
                  <w:vAlign w:val="center"/>
                  <w:hideMark/>
                </w:tcPr>
                <w:p w14:paraId="2701848E" w14:textId="548A8F2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3.7 </w:t>
                  </w:r>
                </w:p>
              </w:tc>
              <w:tc>
                <w:tcPr>
                  <w:tcW w:w="920" w:type="dxa"/>
                  <w:tcBorders>
                    <w:top w:val="nil"/>
                    <w:left w:val="nil"/>
                    <w:bottom w:val="single" w:sz="8" w:space="0" w:color="FFFFFF"/>
                    <w:right w:val="single" w:sz="8" w:space="0" w:color="FFFFFF"/>
                  </w:tcBorders>
                  <w:shd w:val="clear" w:color="000000" w:fill="FCD5B4"/>
                  <w:noWrap/>
                  <w:vAlign w:val="center"/>
                  <w:hideMark/>
                </w:tcPr>
                <w:p w14:paraId="004705FE" w14:textId="3C1BC8B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5.7 </w:t>
                  </w:r>
                </w:p>
              </w:tc>
              <w:tc>
                <w:tcPr>
                  <w:tcW w:w="920" w:type="dxa"/>
                  <w:tcBorders>
                    <w:top w:val="nil"/>
                    <w:left w:val="nil"/>
                    <w:bottom w:val="single" w:sz="8" w:space="0" w:color="FFFFFF"/>
                    <w:right w:val="single" w:sz="8" w:space="0" w:color="FFFFFF"/>
                  </w:tcBorders>
                  <w:shd w:val="clear" w:color="000000" w:fill="FCD5B4"/>
                  <w:noWrap/>
                  <w:vAlign w:val="center"/>
                  <w:hideMark/>
                </w:tcPr>
                <w:p w14:paraId="3FBDA2E9" w14:textId="39078D9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5.7 </w:t>
                  </w:r>
                </w:p>
              </w:tc>
            </w:tr>
            <w:tr w:rsidR="007A78CB" w:rsidRPr="003F4793" w14:paraId="497D492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7DBC5358" w14:textId="24F71AE7"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3CD640D8" w14:textId="608411F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2.1 </w:t>
                  </w:r>
                </w:p>
              </w:tc>
              <w:tc>
                <w:tcPr>
                  <w:tcW w:w="920" w:type="dxa"/>
                  <w:tcBorders>
                    <w:top w:val="nil"/>
                    <w:left w:val="nil"/>
                    <w:bottom w:val="single" w:sz="8" w:space="0" w:color="FFFFFF"/>
                    <w:right w:val="single" w:sz="8" w:space="0" w:color="FFFFFF"/>
                  </w:tcBorders>
                  <w:shd w:val="clear" w:color="000000" w:fill="FDE9D9"/>
                  <w:noWrap/>
                  <w:vAlign w:val="center"/>
                  <w:hideMark/>
                </w:tcPr>
                <w:p w14:paraId="02826B46" w14:textId="397D0E9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4.1 </w:t>
                  </w:r>
                </w:p>
              </w:tc>
              <w:tc>
                <w:tcPr>
                  <w:tcW w:w="920" w:type="dxa"/>
                  <w:tcBorders>
                    <w:top w:val="nil"/>
                    <w:left w:val="nil"/>
                    <w:bottom w:val="single" w:sz="8" w:space="0" w:color="FFFFFF"/>
                    <w:right w:val="single" w:sz="8" w:space="0" w:color="FFFFFF"/>
                  </w:tcBorders>
                  <w:shd w:val="clear" w:color="000000" w:fill="FDE9D9"/>
                  <w:noWrap/>
                  <w:vAlign w:val="center"/>
                  <w:hideMark/>
                </w:tcPr>
                <w:p w14:paraId="605A16DF" w14:textId="34340FF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3.1 </w:t>
                  </w:r>
                </w:p>
              </w:tc>
              <w:tc>
                <w:tcPr>
                  <w:tcW w:w="920" w:type="dxa"/>
                  <w:tcBorders>
                    <w:top w:val="nil"/>
                    <w:left w:val="nil"/>
                    <w:bottom w:val="single" w:sz="8" w:space="0" w:color="FFFFFF"/>
                    <w:right w:val="single" w:sz="8" w:space="0" w:color="FFFFFF"/>
                  </w:tcBorders>
                  <w:shd w:val="clear" w:color="000000" w:fill="FDE9D9"/>
                  <w:noWrap/>
                  <w:vAlign w:val="center"/>
                  <w:hideMark/>
                </w:tcPr>
                <w:p w14:paraId="7B2C5CED" w14:textId="04F7498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3.1 </w:t>
                  </w:r>
                </w:p>
              </w:tc>
              <w:tc>
                <w:tcPr>
                  <w:tcW w:w="1149" w:type="dxa"/>
                  <w:tcBorders>
                    <w:top w:val="nil"/>
                    <w:left w:val="nil"/>
                    <w:bottom w:val="single" w:sz="8" w:space="0" w:color="FFFFFF"/>
                    <w:right w:val="single" w:sz="8" w:space="0" w:color="FFFFFF"/>
                  </w:tcBorders>
                  <w:shd w:val="clear" w:color="000000" w:fill="FDE9D9"/>
                  <w:noWrap/>
                  <w:vAlign w:val="center"/>
                  <w:hideMark/>
                </w:tcPr>
                <w:p w14:paraId="6FF5E0DD" w14:textId="6CE25812"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46C0665C" w14:textId="054E48E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6.3 </w:t>
                  </w:r>
                </w:p>
              </w:tc>
              <w:tc>
                <w:tcPr>
                  <w:tcW w:w="920" w:type="dxa"/>
                  <w:tcBorders>
                    <w:top w:val="nil"/>
                    <w:left w:val="nil"/>
                    <w:bottom w:val="single" w:sz="8" w:space="0" w:color="FFFFFF"/>
                    <w:right w:val="single" w:sz="8" w:space="0" w:color="FFFFFF"/>
                  </w:tcBorders>
                  <w:shd w:val="clear" w:color="000000" w:fill="FDE9D9"/>
                  <w:noWrap/>
                  <w:vAlign w:val="center"/>
                  <w:hideMark/>
                </w:tcPr>
                <w:p w14:paraId="5E23BCCC" w14:textId="2323D14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8.3 </w:t>
                  </w:r>
                </w:p>
              </w:tc>
              <w:tc>
                <w:tcPr>
                  <w:tcW w:w="920" w:type="dxa"/>
                  <w:tcBorders>
                    <w:top w:val="nil"/>
                    <w:left w:val="nil"/>
                    <w:bottom w:val="single" w:sz="8" w:space="0" w:color="FFFFFF"/>
                    <w:right w:val="single" w:sz="8" w:space="0" w:color="FFFFFF"/>
                  </w:tcBorders>
                  <w:shd w:val="clear" w:color="000000" w:fill="FDE9D9"/>
                  <w:noWrap/>
                  <w:vAlign w:val="center"/>
                  <w:hideMark/>
                </w:tcPr>
                <w:p w14:paraId="1C0ED519" w14:textId="71833D7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7.3 </w:t>
                  </w:r>
                </w:p>
              </w:tc>
              <w:tc>
                <w:tcPr>
                  <w:tcW w:w="920" w:type="dxa"/>
                  <w:tcBorders>
                    <w:top w:val="nil"/>
                    <w:left w:val="nil"/>
                    <w:bottom w:val="single" w:sz="8" w:space="0" w:color="FFFFFF"/>
                    <w:right w:val="single" w:sz="8" w:space="0" w:color="FFFFFF"/>
                  </w:tcBorders>
                  <w:shd w:val="clear" w:color="000000" w:fill="FDE9D9"/>
                  <w:noWrap/>
                  <w:vAlign w:val="center"/>
                  <w:hideMark/>
                </w:tcPr>
                <w:p w14:paraId="0011E4A5" w14:textId="0AE6D4D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7.3 </w:t>
                  </w:r>
                </w:p>
              </w:tc>
            </w:tr>
            <w:tr w:rsidR="007A78CB" w:rsidRPr="003F4793" w14:paraId="0CE9EDD9"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666B8A39" w14:textId="50105F82"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46A29143" w14:textId="18B71B5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0.8 </w:t>
                  </w:r>
                </w:p>
              </w:tc>
              <w:tc>
                <w:tcPr>
                  <w:tcW w:w="920" w:type="dxa"/>
                  <w:tcBorders>
                    <w:top w:val="nil"/>
                    <w:left w:val="nil"/>
                    <w:bottom w:val="single" w:sz="8" w:space="0" w:color="FFFFFF"/>
                    <w:right w:val="single" w:sz="8" w:space="0" w:color="FFFFFF"/>
                  </w:tcBorders>
                  <w:shd w:val="clear" w:color="000000" w:fill="FCD5B4"/>
                  <w:noWrap/>
                  <w:vAlign w:val="center"/>
                  <w:hideMark/>
                </w:tcPr>
                <w:p w14:paraId="65AB8809" w14:textId="00F9F58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0.8 </w:t>
                  </w:r>
                </w:p>
              </w:tc>
              <w:tc>
                <w:tcPr>
                  <w:tcW w:w="920" w:type="dxa"/>
                  <w:tcBorders>
                    <w:top w:val="nil"/>
                    <w:left w:val="nil"/>
                    <w:bottom w:val="single" w:sz="8" w:space="0" w:color="FFFFFF"/>
                    <w:right w:val="single" w:sz="8" w:space="0" w:color="FFFFFF"/>
                  </w:tcBorders>
                  <w:shd w:val="clear" w:color="000000" w:fill="FCD5B4"/>
                  <w:noWrap/>
                  <w:vAlign w:val="center"/>
                  <w:hideMark/>
                </w:tcPr>
                <w:p w14:paraId="008EB32A" w14:textId="4EFE0C9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0.8 </w:t>
                  </w:r>
                </w:p>
              </w:tc>
              <w:tc>
                <w:tcPr>
                  <w:tcW w:w="920" w:type="dxa"/>
                  <w:tcBorders>
                    <w:top w:val="nil"/>
                    <w:left w:val="nil"/>
                    <w:bottom w:val="single" w:sz="8" w:space="0" w:color="FFFFFF"/>
                    <w:right w:val="single" w:sz="8" w:space="0" w:color="FFFFFF"/>
                  </w:tcBorders>
                  <w:shd w:val="clear" w:color="000000" w:fill="FCD5B4"/>
                  <w:noWrap/>
                  <w:vAlign w:val="center"/>
                  <w:hideMark/>
                </w:tcPr>
                <w:p w14:paraId="7D7C0954" w14:textId="1E11DB2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1.8 </w:t>
                  </w:r>
                </w:p>
              </w:tc>
              <w:tc>
                <w:tcPr>
                  <w:tcW w:w="1149" w:type="dxa"/>
                  <w:tcBorders>
                    <w:top w:val="nil"/>
                    <w:left w:val="nil"/>
                    <w:bottom w:val="single" w:sz="8" w:space="0" w:color="FFFFFF"/>
                    <w:right w:val="single" w:sz="8" w:space="0" w:color="FFFFFF"/>
                  </w:tcBorders>
                  <w:shd w:val="clear" w:color="000000" w:fill="FCD5B4"/>
                  <w:noWrap/>
                  <w:vAlign w:val="center"/>
                  <w:hideMark/>
                </w:tcPr>
                <w:p w14:paraId="1A7EC8C4" w14:textId="5FEAA39E"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0CE8BFC7" w14:textId="0B2F4DB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1.0 </w:t>
                  </w:r>
                </w:p>
              </w:tc>
              <w:tc>
                <w:tcPr>
                  <w:tcW w:w="920" w:type="dxa"/>
                  <w:tcBorders>
                    <w:top w:val="nil"/>
                    <w:left w:val="nil"/>
                    <w:bottom w:val="single" w:sz="8" w:space="0" w:color="FFFFFF"/>
                    <w:right w:val="single" w:sz="8" w:space="0" w:color="FFFFFF"/>
                  </w:tcBorders>
                  <w:shd w:val="clear" w:color="000000" w:fill="FCD5B4"/>
                  <w:noWrap/>
                  <w:vAlign w:val="center"/>
                  <w:hideMark/>
                </w:tcPr>
                <w:p w14:paraId="5811EE16" w14:textId="3874C0E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1.0 </w:t>
                  </w:r>
                </w:p>
              </w:tc>
              <w:tc>
                <w:tcPr>
                  <w:tcW w:w="920" w:type="dxa"/>
                  <w:tcBorders>
                    <w:top w:val="nil"/>
                    <w:left w:val="nil"/>
                    <w:bottom w:val="single" w:sz="8" w:space="0" w:color="FFFFFF"/>
                    <w:right w:val="single" w:sz="8" w:space="0" w:color="FFFFFF"/>
                  </w:tcBorders>
                  <w:shd w:val="clear" w:color="000000" w:fill="FCD5B4"/>
                  <w:noWrap/>
                  <w:vAlign w:val="center"/>
                  <w:hideMark/>
                </w:tcPr>
                <w:p w14:paraId="42E7B60E" w14:textId="3ED85C4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1.0 </w:t>
                  </w:r>
                </w:p>
              </w:tc>
              <w:tc>
                <w:tcPr>
                  <w:tcW w:w="920" w:type="dxa"/>
                  <w:tcBorders>
                    <w:top w:val="nil"/>
                    <w:left w:val="nil"/>
                    <w:bottom w:val="single" w:sz="8" w:space="0" w:color="FFFFFF"/>
                    <w:right w:val="single" w:sz="8" w:space="0" w:color="FFFFFF"/>
                  </w:tcBorders>
                  <w:shd w:val="clear" w:color="000000" w:fill="FCD5B4"/>
                  <w:noWrap/>
                  <w:vAlign w:val="center"/>
                  <w:hideMark/>
                </w:tcPr>
                <w:p w14:paraId="4E401EC9" w14:textId="29F31BE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2.0 </w:t>
                  </w:r>
                </w:p>
              </w:tc>
            </w:tr>
            <w:tr w:rsidR="007A78CB" w:rsidRPr="003F4793" w14:paraId="4B96FC1F"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055655BC" w14:textId="1177D07D"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5C23ADBD" w14:textId="7A372BA7" w:rsidR="007A78CB" w:rsidRPr="003F4793" w:rsidRDefault="007A78CB" w:rsidP="007A78CB">
                  <w:pPr>
                    <w:widowControl/>
                    <w:jc w:val="center"/>
                    <w:rPr>
                      <w:rFonts w:ascii="KaiTi" w:eastAsia="KaiTi" w:hAnsi="KaiTi" w:cs="Calibri"/>
                      <w:color w:val="000000"/>
                      <w:kern w:val="0"/>
                      <w:szCs w:val="21"/>
                    </w:rPr>
                  </w:pPr>
                  <w:r>
                    <w:rPr>
                      <w:rFonts w:eastAsia="等线" w:cs="Calibri"/>
                      <w:color w:val="FF0000"/>
                      <w:szCs w:val="21"/>
                    </w:rPr>
                    <w:t xml:space="preserve">-1.7 </w:t>
                  </w:r>
                </w:p>
              </w:tc>
              <w:tc>
                <w:tcPr>
                  <w:tcW w:w="920" w:type="dxa"/>
                  <w:tcBorders>
                    <w:top w:val="nil"/>
                    <w:left w:val="nil"/>
                    <w:bottom w:val="single" w:sz="8" w:space="0" w:color="FFFFFF"/>
                    <w:right w:val="single" w:sz="8" w:space="0" w:color="FFFFFF"/>
                  </w:tcBorders>
                  <w:shd w:val="clear" w:color="000000" w:fill="FDE9D9"/>
                  <w:noWrap/>
                  <w:vAlign w:val="center"/>
                  <w:hideMark/>
                </w:tcPr>
                <w:p w14:paraId="5FCD1E73" w14:textId="613FF5C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0.3 </w:t>
                  </w:r>
                </w:p>
              </w:tc>
              <w:tc>
                <w:tcPr>
                  <w:tcW w:w="920" w:type="dxa"/>
                  <w:tcBorders>
                    <w:top w:val="nil"/>
                    <w:left w:val="nil"/>
                    <w:bottom w:val="single" w:sz="8" w:space="0" w:color="FFFFFF"/>
                    <w:right w:val="single" w:sz="8" w:space="0" w:color="FFFFFF"/>
                  </w:tcBorders>
                  <w:shd w:val="clear" w:color="000000" w:fill="FDE9D9"/>
                  <w:noWrap/>
                  <w:vAlign w:val="center"/>
                  <w:hideMark/>
                </w:tcPr>
                <w:p w14:paraId="5B16061B" w14:textId="2C38AE4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0.3 </w:t>
                  </w:r>
                </w:p>
              </w:tc>
              <w:tc>
                <w:tcPr>
                  <w:tcW w:w="920" w:type="dxa"/>
                  <w:tcBorders>
                    <w:top w:val="nil"/>
                    <w:left w:val="nil"/>
                    <w:bottom w:val="single" w:sz="8" w:space="0" w:color="FFFFFF"/>
                    <w:right w:val="single" w:sz="8" w:space="0" w:color="FFFFFF"/>
                  </w:tcBorders>
                  <w:shd w:val="clear" w:color="000000" w:fill="FDE9D9"/>
                  <w:noWrap/>
                  <w:vAlign w:val="center"/>
                  <w:hideMark/>
                </w:tcPr>
                <w:p w14:paraId="76F51BF6" w14:textId="4E60CB7E" w:rsidR="007A78CB" w:rsidRPr="003F4793" w:rsidRDefault="007A78CB" w:rsidP="007A78CB">
                  <w:pPr>
                    <w:widowControl/>
                    <w:jc w:val="center"/>
                    <w:rPr>
                      <w:rFonts w:ascii="KaiTi" w:eastAsia="KaiTi" w:hAnsi="KaiTi" w:cs="Calibri"/>
                      <w:color w:val="000000"/>
                      <w:kern w:val="0"/>
                      <w:szCs w:val="21"/>
                    </w:rPr>
                  </w:pPr>
                  <w:r>
                    <w:rPr>
                      <w:rFonts w:eastAsia="等线" w:cs="Calibri"/>
                      <w:color w:val="FF0000"/>
                      <w:szCs w:val="21"/>
                    </w:rPr>
                    <w:t xml:space="preserve">-1.7 </w:t>
                  </w:r>
                </w:p>
              </w:tc>
              <w:tc>
                <w:tcPr>
                  <w:tcW w:w="1149" w:type="dxa"/>
                  <w:tcBorders>
                    <w:top w:val="nil"/>
                    <w:left w:val="nil"/>
                    <w:bottom w:val="single" w:sz="8" w:space="0" w:color="FFFFFF"/>
                    <w:right w:val="single" w:sz="8" w:space="0" w:color="FFFFFF"/>
                  </w:tcBorders>
                  <w:shd w:val="clear" w:color="000000" w:fill="FDE9D9"/>
                  <w:noWrap/>
                  <w:vAlign w:val="center"/>
                  <w:hideMark/>
                </w:tcPr>
                <w:p w14:paraId="343EAA9F" w14:textId="233CC8D3"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63247225" w14:textId="55925DC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2.5 </w:t>
                  </w:r>
                </w:p>
              </w:tc>
              <w:tc>
                <w:tcPr>
                  <w:tcW w:w="920" w:type="dxa"/>
                  <w:tcBorders>
                    <w:top w:val="nil"/>
                    <w:left w:val="nil"/>
                    <w:bottom w:val="single" w:sz="8" w:space="0" w:color="FFFFFF"/>
                    <w:right w:val="single" w:sz="8" w:space="0" w:color="FFFFFF"/>
                  </w:tcBorders>
                  <w:shd w:val="clear" w:color="000000" w:fill="FDE9D9"/>
                  <w:noWrap/>
                  <w:vAlign w:val="center"/>
                  <w:hideMark/>
                </w:tcPr>
                <w:p w14:paraId="083BF439" w14:textId="054BFD9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4.5 </w:t>
                  </w:r>
                </w:p>
              </w:tc>
              <w:tc>
                <w:tcPr>
                  <w:tcW w:w="920" w:type="dxa"/>
                  <w:tcBorders>
                    <w:top w:val="nil"/>
                    <w:left w:val="nil"/>
                    <w:bottom w:val="single" w:sz="8" w:space="0" w:color="FFFFFF"/>
                    <w:right w:val="single" w:sz="8" w:space="0" w:color="FFFFFF"/>
                  </w:tcBorders>
                  <w:shd w:val="clear" w:color="000000" w:fill="FDE9D9"/>
                  <w:noWrap/>
                  <w:vAlign w:val="center"/>
                  <w:hideMark/>
                </w:tcPr>
                <w:p w14:paraId="7F14EF11" w14:textId="33C1094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4.5 </w:t>
                  </w:r>
                </w:p>
              </w:tc>
              <w:tc>
                <w:tcPr>
                  <w:tcW w:w="920" w:type="dxa"/>
                  <w:tcBorders>
                    <w:top w:val="nil"/>
                    <w:left w:val="nil"/>
                    <w:bottom w:val="single" w:sz="8" w:space="0" w:color="FFFFFF"/>
                    <w:right w:val="single" w:sz="8" w:space="0" w:color="FFFFFF"/>
                  </w:tcBorders>
                  <w:shd w:val="clear" w:color="000000" w:fill="FDE9D9"/>
                  <w:noWrap/>
                  <w:vAlign w:val="center"/>
                  <w:hideMark/>
                </w:tcPr>
                <w:p w14:paraId="61246080" w14:textId="573DD61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2.5 </w:t>
                  </w:r>
                </w:p>
              </w:tc>
            </w:tr>
            <w:tr w:rsidR="007A78CB" w:rsidRPr="003F4793" w14:paraId="445C2E7B"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7A530122" w14:textId="4C4BFBD3"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5D5F6751" w14:textId="5AF148B8" w:rsidR="007A78CB" w:rsidRPr="003F4793" w:rsidRDefault="007A78CB" w:rsidP="007A78CB">
                  <w:pPr>
                    <w:widowControl/>
                    <w:jc w:val="center"/>
                    <w:rPr>
                      <w:rFonts w:ascii="KaiTi" w:eastAsia="KaiTi" w:hAnsi="KaiTi" w:cs="Calibri"/>
                      <w:color w:val="000000"/>
                      <w:kern w:val="0"/>
                      <w:szCs w:val="21"/>
                    </w:rPr>
                  </w:pPr>
                  <w:r>
                    <w:rPr>
                      <w:rFonts w:eastAsia="等线" w:cs="Calibri"/>
                      <w:color w:val="FF0000"/>
                      <w:szCs w:val="21"/>
                    </w:rPr>
                    <w:t xml:space="preserve">-0.1 </w:t>
                  </w:r>
                </w:p>
              </w:tc>
              <w:tc>
                <w:tcPr>
                  <w:tcW w:w="920" w:type="dxa"/>
                  <w:tcBorders>
                    <w:top w:val="nil"/>
                    <w:left w:val="nil"/>
                    <w:bottom w:val="single" w:sz="8" w:space="0" w:color="FFFFFF"/>
                    <w:right w:val="single" w:sz="8" w:space="0" w:color="FFFFFF"/>
                  </w:tcBorders>
                  <w:shd w:val="clear" w:color="000000" w:fill="FCD5B4"/>
                  <w:noWrap/>
                  <w:vAlign w:val="center"/>
                  <w:hideMark/>
                </w:tcPr>
                <w:p w14:paraId="300B72E8" w14:textId="3A21932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0.9 </w:t>
                  </w:r>
                </w:p>
              </w:tc>
              <w:tc>
                <w:tcPr>
                  <w:tcW w:w="920" w:type="dxa"/>
                  <w:tcBorders>
                    <w:top w:val="nil"/>
                    <w:left w:val="nil"/>
                    <w:bottom w:val="single" w:sz="8" w:space="0" w:color="FFFFFF"/>
                    <w:right w:val="single" w:sz="8" w:space="0" w:color="FFFFFF"/>
                  </w:tcBorders>
                  <w:shd w:val="clear" w:color="000000" w:fill="FCD5B4"/>
                  <w:noWrap/>
                  <w:vAlign w:val="center"/>
                  <w:hideMark/>
                </w:tcPr>
                <w:p w14:paraId="4243F803" w14:textId="2B1F74F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0.9 </w:t>
                  </w:r>
                </w:p>
              </w:tc>
              <w:tc>
                <w:tcPr>
                  <w:tcW w:w="920" w:type="dxa"/>
                  <w:tcBorders>
                    <w:top w:val="nil"/>
                    <w:left w:val="nil"/>
                    <w:bottom w:val="single" w:sz="8" w:space="0" w:color="FFFFFF"/>
                    <w:right w:val="single" w:sz="8" w:space="0" w:color="FFFFFF"/>
                  </w:tcBorders>
                  <w:shd w:val="clear" w:color="000000" w:fill="FCD5B4"/>
                  <w:noWrap/>
                  <w:vAlign w:val="center"/>
                  <w:hideMark/>
                </w:tcPr>
                <w:p w14:paraId="448E5ABD" w14:textId="579F47D2"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0.9 </w:t>
                  </w:r>
                </w:p>
              </w:tc>
              <w:tc>
                <w:tcPr>
                  <w:tcW w:w="1149" w:type="dxa"/>
                  <w:tcBorders>
                    <w:top w:val="nil"/>
                    <w:left w:val="nil"/>
                    <w:bottom w:val="single" w:sz="8" w:space="0" w:color="FFFFFF"/>
                    <w:right w:val="single" w:sz="8" w:space="0" w:color="FFFFFF"/>
                  </w:tcBorders>
                  <w:shd w:val="clear" w:color="000000" w:fill="FCD5B4"/>
                  <w:noWrap/>
                  <w:vAlign w:val="center"/>
                  <w:hideMark/>
                </w:tcPr>
                <w:p w14:paraId="243BE1B9" w14:textId="6EF31D11"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284F409D" w14:textId="77B4DFE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0.1 </w:t>
                  </w:r>
                </w:p>
              </w:tc>
              <w:tc>
                <w:tcPr>
                  <w:tcW w:w="920" w:type="dxa"/>
                  <w:tcBorders>
                    <w:top w:val="nil"/>
                    <w:left w:val="nil"/>
                    <w:bottom w:val="single" w:sz="8" w:space="0" w:color="FFFFFF"/>
                    <w:right w:val="single" w:sz="8" w:space="0" w:color="FFFFFF"/>
                  </w:tcBorders>
                  <w:shd w:val="clear" w:color="000000" w:fill="FCD5B4"/>
                  <w:noWrap/>
                  <w:vAlign w:val="center"/>
                  <w:hideMark/>
                </w:tcPr>
                <w:p w14:paraId="036E88AD" w14:textId="21A99FF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1.1 </w:t>
                  </w:r>
                </w:p>
              </w:tc>
              <w:tc>
                <w:tcPr>
                  <w:tcW w:w="920" w:type="dxa"/>
                  <w:tcBorders>
                    <w:top w:val="nil"/>
                    <w:left w:val="nil"/>
                    <w:bottom w:val="single" w:sz="8" w:space="0" w:color="FFFFFF"/>
                    <w:right w:val="single" w:sz="8" w:space="0" w:color="FFFFFF"/>
                  </w:tcBorders>
                  <w:shd w:val="clear" w:color="000000" w:fill="FCD5B4"/>
                  <w:noWrap/>
                  <w:vAlign w:val="center"/>
                  <w:hideMark/>
                </w:tcPr>
                <w:p w14:paraId="427E0CD2" w14:textId="283DC52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1.1 </w:t>
                  </w:r>
                </w:p>
              </w:tc>
              <w:tc>
                <w:tcPr>
                  <w:tcW w:w="920" w:type="dxa"/>
                  <w:tcBorders>
                    <w:top w:val="nil"/>
                    <w:left w:val="nil"/>
                    <w:bottom w:val="single" w:sz="8" w:space="0" w:color="FFFFFF"/>
                    <w:right w:val="single" w:sz="8" w:space="0" w:color="FFFFFF"/>
                  </w:tcBorders>
                  <w:shd w:val="clear" w:color="000000" w:fill="FCD5B4"/>
                  <w:noWrap/>
                  <w:vAlign w:val="center"/>
                  <w:hideMark/>
                </w:tcPr>
                <w:p w14:paraId="78BEA210" w14:textId="5EC83F5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1.1 </w:t>
                  </w:r>
                </w:p>
              </w:tc>
            </w:tr>
            <w:tr w:rsidR="007A78CB" w:rsidRPr="003F4793" w14:paraId="3191787A"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F700977" w14:textId="3E6FE6A8"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2827D979" w14:textId="5A5AF75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1.9 </w:t>
                  </w:r>
                </w:p>
              </w:tc>
              <w:tc>
                <w:tcPr>
                  <w:tcW w:w="920" w:type="dxa"/>
                  <w:tcBorders>
                    <w:top w:val="nil"/>
                    <w:left w:val="nil"/>
                    <w:bottom w:val="single" w:sz="8" w:space="0" w:color="FFFFFF"/>
                    <w:right w:val="single" w:sz="8" w:space="0" w:color="FFFFFF"/>
                  </w:tcBorders>
                  <w:shd w:val="clear" w:color="000000" w:fill="FDE9D9"/>
                  <w:noWrap/>
                  <w:vAlign w:val="center"/>
                  <w:hideMark/>
                </w:tcPr>
                <w:p w14:paraId="1BCEB620" w14:textId="5D71EA8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1.9 </w:t>
                  </w:r>
                </w:p>
              </w:tc>
              <w:tc>
                <w:tcPr>
                  <w:tcW w:w="920" w:type="dxa"/>
                  <w:tcBorders>
                    <w:top w:val="nil"/>
                    <w:left w:val="nil"/>
                    <w:bottom w:val="single" w:sz="8" w:space="0" w:color="FFFFFF"/>
                    <w:right w:val="single" w:sz="8" w:space="0" w:color="FFFFFF"/>
                  </w:tcBorders>
                  <w:shd w:val="clear" w:color="000000" w:fill="FDE9D9"/>
                  <w:noWrap/>
                  <w:vAlign w:val="center"/>
                  <w:hideMark/>
                </w:tcPr>
                <w:p w14:paraId="642DA1D2" w14:textId="15BE5CB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1.9 </w:t>
                  </w:r>
                </w:p>
              </w:tc>
              <w:tc>
                <w:tcPr>
                  <w:tcW w:w="920" w:type="dxa"/>
                  <w:tcBorders>
                    <w:top w:val="nil"/>
                    <w:left w:val="nil"/>
                    <w:bottom w:val="single" w:sz="8" w:space="0" w:color="FFFFFF"/>
                    <w:right w:val="single" w:sz="8" w:space="0" w:color="FFFFFF"/>
                  </w:tcBorders>
                  <w:shd w:val="clear" w:color="000000" w:fill="FDE9D9"/>
                  <w:noWrap/>
                  <w:vAlign w:val="center"/>
                  <w:hideMark/>
                </w:tcPr>
                <w:p w14:paraId="45A5D7F8" w14:textId="378B96E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1.9 </w:t>
                  </w:r>
                </w:p>
              </w:tc>
              <w:tc>
                <w:tcPr>
                  <w:tcW w:w="1149" w:type="dxa"/>
                  <w:tcBorders>
                    <w:top w:val="nil"/>
                    <w:left w:val="nil"/>
                    <w:bottom w:val="single" w:sz="8" w:space="0" w:color="FFFFFF"/>
                    <w:right w:val="single" w:sz="8" w:space="0" w:color="FFFFFF"/>
                  </w:tcBorders>
                  <w:shd w:val="clear" w:color="000000" w:fill="FDE9D9"/>
                  <w:noWrap/>
                  <w:vAlign w:val="center"/>
                  <w:hideMark/>
                </w:tcPr>
                <w:p w14:paraId="065B2767" w14:textId="1D3A9033"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720359E1" w14:textId="192A64B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2.9 </w:t>
                  </w:r>
                </w:p>
              </w:tc>
              <w:tc>
                <w:tcPr>
                  <w:tcW w:w="920" w:type="dxa"/>
                  <w:tcBorders>
                    <w:top w:val="nil"/>
                    <w:left w:val="nil"/>
                    <w:bottom w:val="single" w:sz="8" w:space="0" w:color="FFFFFF"/>
                    <w:right w:val="single" w:sz="8" w:space="0" w:color="FFFFFF"/>
                  </w:tcBorders>
                  <w:shd w:val="clear" w:color="000000" w:fill="FDE9D9"/>
                  <w:noWrap/>
                  <w:vAlign w:val="center"/>
                  <w:hideMark/>
                </w:tcPr>
                <w:p w14:paraId="059C072D" w14:textId="408B56BB"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2.9 </w:t>
                  </w:r>
                </w:p>
              </w:tc>
              <w:tc>
                <w:tcPr>
                  <w:tcW w:w="920" w:type="dxa"/>
                  <w:tcBorders>
                    <w:top w:val="nil"/>
                    <w:left w:val="nil"/>
                    <w:bottom w:val="single" w:sz="8" w:space="0" w:color="FFFFFF"/>
                    <w:right w:val="single" w:sz="8" w:space="0" w:color="FFFFFF"/>
                  </w:tcBorders>
                  <w:shd w:val="clear" w:color="000000" w:fill="FDE9D9"/>
                  <w:noWrap/>
                  <w:vAlign w:val="center"/>
                  <w:hideMark/>
                </w:tcPr>
                <w:p w14:paraId="4DCBF554" w14:textId="40D99CE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2.9 </w:t>
                  </w:r>
                </w:p>
              </w:tc>
              <w:tc>
                <w:tcPr>
                  <w:tcW w:w="920" w:type="dxa"/>
                  <w:tcBorders>
                    <w:top w:val="nil"/>
                    <w:left w:val="nil"/>
                    <w:bottom w:val="single" w:sz="8" w:space="0" w:color="FFFFFF"/>
                    <w:right w:val="single" w:sz="8" w:space="0" w:color="FFFFFF"/>
                  </w:tcBorders>
                  <w:shd w:val="clear" w:color="000000" w:fill="FDE9D9"/>
                  <w:noWrap/>
                  <w:vAlign w:val="center"/>
                  <w:hideMark/>
                </w:tcPr>
                <w:p w14:paraId="248F8942" w14:textId="7DB4FFA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2.9 </w:t>
                  </w:r>
                </w:p>
              </w:tc>
            </w:tr>
            <w:tr w:rsidR="007A78CB" w:rsidRPr="003F4793" w14:paraId="30D8B86F"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34C7AF72" w14:textId="4C90673D"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6BA27B0F" w14:textId="47B41BF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2.2 </w:t>
                  </w:r>
                </w:p>
              </w:tc>
              <w:tc>
                <w:tcPr>
                  <w:tcW w:w="920" w:type="dxa"/>
                  <w:tcBorders>
                    <w:top w:val="nil"/>
                    <w:left w:val="nil"/>
                    <w:bottom w:val="single" w:sz="8" w:space="0" w:color="FFFFFF"/>
                    <w:right w:val="single" w:sz="8" w:space="0" w:color="FFFFFF"/>
                  </w:tcBorders>
                  <w:shd w:val="clear" w:color="000000" w:fill="FCD5B4"/>
                  <w:noWrap/>
                  <w:vAlign w:val="center"/>
                  <w:hideMark/>
                </w:tcPr>
                <w:p w14:paraId="5357D5B3" w14:textId="5A27704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3.2 </w:t>
                  </w:r>
                </w:p>
              </w:tc>
              <w:tc>
                <w:tcPr>
                  <w:tcW w:w="920" w:type="dxa"/>
                  <w:tcBorders>
                    <w:top w:val="nil"/>
                    <w:left w:val="nil"/>
                    <w:bottom w:val="single" w:sz="8" w:space="0" w:color="FFFFFF"/>
                    <w:right w:val="single" w:sz="8" w:space="0" w:color="FFFFFF"/>
                  </w:tcBorders>
                  <w:shd w:val="clear" w:color="000000" w:fill="FCD5B4"/>
                  <w:noWrap/>
                  <w:vAlign w:val="center"/>
                  <w:hideMark/>
                </w:tcPr>
                <w:p w14:paraId="6BAE198E" w14:textId="73A972D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3.2 </w:t>
                  </w:r>
                </w:p>
              </w:tc>
              <w:tc>
                <w:tcPr>
                  <w:tcW w:w="920" w:type="dxa"/>
                  <w:tcBorders>
                    <w:top w:val="nil"/>
                    <w:left w:val="nil"/>
                    <w:bottom w:val="single" w:sz="8" w:space="0" w:color="FFFFFF"/>
                    <w:right w:val="single" w:sz="8" w:space="0" w:color="FFFFFF"/>
                  </w:tcBorders>
                  <w:shd w:val="clear" w:color="000000" w:fill="FCD5B4"/>
                  <w:noWrap/>
                  <w:vAlign w:val="center"/>
                  <w:hideMark/>
                </w:tcPr>
                <w:p w14:paraId="11173B26" w14:textId="2356189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3.2 </w:t>
                  </w:r>
                </w:p>
              </w:tc>
              <w:tc>
                <w:tcPr>
                  <w:tcW w:w="1149" w:type="dxa"/>
                  <w:tcBorders>
                    <w:top w:val="nil"/>
                    <w:left w:val="nil"/>
                    <w:bottom w:val="single" w:sz="8" w:space="0" w:color="FFFFFF"/>
                    <w:right w:val="single" w:sz="8" w:space="0" w:color="FFFFFF"/>
                  </w:tcBorders>
                  <w:shd w:val="clear" w:color="000000" w:fill="FCD5B4"/>
                  <w:noWrap/>
                  <w:vAlign w:val="center"/>
                  <w:hideMark/>
                </w:tcPr>
                <w:p w14:paraId="4344DD46" w14:textId="4376DA2F"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43E9904F" w14:textId="4311BA5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6.3 </w:t>
                  </w:r>
                </w:p>
              </w:tc>
              <w:tc>
                <w:tcPr>
                  <w:tcW w:w="920" w:type="dxa"/>
                  <w:tcBorders>
                    <w:top w:val="nil"/>
                    <w:left w:val="nil"/>
                    <w:bottom w:val="single" w:sz="8" w:space="0" w:color="FFFFFF"/>
                    <w:right w:val="single" w:sz="8" w:space="0" w:color="FFFFFF"/>
                  </w:tcBorders>
                  <w:shd w:val="clear" w:color="000000" w:fill="FCD5B4"/>
                  <w:noWrap/>
                  <w:vAlign w:val="center"/>
                  <w:hideMark/>
                </w:tcPr>
                <w:p w14:paraId="72520448" w14:textId="549ED81B"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7.3 </w:t>
                  </w:r>
                </w:p>
              </w:tc>
              <w:tc>
                <w:tcPr>
                  <w:tcW w:w="920" w:type="dxa"/>
                  <w:tcBorders>
                    <w:top w:val="nil"/>
                    <w:left w:val="nil"/>
                    <w:bottom w:val="single" w:sz="8" w:space="0" w:color="FFFFFF"/>
                    <w:right w:val="single" w:sz="8" w:space="0" w:color="FFFFFF"/>
                  </w:tcBorders>
                  <w:shd w:val="clear" w:color="000000" w:fill="FCD5B4"/>
                  <w:noWrap/>
                  <w:vAlign w:val="center"/>
                  <w:hideMark/>
                </w:tcPr>
                <w:p w14:paraId="4F7B3956" w14:textId="513CD20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7.3 </w:t>
                  </w:r>
                </w:p>
              </w:tc>
              <w:tc>
                <w:tcPr>
                  <w:tcW w:w="920" w:type="dxa"/>
                  <w:tcBorders>
                    <w:top w:val="nil"/>
                    <w:left w:val="nil"/>
                    <w:bottom w:val="single" w:sz="8" w:space="0" w:color="FFFFFF"/>
                    <w:right w:val="single" w:sz="8" w:space="0" w:color="FFFFFF"/>
                  </w:tcBorders>
                  <w:shd w:val="clear" w:color="000000" w:fill="FCD5B4"/>
                  <w:noWrap/>
                  <w:vAlign w:val="center"/>
                  <w:hideMark/>
                </w:tcPr>
                <w:p w14:paraId="455389C2" w14:textId="02E83DB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7.3 </w:t>
                  </w:r>
                </w:p>
              </w:tc>
            </w:tr>
            <w:tr w:rsidR="007A78CB" w:rsidRPr="003F4793" w14:paraId="6A7B0CBC"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052855D1" w14:textId="2359E870"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7770DE15" w14:textId="0F696CE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1.7 </w:t>
                  </w:r>
                </w:p>
              </w:tc>
              <w:tc>
                <w:tcPr>
                  <w:tcW w:w="920" w:type="dxa"/>
                  <w:tcBorders>
                    <w:top w:val="nil"/>
                    <w:left w:val="nil"/>
                    <w:bottom w:val="single" w:sz="8" w:space="0" w:color="FFFFFF"/>
                    <w:right w:val="single" w:sz="8" w:space="0" w:color="FFFFFF"/>
                  </w:tcBorders>
                  <w:shd w:val="clear" w:color="000000" w:fill="FDE9D9"/>
                  <w:noWrap/>
                  <w:vAlign w:val="center"/>
                  <w:hideMark/>
                </w:tcPr>
                <w:p w14:paraId="4004BD72" w14:textId="245B96B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7.7 </w:t>
                  </w:r>
                </w:p>
              </w:tc>
              <w:tc>
                <w:tcPr>
                  <w:tcW w:w="920" w:type="dxa"/>
                  <w:tcBorders>
                    <w:top w:val="nil"/>
                    <w:left w:val="nil"/>
                    <w:bottom w:val="single" w:sz="8" w:space="0" w:color="FFFFFF"/>
                    <w:right w:val="single" w:sz="8" w:space="0" w:color="FFFFFF"/>
                  </w:tcBorders>
                  <w:shd w:val="clear" w:color="000000" w:fill="FDE9D9"/>
                  <w:noWrap/>
                  <w:vAlign w:val="center"/>
                  <w:hideMark/>
                </w:tcPr>
                <w:p w14:paraId="10E494F6" w14:textId="7A0C81F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2.7 </w:t>
                  </w:r>
                </w:p>
              </w:tc>
              <w:tc>
                <w:tcPr>
                  <w:tcW w:w="920" w:type="dxa"/>
                  <w:tcBorders>
                    <w:top w:val="nil"/>
                    <w:left w:val="nil"/>
                    <w:bottom w:val="single" w:sz="8" w:space="0" w:color="FFFFFF"/>
                    <w:right w:val="single" w:sz="8" w:space="0" w:color="FFFFFF"/>
                  </w:tcBorders>
                  <w:shd w:val="clear" w:color="000000" w:fill="FDE9D9"/>
                  <w:noWrap/>
                  <w:vAlign w:val="center"/>
                  <w:hideMark/>
                </w:tcPr>
                <w:p w14:paraId="2C334CFA" w14:textId="51DD2B77" w:rsidR="007A78CB" w:rsidRPr="003F4793" w:rsidRDefault="007A78CB" w:rsidP="007A78CB">
                  <w:pPr>
                    <w:widowControl/>
                    <w:jc w:val="center"/>
                    <w:rPr>
                      <w:rFonts w:ascii="KaiTi" w:eastAsia="KaiTi" w:hAnsi="KaiTi" w:cs="Calibri"/>
                      <w:color w:val="000000"/>
                      <w:kern w:val="0"/>
                      <w:szCs w:val="21"/>
                    </w:rPr>
                  </w:pPr>
                  <w:r>
                    <w:rPr>
                      <w:rFonts w:eastAsia="等线" w:cs="Calibri"/>
                      <w:color w:val="FF0000"/>
                      <w:szCs w:val="21"/>
                    </w:rPr>
                    <w:t xml:space="preserve">-5.3 </w:t>
                  </w:r>
                </w:p>
              </w:tc>
              <w:tc>
                <w:tcPr>
                  <w:tcW w:w="1149" w:type="dxa"/>
                  <w:tcBorders>
                    <w:top w:val="nil"/>
                    <w:left w:val="nil"/>
                    <w:bottom w:val="single" w:sz="8" w:space="0" w:color="FFFFFF"/>
                    <w:right w:val="single" w:sz="8" w:space="0" w:color="FFFFFF"/>
                  </w:tcBorders>
                  <w:shd w:val="clear" w:color="000000" w:fill="FDE9D9"/>
                  <w:noWrap/>
                  <w:vAlign w:val="center"/>
                  <w:hideMark/>
                </w:tcPr>
                <w:p w14:paraId="471CE1B8" w14:textId="2B40CFEC"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3A0C33F3" w14:textId="62BA444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1.9 </w:t>
                  </w:r>
                </w:p>
              </w:tc>
              <w:tc>
                <w:tcPr>
                  <w:tcW w:w="920" w:type="dxa"/>
                  <w:tcBorders>
                    <w:top w:val="nil"/>
                    <w:left w:val="nil"/>
                    <w:bottom w:val="single" w:sz="8" w:space="0" w:color="FFFFFF"/>
                    <w:right w:val="single" w:sz="8" w:space="0" w:color="FFFFFF"/>
                  </w:tcBorders>
                  <w:shd w:val="clear" w:color="000000" w:fill="FDE9D9"/>
                  <w:noWrap/>
                  <w:vAlign w:val="center"/>
                  <w:hideMark/>
                </w:tcPr>
                <w:p w14:paraId="0131BE88" w14:textId="14BCC9F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7.9 </w:t>
                  </w:r>
                </w:p>
              </w:tc>
              <w:tc>
                <w:tcPr>
                  <w:tcW w:w="920" w:type="dxa"/>
                  <w:tcBorders>
                    <w:top w:val="nil"/>
                    <w:left w:val="nil"/>
                    <w:bottom w:val="single" w:sz="8" w:space="0" w:color="FFFFFF"/>
                    <w:right w:val="single" w:sz="8" w:space="0" w:color="FFFFFF"/>
                  </w:tcBorders>
                  <w:shd w:val="clear" w:color="000000" w:fill="FDE9D9"/>
                  <w:noWrap/>
                  <w:vAlign w:val="center"/>
                  <w:hideMark/>
                </w:tcPr>
                <w:p w14:paraId="6C67254B" w14:textId="662D54F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2.9 </w:t>
                  </w:r>
                </w:p>
              </w:tc>
              <w:tc>
                <w:tcPr>
                  <w:tcW w:w="920" w:type="dxa"/>
                  <w:tcBorders>
                    <w:top w:val="nil"/>
                    <w:left w:val="nil"/>
                    <w:bottom w:val="single" w:sz="8" w:space="0" w:color="FFFFFF"/>
                    <w:right w:val="single" w:sz="8" w:space="0" w:color="FFFFFF"/>
                  </w:tcBorders>
                  <w:shd w:val="clear" w:color="000000" w:fill="FDE9D9"/>
                  <w:noWrap/>
                  <w:vAlign w:val="center"/>
                  <w:hideMark/>
                </w:tcPr>
                <w:p w14:paraId="4C0EAFCC" w14:textId="1B0295D5" w:rsidR="007A78CB" w:rsidRPr="003F4793" w:rsidRDefault="007A78CB" w:rsidP="007A78CB">
                  <w:pPr>
                    <w:widowControl/>
                    <w:jc w:val="center"/>
                    <w:rPr>
                      <w:rFonts w:ascii="KaiTi" w:eastAsia="KaiTi" w:hAnsi="KaiTi" w:cs="Calibri"/>
                      <w:color w:val="000000"/>
                      <w:kern w:val="0"/>
                      <w:szCs w:val="21"/>
                    </w:rPr>
                  </w:pPr>
                  <w:r>
                    <w:rPr>
                      <w:rFonts w:eastAsia="等线" w:cs="Calibri"/>
                      <w:color w:val="FF0000"/>
                      <w:szCs w:val="21"/>
                    </w:rPr>
                    <w:t xml:space="preserve">-5.1 </w:t>
                  </w:r>
                </w:p>
              </w:tc>
            </w:tr>
            <w:tr w:rsidR="007A78CB" w:rsidRPr="003F4793" w14:paraId="3B417DAA" w14:textId="77777777" w:rsidTr="00E10EDA">
              <w:trPr>
                <w:trHeight w:val="310"/>
              </w:trPr>
              <w:tc>
                <w:tcPr>
                  <w:tcW w:w="1309" w:type="dxa"/>
                  <w:tcBorders>
                    <w:top w:val="nil"/>
                    <w:left w:val="nil"/>
                    <w:bottom w:val="nil"/>
                    <w:right w:val="nil"/>
                  </w:tcBorders>
                  <w:shd w:val="clear" w:color="000000" w:fill="FCD5B4"/>
                  <w:noWrap/>
                  <w:vAlign w:val="center"/>
                  <w:hideMark/>
                </w:tcPr>
                <w:p w14:paraId="0DA46A28" w14:textId="656B5D5D"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77893C8C" w14:textId="35EA12F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1.1 </w:t>
                  </w:r>
                </w:p>
              </w:tc>
              <w:tc>
                <w:tcPr>
                  <w:tcW w:w="920" w:type="dxa"/>
                  <w:tcBorders>
                    <w:top w:val="nil"/>
                    <w:left w:val="nil"/>
                    <w:bottom w:val="single" w:sz="8" w:space="0" w:color="FFFFFF"/>
                    <w:right w:val="single" w:sz="8" w:space="0" w:color="FFFFFF"/>
                  </w:tcBorders>
                  <w:shd w:val="clear" w:color="000000" w:fill="FCD5B4"/>
                  <w:noWrap/>
                  <w:vAlign w:val="center"/>
                  <w:hideMark/>
                </w:tcPr>
                <w:p w14:paraId="66E4B3A7" w14:textId="61B8FD2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7.1 </w:t>
                  </w:r>
                </w:p>
              </w:tc>
              <w:tc>
                <w:tcPr>
                  <w:tcW w:w="920" w:type="dxa"/>
                  <w:tcBorders>
                    <w:top w:val="nil"/>
                    <w:left w:val="nil"/>
                    <w:bottom w:val="single" w:sz="8" w:space="0" w:color="FFFFFF"/>
                    <w:right w:val="single" w:sz="8" w:space="0" w:color="FFFFFF"/>
                  </w:tcBorders>
                  <w:shd w:val="clear" w:color="000000" w:fill="FCD5B4"/>
                  <w:noWrap/>
                  <w:vAlign w:val="center"/>
                  <w:hideMark/>
                </w:tcPr>
                <w:p w14:paraId="6ECD03FA" w14:textId="78D5B2C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1.1 </w:t>
                  </w:r>
                </w:p>
              </w:tc>
              <w:tc>
                <w:tcPr>
                  <w:tcW w:w="920" w:type="dxa"/>
                  <w:tcBorders>
                    <w:top w:val="nil"/>
                    <w:left w:val="nil"/>
                    <w:bottom w:val="single" w:sz="8" w:space="0" w:color="FFFFFF"/>
                    <w:right w:val="single" w:sz="8" w:space="0" w:color="FFFFFF"/>
                  </w:tcBorders>
                  <w:shd w:val="clear" w:color="000000" w:fill="FCD5B4"/>
                  <w:noWrap/>
                  <w:vAlign w:val="center"/>
                  <w:hideMark/>
                </w:tcPr>
                <w:p w14:paraId="4A1E86C1" w14:textId="754A1151" w:rsidR="007A78CB" w:rsidRPr="003F4793" w:rsidRDefault="007A78CB" w:rsidP="007A78CB">
                  <w:pPr>
                    <w:widowControl/>
                    <w:jc w:val="center"/>
                    <w:rPr>
                      <w:rFonts w:ascii="KaiTi" w:eastAsia="KaiTi" w:hAnsi="KaiTi" w:cs="Calibri"/>
                      <w:color w:val="000000"/>
                      <w:kern w:val="0"/>
                      <w:szCs w:val="21"/>
                    </w:rPr>
                  </w:pPr>
                  <w:r>
                    <w:rPr>
                      <w:rFonts w:eastAsia="等线" w:cs="Calibri"/>
                      <w:color w:val="FF0000"/>
                      <w:szCs w:val="21"/>
                    </w:rPr>
                    <w:t xml:space="preserve">-5.9 </w:t>
                  </w:r>
                </w:p>
              </w:tc>
              <w:tc>
                <w:tcPr>
                  <w:tcW w:w="1149" w:type="dxa"/>
                  <w:tcBorders>
                    <w:top w:val="nil"/>
                    <w:left w:val="nil"/>
                    <w:bottom w:val="nil"/>
                    <w:right w:val="nil"/>
                  </w:tcBorders>
                  <w:shd w:val="clear" w:color="000000" w:fill="FCD5B4"/>
                  <w:noWrap/>
                  <w:vAlign w:val="center"/>
                  <w:hideMark/>
                </w:tcPr>
                <w:p w14:paraId="10247A8D" w14:textId="22106EF7"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627E1DEE" w14:textId="52FF92A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2.2 </w:t>
                  </w:r>
                </w:p>
              </w:tc>
              <w:tc>
                <w:tcPr>
                  <w:tcW w:w="920" w:type="dxa"/>
                  <w:tcBorders>
                    <w:top w:val="nil"/>
                    <w:left w:val="nil"/>
                    <w:bottom w:val="single" w:sz="8" w:space="0" w:color="FFFFFF"/>
                    <w:right w:val="single" w:sz="8" w:space="0" w:color="FFFFFF"/>
                  </w:tcBorders>
                  <w:shd w:val="clear" w:color="000000" w:fill="FCD5B4"/>
                  <w:noWrap/>
                  <w:vAlign w:val="center"/>
                  <w:hideMark/>
                </w:tcPr>
                <w:p w14:paraId="1B4F21D5" w14:textId="79BCD62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8.2 </w:t>
                  </w:r>
                </w:p>
              </w:tc>
              <w:tc>
                <w:tcPr>
                  <w:tcW w:w="920" w:type="dxa"/>
                  <w:tcBorders>
                    <w:top w:val="nil"/>
                    <w:left w:val="nil"/>
                    <w:bottom w:val="single" w:sz="8" w:space="0" w:color="FFFFFF"/>
                    <w:right w:val="single" w:sz="8" w:space="0" w:color="FFFFFF"/>
                  </w:tcBorders>
                  <w:shd w:val="clear" w:color="000000" w:fill="FCD5B4"/>
                  <w:noWrap/>
                  <w:vAlign w:val="center"/>
                  <w:hideMark/>
                </w:tcPr>
                <w:p w14:paraId="45D1B136" w14:textId="15A7EA82"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 xml:space="preserve">2.2 </w:t>
                  </w:r>
                </w:p>
              </w:tc>
              <w:tc>
                <w:tcPr>
                  <w:tcW w:w="920" w:type="dxa"/>
                  <w:tcBorders>
                    <w:top w:val="nil"/>
                    <w:left w:val="nil"/>
                    <w:bottom w:val="single" w:sz="8" w:space="0" w:color="FFFFFF"/>
                    <w:right w:val="single" w:sz="8" w:space="0" w:color="FFFFFF"/>
                  </w:tcBorders>
                  <w:shd w:val="clear" w:color="000000" w:fill="FCD5B4"/>
                  <w:noWrap/>
                  <w:vAlign w:val="center"/>
                  <w:hideMark/>
                </w:tcPr>
                <w:p w14:paraId="18882D60" w14:textId="4A67E505" w:rsidR="007A78CB" w:rsidRPr="003F4793" w:rsidRDefault="007A78CB" w:rsidP="007A78CB">
                  <w:pPr>
                    <w:widowControl/>
                    <w:jc w:val="center"/>
                    <w:rPr>
                      <w:rFonts w:ascii="KaiTi" w:eastAsia="KaiTi" w:hAnsi="KaiTi" w:cs="Calibri"/>
                      <w:color w:val="000000"/>
                      <w:kern w:val="0"/>
                      <w:szCs w:val="21"/>
                    </w:rPr>
                  </w:pPr>
                  <w:r>
                    <w:rPr>
                      <w:rFonts w:eastAsia="等线" w:cs="Calibri"/>
                      <w:color w:val="FF0000"/>
                      <w:szCs w:val="21"/>
                    </w:rPr>
                    <w:t xml:space="preserve">-4.8 </w:t>
                  </w:r>
                </w:p>
              </w:tc>
            </w:tr>
            <w:tr w:rsidR="007A78CB" w:rsidRPr="003F4793" w14:paraId="42AE38BD" w14:textId="77777777" w:rsidTr="00E10EDA">
              <w:trPr>
                <w:trHeight w:val="160"/>
              </w:trPr>
              <w:tc>
                <w:tcPr>
                  <w:tcW w:w="1309" w:type="dxa"/>
                  <w:tcBorders>
                    <w:top w:val="nil"/>
                    <w:left w:val="nil"/>
                    <w:bottom w:val="nil"/>
                    <w:right w:val="nil"/>
                  </w:tcBorders>
                  <w:shd w:val="clear" w:color="auto" w:fill="auto"/>
                  <w:noWrap/>
                  <w:vAlign w:val="center"/>
                  <w:hideMark/>
                </w:tcPr>
                <w:p w14:paraId="5A7EA8AA" w14:textId="77777777" w:rsidR="007A78CB" w:rsidRPr="003F4793" w:rsidRDefault="007A78CB" w:rsidP="007A78CB">
                  <w:pPr>
                    <w:widowControl/>
                    <w:jc w:val="center"/>
                    <w:rPr>
                      <w:rFonts w:ascii="KaiTi" w:eastAsia="KaiTi" w:hAnsi="KaiTi" w:cs="Calibri"/>
                      <w:color w:val="000000"/>
                      <w:kern w:val="0"/>
                      <w:szCs w:val="21"/>
                    </w:rPr>
                  </w:pPr>
                </w:p>
              </w:tc>
              <w:tc>
                <w:tcPr>
                  <w:tcW w:w="740" w:type="dxa"/>
                  <w:tcBorders>
                    <w:top w:val="nil"/>
                    <w:left w:val="nil"/>
                    <w:bottom w:val="nil"/>
                    <w:right w:val="nil"/>
                  </w:tcBorders>
                  <w:shd w:val="clear" w:color="auto" w:fill="auto"/>
                  <w:noWrap/>
                  <w:vAlign w:val="center"/>
                  <w:hideMark/>
                </w:tcPr>
                <w:p w14:paraId="48196DA8"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12908F17"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4ECE1CA7"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542E0E74" w14:textId="77777777" w:rsidR="007A78CB" w:rsidRPr="003F4793" w:rsidRDefault="007A78CB" w:rsidP="007A78CB">
                  <w:pPr>
                    <w:widowControl/>
                    <w:jc w:val="center"/>
                    <w:rPr>
                      <w:rFonts w:ascii="KaiTi" w:eastAsia="KaiTi" w:hAnsi="KaiTi"/>
                      <w:kern w:val="0"/>
                      <w:sz w:val="20"/>
                      <w:szCs w:val="20"/>
                    </w:rPr>
                  </w:pPr>
                </w:p>
              </w:tc>
              <w:tc>
                <w:tcPr>
                  <w:tcW w:w="1149" w:type="dxa"/>
                  <w:tcBorders>
                    <w:top w:val="nil"/>
                    <w:left w:val="nil"/>
                    <w:bottom w:val="nil"/>
                    <w:right w:val="nil"/>
                  </w:tcBorders>
                  <w:shd w:val="clear" w:color="auto" w:fill="auto"/>
                  <w:noWrap/>
                  <w:vAlign w:val="center"/>
                  <w:hideMark/>
                </w:tcPr>
                <w:p w14:paraId="05ED658A"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7F5D1A19"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31BF2F6A"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0E8AB294" w14:textId="77777777" w:rsidR="007A78CB" w:rsidRPr="003F4793" w:rsidRDefault="007A78CB" w:rsidP="007A78CB">
                  <w:pPr>
                    <w:widowControl/>
                    <w:jc w:val="center"/>
                    <w:rPr>
                      <w:rFonts w:ascii="KaiTi" w:eastAsia="KaiTi" w:hAnsi="KaiTi"/>
                      <w:kern w:val="0"/>
                      <w:sz w:val="20"/>
                      <w:szCs w:val="20"/>
                    </w:rPr>
                  </w:pPr>
                </w:p>
              </w:tc>
              <w:tc>
                <w:tcPr>
                  <w:tcW w:w="920" w:type="dxa"/>
                  <w:tcBorders>
                    <w:top w:val="nil"/>
                    <w:left w:val="nil"/>
                    <w:bottom w:val="nil"/>
                    <w:right w:val="nil"/>
                  </w:tcBorders>
                  <w:shd w:val="clear" w:color="auto" w:fill="auto"/>
                  <w:noWrap/>
                  <w:vAlign w:val="center"/>
                  <w:hideMark/>
                </w:tcPr>
                <w:p w14:paraId="79F18CA9" w14:textId="77777777" w:rsidR="007A78CB" w:rsidRPr="003F4793" w:rsidRDefault="007A78CB" w:rsidP="007A78CB">
                  <w:pPr>
                    <w:widowControl/>
                    <w:jc w:val="center"/>
                    <w:rPr>
                      <w:rFonts w:ascii="KaiTi" w:eastAsia="KaiTi" w:hAnsi="KaiTi"/>
                      <w:kern w:val="0"/>
                      <w:sz w:val="20"/>
                      <w:szCs w:val="20"/>
                    </w:rPr>
                  </w:pPr>
                </w:p>
              </w:tc>
            </w:tr>
            <w:tr w:rsidR="007A78CB" w:rsidRPr="003F4793" w14:paraId="2463192E" w14:textId="77777777" w:rsidTr="00E10EDA">
              <w:trPr>
                <w:trHeight w:val="310"/>
              </w:trPr>
              <w:tc>
                <w:tcPr>
                  <w:tcW w:w="1309" w:type="dxa"/>
                  <w:tcBorders>
                    <w:top w:val="nil"/>
                    <w:left w:val="nil"/>
                    <w:bottom w:val="single" w:sz="12" w:space="0" w:color="FFFFFF"/>
                    <w:right w:val="single" w:sz="8" w:space="0" w:color="FFFFFF"/>
                  </w:tcBorders>
                  <w:shd w:val="clear" w:color="000000" w:fill="F79646"/>
                  <w:noWrap/>
                  <w:vAlign w:val="center"/>
                  <w:hideMark/>
                </w:tcPr>
                <w:p w14:paraId="30C3828D" w14:textId="6FEEAF80"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收益率分位</w:t>
                  </w:r>
                </w:p>
              </w:tc>
              <w:tc>
                <w:tcPr>
                  <w:tcW w:w="740" w:type="dxa"/>
                  <w:tcBorders>
                    <w:top w:val="nil"/>
                    <w:left w:val="nil"/>
                    <w:bottom w:val="single" w:sz="12" w:space="0" w:color="FFFFFF"/>
                    <w:right w:val="single" w:sz="8" w:space="0" w:color="FFFFFF"/>
                  </w:tcBorders>
                  <w:shd w:val="clear" w:color="000000" w:fill="F79646"/>
                  <w:noWrap/>
                  <w:vAlign w:val="center"/>
                  <w:hideMark/>
                </w:tcPr>
                <w:p w14:paraId="57743789" w14:textId="658F1BFF"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0835438" w14:textId="1EDD88E0"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6942ACD3" w14:textId="1E6E2AB3"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3DED1B9B" w14:textId="698CC43E"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1149" w:type="dxa"/>
                  <w:tcBorders>
                    <w:top w:val="nil"/>
                    <w:left w:val="nil"/>
                    <w:bottom w:val="single" w:sz="12" w:space="0" w:color="FFFFFF"/>
                    <w:right w:val="single" w:sz="8" w:space="0" w:color="FFFFFF"/>
                  </w:tcBorders>
                  <w:shd w:val="clear" w:color="000000" w:fill="F79646"/>
                  <w:noWrap/>
                  <w:vAlign w:val="center"/>
                  <w:hideMark/>
                </w:tcPr>
                <w:p w14:paraId="4C48D3F0" w14:textId="48AB606D"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息差</w:t>
                  </w:r>
                </w:p>
              </w:tc>
              <w:tc>
                <w:tcPr>
                  <w:tcW w:w="920" w:type="dxa"/>
                  <w:tcBorders>
                    <w:top w:val="nil"/>
                    <w:left w:val="nil"/>
                    <w:bottom w:val="single" w:sz="12" w:space="0" w:color="FFFFFF"/>
                    <w:right w:val="single" w:sz="8" w:space="0" w:color="FFFFFF"/>
                  </w:tcBorders>
                  <w:shd w:val="clear" w:color="000000" w:fill="F79646"/>
                  <w:noWrap/>
                  <w:vAlign w:val="center"/>
                  <w:hideMark/>
                </w:tcPr>
                <w:p w14:paraId="20F774BB" w14:textId="7BE9C6D5"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AAA</w:t>
                  </w:r>
                </w:p>
              </w:tc>
              <w:tc>
                <w:tcPr>
                  <w:tcW w:w="920" w:type="dxa"/>
                  <w:tcBorders>
                    <w:top w:val="nil"/>
                    <w:left w:val="nil"/>
                    <w:bottom w:val="single" w:sz="12" w:space="0" w:color="FFFFFF"/>
                    <w:right w:val="single" w:sz="8" w:space="0" w:color="FFFFFF"/>
                  </w:tcBorders>
                  <w:shd w:val="clear" w:color="000000" w:fill="F79646"/>
                  <w:noWrap/>
                  <w:vAlign w:val="center"/>
                  <w:hideMark/>
                </w:tcPr>
                <w:p w14:paraId="5045FBE8" w14:textId="41F130CA"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27DDC22F" w14:textId="05F4BD38"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c>
                <w:tcPr>
                  <w:tcW w:w="920" w:type="dxa"/>
                  <w:tcBorders>
                    <w:top w:val="nil"/>
                    <w:left w:val="nil"/>
                    <w:bottom w:val="single" w:sz="12" w:space="0" w:color="FFFFFF"/>
                    <w:right w:val="single" w:sz="8" w:space="0" w:color="FFFFFF"/>
                  </w:tcBorders>
                  <w:shd w:val="clear" w:color="000000" w:fill="F79646"/>
                  <w:noWrap/>
                  <w:vAlign w:val="center"/>
                  <w:hideMark/>
                </w:tcPr>
                <w:p w14:paraId="016F42D2" w14:textId="75B70A04" w:rsidR="007A78CB" w:rsidRPr="003F4793" w:rsidRDefault="007A78CB" w:rsidP="007A78CB">
                  <w:pPr>
                    <w:widowControl/>
                    <w:jc w:val="center"/>
                    <w:rPr>
                      <w:rFonts w:ascii="KaiTi" w:eastAsia="KaiTi" w:hAnsi="KaiTi" w:cs="宋体"/>
                      <w:b/>
                      <w:bCs/>
                      <w:color w:val="FFFFFF"/>
                      <w:kern w:val="0"/>
                      <w:sz w:val="20"/>
                      <w:szCs w:val="20"/>
                    </w:rPr>
                  </w:pPr>
                  <w:r>
                    <w:rPr>
                      <w:rFonts w:ascii="楷体" w:eastAsia="楷体" w:hAnsi="楷体" w:hint="eastAsia"/>
                      <w:b/>
                      <w:bCs/>
                      <w:color w:val="FFFFFF"/>
                      <w:sz w:val="20"/>
                      <w:szCs w:val="20"/>
                    </w:rPr>
                    <w:t>AA-</w:t>
                  </w:r>
                </w:p>
              </w:tc>
            </w:tr>
            <w:tr w:rsidR="007A78CB" w:rsidRPr="003F4793" w14:paraId="6BCEED0C" w14:textId="77777777" w:rsidTr="00E10EDA">
              <w:trPr>
                <w:trHeight w:val="321"/>
              </w:trPr>
              <w:tc>
                <w:tcPr>
                  <w:tcW w:w="1309" w:type="dxa"/>
                  <w:tcBorders>
                    <w:top w:val="nil"/>
                    <w:left w:val="nil"/>
                    <w:bottom w:val="single" w:sz="8" w:space="0" w:color="FFFFFF"/>
                    <w:right w:val="single" w:sz="8" w:space="0" w:color="FFFFFF"/>
                  </w:tcBorders>
                  <w:shd w:val="clear" w:color="000000" w:fill="FCD5B4"/>
                  <w:noWrap/>
                  <w:vAlign w:val="center"/>
                  <w:hideMark/>
                </w:tcPr>
                <w:p w14:paraId="08C9B79B" w14:textId="75C371C8"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740" w:type="dxa"/>
                  <w:tcBorders>
                    <w:top w:val="nil"/>
                    <w:left w:val="nil"/>
                    <w:bottom w:val="single" w:sz="8" w:space="0" w:color="FFFFFF"/>
                    <w:right w:val="single" w:sz="8" w:space="0" w:color="FFFFFF"/>
                  </w:tcBorders>
                  <w:shd w:val="clear" w:color="000000" w:fill="FCD5B4"/>
                  <w:noWrap/>
                  <w:vAlign w:val="center"/>
                  <w:hideMark/>
                </w:tcPr>
                <w:p w14:paraId="3D9575A3" w14:textId="6A3E3D7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20%</w:t>
                  </w:r>
                </w:p>
              </w:tc>
              <w:tc>
                <w:tcPr>
                  <w:tcW w:w="920" w:type="dxa"/>
                  <w:tcBorders>
                    <w:top w:val="nil"/>
                    <w:left w:val="nil"/>
                    <w:bottom w:val="single" w:sz="8" w:space="0" w:color="FFFFFF"/>
                    <w:right w:val="single" w:sz="8" w:space="0" w:color="FFFFFF"/>
                  </w:tcBorders>
                  <w:shd w:val="clear" w:color="000000" w:fill="FCD5B4"/>
                  <w:noWrap/>
                  <w:vAlign w:val="center"/>
                  <w:hideMark/>
                </w:tcPr>
                <w:p w14:paraId="29CEB283" w14:textId="5C14786B"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17%</w:t>
                  </w:r>
                </w:p>
              </w:tc>
              <w:tc>
                <w:tcPr>
                  <w:tcW w:w="920" w:type="dxa"/>
                  <w:tcBorders>
                    <w:top w:val="nil"/>
                    <w:left w:val="nil"/>
                    <w:bottom w:val="single" w:sz="8" w:space="0" w:color="FFFFFF"/>
                    <w:right w:val="single" w:sz="8" w:space="0" w:color="FFFFFF"/>
                  </w:tcBorders>
                  <w:shd w:val="clear" w:color="000000" w:fill="FCD5B4"/>
                  <w:noWrap/>
                  <w:vAlign w:val="center"/>
                  <w:hideMark/>
                </w:tcPr>
                <w:p w14:paraId="79A327E6" w14:textId="3235034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15%</w:t>
                  </w:r>
                </w:p>
              </w:tc>
              <w:tc>
                <w:tcPr>
                  <w:tcW w:w="920" w:type="dxa"/>
                  <w:tcBorders>
                    <w:top w:val="nil"/>
                    <w:left w:val="nil"/>
                    <w:bottom w:val="single" w:sz="8" w:space="0" w:color="FFFFFF"/>
                    <w:right w:val="single" w:sz="8" w:space="0" w:color="FFFFFF"/>
                  </w:tcBorders>
                  <w:shd w:val="clear" w:color="000000" w:fill="FCD5B4"/>
                  <w:noWrap/>
                  <w:vAlign w:val="center"/>
                  <w:hideMark/>
                </w:tcPr>
                <w:p w14:paraId="033E9A5E" w14:textId="12B12D9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49%</w:t>
                  </w:r>
                </w:p>
              </w:tc>
              <w:tc>
                <w:tcPr>
                  <w:tcW w:w="1149" w:type="dxa"/>
                  <w:tcBorders>
                    <w:top w:val="nil"/>
                    <w:left w:val="nil"/>
                    <w:bottom w:val="single" w:sz="8" w:space="0" w:color="FFFFFF"/>
                    <w:right w:val="single" w:sz="8" w:space="0" w:color="FFFFFF"/>
                  </w:tcBorders>
                  <w:shd w:val="clear" w:color="000000" w:fill="FCD5B4"/>
                  <w:noWrap/>
                  <w:vAlign w:val="center"/>
                  <w:hideMark/>
                </w:tcPr>
                <w:p w14:paraId="13B4CCB6" w14:textId="39D5199E"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1A1E1D51" w14:textId="44A3B36C"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2%</w:t>
                  </w:r>
                </w:p>
              </w:tc>
              <w:tc>
                <w:tcPr>
                  <w:tcW w:w="920" w:type="dxa"/>
                  <w:tcBorders>
                    <w:top w:val="nil"/>
                    <w:left w:val="nil"/>
                    <w:bottom w:val="single" w:sz="8" w:space="0" w:color="FFFFFF"/>
                    <w:right w:val="single" w:sz="8" w:space="0" w:color="FFFFFF"/>
                  </w:tcBorders>
                  <w:shd w:val="clear" w:color="000000" w:fill="FCD5B4"/>
                  <w:noWrap/>
                  <w:vAlign w:val="center"/>
                  <w:hideMark/>
                </w:tcPr>
                <w:p w14:paraId="10576394" w14:textId="0E50553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w:t>
                  </w:r>
                </w:p>
              </w:tc>
              <w:tc>
                <w:tcPr>
                  <w:tcW w:w="920" w:type="dxa"/>
                  <w:tcBorders>
                    <w:top w:val="nil"/>
                    <w:left w:val="nil"/>
                    <w:bottom w:val="single" w:sz="8" w:space="0" w:color="FFFFFF"/>
                    <w:right w:val="single" w:sz="8" w:space="0" w:color="FFFFFF"/>
                  </w:tcBorders>
                  <w:shd w:val="clear" w:color="000000" w:fill="FCD5B4"/>
                  <w:noWrap/>
                  <w:vAlign w:val="center"/>
                  <w:hideMark/>
                </w:tcPr>
                <w:p w14:paraId="0393CC42" w14:textId="0ABFDA3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0%</w:t>
                  </w:r>
                </w:p>
              </w:tc>
              <w:tc>
                <w:tcPr>
                  <w:tcW w:w="920" w:type="dxa"/>
                  <w:tcBorders>
                    <w:top w:val="nil"/>
                    <w:left w:val="nil"/>
                    <w:bottom w:val="single" w:sz="8" w:space="0" w:color="FFFFFF"/>
                    <w:right w:val="single" w:sz="8" w:space="0" w:color="FFFFFF"/>
                  </w:tcBorders>
                  <w:shd w:val="clear" w:color="000000" w:fill="FCD5B4"/>
                  <w:noWrap/>
                  <w:vAlign w:val="center"/>
                  <w:hideMark/>
                </w:tcPr>
                <w:p w14:paraId="580FA8E3" w14:textId="39F3F3D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61%</w:t>
                  </w:r>
                </w:p>
              </w:tc>
            </w:tr>
            <w:tr w:rsidR="007A78CB" w:rsidRPr="003F4793" w14:paraId="3DF945E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7C68C45D" w14:textId="3BFD35CE"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740" w:type="dxa"/>
                  <w:tcBorders>
                    <w:top w:val="nil"/>
                    <w:left w:val="nil"/>
                    <w:bottom w:val="single" w:sz="8" w:space="0" w:color="FFFFFF"/>
                    <w:right w:val="single" w:sz="8" w:space="0" w:color="FFFFFF"/>
                  </w:tcBorders>
                  <w:shd w:val="clear" w:color="000000" w:fill="FDE9D9"/>
                  <w:noWrap/>
                  <w:vAlign w:val="center"/>
                  <w:hideMark/>
                </w:tcPr>
                <w:p w14:paraId="5A423046" w14:textId="0CEEEC0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12%</w:t>
                  </w:r>
                </w:p>
              </w:tc>
              <w:tc>
                <w:tcPr>
                  <w:tcW w:w="920" w:type="dxa"/>
                  <w:tcBorders>
                    <w:top w:val="nil"/>
                    <w:left w:val="nil"/>
                    <w:bottom w:val="single" w:sz="8" w:space="0" w:color="FFFFFF"/>
                    <w:right w:val="single" w:sz="8" w:space="0" w:color="FFFFFF"/>
                  </w:tcBorders>
                  <w:shd w:val="clear" w:color="000000" w:fill="FDE9D9"/>
                  <w:noWrap/>
                  <w:vAlign w:val="center"/>
                  <w:hideMark/>
                </w:tcPr>
                <w:p w14:paraId="3842DD73" w14:textId="123B6FB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DE9D9"/>
                  <w:noWrap/>
                  <w:vAlign w:val="center"/>
                  <w:hideMark/>
                </w:tcPr>
                <w:p w14:paraId="78364D74" w14:textId="1A004EB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13%</w:t>
                  </w:r>
                </w:p>
              </w:tc>
              <w:tc>
                <w:tcPr>
                  <w:tcW w:w="920" w:type="dxa"/>
                  <w:tcBorders>
                    <w:top w:val="nil"/>
                    <w:left w:val="nil"/>
                    <w:bottom w:val="single" w:sz="8" w:space="0" w:color="FFFFFF"/>
                    <w:right w:val="single" w:sz="8" w:space="0" w:color="FFFFFF"/>
                  </w:tcBorders>
                  <w:shd w:val="clear" w:color="000000" w:fill="FDE9D9"/>
                  <w:noWrap/>
                  <w:vAlign w:val="center"/>
                  <w:hideMark/>
                </w:tcPr>
                <w:p w14:paraId="564662AF" w14:textId="6B87392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56%</w:t>
                  </w:r>
                </w:p>
              </w:tc>
              <w:tc>
                <w:tcPr>
                  <w:tcW w:w="1149" w:type="dxa"/>
                  <w:tcBorders>
                    <w:top w:val="nil"/>
                    <w:left w:val="nil"/>
                    <w:bottom w:val="single" w:sz="8" w:space="0" w:color="FFFFFF"/>
                    <w:right w:val="single" w:sz="8" w:space="0" w:color="FFFFFF"/>
                  </w:tcBorders>
                  <w:shd w:val="clear" w:color="000000" w:fill="FDE9D9"/>
                  <w:noWrap/>
                  <w:vAlign w:val="center"/>
                  <w:hideMark/>
                </w:tcPr>
                <w:p w14:paraId="6544C40A" w14:textId="6A4349CC"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1A21A620" w14:textId="7F0846A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17EEE215" w14:textId="222BA0D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DE9D9"/>
                  <w:noWrap/>
                  <w:vAlign w:val="center"/>
                  <w:hideMark/>
                </w:tcPr>
                <w:p w14:paraId="42640BE8" w14:textId="67D1E4C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19%</w:t>
                  </w:r>
                </w:p>
              </w:tc>
              <w:tc>
                <w:tcPr>
                  <w:tcW w:w="920" w:type="dxa"/>
                  <w:tcBorders>
                    <w:top w:val="nil"/>
                    <w:left w:val="nil"/>
                    <w:bottom w:val="single" w:sz="8" w:space="0" w:color="FFFFFF"/>
                    <w:right w:val="single" w:sz="8" w:space="0" w:color="FFFFFF"/>
                  </w:tcBorders>
                  <w:shd w:val="clear" w:color="000000" w:fill="FDE9D9"/>
                  <w:noWrap/>
                  <w:vAlign w:val="center"/>
                  <w:hideMark/>
                </w:tcPr>
                <w:p w14:paraId="132999AD" w14:textId="704F5EDE" w:rsidR="007A78CB" w:rsidRPr="003F4793" w:rsidRDefault="007A78CB" w:rsidP="007A78CB">
                  <w:pPr>
                    <w:widowControl/>
                    <w:jc w:val="center"/>
                    <w:rPr>
                      <w:rFonts w:ascii="KaiTi" w:eastAsia="KaiTi" w:hAnsi="KaiTi" w:cs="Calibri"/>
                      <w:color w:val="000000"/>
                      <w:kern w:val="0"/>
                      <w:szCs w:val="21"/>
                    </w:rPr>
                  </w:pPr>
                  <w:r>
                    <w:rPr>
                      <w:rFonts w:eastAsia="等线" w:cs="Calibri"/>
                      <w:color w:val="9C0006"/>
                      <w:szCs w:val="21"/>
                    </w:rPr>
                    <w:t>85%</w:t>
                  </w:r>
                </w:p>
              </w:tc>
            </w:tr>
            <w:tr w:rsidR="007A78CB" w:rsidRPr="003F4793" w14:paraId="311BF477"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EFAC63F" w14:textId="3E612642"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740" w:type="dxa"/>
                  <w:tcBorders>
                    <w:top w:val="nil"/>
                    <w:left w:val="nil"/>
                    <w:bottom w:val="single" w:sz="8" w:space="0" w:color="FFFFFF"/>
                    <w:right w:val="single" w:sz="8" w:space="0" w:color="FFFFFF"/>
                  </w:tcBorders>
                  <w:shd w:val="clear" w:color="000000" w:fill="FCD5B4"/>
                  <w:noWrap/>
                  <w:vAlign w:val="center"/>
                  <w:hideMark/>
                </w:tcPr>
                <w:p w14:paraId="15941BE2" w14:textId="5ED1CE1B"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6DFE5B08" w14:textId="7F3F5CA2"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CD5B4"/>
                  <w:noWrap/>
                  <w:vAlign w:val="center"/>
                  <w:hideMark/>
                </w:tcPr>
                <w:p w14:paraId="51F72902" w14:textId="52AC9EF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11ED092C" w14:textId="2623DA2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53%</w:t>
                  </w:r>
                </w:p>
              </w:tc>
              <w:tc>
                <w:tcPr>
                  <w:tcW w:w="1149" w:type="dxa"/>
                  <w:tcBorders>
                    <w:top w:val="nil"/>
                    <w:left w:val="nil"/>
                    <w:bottom w:val="single" w:sz="8" w:space="0" w:color="FFFFFF"/>
                    <w:right w:val="single" w:sz="8" w:space="0" w:color="FFFFFF"/>
                  </w:tcBorders>
                  <w:shd w:val="clear" w:color="000000" w:fill="FCD5B4"/>
                  <w:noWrap/>
                  <w:vAlign w:val="center"/>
                  <w:hideMark/>
                </w:tcPr>
                <w:p w14:paraId="4D858F7C" w14:textId="696A4A27"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17DE7239" w14:textId="2B5F76A2"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11%</w:t>
                  </w:r>
                </w:p>
              </w:tc>
              <w:tc>
                <w:tcPr>
                  <w:tcW w:w="920" w:type="dxa"/>
                  <w:tcBorders>
                    <w:top w:val="nil"/>
                    <w:left w:val="nil"/>
                    <w:bottom w:val="single" w:sz="8" w:space="0" w:color="FFFFFF"/>
                    <w:right w:val="single" w:sz="8" w:space="0" w:color="FFFFFF"/>
                  </w:tcBorders>
                  <w:shd w:val="clear" w:color="000000" w:fill="FCD5B4"/>
                  <w:noWrap/>
                  <w:vAlign w:val="center"/>
                  <w:hideMark/>
                </w:tcPr>
                <w:p w14:paraId="4BD0B6F1" w14:textId="07EF321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21072B45" w14:textId="7D9B3B5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19%</w:t>
                  </w:r>
                </w:p>
              </w:tc>
              <w:tc>
                <w:tcPr>
                  <w:tcW w:w="920" w:type="dxa"/>
                  <w:tcBorders>
                    <w:top w:val="nil"/>
                    <w:left w:val="nil"/>
                    <w:bottom w:val="single" w:sz="8" w:space="0" w:color="FFFFFF"/>
                    <w:right w:val="single" w:sz="8" w:space="0" w:color="FFFFFF"/>
                  </w:tcBorders>
                  <w:shd w:val="clear" w:color="000000" w:fill="FCD5B4"/>
                  <w:noWrap/>
                  <w:vAlign w:val="center"/>
                  <w:hideMark/>
                </w:tcPr>
                <w:p w14:paraId="2B13C93D" w14:textId="0D454785" w:rsidR="007A78CB" w:rsidRPr="003F4793" w:rsidRDefault="007A78CB" w:rsidP="007A78CB">
                  <w:pPr>
                    <w:widowControl/>
                    <w:jc w:val="center"/>
                    <w:rPr>
                      <w:rFonts w:ascii="KaiTi" w:eastAsia="KaiTi" w:hAnsi="KaiTi" w:cs="Calibri"/>
                      <w:color w:val="000000"/>
                      <w:kern w:val="0"/>
                      <w:szCs w:val="21"/>
                    </w:rPr>
                  </w:pPr>
                  <w:r>
                    <w:rPr>
                      <w:rFonts w:eastAsia="等线" w:cs="Calibri"/>
                      <w:color w:val="9C0006"/>
                      <w:szCs w:val="21"/>
                    </w:rPr>
                    <w:t>82%</w:t>
                  </w:r>
                </w:p>
              </w:tc>
            </w:tr>
            <w:tr w:rsidR="007A78CB" w:rsidRPr="003F4793" w14:paraId="61191F62"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87E41C4" w14:textId="5B113302"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740" w:type="dxa"/>
                  <w:tcBorders>
                    <w:top w:val="nil"/>
                    <w:left w:val="nil"/>
                    <w:bottom w:val="single" w:sz="8" w:space="0" w:color="FFFFFF"/>
                    <w:right w:val="single" w:sz="8" w:space="0" w:color="FFFFFF"/>
                  </w:tcBorders>
                  <w:shd w:val="clear" w:color="000000" w:fill="FDE9D9"/>
                  <w:noWrap/>
                  <w:vAlign w:val="center"/>
                  <w:hideMark/>
                </w:tcPr>
                <w:p w14:paraId="3EADA916" w14:textId="2330FFC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12%</w:t>
                  </w:r>
                </w:p>
              </w:tc>
              <w:tc>
                <w:tcPr>
                  <w:tcW w:w="920" w:type="dxa"/>
                  <w:tcBorders>
                    <w:top w:val="nil"/>
                    <w:left w:val="nil"/>
                    <w:bottom w:val="single" w:sz="8" w:space="0" w:color="FFFFFF"/>
                    <w:right w:val="single" w:sz="8" w:space="0" w:color="FFFFFF"/>
                  </w:tcBorders>
                  <w:shd w:val="clear" w:color="000000" w:fill="FDE9D9"/>
                  <w:noWrap/>
                  <w:vAlign w:val="center"/>
                  <w:hideMark/>
                </w:tcPr>
                <w:p w14:paraId="273C8344" w14:textId="6B74602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57848C1D" w14:textId="1EB45D5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16%</w:t>
                  </w:r>
                </w:p>
              </w:tc>
              <w:tc>
                <w:tcPr>
                  <w:tcW w:w="920" w:type="dxa"/>
                  <w:tcBorders>
                    <w:top w:val="nil"/>
                    <w:left w:val="nil"/>
                    <w:bottom w:val="single" w:sz="8" w:space="0" w:color="FFFFFF"/>
                    <w:right w:val="single" w:sz="8" w:space="0" w:color="FFFFFF"/>
                  </w:tcBorders>
                  <w:shd w:val="clear" w:color="000000" w:fill="FDE9D9"/>
                  <w:noWrap/>
                  <w:vAlign w:val="center"/>
                  <w:hideMark/>
                </w:tcPr>
                <w:p w14:paraId="13000828" w14:textId="1E7308C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60%</w:t>
                  </w:r>
                </w:p>
              </w:tc>
              <w:tc>
                <w:tcPr>
                  <w:tcW w:w="1149" w:type="dxa"/>
                  <w:tcBorders>
                    <w:top w:val="nil"/>
                    <w:left w:val="nil"/>
                    <w:bottom w:val="single" w:sz="8" w:space="0" w:color="FFFFFF"/>
                    <w:right w:val="single" w:sz="8" w:space="0" w:color="FFFFFF"/>
                  </w:tcBorders>
                  <w:shd w:val="clear" w:color="000000" w:fill="FDE9D9"/>
                  <w:noWrap/>
                  <w:vAlign w:val="center"/>
                  <w:hideMark/>
                </w:tcPr>
                <w:p w14:paraId="0345B549" w14:textId="190F33A9"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24486153" w14:textId="10E5854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DE9D9"/>
                  <w:noWrap/>
                  <w:vAlign w:val="center"/>
                  <w:hideMark/>
                </w:tcPr>
                <w:p w14:paraId="07CA82A7" w14:textId="46E2E29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4%</w:t>
                  </w:r>
                </w:p>
              </w:tc>
              <w:tc>
                <w:tcPr>
                  <w:tcW w:w="920" w:type="dxa"/>
                  <w:tcBorders>
                    <w:top w:val="nil"/>
                    <w:left w:val="nil"/>
                    <w:bottom w:val="single" w:sz="8" w:space="0" w:color="FFFFFF"/>
                    <w:right w:val="single" w:sz="8" w:space="0" w:color="FFFFFF"/>
                  </w:tcBorders>
                  <w:shd w:val="clear" w:color="000000" w:fill="FDE9D9"/>
                  <w:noWrap/>
                  <w:vAlign w:val="center"/>
                  <w:hideMark/>
                </w:tcPr>
                <w:p w14:paraId="7F02EE72" w14:textId="702191C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26%</w:t>
                  </w:r>
                </w:p>
              </w:tc>
              <w:tc>
                <w:tcPr>
                  <w:tcW w:w="920" w:type="dxa"/>
                  <w:tcBorders>
                    <w:top w:val="nil"/>
                    <w:left w:val="nil"/>
                    <w:bottom w:val="single" w:sz="8" w:space="0" w:color="FFFFFF"/>
                    <w:right w:val="single" w:sz="8" w:space="0" w:color="FFFFFF"/>
                  </w:tcBorders>
                  <w:shd w:val="clear" w:color="000000" w:fill="FDE9D9"/>
                  <w:noWrap/>
                  <w:vAlign w:val="center"/>
                  <w:hideMark/>
                </w:tcPr>
                <w:p w14:paraId="2E828AF2" w14:textId="4C71ADEA" w:rsidR="007A78CB" w:rsidRPr="003F4793" w:rsidRDefault="007A78CB" w:rsidP="007A78CB">
                  <w:pPr>
                    <w:widowControl/>
                    <w:jc w:val="center"/>
                    <w:rPr>
                      <w:rFonts w:ascii="KaiTi" w:eastAsia="KaiTi" w:hAnsi="KaiTi" w:cs="Calibri"/>
                      <w:color w:val="000000"/>
                      <w:kern w:val="0"/>
                      <w:szCs w:val="21"/>
                    </w:rPr>
                  </w:pPr>
                  <w:r>
                    <w:rPr>
                      <w:rFonts w:eastAsia="等线" w:cs="Calibri"/>
                      <w:color w:val="9C0006"/>
                      <w:szCs w:val="21"/>
                    </w:rPr>
                    <w:t>87%</w:t>
                  </w:r>
                </w:p>
              </w:tc>
            </w:tr>
            <w:tr w:rsidR="007A78CB" w:rsidRPr="003F4793" w14:paraId="60838313"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1BD5D8A8" w14:textId="1D9E89C1"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740" w:type="dxa"/>
                  <w:tcBorders>
                    <w:top w:val="nil"/>
                    <w:left w:val="nil"/>
                    <w:bottom w:val="single" w:sz="8" w:space="0" w:color="FFFFFF"/>
                    <w:right w:val="single" w:sz="8" w:space="0" w:color="FFFFFF"/>
                  </w:tcBorders>
                  <w:shd w:val="clear" w:color="000000" w:fill="FCD5B4"/>
                  <w:noWrap/>
                  <w:vAlign w:val="center"/>
                  <w:hideMark/>
                </w:tcPr>
                <w:p w14:paraId="75E567A4" w14:textId="2F7FACB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7CC5EAC5" w14:textId="59ED352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4FCC92DC" w14:textId="2F13CBF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12%</w:t>
                  </w:r>
                </w:p>
              </w:tc>
              <w:tc>
                <w:tcPr>
                  <w:tcW w:w="920" w:type="dxa"/>
                  <w:tcBorders>
                    <w:top w:val="nil"/>
                    <w:left w:val="nil"/>
                    <w:bottom w:val="single" w:sz="8" w:space="0" w:color="FFFFFF"/>
                    <w:right w:val="single" w:sz="8" w:space="0" w:color="FFFFFF"/>
                  </w:tcBorders>
                  <w:shd w:val="clear" w:color="000000" w:fill="FCD5B4"/>
                  <w:noWrap/>
                  <w:vAlign w:val="center"/>
                  <w:hideMark/>
                </w:tcPr>
                <w:p w14:paraId="762ACF2C" w14:textId="7CC7D74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53%</w:t>
                  </w:r>
                </w:p>
              </w:tc>
              <w:tc>
                <w:tcPr>
                  <w:tcW w:w="1149" w:type="dxa"/>
                  <w:tcBorders>
                    <w:top w:val="nil"/>
                    <w:left w:val="nil"/>
                    <w:bottom w:val="single" w:sz="8" w:space="0" w:color="FFFFFF"/>
                    <w:right w:val="single" w:sz="8" w:space="0" w:color="FFFFFF"/>
                  </w:tcBorders>
                  <w:shd w:val="clear" w:color="000000" w:fill="FCD5B4"/>
                  <w:noWrap/>
                  <w:vAlign w:val="center"/>
                  <w:hideMark/>
                </w:tcPr>
                <w:p w14:paraId="635AAF3D" w14:textId="6E177331"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29019280" w14:textId="7F958BF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14%</w:t>
                  </w:r>
                </w:p>
              </w:tc>
              <w:tc>
                <w:tcPr>
                  <w:tcW w:w="920" w:type="dxa"/>
                  <w:tcBorders>
                    <w:top w:val="nil"/>
                    <w:left w:val="nil"/>
                    <w:bottom w:val="single" w:sz="8" w:space="0" w:color="FFFFFF"/>
                    <w:right w:val="single" w:sz="8" w:space="0" w:color="FFFFFF"/>
                  </w:tcBorders>
                  <w:shd w:val="clear" w:color="000000" w:fill="FCD5B4"/>
                  <w:noWrap/>
                  <w:vAlign w:val="center"/>
                  <w:hideMark/>
                </w:tcPr>
                <w:p w14:paraId="3C5DFC16" w14:textId="08BB561D"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6%</w:t>
                  </w:r>
                </w:p>
              </w:tc>
              <w:tc>
                <w:tcPr>
                  <w:tcW w:w="920" w:type="dxa"/>
                  <w:tcBorders>
                    <w:top w:val="nil"/>
                    <w:left w:val="nil"/>
                    <w:bottom w:val="single" w:sz="8" w:space="0" w:color="FFFFFF"/>
                    <w:right w:val="single" w:sz="8" w:space="0" w:color="FFFFFF"/>
                  </w:tcBorders>
                  <w:shd w:val="clear" w:color="000000" w:fill="FCD5B4"/>
                  <w:noWrap/>
                  <w:vAlign w:val="center"/>
                  <w:hideMark/>
                </w:tcPr>
                <w:p w14:paraId="7C9CABAF" w14:textId="49705FB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24%</w:t>
                  </w:r>
                </w:p>
              </w:tc>
              <w:tc>
                <w:tcPr>
                  <w:tcW w:w="920" w:type="dxa"/>
                  <w:tcBorders>
                    <w:top w:val="nil"/>
                    <w:left w:val="nil"/>
                    <w:bottom w:val="single" w:sz="8" w:space="0" w:color="FFFFFF"/>
                    <w:right w:val="single" w:sz="8" w:space="0" w:color="FFFFFF"/>
                  </w:tcBorders>
                  <w:shd w:val="clear" w:color="000000" w:fill="FCD5B4"/>
                  <w:noWrap/>
                  <w:vAlign w:val="center"/>
                  <w:hideMark/>
                </w:tcPr>
                <w:p w14:paraId="217354A8" w14:textId="7D608E85" w:rsidR="007A78CB" w:rsidRPr="003F4793" w:rsidRDefault="007A78CB" w:rsidP="007A78CB">
                  <w:pPr>
                    <w:widowControl/>
                    <w:jc w:val="center"/>
                    <w:rPr>
                      <w:rFonts w:ascii="KaiTi" w:eastAsia="KaiTi" w:hAnsi="KaiTi" w:cs="Calibri"/>
                      <w:color w:val="000000"/>
                      <w:kern w:val="0"/>
                      <w:szCs w:val="21"/>
                    </w:rPr>
                  </w:pPr>
                  <w:r>
                    <w:rPr>
                      <w:rFonts w:eastAsia="等线" w:cs="Calibri"/>
                      <w:color w:val="9C0006"/>
                      <w:szCs w:val="21"/>
                    </w:rPr>
                    <w:t>87%</w:t>
                  </w:r>
                </w:p>
              </w:tc>
            </w:tr>
            <w:tr w:rsidR="007A78CB" w:rsidRPr="003F4793" w14:paraId="2C298517"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30486C22" w14:textId="07161CCA"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740" w:type="dxa"/>
                  <w:tcBorders>
                    <w:top w:val="nil"/>
                    <w:left w:val="nil"/>
                    <w:bottom w:val="single" w:sz="8" w:space="0" w:color="FFFFFF"/>
                    <w:right w:val="single" w:sz="8" w:space="0" w:color="FFFFFF"/>
                  </w:tcBorders>
                  <w:shd w:val="clear" w:color="000000" w:fill="FDE9D9"/>
                  <w:noWrap/>
                  <w:vAlign w:val="center"/>
                  <w:hideMark/>
                </w:tcPr>
                <w:p w14:paraId="65693455" w14:textId="20B0687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100994DF" w14:textId="7710429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5%</w:t>
                  </w:r>
                </w:p>
              </w:tc>
              <w:tc>
                <w:tcPr>
                  <w:tcW w:w="920" w:type="dxa"/>
                  <w:tcBorders>
                    <w:top w:val="nil"/>
                    <w:left w:val="nil"/>
                    <w:bottom w:val="single" w:sz="8" w:space="0" w:color="FFFFFF"/>
                    <w:right w:val="single" w:sz="8" w:space="0" w:color="FFFFFF"/>
                  </w:tcBorders>
                  <w:shd w:val="clear" w:color="000000" w:fill="FDE9D9"/>
                  <w:noWrap/>
                  <w:vAlign w:val="center"/>
                  <w:hideMark/>
                </w:tcPr>
                <w:p w14:paraId="5AA0E961" w14:textId="0D615105"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DE9D9"/>
                  <w:noWrap/>
                  <w:vAlign w:val="center"/>
                  <w:hideMark/>
                </w:tcPr>
                <w:p w14:paraId="6A261B2F" w14:textId="37B8499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44%</w:t>
                  </w:r>
                </w:p>
              </w:tc>
              <w:tc>
                <w:tcPr>
                  <w:tcW w:w="1149" w:type="dxa"/>
                  <w:tcBorders>
                    <w:top w:val="nil"/>
                    <w:left w:val="nil"/>
                    <w:bottom w:val="single" w:sz="8" w:space="0" w:color="FFFFFF"/>
                    <w:right w:val="single" w:sz="8" w:space="0" w:color="FFFFFF"/>
                  </w:tcBorders>
                  <w:shd w:val="clear" w:color="000000" w:fill="FDE9D9"/>
                  <w:noWrap/>
                  <w:vAlign w:val="center"/>
                  <w:hideMark/>
                </w:tcPr>
                <w:p w14:paraId="52EDB7F5" w14:textId="25970D61" w:rsidR="007A78CB" w:rsidRPr="003F4793" w:rsidRDefault="007A78CB" w:rsidP="007A78CB">
                  <w:pPr>
                    <w:widowControl/>
                    <w:jc w:val="center"/>
                    <w:rPr>
                      <w:rFonts w:ascii="KaiTi" w:eastAsia="KaiTi" w:hAnsi="KaiTi" w:cs="宋体"/>
                      <w:color w:val="000000"/>
                      <w:kern w:val="0"/>
                      <w:sz w:val="20"/>
                      <w:szCs w:val="20"/>
                    </w:rPr>
                  </w:pPr>
                  <w:r>
                    <w:rPr>
                      <w:rFonts w:ascii="楷体" w:eastAsia="楷体" w:hAnsi="楷体" w:hint="eastAsia"/>
                      <w:color w:val="00000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04B722B3" w14:textId="3F26659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16%</w:t>
                  </w:r>
                </w:p>
              </w:tc>
              <w:tc>
                <w:tcPr>
                  <w:tcW w:w="920" w:type="dxa"/>
                  <w:tcBorders>
                    <w:top w:val="nil"/>
                    <w:left w:val="nil"/>
                    <w:bottom w:val="single" w:sz="8" w:space="0" w:color="FFFFFF"/>
                    <w:right w:val="single" w:sz="8" w:space="0" w:color="FFFFFF"/>
                  </w:tcBorders>
                  <w:shd w:val="clear" w:color="000000" w:fill="FDE9D9"/>
                  <w:noWrap/>
                  <w:vAlign w:val="center"/>
                  <w:hideMark/>
                </w:tcPr>
                <w:p w14:paraId="00BAE7B3" w14:textId="162D6A6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DE9D9"/>
                  <w:noWrap/>
                  <w:vAlign w:val="center"/>
                  <w:hideMark/>
                </w:tcPr>
                <w:p w14:paraId="1D577A1F" w14:textId="329E20CA"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18%</w:t>
                  </w:r>
                </w:p>
              </w:tc>
              <w:tc>
                <w:tcPr>
                  <w:tcW w:w="920" w:type="dxa"/>
                  <w:tcBorders>
                    <w:top w:val="nil"/>
                    <w:left w:val="nil"/>
                    <w:bottom w:val="single" w:sz="8" w:space="0" w:color="FFFFFF"/>
                    <w:right w:val="single" w:sz="8" w:space="0" w:color="FFFFFF"/>
                  </w:tcBorders>
                  <w:shd w:val="clear" w:color="000000" w:fill="FDE9D9"/>
                  <w:noWrap/>
                  <w:vAlign w:val="center"/>
                  <w:hideMark/>
                </w:tcPr>
                <w:p w14:paraId="3FF4C4AA" w14:textId="3B9F6533" w:rsidR="007A78CB" w:rsidRPr="003F4793" w:rsidRDefault="007A78CB" w:rsidP="007A78CB">
                  <w:pPr>
                    <w:widowControl/>
                    <w:jc w:val="center"/>
                    <w:rPr>
                      <w:rFonts w:ascii="KaiTi" w:eastAsia="KaiTi" w:hAnsi="KaiTi" w:cs="Calibri"/>
                      <w:color w:val="000000"/>
                      <w:kern w:val="0"/>
                      <w:szCs w:val="21"/>
                    </w:rPr>
                  </w:pPr>
                  <w:r>
                    <w:rPr>
                      <w:rFonts w:eastAsia="等线" w:cs="Calibri"/>
                      <w:color w:val="9C0006"/>
                      <w:szCs w:val="21"/>
                    </w:rPr>
                    <w:t>80%</w:t>
                  </w:r>
                </w:p>
              </w:tc>
            </w:tr>
            <w:tr w:rsidR="007A78CB" w:rsidRPr="003F4793" w14:paraId="21DC06D6" w14:textId="77777777" w:rsidTr="00E10EDA">
              <w:trPr>
                <w:trHeight w:val="310"/>
              </w:trPr>
              <w:tc>
                <w:tcPr>
                  <w:tcW w:w="1309" w:type="dxa"/>
                  <w:tcBorders>
                    <w:top w:val="nil"/>
                    <w:left w:val="nil"/>
                    <w:bottom w:val="single" w:sz="8" w:space="0" w:color="FFFFFF"/>
                    <w:right w:val="single" w:sz="8" w:space="0" w:color="FFFFFF"/>
                  </w:tcBorders>
                  <w:shd w:val="clear" w:color="000000" w:fill="FCD5B4"/>
                  <w:noWrap/>
                  <w:vAlign w:val="center"/>
                  <w:hideMark/>
                </w:tcPr>
                <w:p w14:paraId="4FE37E8C" w14:textId="53F54675"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740" w:type="dxa"/>
                  <w:tcBorders>
                    <w:top w:val="nil"/>
                    <w:left w:val="nil"/>
                    <w:bottom w:val="single" w:sz="8" w:space="0" w:color="FFFFFF"/>
                    <w:right w:val="single" w:sz="8" w:space="0" w:color="FFFFFF"/>
                  </w:tcBorders>
                  <w:shd w:val="clear" w:color="000000" w:fill="FCD5B4"/>
                  <w:noWrap/>
                  <w:vAlign w:val="center"/>
                  <w:hideMark/>
                </w:tcPr>
                <w:p w14:paraId="657AADBA" w14:textId="35B7663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2E67B5DA" w14:textId="17B3517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5BB83AA5" w14:textId="5891470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8%</w:t>
                  </w:r>
                </w:p>
              </w:tc>
              <w:tc>
                <w:tcPr>
                  <w:tcW w:w="920" w:type="dxa"/>
                  <w:tcBorders>
                    <w:top w:val="nil"/>
                    <w:left w:val="nil"/>
                    <w:bottom w:val="single" w:sz="8" w:space="0" w:color="FFFFFF"/>
                    <w:right w:val="single" w:sz="8" w:space="0" w:color="FFFFFF"/>
                  </w:tcBorders>
                  <w:shd w:val="clear" w:color="000000" w:fill="FCD5B4"/>
                  <w:noWrap/>
                  <w:vAlign w:val="center"/>
                  <w:hideMark/>
                </w:tcPr>
                <w:p w14:paraId="45AEAC99" w14:textId="52AB62C9"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48%</w:t>
                  </w:r>
                </w:p>
              </w:tc>
              <w:tc>
                <w:tcPr>
                  <w:tcW w:w="1149" w:type="dxa"/>
                  <w:tcBorders>
                    <w:top w:val="nil"/>
                    <w:left w:val="nil"/>
                    <w:bottom w:val="single" w:sz="8" w:space="0" w:color="FFFFFF"/>
                    <w:right w:val="single" w:sz="8" w:space="0" w:color="FFFFFF"/>
                  </w:tcBorders>
                  <w:shd w:val="clear" w:color="000000" w:fill="FCD5B4"/>
                  <w:noWrap/>
                  <w:vAlign w:val="center"/>
                  <w:hideMark/>
                </w:tcPr>
                <w:p w14:paraId="59204F8F" w14:textId="6BA8AF61"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479902F5" w14:textId="2B94B2C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7%</w:t>
                  </w:r>
                </w:p>
              </w:tc>
              <w:tc>
                <w:tcPr>
                  <w:tcW w:w="920" w:type="dxa"/>
                  <w:tcBorders>
                    <w:top w:val="nil"/>
                    <w:left w:val="nil"/>
                    <w:bottom w:val="single" w:sz="8" w:space="0" w:color="FFFFFF"/>
                    <w:right w:val="single" w:sz="8" w:space="0" w:color="FFFFFF"/>
                  </w:tcBorders>
                  <w:shd w:val="clear" w:color="000000" w:fill="FCD5B4"/>
                  <w:noWrap/>
                  <w:vAlign w:val="center"/>
                  <w:hideMark/>
                </w:tcPr>
                <w:p w14:paraId="54133AF5" w14:textId="6EEA125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00C9AD90" w14:textId="4B812E5E"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12%</w:t>
                  </w:r>
                </w:p>
              </w:tc>
              <w:tc>
                <w:tcPr>
                  <w:tcW w:w="920" w:type="dxa"/>
                  <w:tcBorders>
                    <w:top w:val="nil"/>
                    <w:left w:val="nil"/>
                    <w:bottom w:val="single" w:sz="8" w:space="0" w:color="FFFFFF"/>
                    <w:right w:val="single" w:sz="8" w:space="0" w:color="FFFFFF"/>
                  </w:tcBorders>
                  <w:shd w:val="clear" w:color="000000" w:fill="FCD5B4"/>
                  <w:noWrap/>
                  <w:vAlign w:val="center"/>
                  <w:hideMark/>
                </w:tcPr>
                <w:p w14:paraId="541417A5" w14:textId="6ED575B0"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72%</w:t>
                  </w:r>
                </w:p>
              </w:tc>
            </w:tr>
            <w:tr w:rsidR="007A78CB" w:rsidRPr="003F4793" w14:paraId="0EA4170B" w14:textId="77777777" w:rsidTr="00E10EDA">
              <w:trPr>
                <w:trHeight w:val="310"/>
              </w:trPr>
              <w:tc>
                <w:tcPr>
                  <w:tcW w:w="1309" w:type="dxa"/>
                  <w:tcBorders>
                    <w:top w:val="nil"/>
                    <w:left w:val="nil"/>
                    <w:bottom w:val="single" w:sz="8" w:space="0" w:color="FFFFFF"/>
                    <w:right w:val="single" w:sz="8" w:space="0" w:color="FFFFFF"/>
                  </w:tcBorders>
                  <w:shd w:val="clear" w:color="000000" w:fill="FDE9D9"/>
                  <w:noWrap/>
                  <w:vAlign w:val="center"/>
                  <w:hideMark/>
                </w:tcPr>
                <w:p w14:paraId="10FF0248" w14:textId="38749595"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740" w:type="dxa"/>
                  <w:tcBorders>
                    <w:top w:val="nil"/>
                    <w:left w:val="nil"/>
                    <w:bottom w:val="single" w:sz="8" w:space="0" w:color="FFFFFF"/>
                    <w:right w:val="single" w:sz="8" w:space="0" w:color="FFFFFF"/>
                  </w:tcBorders>
                  <w:shd w:val="clear" w:color="000000" w:fill="FDE9D9"/>
                  <w:noWrap/>
                  <w:vAlign w:val="center"/>
                  <w:hideMark/>
                </w:tcPr>
                <w:p w14:paraId="22074306" w14:textId="3EBE827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0BA2FFDF" w14:textId="52DDFC2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DE9D9"/>
                  <w:noWrap/>
                  <w:vAlign w:val="center"/>
                  <w:hideMark/>
                </w:tcPr>
                <w:p w14:paraId="073EB474" w14:textId="3676C9D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0B9D8097" w14:textId="448C4F93"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54%</w:t>
                  </w:r>
                </w:p>
              </w:tc>
              <w:tc>
                <w:tcPr>
                  <w:tcW w:w="1149" w:type="dxa"/>
                  <w:tcBorders>
                    <w:top w:val="nil"/>
                    <w:left w:val="nil"/>
                    <w:bottom w:val="single" w:sz="8" w:space="0" w:color="FFFFFF"/>
                    <w:right w:val="single" w:sz="8" w:space="0" w:color="FFFFFF"/>
                  </w:tcBorders>
                  <w:shd w:val="clear" w:color="000000" w:fill="FDE9D9"/>
                  <w:noWrap/>
                  <w:vAlign w:val="center"/>
                  <w:hideMark/>
                </w:tcPr>
                <w:p w14:paraId="345AC80B" w14:textId="7FCCC75C"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19B927C3" w14:textId="6F7FB7D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DE9D9"/>
                  <w:noWrap/>
                  <w:vAlign w:val="center"/>
                  <w:hideMark/>
                </w:tcPr>
                <w:p w14:paraId="6F372E8A" w14:textId="6813324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16%</w:t>
                  </w:r>
                </w:p>
              </w:tc>
              <w:tc>
                <w:tcPr>
                  <w:tcW w:w="920" w:type="dxa"/>
                  <w:tcBorders>
                    <w:top w:val="nil"/>
                    <w:left w:val="nil"/>
                    <w:bottom w:val="single" w:sz="8" w:space="0" w:color="FFFFFF"/>
                    <w:right w:val="single" w:sz="8" w:space="0" w:color="FFFFFF"/>
                  </w:tcBorders>
                  <w:shd w:val="clear" w:color="000000" w:fill="FDE9D9"/>
                  <w:noWrap/>
                  <w:vAlign w:val="center"/>
                  <w:hideMark/>
                </w:tcPr>
                <w:p w14:paraId="33016802" w14:textId="1E29BB31"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14%</w:t>
                  </w:r>
                </w:p>
              </w:tc>
              <w:tc>
                <w:tcPr>
                  <w:tcW w:w="920" w:type="dxa"/>
                  <w:tcBorders>
                    <w:top w:val="nil"/>
                    <w:left w:val="nil"/>
                    <w:bottom w:val="single" w:sz="8" w:space="0" w:color="FFFFFF"/>
                    <w:right w:val="single" w:sz="8" w:space="0" w:color="FFFFFF"/>
                  </w:tcBorders>
                  <w:shd w:val="clear" w:color="000000" w:fill="FFC7CE"/>
                  <w:noWrap/>
                  <w:vAlign w:val="center"/>
                  <w:hideMark/>
                </w:tcPr>
                <w:p w14:paraId="57FFE293" w14:textId="718BBCA8" w:rsidR="007A78CB" w:rsidRPr="003F4793" w:rsidRDefault="007A78CB" w:rsidP="007A78CB">
                  <w:pPr>
                    <w:widowControl/>
                    <w:jc w:val="center"/>
                    <w:rPr>
                      <w:rFonts w:ascii="KaiTi" w:eastAsia="KaiTi" w:hAnsi="KaiTi" w:cs="Calibri"/>
                      <w:color w:val="9C0006"/>
                      <w:kern w:val="0"/>
                      <w:szCs w:val="21"/>
                    </w:rPr>
                  </w:pPr>
                  <w:r>
                    <w:rPr>
                      <w:rFonts w:eastAsia="等线" w:cs="Calibri"/>
                      <w:color w:val="000000"/>
                      <w:szCs w:val="21"/>
                    </w:rPr>
                    <w:t>78%</w:t>
                  </w:r>
                </w:p>
              </w:tc>
            </w:tr>
            <w:tr w:rsidR="007A78CB" w:rsidRPr="003F4793" w14:paraId="72207D52" w14:textId="77777777" w:rsidTr="00E10EDA">
              <w:trPr>
                <w:trHeight w:val="310"/>
              </w:trPr>
              <w:tc>
                <w:tcPr>
                  <w:tcW w:w="1309" w:type="dxa"/>
                  <w:tcBorders>
                    <w:top w:val="nil"/>
                    <w:left w:val="nil"/>
                    <w:bottom w:val="nil"/>
                    <w:right w:val="nil"/>
                  </w:tcBorders>
                  <w:shd w:val="clear" w:color="000000" w:fill="FCD5B4"/>
                  <w:noWrap/>
                  <w:vAlign w:val="center"/>
                  <w:hideMark/>
                </w:tcPr>
                <w:p w14:paraId="4814BB37" w14:textId="33E04A1B"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740" w:type="dxa"/>
                  <w:tcBorders>
                    <w:top w:val="nil"/>
                    <w:left w:val="nil"/>
                    <w:bottom w:val="single" w:sz="8" w:space="0" w:color="FFFFFF"/>
                    <w:right w:val="single" w:sz="8" w:space="0" w:color="FFFFFF"/>
                  </w:tcBorders>
                  <w:shd w:val="clear" w:color="000000" w:fill="FCD5B4"/>
                  <w:noWrap/>
                  <w:vAlign w:val="center"/>
                  <w:hideMark/>
                </w:tcPr>
                <w:p w14:paraId="5E5F0BFD" w14:textId="75B04EC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7F5BCF09" w14:textId="02DB33C8"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9%</w:t>
                  </w:r>
                </w:p>
              </w:tc>
              <w:tc>
                <w:tcPr>
                  <w:tcW w:w="920" w:type="dxa"/>
                  <w:tcBorders>
                    <w:top w:val="nil"/>
                    <w:left w:val="nil"/>
                    <w:bottom w:val="single" w:sz="8" w:space="0" w:color="FFFFFF"/>
                    <w:right w:val="single" w:sz="8" w:space="0" w:color="FFFFFF"/>
                  </w:tcBorders>
                  <w:shd w:val="clear" w:color="000000" w:fill="FCD5B4"/>
                  <w:noWrap/>
                  <w:vAlign w:val="center"/>
                  <w:hideMark/>
                </w:tcPr>
                <w:p w14:paraId="00227C37" w14:textId="6EB712B4"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10%</w:t>
                  </w:r>
                </w:p>
              </w:tc>
              <w:tc>
                <w:tcPr>
                  <w:tcW w:w="920" w:type="dxa"/>
                  <w:tcBorders>
                    <w:top w:val="nil"/>
                    <w:left w:val="nil"/>
                    <w:bottom w:val="single" w:sz="8" w:space="0" w:color="FFFFFF"/>
                    <w:right w:val="single" w:sz="8" w:space="0" w:color="FFFFFF"/>
                  </w:tcBorders>
                  <w:shd w:val="clear" w:color="000000" w:fill="FCD5B4"/>
                  <w:noWrap/>
                  <w:vAlign w:val="center"/>
                  <w:hideMark/>
                </w:tcPr>
                <w:p w14:paraId="46040BD8" w14:textId="6B8F30FF"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55%</w:t>
                  </w:r>
                </w:p>
              </w:tc>
              <w:tc>
                <w:tcPr>
                  <w:tcW w:w="1149" w:type="dxa"/>
                  <w:tcBorders>
                    <w:top w:val="nil"/>
                    <w:left w:val="nil"/>
                    <w:bottom w:val="nil"/>
                    <w:right w:val="nil"/>
                  </w:tcBorders>
                  <w:shd w:val="clear" w:color="000000" w:fill="FCD5B4"/>
                  <w:noWrap/>
                  <w:vAlign w:val="center"/>
                  <w:hideMark/>
                </w:tcPr>
                <w:p w14:paraId="24472A59" w14:textId="10D3843A" w:rsidR="007A78CB" w:rsidRPr="003F4793" w:rsidRDefault="007A78CB" w:rsidP="007A78CB">
                  <w:pPr>
                    <w:widowControl/>
                    <w:jc w:val="center"/>
                    <w:rPr>
                      <w:rFonts w:ascii="KaiTi" w:eastAsia="KaiTi" w:hAnsi="KaiTi" w:cs="宋体"/>
                      <w:color w:val="000000"/>
                      <w:kern w:val="0"/>
                      <w:sz w:val="20"/>
                      <w:szCs w:val="20"/>
                    </w:rPr>
                  </w:pPr>
                  <w:proofErr w:type="gramStart"/>
                  <w:r>
                    <w:rPr>
                      <w:rFonts w:ascii="楷体" w:eastAsia="楷体" w:hAnsi="楷体" w:hint="eastAsia"/>
                      <w:color w:val="000000"/>
                      <w:sz w:val="20"/>
                      <w:szCs w:val="20"/>
                    </w:rPr>
                    <w:t>城投债</w:t>
                  </w:r>
                  <w:proofErr w:type="gramEnd"/>
                  <w:r>
                    <w:rPr>
                      <w:rFonts w:ascii="楷体" w:eastAsia="楷体" w:hAnsi="楷体" w:hint="eastAsia"/>
                      <w:color w:val="00000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59306821" w14:textId="7ABB73B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14%</w:t>
                  </w:r>
                </w:p>
              </w:tc>
              <w:tc>
                <w:tcPr>
                  <w:tcW w:w="920" w:type="dxa"/>
                  <w:tcBorders>
                    <w:top w:val="nil"/>
                    <w:left w:val="nil"/>
                    <w:bottom w:val="single" w:sz="8" w:space="0" w:color="FFFFFF"/>
                    <w:right w:val="single" w:sz="8" w:space="0" w:color="FFFFFF"/>
                  </w:tcBorders>
                  <w:shd w:val="clear" w:color="000000" w:fill="FCD5B4"/>
                  <w:noWrap/>
                  <w:vAlign w:val="center"/>
                  <w:hideMark/>
                </w:tcPr>
                <w:p w14:paraId="3117A4FD" w14:textId="071510C6"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15%</w:t>
                  </w:r>
                </w:p>
              </w:tc>
              <w:tc>
                <w:tcPr>
                  <w:tcW w:w="920" w:type="dxa"/>
                  <w:tcBorders>
                    <w:top w:val="nil"/>
                    <w:left w:val="nil"/>
                    <w:bottom w:val="single" w:sz="8" w:space="0" w:color="FFFFFF"/>
                    <w:right w:val="single" w:sz="8" w:space="0" w:color="FFFFFF"/>
                  </w:tcBorders>
                  <w:shd w:val="clear" w:color="000000" w:fill="FCD5B4"/>
                  <w:noWrap/>
                  <w:vAlign w:val="center"/>
                  <w:hideMark/>
                </w:tcPr>
                <w:p w14:paraId="73214012" w14:textId="4F452257" w:rsidR="007A78CB" w:rsidRPr="003F4793" w:rsidRDefault="007A78CB" w:rsidP="007A78CB">
                  <w:pPr>
                    <w:widowControl/>
                    <w:jc w:val="center"/>
                    <w:rPr>
                      <w:rFonts w:ascii="KaiTi" w:eastAsia="KaiTi" w:hAnsi="KaiTi" w:cs="Calibri"/>
                      <w:color w:val="000000"/>
                      <w:kern w:val="0"/>
                      <w:szCs w:val="21"/>
                    </w:rPr>
                  </w:pPr>
                  <w:r>
                    <w:rPr>
                      <w:rFonts w:eastAsia="等线" w:cs="Calibri"/>
                      <w:color w:val="000000"/>
                      <w:szCs w:val="21"/>
                    </w:rPr>
                    <w:t>20%</w:t>
                  </w:r>
                </w:p>
              </w:tc>
              <w:tc>
                <w:tcPr>
                  <w:tcW w:w="920" w:type="dxa"/>
                  <w:tcBorders>
                    <w:top w:val="nil"/>
                    <w:left w:val="nil"/>
                    <w:bottom w:val="single" w:sz="8" w:space="0" w:color="FFFFFF"/>
                    <w:right w:val="single" w:sz="8" w:space="0" w:color="FFFFFF"/>
                  </w:tcBorders>
                  <w:shd w:val="clear" w:color="000000" w:fill="FFC7CE"/>
                  <w:noWrap/>
                  <w:vAlign w:val="center"/>
                  <w:hideMark/>
                </w:tcPr>
                <w:p w14:paraId="5DA3DB4A" w14:textId="73B54C43" w:rsidR="007A78CB" w:rsidRPr="003F4793" w:rsidRDefault="007A78CB" w:rsidP="007A78CB">
                  <w:pPr>
                    <w:widowControl/>
                    <w:jc w:val="center"/>
                    <w:rPr>
                      <w:rFonts w:ascii="KaiTi" w:eastAsia="KaiTi" w:hAnsi="KaiTi" w:cs="Calibri"/>
                      <w:color w:val="9C0006"/>
                      <w:kern w:val="0"/>
                      <w:szCs w:val="21"/>
                    </w:rPr>
                  </w:pPr>
                  <w:r>
                    <w:rPr>
                      <w:rFonts w:eastAsia="等线" w:cs="Calibri"/>
                      <w:color w:val="000000"/>
                      <w:szCs w:val="21"/>
                    </w:rPr>
                    <w:t>78%</w:t>
                  </w:r>
                </w:p>
              </w:tc>
            </w:tr>
          </w:tbl>
          <w:p w14:paraId="446C7D6E" w14:textId="294F6511" w:rsidR="00E0626C" w:rsidRPr="003F4793" w:rsidRDefault="00E0626C" w:rsidP="0092340D">
            <w:pPr>
              <w:rPr>
                <w:rFonts w:ascii="KaiTi" w:eastAsia="KaiTi" w:hAnsi="KaiTi"/>
                <w:noProof/>
                <w:szCs w:val="18"/>
              </w:rPr>
            </w:pPr>
          </w:p>
        </w:tc>
      </w:tr>
      <w:tr w:rsidR="00E0626C" w:rsidRPr="00B41E24" w14:paraId="01D36A65" w14:textId="77777777" w:rsidTr="00220902">
        <w:trPr>
          <w:trHeight w:val="60"/>
          <w:jc w:val="center"/>
        </w:trPr>
        <w:tc>
          <w:tcPr>
            <w:tcW w:w="9713" w:type="dxa"/>
            <w:vAlign w:val="center"/>
          </w:tcPr>
          <w:p w14:paraId="6284202E" w14:textId="2B61B5A0" w:rsidR="00E0626C" w:rsidRPr="00B41E24" w:rsidRDefault="00E0626C" w:rsidP="009A2BA0">
            <w:pPr>
              <w:pStyle w:val="Source"/>
              <w:jc w:val="both"/>
              <w:rPr>
                <w:kern w:val="0"/>
              </w:rPr>
            </w:pPr>
            <w:r w:rsidRPr="00B41E24">
              <w:rPr>
                <w:rFonts w:hint="eastAsia"/>
                <w:kern w:val="0"/>
              </w:rPr>
              <w:t>资料来源：万得，富荣基金；利差基准为同期限国债</w:t>
            </w:r>
          </w:p>
        </w:tc>
      </w:tr>
    </w:tbl>
    <w:p w14:paraId="26A54476" w14:textId="77777777" w:rsidR="00E0626C" w:rsidRPr="00B41E24" w:rsidRDefault="00E0626C" w:rsidP="009A2BA0">
      <w:pPr>
        <w:pStyle w:val="Body-text"/>
        <w:spacing w:after="0"/>
        <w:rPr>
          <w:lang w:eastAsia="zh-CN"/>
        </w:rPr>
      </w:pPr>
    </w:p>
    <w:p w14:paraId="36CAED5C" w14:textId="77777777" w:rsidR="00CD1AE8" w:rsidRDefault="00CD1AE8" w:rsidP="009A2BA0">
      <w:pPr>
        <w:pStyle w:val="Header2"/>
        <w:rPr>
          <w:sz w:val="28"/>
          <w:szCs w:val="21"/>
          <w:lang w:eastAsia="zh-CN"/>
        </w:rPr>
      </w:pPr>
    </w:p>
    <w:p w14:paraId="2D403D4F" w14:textId="3112BC34" w:rsidR="00E0626C" w:rsidRPr="00CD2B4D" w:rsidRDefault="007A1586" w:rsidP="009A2BA0">
      <w:pPr>
        <w:pStyle w:val="Header2"/>
        <w:rPr>
          <w:rFonts w:eastAsia="PMingLiU"/>
          <w:sz w:val="28"/>
          <w:szCs w:val="21"/>
          <w:lang w:eastAsia="zh-CN"/>
        </w:rPr>
      </w:pPr>
      <w:r>
        <w:rPr>
          <w:sz w:val="28"/>
          <w:szCs w:val="21"/>
          <w:lang w:eastAsia="zh-CN"/>
        </w:rPr>
        <w:t>3</w:t>
      </w:r>
      <w:r w:rsidR="00E0626C" w:rsidRPr="00CD2B4D">
        <w:rPr>
          <w:rFonts w:hint="eastAsia"/>
          <w:sz w:val="28"/>
          <w:szCs w:val="21"/>
          <w:lang w:eastAsia="zh-CN"/>
        </w:rPr>
        <w:t>、</w:t>
      </w:r>
      <w:r w:rsidR="00E0626C" w:rsidRPr="00CD2B4D">
        <w:rPr>
          <w:rFonts w:hint="eastAsia"/>
          <w:sz w:val="28"/>
          <w:szCs w:val="21"/>
        </w:rPr>
        <w:t>可转债</w:t>
      </w:r>
    </w:p>
    <w:p w14:paraId="0457D77B" w14:textId="0D896C36" w:rsidR="002D3316" w:rsidRPr="007A1586" w:rsidRDefault="003D3E50" w:rsidP="002D3316">
      <w:pPr>
        <w:pStyle w:val="Body-text"/>
        <w:spacing w:after="240"/>
        <w:ind w:firstLineChars="200" w:firstLine="480"/>
        <w:rPr>
          <w:rFonts w:ascii="华文楷体" w:hAnsi="华文楷体"/>
          <w:sz w:val="24"/>
          <w:szCs w:val="24"/>
          <w:lang w:eastAsia="zh-CN"/>
        </w:rPr>
      </w:pPr>
      <w:r w:rsidRPr="003D3E50">
        <w:rPr>
          <w:rFonts w:ascii="华文楷体" w:hAnsi="华文楷体" w:hint="eastAsia"/>
          <w:sz w:val="24"/>
          <w:szCs w:val="24"/>
        </w:rPr>
        <w:t>权益主要指数小幅调整，具体看，上证综指下跌0.02%，上证50指数下跌0.53%，沪深300指数下跌0.13%，中证500指数下跌0.21%，创业板指</w:t>
      </w:r>
      <w:r w:rsidR="00EC56B8">
        <w:rPr>
          <w:rFonts w:ascii="华文楷体" w:hAnsi="华文楷体" w:hint="eastAsia"/>
          <w:sz w:val="24"/>
          <w:szCs w:val="24"/>
          <w:lang w:eastAsia="zh-CN"/>
        </w:rPr>
        <w:t>上涨</w:t>
      </w:r>
      <w:r w:rsidRPr="003D3E50">
        <w:rPr>
          <w:rFonts w:ascii="华文楷体" w:hAnsi="华文楷体" w:hint="eastAsia"/>
          <w:sz w:val="24"/>
          <w:szCs w:val="24"/>
        </w:rPr>
        <w:t>0.46%。中证转债上涨0.20%，跑赢沪深300及上证50指数。</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9864B5" w14:paraId="7CDD9AAA" w14:textId="77777777" w:rsidTr="006F21C0">
        <w:trPr>
          <w:jc w:val="center"/>
        </w:trPr>
        <w:tc>
          <w:tcPr>
            <w:tcW w:w="4939" w:type="dxa"/>
            <w:vAlign w:val="center"/>
          </w:tcPr>
          <w:p w14:paraId="13C69F6A" w14:textId="03E04781" w:rsidR="00E0626C" w:rsidRPr="009864B5" w:rsidRDefault="00E0626C" w:rsidP="009A2BA0">
            <w:pPr>
              <w:pStyle w:val="ChartHeading"/>
              <w:jc w:val="both"/>
            </w:pPr>
            <w:r w:rsidRPr="009864B5">
              <w:rPr>
                <w:rFonts w:hint="eastAsia"/>
              </w:rPr>
              <w:lastRenderedPageBreak/>
              <w:t>图表</w:t>
            </w:r>
            <w:r w:rsidRPr="009864B5">
              <w:t xml:space="preserve">. </w:t>
            </w:r>
            <w:r w:rsidR="00005D9A" w:rsidRPr="009864B5">
              <w:rPr>
                <w:rFonts w:hint="eastAsia"/>
              </w:rPr>
              <w:t>A</w:t>
            </w:r>
            <w:r w:rsidR="00005D9A" w:rsidRPr="009864B5">
              <w:rPr>
                <w:rFonts w:hint="eastAsia"/>
              </w:rPr>
              <w:t>股</w:t>
            </w:r>
            <w:r w:rsidRPr="009864B5">
              <w:rPr>
                <w:rFonts w:hint="eastAsia"/>
              </w:rPr>
              <w:t>主要指数交易和估值情况</w:t>
            </w:r>
          </w:p>
        </w:tc>
        <w:tc>
          <w:tcPr>
            <w:tcW w:w="4938" w:type="dxa"/>
            <w:vAlign w:val="center"/>
          </w:tcPr>
          <w:p w14:paraId="45DE5131" w14:textId="48699973" w:rsidR="00E0626C" w:rsidRPr="009864B5" w:rsidRDefault="00E0626C" w:rsidP="009A2BA0">
            <w:pPr>
              <w:pStyle w:val="ChartHeading"/>
              <w:jc w:val="both"/>
            </w:pPr>
            <w:r w:rsidRPr="009864B5">
              <w:rPr>
                <w:rFonts w:hint="eastAsia"/>
              </w:rPr>
              <w:t>图表</w:t>
            </w:r>
            <w:r w:rsidRPr="009864B5">
              <w:t xml:space="preserve">. </w:t>
            </w:r>
            <w:r w:rsidR="00416C5F" w:rsidRPr="009864B5">
              <w:rPr>
                <w:rFonts w:hint="eastAsia"/>
              </w:rPr>
              <w:t>转</w:t>
            </w:r>
            <w:proofErr w:type="gramStart"/>
            <w:r w:rsidR="00416C5F" w:rsidRPr="009864B5">
              <w:rPr>
                <w:rFonts w:hint="eastAsia"/>
              </w:rPr>
              <w:t>债指数</w:t>
            </w:r>
            <w:proofErr w:type="gramEnd"/>
            <w:r w:rsidR="00416C5F" w:rsidRPr="009864B5">
              <w:rPr>
                <w:rFonts w:hint="eastAsia"/>
              </w:rPr>
              <w:t>与股指累计变化</w:t>
            </w:r>
          </w:p>
        </w:tc>
      </w:tr>
      <w:tr w:rsidR="00E0626C" w:rsidRPr="009864B5" w14:paraId="2CD3B9EE" w14:textId="77777777" w:rsidTr="003D3E50">
        <w:tblPrEx>
          <w:tblCellMar>
            <w:left w:w="108" w:type="dxa"/>
            <w:right w:w="108" w:type="dxa"/>
          </w:tblCellMar>
        </w:tblPrEx>
        <w:trPr>
          <w:trHeight w:val="2921"/>
          <w:jc w:val="center"/>
        </w:trPr>
        <w:tc>
          <w:tcPr>
            <w:tcW w:w="4939" w:type="dxa"/>
            <w:vAlign w:val="center"/>
          </w:tcPr>
          <w:p w14:paraId="5C83721A" w14:textId="7AE1146F" w:rsidR="00E0626C" w:rsidRPr="009864B5" w:rsidRDefault="000D5A58" w:rsidP="00345C30">
            <w:pPr>
              <w:widowControl/>
              <w:jc w:val="left"/>
              <w:rPr>
                <w:rFonts w:ascii="宋体" w:hAnsi="宋体" w:cs="宋体"/>
                <w:kern w:val="0"/>
                <w:sz w:val="24"/>
                <w:szCs w:val="24"/>
              </w:rPr>
            </w:pPr>
            <w:r w:rsidRPr="009864B5">
              <w:rPr>
                <w:rFonts w:ascii="宋体" w:hAnsi="宋体" w:cs="宋体"/>
                <w:noProof/>
                <w:kern w:val="0"/>
                <w:sz w:val="24"/>
                <w:szCs w:val="24"/>
              </w:rPr>
              <w:drawing>
                <wp:inline distT="0" distB="0" distL="0" distR="0" wp14:anchorId="3B61FF58" wp14:editId="27779B41">
                  <wp:extent cx="2702019" cy="1715053"/>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a:stretch>
                            <a:fillRect/>
                          </a:stretch>
                        </pic:blipFill>
                        <pic:spPr bwMode="auto">
                          <a:xfrm>
                            <a:off x="0" y="0"/>
                            <a:ext cx="2702019" cy="1715053"/>
                          </a:xfrm>
                          <a:prstGeom prst="rect">
                            <a:avLst/>
                          </a:prstGeom>
                          <a:noFill/>
                          <a:ln>
                            <a:noFill/>
                          </a:ln>
                        </pic:spPr>
                      </pic:pic>
                    </a:graphicData>
                  </a:graphic>
                </wp:inline>
              </w:drawing>
            </w:r>
          </w:p>
        </w:tc>
        <w:tc>
          <w:tcPr>
            <w:tcW w:w="4938" w:type="dxa"/>
            <w:vAlign w:val="center"/>
          </w:tcPr>
          <w:p w14:paraId="39BD4383" w14:textId="138EF7B3" w:rsidR="00E0626C" w:rsidRPr="009864B5" w:rsidRDefault="003D3E50" w:rsidP="009A2BA0">
            <w:pPr>
              <w:jc w:val="center"/>
              <w:rPr>
                <w:noProof/>
                <w:szCs w:val="18"/>
              </w:rPr>
            </w:pPr>
            <w:r>
              <w:rPr>
                <w:noProof/>
              </w:rPr>
              <w:drawing>
                <wp:inline distT="0" distB="0" distL="0" distR="0" wp14:anchorId="6EC13F8D" wp14:editId="06B006E7">
                  <wp:extent cx="2738396" cy="1871649"/>
                  <wp:effectExtent l="0" t="0" r="5080" b="0"/>
                  <wp:docPr id="6" name="图表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9864B5" w14:paraId="14E5D572" w14:textId="77777777" w:rsidTr="006F21C0">
        <w:trPr>
          <w:trHeight w:val="64"/>
          <w:jc w:val="center"/>
        </w:trPr>
        <w:tc>
          <w:tcPr>
            <w:tcW w:w="4939" w:type="dxa"/>
            <w:vAlign w:val="center"/>
          </w:tcPr>
          <w:p w14:paraId="5190A1EC" w14:textId="77777777" w:rsidR="00E0626C" w:rsidRPr="009864B5" w:rsidRDefault="00E0626C" w:rsidP="009A2BA0">
            <w:pPr>
              <w:pStyle w:val="Source"/>
              <w:jc w:val="both"/>
              <w:rPr>
                <w:kern w:val="0"/>
              </w:rPr>
            </w:pPr>
            <w:r w:rsidRPr="009864B5">
              <w:rPr>
                <w:rFonts w:hint="eastAsia"/>
                <w:kern w:val="0"/>
              </w:rPr>
              <w:t>资料来源：万得，富荣基金</w:t>
            </w:r>
          </w:p>
        </w:tc>
        <w:tc>
          <w:tcPr>
            <w:tcW w:w="4938" w:type="dxa"/>
            <w:vAlign w:val="center"/>
          </w:tcPr>
          <w:p w14:paraId="34A0B8FF" w14:textId="77777777" w:rsidR="00E0626C" w:rsidRPr="009864B5" w:rsidRDefault="00E0626C" w:rsidP="009A2BA0">
            <w:pPr>
              <w:pStyle w:val="Source"/>
              <w:jc w:val="both"/>
              <w:rPr>
                <w:kern w:val="0"/>
              </w:rPr>
            </w:pPr>
            <w:r w:rsidRPr="009864B5">
              <w:rPr>
                <w:rFonts w:hint="eastAsia"/>
                <w:kern w:val="0"/>
              </w:rPr>
              <w:t>资料来源：万得，富荣基金</w:t>
            </w:r>
          </w:p>
        </w:tc>
      </w:tr>
    </w:tbl>
    <w:p w14:paraId="4E844C6C" w14:textId="3D204079" w:rsidR="00E0626C" w:rsidRDefault="00E0626C" w:rsidP="009A2BA0">
      <w:pPr>
        <w:pStyle w:val="Body-text"/>
        <w:spacing w:after="0"/>
        <w:rPr>
          <w:lang w:eastAsia="zh-CN"/>
        </w:rPr>
      </w:pPr>
    </w:p>
    <w:p w14:paraId="310684E7" w14:textId="49EDF410" w:rsidR="007A1586" w:rsidRPr="00CD2B4D" w:rsidRDefault="007A1586" w:rsidP="007A1586">
      <w:pPr>
        <w:pStyle w:val="Header2"/>
        <w:rPr>
          <w:rFonts w:eastAsia="PMingLiU"/>
          <w:sz w:val="28"/>
          <w:szCs w:val="21"/>
        </w:rPr>
      </w:pPr>
      <w:r>
        <w:rPr>
          <w:sz w:val="28"/>
          <w:szCs w:val="21"/>
          <w:lang w:eastAsia="zh-CN"/>
        </w:rPr>
        <w:t>4</w:t>
      </w:r>
      <w:r w:rsidRPr="00CD2B4D">
        <w:rPr>
          <w:rFonts w:hint="eastAsia"/>
          <w:sz w:val="28"/>
          <w:szCs w:val="21"/>
          <w:lang w:eastAsia="zh-CN"/>
        </w:rPr>
        <w:t>、</w:t>
      </w:r>
      <w:r w:rsidRPr="007A1586">
        <w:rPr>
          <w:rFonts w:hint="eastAsia"/>
          <w:sz w:val="28"/>
          <w:szCs w:val="21"/>
        </w:rPr>
        <w:t>其他资产</w:t>
      </w:r>
    </w:p>
    <w:p w14:paraId="66D12251" w14:textId="01527994" w:rsidR="00F3595A" w:rsidRPr="00F3595A" w:rsidRDefault="003D3E50" w:rsidP="00F3595A">
      <w:pPr>
        <w:pStyle w:val="Header1"/>
        <w:spacing w:before="240"/>
        <w:ind w:firstLineChars="200" w:firstLine="480"/>
        <w:rPr>
          <w:rFonts w:ascii="华文楷体" w:hAnsi="华文楷体"/>
          <w:b w:val="0"/>
          <w:color w:val="auto"/>
          <w:sz w:val="24"/>
          <w:szCs w:val="24"/>
        </w:rPr>
      </w:pPr>
      <w:r w:rsidRPr="003D3E50">
        <w:rPr>
          <w:rFonts w:ascii="华文楷体" w:hAnsi="华文楷体" w:hint="eastAsia"/>
          <w:b w:val="0"/>
          <w:color w:val="auto"/>
          <w:sz w:val="24"/>
          <w:szCs w:val="24"/>
        </w:rPr>
        <w:t>其他资产方面，在岸人民币对美元贬值0.23%收于6.4669，伦敦金</w:t>
      </w:r>
      <w:proofErr w:type="gramStart"/>
      <w:r w:rsidRPr="003D3E50">
        <w:rPr>
          <w:rFonts w:ascii="华文楷体" w:hAnsi="华文楷体" w:hint="eastAsia"/>
          <w:b w:val="0"/>
          <w:color w:val="auto"/>
          <w:sz w:val="24"/>
          <w:szCs w:val="24"/>
        </w:rPr>
        <w:t>现下跌</w:t>
      </w:r>
      <w:proofErr w:type="gramEnd"/>
      <w:r w:rsidRPr="003D3E50">
        <w:rPr>
          <w:rFonts w:ascii="华文楷体" w:hAnsi="华文楷体" w:hint="eastAsia"/>
          <w:b w:val="0"/>
          <w:color w:val="auto"/>
          <w:sz w:val="24"/>
          <w:szCs w:val="24"/>
        </w:rPr>
        <w:t>0.25%至1749.98美元，</w:t>
      </w:r>
      <w:proofErr w:type="gramStart"/>
      <w:r w:rsidRPr="003D3E50">
        <w:rPr>
          <w:rFonts w:ascii="华文楷体" w:hAnsi="华文楷体" w:hint="eastAsia"/>
          <w:b w:val="0"/>
          <w:color w:val="auto"/>
          <w:sz w:val="24"/>
          <w:szCs w:val="24"/>
        </w:rPr>
        <w:t>标普</w:t>
      </w:r>
      <w:proofErr w:type="gramEnd"/>
      <w:r w:rsidRPr="003D3E50">
        <w:rPr>
          <w:rFonts w:ascii="华文楷体" w:hAnsi="华文楷体" w:hint="eastAsia"/>
          <w:b w:val="0"/>
          <w:color w:val="auto"/>
          <w:sz w:val="24"/>
          <w:szCs w:val="24"/>
        </w:rPr>
        <w:t>500指数上涨0.51%，</w:t>
      </w:r>
      <w:proofErr w:type="gramStart"/>
      <w:r w:rsidRPr="003D3E50">
        <w:rPr>
          <w:rFonts w:ascii="华文楷体" w:hAnsi="华文楷体" w:hint="eastAsia"/>
          <w:b w:val="0"/>
          <w:color w:val="auto"/>
          <w:sz w:val="24"/>
          <w:szCs w:val="24"/>
        </w:rPr>
        <w:t>布油价格</w:t>
      </w:r>
      <w:proofErr w:type="gramEnd"/>
      <w:r w:rsidRPr="003D3E50">
        <w:rPr>
          <w:rFonts w:ascii="华文楷体" w:hAnsi="华文楷体" w:hint="eastAsia"/>
          <w:b w:val="0"/>
          <w:color w:val="auto"/>
          <w:sz w:val="24"/>
          <w:szCs w:val="24"/>
        </w:rPr>
        <w:t>上涨2.47%至77.20美元每桶，LME</w:t>
      </w:r>
      <w:proofErr w:type="gramStart"/>
      <w:r w:rsidRPr="003D3E50">
        <w:rPr>
          <w:rFonts w:ascii="华文楷体" w:hAnsi="华文楷体" w:hint="eastAsia"/>
          <w:b w:val="0"/>
          <w:color w:val="auto"/>
          <w:sz w:val="24"/>
          <w:szCs w:val="24"/>
        </w:rPr>
        <w:t>铜微涨</w:t>
      </w:r>
      <w:proofErr w:type="gramEnd"/>
      <w:r w:rsidRPr="003D3E50">
        <w:rPr>
          <w:rFonts w:ascii="华文楷体" w:hAnsi="华文楷体" w:hint="eastAsia"/>
          <w:b w:val="0"/>
          <w:color w:val="auto"/>
          <w:sz w:val="24"/>
          <w:szCs w:val="24"/>
        </w:rPr>
        <w:t>0.46%，10年美债大幅上行9bp收于1.457%。</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FC1FA4" w:rsidRPr="009864B5" w14:paraId="32605E27" w14:textId="77777777" w:rsidTr="00A6753F">
        <w:trPr>
          <w:trHeight w:val="202"/>
          <w:jc w:val="center"/>
        </w:trPr>
        <w:tc>
          <w:tcPr>
            <w:tcW w:w="4939" w:type="dxa"/>
            <w:vAlign w:val="center"/>
          </w:tcPr>
          <w:p w14:paraId="157B53B4" w14:textId="19E426CF" w:rsidR="00FC1FA4" w:rsidRPr="009864B5" w:rsidRDefault="00FC1FA4" w:rsidP="00692D2B">
            <w:pPr>
              <w:pStyle w:val="ChartHeading"/>
              <w:jc w:val="both"/>
            </w:pPr>
            <w:r w:rsidRPr="009864B5">
              <w:rPr>
                <w:rFonts w:hint="eastAsia"/>
              </w:rPr>
              <w:t>图表</w:t>
            </w:r>
            <w:r w:rsidRPr="009864B5">
              <w:t xml:space="preserve">. </w:t>
            </w:r>
            <w:r>
              <w:rPr>
                <w:rFonts w:hint="eastAsia"/>
              </w:rPr>
              <w:t>人民币汇率</w:t>
            </w:r>
            <w:r w:rsidRPr="009864B5">
              <w:t xml:space="preserve"> </w:t>
            </w:r>
          </w:p>
        </w:tc>
        <w:tc>
          <w:tcPr>
            <w:tcW w:w="4938" w:type="dxa"/>
            <w:vAlign w:val="center"/>
          </w:tcPr>
          <w:p w14:paraId="3746CE2D" w14:textId="6B83B863" w:rsidR="00FC1FA4" w:rsidRPr="009864B5" w:rsidRDefault="00FC1FA4" w:rsidP="00692D2B">
            <w:pPr>
              <w:pStyle w:val="ChartHeading"/>
              <w:jc w:val="both"/>
            </w:pPr>
            <w:r w:rsidRPr="009864B5">
              <w:rPr>
                <w:rFonts w:hint="eastAsia"/>
              </w:rPr>
              <w:t>图表</w:t>
            </w:r>
            <w:r w:rsidRPr="009864B5">
              <w:t xml:space="preserve">. </w:t>
            </w:r>
            <w:r>
              <w:rPr>
                <w:rFonts w:hint="eastAsia"/>
              </w:rPr>
              <w:t>铜价</w:t>
            </w:r>
            <w:r>
              <w:rPr>
                <w:rFonts w:hint="eastAsia"/>
              </w:rPr>
              <w:t xml:space="preserve"> &amp;</w:t>
            </w:r>
            <w:r>
              <w:t xml:space="preserve"> </w:t>
            </w:r>
            <w:r>
              <w:rPr>
                <w:rFonts w:hint="eastAsia"/>
              </w:rPr>
              <w:t>油价</w:t>
            </w:r>
          </w:p>
        </w:tc>
      </w:tr>
      <w:tr w:rsidR="00FC1FA4" w:rsidRPr="009864B5" w14:paraId="77E9D724" w14:textId="77777777" w:rsidTr="003D3E50">
        <w:tblPrEx>
          <w:tblCellMar>
            <w:left w:w="108" w:type="dxa"/>
            <w:right w:w="108" w:type="dxa"/>
          </w:tblCellMar>
        </w:tblPrEx>
        <w:trPr>
          <w:trHeight w:val="2921"/>
          <w:jc w:val="center"/>
        </w:trPr>
        <w:tc>
          <w:tcPr>
            <w:tcW w:w="4939" w:type="dxa"/>
            <w:vAlign w:val="center"/>
          </w:tcPr>
          <w:p w14:paraId="3608D4C9" w14:textId="2CA11B57" w:rsidR="00FC1FA4" w:rsidRPr="009864B5" w:rsidRDefault="003D3E50" w:rsidP="00692D2B">
            <w:pPr>
              <w:widowControl/>
              <w:jc w:val="left"/>
              <w:rPr>
                <w:rFonts w:ascii="宋体" w:hAnsi="宋体" w:cs="宋体"/>
                <w:kern w:val="0"/>
                <w:sz w:val="24"/>
                <w:szCs w:val="24"/>
              </w:rPr>
            </w:pPr>
            <w:r>
              <w:rPr>
                <w:noProof/>
              </w:rPr>
              <w:drawing>
                <wp:inline distT="0" distB="0" distL="0" distR="0" wp14:anchorId="3BA2B36B" wp14:editId="6BC9EF67">
                  <wp:extent cx="2703270" cy="1680509"/>
                  <wp:effectExtent l="0" t="0" r="1905" b="0"/>
                  <wp:docPr id="10" name="图表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38" w:type="dxa"/>
            <w:vAlign w:val="center"/>
          </w:tcPr>
          <w:p w14:paraId="0BD7FBF7" w14:textId="28F2ADE4" w:rsidR="00FC1FA4" w:rsidRPr="009864B5" w:rsidRDefault="003D3E50" w:rsidP="00692D2B">
            <w:pPr>
              <w:jc w:val="center"/>
              <w:rPr>
                <w:noProof/>
                <w:szCs w:val="18"/>
              </w:rPr>
            </w:pPr>
            <w:r>
              <w:rPr>
                <w:noProof/>
              </w:rPr>
              <w:drawing>
                <wp:inline distT="0" distB="0" distL="0" distR="0" wp14:anchorId="0105BF66" wp14:editId="548C6F0A">
                  <wp:extent cx="2679775" cy="1683908"/>
                  <wp:effectExtent l="0" t="0" r="6350" b="0"/>
                  <wp:docPr id="11" name="图表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C1FA4" w:rsidRPr="009864B5" w14:paraId="0C5F09C1" w14:textId="77777777" w:rsidTr="00692D2B">
        <w:trPr>
          <w:trHeight w:val="64"/>
          <w:jc w:val="center"/>
        </w:trPr>
        <w:tc>
          <w:tcPr>
            <w:tcW w:w="4939" w:type="dxa"/>
            <w:vAlign w:val="center"/>
          </w:tcPr>
          <w:p w14:paraId="60EF8AEB" w14:textId="77777777" w:rsidR="00FC1FA4" w:rsidRPr="009864B5" w:rsidRDefault="00FC1FA4" w:rsidP="00692D2B">
            <w:pPr>
              <w:pStyle w:val="Source"/>
              <w:jc w:val="both"/>
              <w:rPr>
                <w:kern w:val="0"/>
              </w:rPr>
            </w:pPr>
            <w:r w:rsidRPr="009864B5">
              <w:rPr>
                <w:rFonts w:hint="eastAsia"/>
                <w:kern w:val="0"/>
              </w:rPr>
              <w:t>资料来源：万得，富荣基金</w:t>
            </w:r>
          </w:p>
        </w:tc>
        <w:tc>
          <w:tcPr>
            <w:tcW w:w="4938" w:type="dxa"/>
            <w:vAlign w:val="center"/>
          </w:tcPr>
          <w:p w14:paraId="60B14989" w14:textId="77777777" w:rsidR="00FC1FA4" w:rsidRPr="009864B5" w:rsidRDefault="00FC1FA4" w:rsidP="00692D2B">
            <w:pPr>
              <w:pStyle w:val="Source"/>
              <w:jc w:val="both"/>
              <w:rPr>
                <w:kern w:val="0"/>
              </w:rPr>
            </w:pPr>
            <w:r w:rsidRPr="009864B5">
              <w:rPr>
                <w:rFonts w:hint="eastAsia"/>
                <w:kern w:val="0"/>
              </w:rPr>
              <w:t>资料来源：万得，富荣基金</w:t>
            </w:r>
          </w:p>
        </w:tc>
      </w:tr>
    </w:tbl>
    <w:p w14:paraId="01B19A5B" w14:textId="7BA451BD" w:rsidR="00FC1FA4" w:rsidRDefault="00FC1FA4" w:rsidP="003E4A57">
      <w:pPr>
        <w:pStyle w:val="Body-text"/>
        <w:spacing w:after="240"/>
        <w:rPr>
          <w:rFonts w:ascii="华文楷体" w:hAnsi="华文楷体"/>
          <w:sz w:val="24"/>
          <w:szCs w:val="24"/>
          <w:lang w:eastAsia="zh-CN"/>
        </w:rPr>
      </w:pPr>
    </w:p>
    <w:p w14:paraId="70131D19" w14:textId="1C98DF93" w:rsidR="002D3316" w:rsidRPr="00C87D79" w:rsidRDefault="002D3316" w:rsidP="002D3316">
      <w:pPr>
        <w:pStyle w:val="Header2"/>
        <w:rPr>
          <w:sz w:val="28"/>
          <w:szCs w:val="21"/>
          <w:lang w:eastAsia="zh-CN"/>
        </w:rPr>
      </w:pPr>
      <w:r w:rsidRPr="00C87D79">
        <w:rPr>
          <w:sz w:val="28"/>
          <w:szCs w:val="21"/>
          <w:lang w:eastAsia="zh-CN"/>
        </w:rPr>
        <w:t>5</w:t>
      </w:r>
      <w:r w:rsidRPr="00C87D79">
        <w:rPr>
          <w:rFonts w:hint="eastAsia"/>
          <w:sz w:val="28"/>
          <w:szCs w:val="21"/>
          <w:lang w:eastAsia="zh-CN"/>
        </w:rPr>
        <w:t>、高频数据</w:t>
      </w:r>
    </w:p>
    <w:p w14:paraId="2664183A" w14:textId="602C0927" w:rsidR="00C87D79" w:rsidRPr="00C87D79" w:rsidRDefault="002D331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上游</w:t>
      </w:r>
      <w:r w:rsidR="00AA4BE0">
        <w:rPr>
          <w:rFonts w:ascii="华文楷体" w:hAnsi="华文楷体" w:hint="eastAsia"/>
          <w:sz w:val="24"/>
          <w:szCs w:val="24"/>
          <w:lang w:eastAsia="zh-CN"/>
        </w:rPr>
        <w:t>节前</w:t>
      </w:r>
      <w:r w:rsidR="006F3FA1" w:rsidRPr="00C87D79">
        <w:rPr>
          <w:rFonts w:ascii="华文楷体" w:hAnsi="华文楷体" w:hint="eastAsia"/>
          <w:sz w:val="24"/>
          <w:szCs w:val="24"/>
          <w:lang w:eastAsia="zh-CN"/>
        </w:rPr>
        <w:t>焦煤、动力煤</w:t>
      </w:r>
      <w:r w:rsidR="00AA4BE0">
        <w:rPr>
          <w:rFonts w:ascii="华文楷体" w:hAnsi="华文楷体" w:hint="eastAsia"/>
          <w:sz w:val="24"/>
          <w:szCs w:val="24"/>
          <w:lang w:eastAsia="zh-CN"/>
        </w:rPr>
        <w:t>、</w:t>
      </w:r>
      <w:r w:rsidR="00AA4BE0" w:rsidRPr="00C87D79">
        <w:rPr>
          <w:rFonts w:ascii="华文楷体" w:hAnsi="华文楷体" w:hint="eastAsia"/>
          <w:sz w:val="24"/>
          <w:szCs w:val="24"/>
          <w:lang w:eastAsia="zh-CN"/>
        </w:rPr>
        <w:t>原油</w:t>
      </w:r>
      <w:r w:rsidR="00C87D79" w:rsidRPr="00C87D79">
        <w:rPr>
          <w:rFonts w:ascii="华文楷体" w:hAnsi="华文楷体" w:hint="eastAsia"/>
          <w:sz w:val="24"/>
          <w:szCs w:val="24"/>
          <w:lang w:eastAsia="zh-CN"/>
        </w:rPr>
        <w:t>价格</w:t>
      </w:r>
      <w:r w:rsidR="003D3E50">
        <w:rPr>
          <w:rFonts w:ascii="华文楷体" w:hAnsi="华文楷体" w:hint="eastAsia"/>
          <w:sz w:val="24"/>
          <w:szCs w:val="24"/>
          <w:lang w:eastAsia="zh-CN"/>
        </w:rPr>
        <w:t>持续</w:t>
      </w:r>
      <w:r w:rsidR="00F979DD">
        <w:rPr>
          <w:rFonts w:ascii="华文楷体" w:hAnsi="华文楷体" w:hint="eastAsia"/>
          <w:sz w:val="24"/>
          <w:szCs w:val="24"/>
          <w:lang w:eastAsia="zh-CN"/>
        </w:rPr>
        <w:t>冲高</w:t>
      </w:r>
      <w:r w:rsidR="006F3FA1" w:rsidRPr="00C87D79">
        <w:rPr>
          <w:rFonts w:ascii="华文楷体" w:hAnsi="华文楷体" w:hint="eastAsia"/>
          <w:sz w:val="24"/>
          <w:szCs w:val="24"/>
          <w:lang w:eastAsia="zh-CN"/>
        </w:rPr>
        <w:t>，</w:t>
      </w:r>
      <w:r w:rsidR="009D73A1">
        <w:rPr>
          <w:rFonts w:ascii="华文楷体" w:hAnsi="华文楷体" w:hint="eastAsia"/>
          <w:sz w:val="24"/>
          <w:szCs w:val="24"/>
          <w:lang w:eastAsia="zh-CN"/>
        </w:rPr>
        <w:t>基建加速下</w:t>
      </w:r>
      <w:r w:rsidR="002A7C89" w:rsidRPr="00C87D79">
        <w:rPr>
          <w:rFonts w:ascii="华文楷体" w:hAnsi="华文楷体" w:hint="eastAsia"/>
          <w:sz w:val="24"/>
          <w:szCs w:val="24"/>
          <w:lang w:eastAsia="zh-CN"/>
        </w:rPr>
        <w:t>水泥</w:t>
      </w:r>
      <w:r w:rsidR="006F3FA1" w:rsidRPr="00C87D79">
        <w:rPr>
          <w:rFonts w:ascii="华文楷体" w:hAnsi="华文楷体" w:hint="eastAsia"/>
          <w:sz w:val="24"/>
          <w:szCs w:val="24"/>
          <w:lang w:eastAsia="zh-CN"/>
        </w:rPr>
        <w:t>价格连续</w:t>
      </w:r>
      <w:r w:rsidR="003D3E50">
        <w:rPr>
          <w:rFonts w:ascii="华文楷体" w:hAnsi="华文楷体" w:hint="eastAsia"/>
          <w:sz w:val="24"/>
          <w:szCs w:val="24"/>
          <w:lang w:eastAsia="zh-CN"/>
        </w:rPr>
        <w:t>八</w:t>
      </w:r>
      <w:r w:rsidR="006F3FA1" w:rsidRPr="00C87D79">
        <w:rPr>
          <w:rFonts w:ascii="华文楷体" w:hAnsi="华文楷体" w:hint="eastAsia"/>
          <w:sz w:val="24"/>
          <w:szCs w:val="24"/>
          <w:lang w:eastAsia="zh-CN"/>
        </w:rPr>
        <w:t>周</w:t>
      </w:r>
      <w:r w:rsidR="002A7C89" w:rsidRPr="00C87D79">
        <w:rPr>
          <w:rFonts w:ascii="华文楷体" w:hAnsi="华文楷体" w:hint="eastAsia"/>
          <w:sz w:val="24"/>
          <w:szCs w:val="24"/>
          <w:lang w:eastAsia="zh-CN"/>
        </w:rPr>
        <w:t>回暖</w:t>
      </w:r>
      <w:r w:rsidR="00C87D79" w:rsidRPr="00C87D79">
        <w:rPr>
          <w:rFonts w:ascii="华文楷体" w:hAnsi="华文楷体" w:hint="eastAsia"/>
          <w:sz w:val="24"/>
          <w:szCs w:val="24"/>
          <w:lang w:eastAsia="zh-CN"/>
        </w:rPr>
        <w:t>，玻璃价格连续</w:t>
      </w:r>
      <w:r w:rsidR="003D3E50">
        <w:rPr>
          <w:rFonts w:ascii="华文楷体" w:hAnsi="华文楷体" w:hint="eastAsia"/>
          <w:sz w:val="24"/>
          <w:szCs w:val="24"/>
          <w:lang w:eastAsia="zh-CN"/>
        </w:rPr>
        <w:t>六</w:t>
      </w:r>
      <w:r w:rsidR="00C87D79" w:rsidRPr="00C87D79">
        <w:rPr>
          <w:rFonts w:ascii="华文楷体" w:hAnsi="华文楷体" w:hint="eastAsia"/>
          <w:sz w:val="24"/>
          <w:szCs w:val="24"/>
          <w:lang w:eastAsia="zh-CN"/>
        </w:rPr>
        <w:t>周走弱</w:t>
      </w:r>
      <w:r w:rsidR="00BC1DA3" w:rsidRPr="00C87D79">
        <w:rPr>
          <w:rFonts w:ascii="华文楷体" w:hAnsi="华文楷体" w:hint="eastAsia"/>
          <w:sz w:val="24"/>
          <w:szCs w:val="24"/>
          <w:lang w:eastAsia="zh-CN"/>
        </w:rPr>
        <w:t>。</w:t>
      </w:r>
    </w:p>
    <w:p w14:paraId="72F4E8C0" w14:textId="63D5F13C" w:rsidR="00C87D79" w:rsidRPr="00C87D79" w:rsidRDefault="001948F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食品价格方面</w:t>
      </w:r>
      <w:r w:rsidR="00BC1DA3" w:rsidRPr="00C87D79">
        <w:rPr>
          <w:rFonts w:ascii="华文楷体" w:hAnsi="华文楷体" w:hint="eastAsia"/>
          <w:sz w:val="24"/>
          <w:szCs w:val="24"/>
          <w:lang w:eastAsia="zh-CN"/>
        </w:rPr>
        <w:t>，</w:t>
      </w:r>
      <w:r w:rsidR="00C87D79" w:rsidRPr="00C87D79">
        <w:rPr>
          <w:rFonts w:ascii="华文楷体" w:hAnsi="华文楷体" w:hint="eastAsia"/>
          <w:sz w:val="24"/>
          <w:szCs w:val="24"/>
          <w:lang w:eastAsia="zh-CN"/>
        </w:rPr>
        <w:t>农产品和菜篮子批发价格200指数</w:t>
      </w:r>
      <w:r w:rsidR="000F13DC">
        <w:rPr>
          <w:rFonts w:ascii="华文楷体" w:hAnsi="华文楷体" w:hint="eastAsia"/>
          <w:sz w:val="24"/>
          <w:szCs w:val="24"/>
          <w:lang w:eastAsia="zh-CN"/>
        </w:rPr>
        <w:t>、</w:t>
      </w:r>
      <w:r w:rsidR="000F13DC" w:rsidRPr="00C87D79">
        <w:rPr>
          <w:rFonts w:ascii="华文楷体" w:hAnsi="华文楷体" w:hint="eastAsia"/>
          <w:sz w:val="24"/>
          <w:szCs w:val="24"/>
          <w:lang w:eastAsia="zh-CN"/>
        </w:rPr>
        <w:t>水果批发价</w:t>
      </w:r>
      <w:r w:rsidR="000F13DC">
        <w:rPr>
          <w:rFonts w:ascii="华文楷体" w:hAnsi="华文楷体" w:hint="eastAsia"/>
          <w:sz w:val="24"/>
          <w:szCs w:val="24"/>
          <w:lang w:eastAsia="zh-CN"/>
        </w:rPr>
        <w:t>微涨</w:t>
      </w:r>
      <w:r w:rsidR="00C87D79" w:rsidRPr="00C87D79">
        <w:rPr>
          <w:rFonts w:ascii="华文楷体" w:hAnsi="华文楷体" w:hint="eastAsia"/>
          <w:sz w:val="24"/>
          <w:szCs w:val="24"/>
          <w:lang w:eastAsia="zh-CN"/>
        </w:rPr>
        <w:t>，</w:t>
      </w:r>
      <w:r w:rsidR="000F13DC">
        <w:rPr>
          <w:rFonts w:ascii="华文楷体" w:hAnsi="华文楷体" w:hint="eastAsia"/>
          <w:sz w:val="24"/>
          <w:szCs w:val="24"/>
          <w:lang w:eastAsia="zh-CN"/>
        </w:rPr>
        <w:t>蔬菜价格基本持平，</w:t>
      </w:r>
      <w:proofErr w:type="gramStart"/>
      <w:r w:rsidR="00F979DD" w:rsidRPr="00C87D79">
        <w:rPr>
          <w:rFonts w:ascii="华文楷体" w:hAnsi="华文楷体" w:hint="eastAsia"/>
          <w:sz w:val="24"/>
          <w:szCs w:val="24"/>
          <w:lang w:eastAsia="zh-CN"/>
        </w:rPr>
        <w:t>猪肉</w:t>
      </w:r>
      <w:r w:rsidR="00AA4BE0">
        <w:rPr>
          <w:rFonts w:ascii="华文楷体" w:hAnsi="华文楷体" w:hint="eastAsia"/>
          <w:sz w:val="24"/>
          <w:szCs w:val="24"/>
          <w:lang w:eastAsia="zh-CN"/>
        </w:rPr>
        <w:t>环</w:t>
      </w:r>
      <w:proofErr w:type="gramEnd"/>
      <w:r w:rsidR="00AA4BE0">
        <w:rPr>
          <w:rFonts w:ascii="华文楷体" w:hAnsi="华文楷体" w:hint="eastAsia"/>
          <w:sz w:val="24"/>
          <w:szCs w:val="24"/>
          <w:lang w:eastAsia="zh-CN"/>
        </w:rPr>
        <w:t>比</w:t>
      </w:r>
      <w:r w:rsidR="000F13DC">
        <w:rPr>
          <w:rFonts w:ascii="华文楷体" w:hAnsi="华文楷体" w:hint="eastAsia"/>
          <w:sz w:val="24"/>
          <w:szCs w:val="24"/>
          <w:lang w:eastAsia="zh-CN"/>
        </w:rPr>
        <w:t>进一步</w:t>
      </w:r>
      <w:r w:rsidR="00AA4BE0">
        <w:rPr>
          <w:rFonts w:ascii="华文楷体" w:hAnsi="华文楷体" w:hint="eastAsia"/>
          <w:sz w:val="24"/>
          <w:szCs w:val="24"/>
          <w:lang w:eastAsia="zh-CN"/>
        </w:rPr>
        <w:t>下行</w:t>
      </w:r>
      <w:r w:rsidRPr="00C87D79">
        <w:rPr>
          <w:rFonts w:ascii="华文楷体" w:hAnsi="华文楷体" w:hint="eastAsia"/>
          <w:sz w:val="24"/>
          <w:szCs w:val="24"/>
          <w:lang w:eastAsia="zh-CN"/>
        </w:rPr>
        <w:t>。</w:t>
      </w:r>
    </w:p>
    <w:p w14:paraId="10D6A074" w14:textId="6F0FAFBD" w:rsidR="00C87D79" w:rsidRPr="00C87D79" w:rsidRDefault="001948F6"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工业品价格方面，</w:t>
      </w:r>
      <w:r w:rsidR="005E6806" w:rsidRPr="005E6806">
        <w:rPr>
          <w:rFonts w:ascii="华文楷体" w:hAnsi="华文楷体" w:hint="eastAsia"/>
          <w:sz w:val="24"/>
          <w:szCs w:val="24"/>
          <w:lang w:eastAsia="zh-CN"/>
        </w:rPr>
        <w:t>有色金属板块</w:t>
      </w:r>
      <w:r w:rsidR="008D1D18">
        <w:rPr>
          <w:rFonts w:ascii="华文楷体" w:hAnsi="华文楷体" w:hint="eastAsia"/>
          <w:sz w:val="24"/>
          <w:szCs w:val="24"/>
          <w:lang w:eastAsia="zh-CN"/>
        </w:rPr>
        <w:t>大多较弱势</w:t>
      </w:r>
      <w:r w:rsidR="005E6806" w:rsidRPr="005E6806">
        <w:rPr>
          <w:rFonts w:ascii="华文楷体" w:hAnsi="华文楷体" w:hint="eastAsia"/>
          <w:sz w:val="24"/>
          <w:szCs w:val="24"/>
          <w:lang w:eastAsia="zh-CN"/>
        </w:rPr>
        <w:t>，</w:t>
      </w:r>
      <w:r w:rsidR="008D1D18">
        <w:rPr>
          <w:rFonts w:ascii="华文楷体" w:hAnsi="华文楷体" w:hint="eastAsia"/>
          <w:sz w:val="24"/>
          <w:szCs w:val="24"/>
          <w:lang w:eastAsia="zh-CN"/>
        </w:rPr>
        <w:t>但</w:t>
      </w:r>
      <w:proofErr w:type="gramStart"/>
      <w:r w:rsidR="005E6806" w:rsidRPr="005E6806">
        <w:rPr>
          <w:rFonts w:ascii="华文楷体" w:hAnsi="华文楷体" w:hint="eastAsia"/>
          <w:sz w:val="24"/>
          <w:szCs w:val="24"/>
          <w:lang w:eastAsia="zh-CN"/>
        </w:rPr>
        <w:t>铝由于</w:t>
      </w:r>
      <w:proofErr w:type="gramEnd"/>
      <w:r w:rsidR="005E6806" w:rsidRPr="005E6806">
        <w:rPr>
          <w:rFonts w:ascii="华文楷体" w:hAnsi="华文楷体" w:hint="eastAsia"/>
          <w:sz w:val="24"/>
          <w:szCs w:val="24"/>
          <w:lang w:eastAsia="zh-CN"/>
        </w:rPr>
        <w:t>能耗双控导致产量受限，</w:t>
      </w:r>
      <w:r w:rsidR="000F13DC">
        <w:rPr>
          <w:rFonts w:ascii="华文楷体" w:hAnsi="华文楷体" w:hint="eastAsia"/>
          <w:sz w:val="24"/>
          <w:szCs w:val="24"/>
          <w:lang w:eastAsia="zh-CN"/>
        </w:rPr>
        <w:t>近期持续</w:t>
      </w:r>
      <w:r w:rsidR="005E6806" w:rsidRPr="005E6806">
        <w:rPr>
          <w:rFonts w:ascii="华文楷体" w:hAnsi="华文楷体" w:hint="eastAsia"/>
          <w:sz w:val="24"/>
          <w:szCs w:val="24"/>
          <w:lang w:eastAsia="zh-CN"/>
        </w:rPr>
        <w:t>上涨</w:t>
      </w:r>
      <w:r w:rsidR="007C4C14" w:rsidRPr="00C87D79">
        <w:rPr>
          <w:rFonts w:ascii="华文楷体" w:hAnsi="华文楷体" w:hint="eastAsia"/>
          <w:sz w:val="24"/>
          <w:szCs w:val="24"/>
          <w:lang w:eastAsia="zh-CN"/>
        </w:rPr>
        <w:t>。</w:t>
      </w:r>
    </w:p>
    <w:p w14:paraId="24A84318" w14:textId="5D70A666" w:rsidR="003F3A2E" w:rsidRDefault="003F3A2E" w:rsidP="006F3FA1">
      <w:pPr>
        <w:pStyle w:val="Body-text"/>
        <w:spacing w:after="240"/>
        <w:ind w:firstLineChars="200" w:firstLine="480"/>
        <w:rPr>
          <w:rFonts w:ascii="华文楷体" w:hAnsi="华文楷体"/>
          <w:sz w:val="24"/>
          <w:szCs w:val="24"/>
          <w:lang w:eastAsia="zh-CN"/>
        </w:rPr>
      </w:pPr>
      <w:r w:rsidRPr="00C87D79">
        <w:rPr>
          <w:rFonts w:ascii="华文楷体" w:hAnsi="华文楷体" w:hint="eastAsia"/>
          <w:sz w:val="24"/>
          <w:szCs w:val="24"/>
          <w:lang w:eastAsia="zh-CN"/>
        </w:rPr>
        <w:t>地产方面，</w:t>
      </w:r>
      <w:r w:rsidR="008D1D18">
        <w:rPr>
          <w:rFonts w:ascii="华文楷体" w:hAnsi="华文楷体" w:hint="eastAsia"/>
          <w:sz w:val="24"/>
          <w:szCs w:val="24"/>
          <w:lang w:eastAsia="zh-CN"/>
        </w:rPr>
        <w:t>中秋假期后</w:t>
      </w:r>
      <w:r w:rsidR="00BC1DA3" w:rsidRPr="00C87D79">
        <w:rPr>
          <w:rFonts w:ascii="华文楷体" w:hAnsi="华文楷体" w:hint="eastAsia"/>
          <w:sz w:val="24"/>
          <w:szCs w:val="24"/>
          <w:lang w:eastAsia="zh-CN"/>
        </w:rPr>
        <w:t>下游</w:t>
      </w:r>
      <w:r w:rsidR="002D3316" w:rsidRPr="00C87D79">
        <w:rPr>
          <w:rFonts w:ascii="华文楷体" w:hAnsi="华文楷体" w:hint="eastAsia"/>
          <w:sz w:val="24"/>
          <w:szCs w:val="24"/>
          <w:lang w:eastAsia="zh-CN"/>
        </w:rPr>
        <w:t>商品房成交</w:t>
      </w:r>
      <w:proofErr w:type="gramStart"/>
      <w:r w:rsidR="00BC1DA3" w:rsidRPr="00C87D79">
        <w:rPr>
          <w:rFonts w:ascii="华文楷体" w:hAnsi="华文楷体" w:hint="eastAsia"/>
          <w:sz w:val="24"/>
          <w:szCs w:val="24"/>
          <w:lang w:eastAsia="zh-CN"/>
        </w:rPr>
        <w:t>面积</w:t>
      </w:r>
      <w:r w:rsidR="009E646D">
        <w:rPr>
          <w:rFonts w:ascii="华文楷体" w:hAnsi="华文楷体" w:hint="eastAsia"/>
          <w:sz w:val="24"/>
          <w:szCs w:val="24"/>
          <w:lang w:eastAsia="zh-CN"/>
        </w:rPr>
        <w:t>环</w:t>
      </w:r>
      <w:proofErr w:type="gramEnd"/>
      <w:r w:rsidR="009E646D">
        <w:rPr>
          <w:rFonts w:ascii="华文楷体" w:hAnsi="华文楷体" w:hint="eastAsia"/>
          <w:sz w:val="24"/>
          <w:szCs w:val="24"/>
          <w:lang w:eastAsia="zh-CN"/>
        </w:rPr>
        <w:t>比</w:t>
      </w:r>
      <w:r w:rsidR="008D1D18">
        <w:rPr>
          <w:rFonts w:ascii="华文楷体" w:hAnsi="华文楷体" w:hint="eastAsia"/>
          <w:sz w:val="24"/>
          <w:szCs w:val="24"/>
          <w:lang w:eastAsia="zh-CN"/>
        </w:rPr>
        <w:t>回落</w:t>
      </w:r>
      <w:r w:rsidR="00C87D79" w:rsidRPr="00C87D79">
        <w:rPr>
          <w:rFonts w:ascii="华文楷体" w:hAnsi="华文楷体" w:hint="eastAsia"/>
          <w:sz w:val="24"/>
          <w:szCs w:val="24"/>
          <w:lang w:eastAsia="zh-CN"/>
        </w:rPr>
        <w:t>，</w:t>
      </w:r>
      <w:r w:rsidR="0071545F">
        <w:rPr>
          <w:rFonts w:ascii="华文楷体" w:hAnsi="华文楷体" w:hint="eastAsia"/>
          <w:sz w:val="24"/>
          <w:szCs w:val="24"/>
          <w:lang w:eastAsia="zh-CN"/>
        </w:rPr>
        <w:t>其中</w:t>
      </w:r>
      <w:r w:rsidR="00C87D79" w:rsidRPr="00C87D79">
        <w:rPr>
          <w:rFonts w:ascii="华文楷体" w:hAnsi="华文楷体" w:hint="eastAsia"/>
          <w:sz w:val="24"/>
          <w:szCs w:val="24"/>
          <w:lang w:eastAsia="zh-CN"/>
        </w:rPr>
        <w:t>一线城市成交面积</w:t>
      </w:r>
      <w:r w:rsidR="008D1D18">
        <w:rPr>
          <w:rFonts w:ascii="华文楷体" w:hAnsi="华文楷体" w:hint="eastAsia"/>
          <w:sz w:val="24"/>
          <w:szCs w:val="24"/>
          <w:lang w:eastAsia="zh-CN"/>
        </w:rPr>
        <w:t>9月以来表现弱势</w:t>
      </w:r>
      <w:r w:rsidR="002D3316" w:rsidRPr="00C87D79">
        <w:rPr>
          <w:rFonts w:ascii="华文楷体" w:hAnsi="华文楷体" w:hint="eastAsia"/>
          <w:sz w:val="24"/>
          <w:szCs w:val="24"/>
          <w:lang w:eastAsia="zh-CN"/>
        </w:rPr>
        <w:t>，</w:t>
      </w:r>
      <w:r w:rsidR="007C4C14" w:rsidRPr="00C87D79">
        <w:rPr>
          <w:rFonts w:ascii="华文楷体" w:hAnsi="华文楷体" w:hint="eastAsia"/>
          <w:sz w:val="24"/>
          <w:szCs w:val="24"/>
          <w:lang w:eastAsia="zh-CN"/>
        </w:rPr>
        <w:t>二</w:t>
      </w:r>
      <w:r w:rsidR="00C87D79" w:rsidRPr="00C87D79">
        <w:rPr>
          <w:rFonts w:ascii="华文楷体" w:hAnsi="华文楷体" w:hint="eastAsia"/>
          <w:sz w:val="24"/>
          <w:szCs w:val="24"/>
          <w:lang w:eastAsia="zh-CN"/>
        </w:rPr>
        <w:t>线</w:t>
      </w:r>
      <w:r w:rsidR="007C4C14" w:rsidRPr="00C87D79">
        <w:rPr>
          <w:rFonts w:ascii="华文楷体" w:hAnsi="华文楷体" w:hint="eastAsia"/>
          <w:sz w:val="24"/>
          <w:szCs w:val="24"/>
          <w:lang w:eastAsia="zh-CN"/>
        </w:rPr>
        <w:t>三线城市</w:t>
      </w:r>
      <w:r w:rsidR="00C87D79" w:rsidRPr="00C87D79">
        <w:rPr>
          <w:rFonts w:ascii="华文楷体" w:hAnsi="华文楷体" w:hint="eastAsia"/>
          <w:sz w:val="24"/>
          <w:szCs w:val="24"/>
          <w:lang w:eastAsia="zh-CN"/>
        </w:rPr>
        <w:t>成交面积</w:t>
      </w:r>
      <w:r w:rsidR="008D1D18">
        <w:rPr>
          <w:rFonts w:ascii="华文楷体" w:hAnsi="华文楷体" w:hint="eastAsia"/>
          <w:sz w:val="24"/>
          <w:szCs w:val="24"/>
          <w:lang w:eastAsia="zh-CN"/>
        </w:rPr>
        <w:t>震荡</w:t>
      </w:r>
      <w:r w:rsidR="002D3316" w:rsidRPr="00C87D79">
        <w:rPr>
          <w:rFonts w:ascii="华文楷体" w:hAnsi="华文楷体" w:hint="eastAsia"/>
          <w:sz w:val="24"/>
          <w:szCs w:val="24"/>
          <w:lang w:eastAsia="zh-CN"/>
        </w:rPr>
        <w:t>。</w:t>
      </w:r>
    </w:p>
    <w:tbl>
      <w:tblPr>
        <w:tblW w:w="9549" w:type="dxa"/>
        <w:jc w:val="center"/>
        <w:tblLayout w:type="fixed"/>
        <w:tblCellMar>
          <w:left w:w="0" w:type="dxa"/>
          <w:right w:w="0" w:type="dxa"/>
        </w:tblCellMar>
        <w:tblLook w:val="01E0" w:firstRow="1" w:lastRow="1" w:firstColumn="1" w:lastColumn="1" w:noHBand="0" w:noVBand="0"/>
      </w:tblPr>
      <w:tblGrid>
        <w:gridCol w:w="9549"/>
      </w:tblGrid>
      <w:tr w:rsidR="002D3316" w:rsidRPr="009864B5" w14:paraId="08B978D4" w14:textId="77777777" w:rsidTr="00164014">
        <w:trPr>
          <w:trHeight w:val="197"/>
          <w:jc w:val="center"/>
        </w:trPr>
        <w:tc>
          <w:tcPr>
            <w:tcW w:w="9549" w:type="dxa"/>
            <w:vAlign w:val="center"/>
          </w:tcPr>
          <w:p w14:paraId="5171759A" w14:textId="77777777" w:rsidR="002D3316" w:rsidRPr="009864B5" w:rsidRDefault="002D3316" w:rsidP="00164014">
            <w:pPr>
              <w:pStyle w:val="ChartHeading"/>
              <w:jc w:val="both"/>
            </w:pPr>
            <w:r w:rsidRPr="009864B5">
              <w:rPr>
                <w:rFonts w:hint="eastAsia"/>
              </w:rPr>
              <w:lastRenderedPageBreak/>
              <w:t>图表</w:t>
            </w:r>
            <w:r w:rsidRPr="009864B5">
              <w:t xml:space="preserve">. </w:t>
            </w:r>
            <w:proofErr w:type="gramStart"/>
            <w:r>
              <w:rPr>
                <w:rFonts w:hint="eastAsia"/>
              </w:rPr>
              <w:t>周度高频</w:t>
            </w:r>
            <w:proofErr w:type="gramEnd"/>
            <w:r>
              <w:rPr>
                <w:rFonts w:hint="eastAsia"/>
              </w:rPr>
              <w:t>数据跟踪</w:t>
            </w:r>
          </w:p>
        </w:tc>
      </w:tr>
      <w:tr w:rsidR="002D3316" w:rsidRPr="009864B5" w14:paraId="64095B0A" w14:textId="77777777" w:rsidTr="00164014">
        <w:tblPrEx>
          <w:tblCellMar>
            <w:left w:w="108" w:type="dxa"/>
            <w:right w:w="108" w:type="dxa"/>
          </w:tblCellMar>
        </w:tblPrEx>
        <w:trPr>
          <w:trHeight w:val="302"/>
          <w:jc w:val="center"/>
        </w:trPr>
        <w:tc>
          <w:tcPr>
            <w:tcW w:w="9549" w:type="dxa"/>
            <w:vAlign w:val="center"/>
          </w:tcPr>
          <w:p w14:paraId="4E5D155C" w14:textId="77777777" w:rsidR="002D3316" w:rsidRPr="009864B5" w:rsidRDefault="002D3316" w:rsidP="00164014">
            <w:pPr>
              <w:widowControl/>
              <w:jc w:val="left"/>
              <w:rPr>
                <w:rFonts w:ascii="宋体" w:hAnsi="宋体" w:cs="宋体"/>
                <w:kern w:val="0"/>
                <w:sz w:val="24"/>
                <w:szCs w:val="24"/>
              </w:rPr>
            </w:pPr>
            <w:r w:rsidRPr="007E1C03">
              <w:rPr>
                <w:noProof/>
              </w:rPr>
              <w:drawing>
                <wp:inline distT="0" distB="0" distL="0" distR="0" wp14:anchorId="5988268C" wp14:editId="325B8DC1">
                  <wp:extent cx="5988002" cy="57591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stretch>
                            <a:fillRect/>
                          </a:stretch>
                        </pic:blipFill>
                        <pic:spPr bwMode="auto">
                          <a:xfrm>
                            <a:off x="0" y="0"/>
                            <a:ext cx="5988002" cy="5759188"/>
                          </a:xfrm>
                          <a:prstGeom prst="rect">
                            <a:avLst/>
                          </a:prstGeom>
                          <a:noFill/>
                          <a:ln>
                            <a:noFill/>
                          </a:ln>
                        </pic:spPr>
                      </pic:pic>
                    </a:graphicData>
                  </a:graphic>
                </wp:inline>
              </w:drawing>
            </w:r>
          </w:p>
        </w:tc>
      </w:tr>
      <w:tr w:rsidR="002D3316" w:rsidRPr="009864B5" w14:paraId="691B5B3D" w14:textId="77777777" w:rsidTr="00164014">
        <w:trPr>
          <w:trHeight w:val="62"/>
          <w:jc w:val="center"/>
        </w:trPr>
        <w:tc>
          <w:tcPr>
            <w:tcW w:w="9549" w:type="dxa"/>
            <w:vAlign w:val="center"/>
          </w:tcPr>
          <w:p w14:paraId="55F668B2" w14:textId="77777777" w:rsidR="002D3316" w:rsidRPr="009864B5" w:rsidRDefault="002D3316" w:rsidP="00164014">
            <w:pPr>
              <w:pStyle w:val="Source"/>
              <w:jc w:val="both"/>
              <w:rPr>
                <w:kern w:val="0"/>
              </w:rPr>
            </w:pPr>
            <w:r w:rsidRPr="00B41E24">
              <w:rPr>
                <w:rFonts w:hint="eastAsia"/>
                <w:kern w:val="0"/>
              </w:rPr>
              <w:t>资料来源：万得，富荣基金；</w:t>
            </w:r>
            <w:r w:rsidRPr="009864B5">
              <w:rPr>
                <w:kern w:val="0"/>
              </w:rPr>
              <w:t xml:space="preserve"> </w:t>
            </w:r>
          </w:p>
        </w:tc>
      </w:tr>
    </w:tbl>
    <w:p w14:paraId="68F31B76" w14:textId="77777777" w:rsidR="002D3316" w:rsidRPr="002D3316" w:rsidRDefault="002D3316" w:rsidP="007A1586">
      <w:pPr>
        <w:pStyle w:val="Body-text"/>
        <w:spacing w:after="240"/>
        <w:ind w:firstLineChars="200" w:firstLine="480"/>
        <w:rPr>
          <w:rFonts w:ascii="华文楷体" w:hAnsi="华文楷体"/>
          <w:sz w:val="24"/>
          <w:szCs w:val="24"/>
          <w:lang w:eastAsia="zh-CN"/>
        </w:rPr>
      </w:pPr>
    </w:p>
    <w:p w14:paraId="721DD2C0" w14:textId="5F7DBCFA" w:rsidR="0082791D" w:rsidRPr="009864B5" w:rsidRDefault="0031666C" w:rsidP="009A2BA0">
      <w:pPr>
        <w:pStyle w:val="Header1"/>
        <w:spacing w:before="240"/>
        <w:rPr>
          <w:color w:val="C45911" w:themeColor="accent2" w:themeShade="BF"/>
        </w:rPr>
      </w:pPr>
      <w:r w:rsidRPr="009864B5">
        <w:rPr>
          <w:rFonts w:hint="eastAsia"/>
          <w:color w:val="C45911" w:themeColor="accent2" w:themeShade="BF"/>
        </w:rPr>
        <w:t>三</w:t>
      </w:r>
      <w:r w:rsidR="0082791D" w:rsidRPr="009864B5">
        <w:rPr>
          <w:rFonts w:hint="eastAsia"/>
          <w:color w:val="C45911" w:themeColor="accent2" w:themeShade="BF"/>
        </w:rPr>
        <w:t>、</w:t>
      </w:r>
      <w:r w:rsidR="00B76849">
        <w:rPr>
          <w:rFonts w:hint="eastAsia"/>
          <w:color w:val="C45911" w:themeColor="accent2" w:themeShade="BF"/>
        </w:rPr>
        <w:t>策略展望</w:t>
      </w:r>
    </w:p>
    <w:p w14:paraId="00BA1D15" w14:textId="6C0917BA" w:rsidR="00B76849" w:rsidRDefault="00B76849" w:rsidP="00B76849">
      <w:pPr>
        <w:pStyle w:val="Header1"/>
        <w:spacing w:before="240"/>
        <w:ind w:firstLineChars="200" w:firstLine="480"/>
        <w:rPr>
          <w:rFonts w:ascii="华文楷体" w:hAnsi="华文楷体"/>
          <w:b w:val="0"/>
          <w:color w:val="auto"/>
          <w:sz w:val="24"/>
          <w:szCs w:val="24"/>
        </w:rPr>
      </w:pPr>
      <w:r w:rsidRPr="001045D2">
        <w:rPr>
          <w:rFonts w:ascii="华文楷体" w:hAnsi="华文楷体" w:hint="eastAsia"/>
          <w:bCs/>
          <w:sz w:val="24"/>
          <w:szCs w:val="24"/>
        </w:rPr>
        <w:t>利率债：</w:t>
      </w:r>
      <w:r w:rsidRPr="003E4A57">
        <w:rPr>
          <w:rFonts w:ascii="华文楷体" w:hAnsi="华文楷体" w:hint="eastAsia"/>
          <w:b w:val="0"/>
          <w:color w:val="auto"/>
          <w:sz w:val="24"/>
          <w:szCs w:val="24"/>
        </w:rPr>
        <w:t>7月初国常会以来，货币政策宽松预期再起、疫情反复、国内经济与</w:t>
      </w:r>
      <w:proofErr w:type="gramStart"/>
      <w:r w:rsidRPr="003E4A57">
        <w:rPr>
          <w:rFonts w:ascii="华文楷体" w:hAnsi="华文楷体" w:hint="eastAsia"/>
          <w:b w:val="0"/>
          <w:color w:val="auto"/>
          <w:sz w:val="24"/>
          <w:szCs w:val="24"/>
        </w:rPr>
        <w:t>社融数据</w:t>
      </w:r>
      <w:proofErr w:type="gramEnd"/>
      <w:r w:rsidRPr="003E4A57">
        <w:rPr>
          <w:rFonts w:ascii="华文楷体" w:hAnsi="华文楷体" w:hint="eastAsia"/>
          <w:b w:val="0"/>
          <w:color w:val="auto"/>
          <w:sz w:val="24"/>
          <w:szCs w:val="24"/>
        </w:rPr>
        <w:t>的走弱对债市构成利好，债市情绪高涨，十年期国债短时间内下行超过25bp。站在当前的节点看，利率债绝对位置处历史较低分位，市场对下半年经济的下行与货币的宽松已有所定价；同时，后续利率债供给的放量、宽信用以及美联储Taper的边际变化或对市场产生一定扰动。我们维持对利率谨慎乐观的判断，谨防多头走在预期前，</w:t>
      </w:r>
      <w:r w:rsidR="00EC56B8">
        <w:rPr>
          <w:rFonts w:ascii="华文楷体" w:hAnsi="华文楷体" w:hint="eastAsia"/>
          <w:b w:val="0"/>
          <w:color w:val="auto"/>
          <w:sz w:val="24"/>
          <w:szCs w:val="24"/>
        </w:rPr>
        <w:t>采用</w:t>
      </w:r>
      <w:r w:rsidRPr="003E4A57">
        <w:rPr>
          <w:rFonts w:ascii="华文楷体" w:hAnsi="华文楷体" w:hint="eastAsia"/>
          <w:b w:val="0"/>
          <w:color w:val="auto"/>
          <w:sz w:val="24"/>
          <w:szCs w:val="24"/>
        </w:rPr>
        <w:t>哑铃型配置以灵活应对可能打破均衡的超预期因素。</w:t>
      </w:r>
    </w:p>
    <w:p w14:paraId="7EFA5FEE" w14:textId="19EEDBE2" w:rsidR="00B76849" w:rsidRDefault="00B76849" w:rsidP="00B76849">
      <w:pPr>
        <w:pStyle w:val="Header1"/>
        <w:spacing w:before="240"/>
        <w:ind w:firstLineChars="200" w:firstLine="480"/>
        <w:rPr>
          <w:rFonts w:ascii="华文楷体" w:hAnsi="华文楷体"/>
          <w:b w:val="0"/>
          <w:color w:val="auto"/>
          <w:sz w:val="24"/>
          <w:szCs w:val="24"/>
        </w:rPr>
      </w:pPr>
      <w:r w:rsidRPr="001045D2">
        <w:rPr>
          <w:rFonts w:ascii="华文楷体" w:hAnsi="华文楷体" w:hint="eastAsia"/>
          <w:bCs/>
          <w:sz w:val="24"/>
          <w:szCs w:val="24"/>
        </w:rPr>
        <w:t>信用债：</w:t>
      </w:r>
      <w:r w:rsidRPr="003E4A57">
        <w:rPr>
          <w:rFonts w:ascii="华文楷体" w:hAnsi="华文楷体" w:hint="eastAsia"/>
          <w:b w:val="0"/>
          <w:color w:val="auto"/>
          <w:sz w:val="24"/>
          <w:szCs w:val="24"/>
        </w:rPr>
        <w:t>信用债方面，K型分化的过程中，监管的控制力逐渐显现。一方面致力完善长效机制（《关于推动公司信用类债券市场改革开放高质量发展的指导意见》），另一方面也在避</w:t>
      </w:r>
      <w:r w:rsidRPr="003E4A57">
        <w:rPr>
          <w:rFonts w:ascii="华文楷体" w:hAnsi="华文楷体" w:hint="eastAsia"/>
          <w:b w:val="0"/>
          <w:color w:val="auto"/>
          <w:sz w:val="24"/>
          <w:szCs w:val="24"/>
        </w:rPr>
        <w:lastRenderedPageBreak/>
        <w:t>免短期</w:t>
      </w:r>
      <w:r w:rsidR="00EC56B8" w:rsidRPr="003E4A57">
        <w:rPr>
          <w:rFonts w:ascii="华文楷体" w:hAnsi="华文楷体" w:hint="eastAsia"/>
          <w:b w:val="0"/>
          <w:color w:val="auto"/>
          <w:sz w:val="24"/>
          <w:szCs w:val="24"/>
        </w:rPr>
        <w:t>系统性</w:t>
      </w:r>
      <w:proofErr w:type="gramStart"/>
      <w:r w:rsidR="00EC56B8" w:rsidRPr="003E4A57">
        <w:rPr>
          <w:rFonts w:ascii="华文楷体" w:hAnsi="华文楷体" w:hint="eastAsia"/>
          <w:b w:val="0"/>
          <w:color w:val="auto"/>
          <w:sz w:val="24"/>
          <w:szCs w:val="24"/>
        </w:rPr>
        <w:t>化</w:t>
      </w:r>
      <w:r w:rsidRPr="003E4A57">
        <w:rPr>
          <w:rFonts w:ascii="华文楷体" w:hAnsi="华文楷体" w:hint="eastAsia"/>
          <w:b w:val="0"/>
          <w:color w:val="auto"/>
          <w:sz w:val="24"/>
          <w:szCs w:val="24"/>
        </w:rPr>
        <w:t>金融</w:t>
      </w:r>
      <w:proofErr w:type="gramEnd"/>
      <w:r w:rsidRPr="003E4A57">
        <w:rPr>
          <w:rFonts w:ascii="华文楷体" w:hAnsi="华文楷体" w:hint="eastAsia"/>
          <w:b w:val="0"/>
          <w:color w:val="auto"/>
          <w:sz w:val="24"/>
          <w:szCs w:val="24"/>
        </w:rPr>
        <w:t>风险，对</w:t>
      </w:r>
      <w:r w:rsidR="00EC56B8">
        <w:rPr>
          <w:rFonts w:ascii="华文楷体" w:hAnsi="华文楷体" w:hint="eastAsia"/>
          <w:b w:val="0"/>
          <w:color w:val="auto"/>
          <w:sz w:val="24"/>
          <w:szCs w:val="24"/>
        </w:rPr>
        <w:t>某些</w:t>
      </w:r>
      <w:r w:rsidRPr="003E4A57">
        <w:rPr>
          <w:rFonts w:ascii="华文楷体" w:hAnsi="华文楷体" w:hint="eastAsia"/>
          <w:b w:val="0"/>
          <w:color w:val="auto"/>
          <w:sz w:val="24"/>
          <w:szCs w:val="24"/>
        </w:rPr>
        <w:t>典型企业采取了不同的措施和关注，对信贷不平衡地区启动了再贷款。信用策略上，继续防范尾部风险的基础上，关注具备持续经营能力的国企产业和强公益属性的</w:t>
      </w:r>
      <w:proofErr w:type="gramStart"/>
      <w:r w:rsidRPr="003E4A57">
        <w:rPr>
          <w:rFonts w:ascii="华文楷体" w:hAnsi="华文楷体" w:hint="eastAsia"/>
          <w:b w:val="0"/>
          <w:color w:val="auto"/>
          <w:sz w:val="24"/>
          <w:szCs w:val="24"/>
        </w:rPr>
        <w:t>城投债的</w:t>
      </w:r>
      <w:proofErr w:type="gramEnd"/>
      <w:r w:rsidRPr="003E4A57">
        <w:rPr>
          <w:rFonts w:ascii="华文楷体" w:hAnsi="华文楷体" w:hint="eastAsia"/>
          <w:b w:val="0"/>
          <w:color w:val="auto"/>
          <w:sz w:val="24"/>
          <w:szCs w:val="24"/>
        </w:rPr>
        <w:t>机会。</w:t>
      </w:r>
    </w:p>
    <w:p w14:paraId="663F1B3B" w14:textId="377505BD" w:rsidR="00B76849" w:rsidRPr="003E4A57" w:rsidRDefault="00B76849" w:rsidP="00B76849">
      <w:pPr>
        <w:pStyle w:val="Header1"/>
        <w:spacing w:before="240"/>
        <w:ind w:firstLineChars="200" w:firstLine="480"/>
        <w:rPr>
          <w:rFonts w:ascii="华文楷体" w:hAnsi="华文楷体"/>
          <w:b w:val="0"/>
          <w:bCs/>
          <w:color w:val="auto"/>
          <w:sz w:val="24"/>
          <w:szCs w:val="24"/>
        </w:rPr>
      </w:pPr>
      <w:r w:rsidRPr="001045D2">
        <w:rPr>
          <w:rFonts w:ascii="华文楷体" w:hAnsi="华文楷体" w:hint="eastAsia"/>
          <w:bCs/>
          <w:sz w:val="24"/>
          <w:szCs w:val="24"/>
        </w:rPr>
        <w:t>可转债：</w:t>
      </w:r>
      <w:r w:rsidRPr="003E4A57">
        <w:rPr>
          <w:rFonts w:ascii="华文楷体" w:hAnsi="华文楷体" w:hint="eastAsia"/>
          <w:b w:val="0"/>
          <w:bCs/>
          <w:color w:val="auto"/>
          <w:sz w:val="24"/>
          <w:szCs w:val="24"/>
        </w:rPr>
        <w:t>流动性环境对权益市场仍较友好，但企业整体盈利压力逐步显现。</w:t>
      </w:r>
      <w:r w:rsidR="008F10E7">
        <w:rPr>
          <w:rFonts w:ascii="华文楷体" w:hAnsi="华文楷体" w:hint="eastAsia"/>
          <w:b w:val="0"/>
          <w:bCs/>
          <w:color w:val="auto"/>
          <w:sz w:val="24"/>
          <w:szCs w:val="24"/>
        </w:rPr>
        <w:t>看好</w:t>
      </w:r>
      <w:r w:rsidRPr="003E4A57">
        <w:rPr>
          <w:rFonts w:ascii="华文楷体" w:hAnsi="华文楷体" w:hint="eastAsia"/>
          <w:b w:val="0"/>
          <w:bCs/>
          <w:color w:val="auto"/>
          <w:sz w:val="24"/>
          <w:szCs w:val="24"/>
        </w:rPr>
        <w:t>可转债中成长性较强、符合长期产业政策引导方向的新能源汽车、碳中和、</w:t>
      </w:r>
      <w:proofErr w:type="gramStart"/>
      <w:r w:rsidRPr="003E4A57">
        <w:rPr>
          <w:rFonts w:ascii="华文楷体" w:hAnsi="华文楷体" w:hint="eastAsia"/>
          <w:b w:val="0"/>
          <w:bCs/>
          <w:color w:val="auto"/>
          <w:sz w:val="24"/>
          <w:szCs w:val="24"/>
        </w:rPr>
        <w:t>硬科技</w:t>
      </w:r>
      <w:proofErr w:type="gramEnd"/>
      <w:r w:rsidRPr="003E4A57">
        <w:rPr>
          <w:rFonts w:ascii="华文楷体" w:hAnsi="华文楷体" w:hint="eastAsia"/>
          <w:b w:val="0"/>
          <w:bCs/>
          <w:color w:val="auto"/>
          <w:sz w:val="24"/>
          <w:szCs w:val="24"/>
        </w:rPr>
        <w:t>及专精特新。鉴于热门赛道的高估值和拥挤交易，整体</w:t>
      </w:r>
      <w:proofErr w:type="gramStart"/>
      <w:r w:rsidRPr="003E4A57">
        <w:rPr>
          <w:rFonts w:ascii="华文楷体" w:hAnsi="华文楷体" w:hint="eastAsia"/>
          <w:b w:val="0"/>
          <w:bCs/>
          <w:color w:val="auto"/>
          <w:sz w:val="24"/>
          <w:szCs w:val="24"/>
        </w:rPr>
        <w:t>仓位</w:t>
      </w:r>
      <w:proofErr w:type="gramEnd"/>
      <w:r w:rsidRPr="003E4A57">
        <w:rPr>
          <w:rFonts w:ascii="华文楷体" w:hAnsi="华文楷体" w:hint="eastAsia"/>
          <w:b w:val="0"/>
          <w:bCs/>
          <w:color w:val="auto"/>
          <w:sz w:val="24"/>
          <w:szCs w:val="24"/>
        </w:rPr>
        <w:t>仍需趋于谨慎，重点挖掘结构性机会。结构上继续推荐以下三条主线：一是稳定型与低价高性价比转债，防御</w:t>
      </w:r>
      <w:r w:rsidR="008F10E7">
        <w:rPr>
          <w:rFonts w:ascii="华文楷体" w:hAnsi="华文楷体" w:hint="eastAsia"/>
          <w:b w:val="0"/>
          <w:bCs/>
          <w:color w:val="auto"/>
          <w:sz w:val="24"/>
          <w:szCs w:val="24"/>
        </w:rPr>
        <w:t>性</w:t>
      </w:r>
      <w:r w:rsidRPr="003E4A57">
        <w:rPr>
          <w:rFonts w:ascii="华文楷体" w:hAnsi="华文楷体" w:hint="eastAsia"/>
          <w:b w:val="0"/>
          <w:bCs/>
          <w:color w:val="auto"/>
          <w:sz w:val="24"/>
          <w:szCs w:val="24"/>
        </w:rPr>
        <w:t>较好，在市场整体估值高位下具备底仓配置价值；二是在中游制造板块中寻找细分景气度不错、行业格局好、PEG估值性价比较高的中小市值隐形冠军；三是景气度持续提升的</w:t>
      </w:r>
      <w:r>
        <w:rPr>
          <w:rFonts w:ascii="华文楷体" w:hAnsi="华文楷体" w:hint="eastAsia"/>
          <w:b w:val="0"/>
          <w:bCs/>
          <w:color w:val="auto"/>
          <w:sz w:val="24"/>
          <w:szCs w:val="24"/>
        </w:rPr>
        <w:t>半导体、光伏、锂</w:t>
      </w:r>
      <w:proofErr w:type="gramStart"/>
      <w:r>
        <w:rPr>
          <w:rFonts w:ascii="华文楷体" w:hAnsi="华文楷体" w:hint="eastAsia"/>
          <w:b w:val="0"/>
          <w:bCs/>
          <w:color w:val="auto"/>
          <w:sz w:val="24"/>
          <w:szCs w:val="24"/>
        </w:rPr>
        <w:t>电</w:t>
      </w:r>
      <w:r w:rsidRPr="003E4A57">
        <w:rPr>
          <w:rFonts w:ascii="华文楷体" w:hAnsi="华文楷体" w:hint="eastAsia"/>
          <w:b w:val="0"/>
          <w:bCs/>
          <w:color w:val="auto"/>
          <w:sz w:val="24"/>
          <w:szCs w:val="24"/>
        </w:rPr>
        <w:t>成长</w:t>
      </w:r>
      <w:proofErr w:type="gramEnd"/>
      <w:r w:rsidRPr="003E4A57">
        <w:rPr>
          <w:rFonts w:ascii="华文楷体" w:hAnsi="华文楷体" w:hint="eastAsia"/>
          <w:b w:val="0"/>
          <w:bCs/>
          <w:color w:val="auto"/>
          <w:sz w:val="24"/>
          <w:szCs w:val="24"/>
        </w:rPr>
        <w:t>板块转债，</w:t>
      </w:r>
      <w:r>
        <w:rPr>
          <w:rFonts w:ascii="华文楷体" w:hAnsi="华文楷体" w:hint="eastAsia"/>
          <w:b w:val="0"/>
          <w:bCs/>
          <w:color w:val="auto"/>
          <w:sz w:val="24"/>
          <w:szCs w:val="24"/>
        </w:rPr>
        <w:t>短期调整叠加盈利释放后</w:t>
      </w:r>
      <w:r w:rsidRPr="003E4A57">
        <w:rPr>
          <w:rFonts w:ascii="华文楷体" w:hAnsi="华文楷体" w:hint="eastAsia"/>
          <w:b w:val="0"/>
          <w:bCs/>
          <w:color w:val="auto"/>
          <w:sz w:val="24"/>
          <w:szCs w:val="24"/>
        </w:rPr>
        <w:t>，</w:t>
      </w:r>
      <w:r>
        <w:rPr>
          <w:rFonts w:ascii="华文楷体" w:hAnsi="华文楷体" w:hint="eastAsia"/>
          <w:b w:val="0"/>
          <w:bCs/>
          <w:color w:val="auto"/>
          <w:sz w:val="24"/>
          <w:szCs w:val="24"/>
        </w:rPr>
        <w:t>估值吸引力有所提升，</w:t>
      </w:r>
      <w:r w:rsidRPr="003E4A57">
        <w:rPr>
          <w:rFonts w:ascii="华文楷体" w:hAnsi="华文楷体" w:hint="eastAsia"/>
          <w:b w:val="0"/>
          <w:bCs/>
          <w:color w:val="auto"/>
          <w:sz w:val="24"/>
          <w:szCs w:val="24"/>
        </w:rPr>
        <w:t>仍</w:t>
      </w:r>
      <w:r>
        <w:rPr>
          <w:rFonts w:ascii="华文楷体" w:hAnsi="华文楷体" w:hint="eastAsia"/>
          <w:b w:val="0"/>
          <w:bCs/>
          <w:color w:val="auto"/>
          <w:sz w:val="24"/>
          <w:szCs w:val="24"/>
        </w:rPr>
        <w:t>具备中长期</w:t>
      </w:r>
      <w:r w:rsidRPr="003E4A57">
        <w:rPr>
          <w:rFonts w:ascii="华文楷体" w:hAnsi="华文楷体" w:hint="eastAsia"/>
          <w:b w:val="0"/>
          <w:bCs/>
          <w:color w:val="auto"/>
          <w:sz w:val="24"/>
          <w:szCs w:val="24"/>
        </w:rPr>
        <w:t>配置</w:t>
      </w:r>
      <w:r>
        <w:rPr>
          <w:rFonts w:ascii="华文楷体" w:hAnsi="华文楷体" w:hint="eastAsia"/>
          <w:b w:val="0"/>
          <w:bCs/>
          <w:color w:val="auto"/>
          <w:sz w:val="24"/>
          <w:szCs w:val="24"/>
        </w:rPr>
        <w:t>价值</w:t>
      </w:r>
      <w:r w:rsidRPr="003E4A57">
        <w:rPr>
          <w:rFonts w:ascii="华文楷体" w:hAnsi="华文楷体" w:hint="eastAsia"/>
          <w:b w:val="0"/>
          <w:bCs/>
          <w:color w:val="auto"/>
          <w:sz w:val="24"/>
          <w:szCs w:val="24"/>
        </w:rPr>
        <w:t>。</w:t>
      </w:r>
    </w:p>
    <w:p w14:paraId="799B0B13" w14:textId="6249F2D1" w:rsidR="00F3595A" w:rsidRPr="00B76849" w:rsidRDefault="00B76849" w:rsidP="00F3595A">
      <w:pPr>
        <w:pStyle w:val="Header1"/>
        <w:spacing w:before="240"/>
        <w:ind w:firstLineChars="200" w:firstLine="480"/>
        <w:rPr>
          <w:rFonts w:ascii="华文楷体" w:hAnsi="华文楷体"/>
          <w:b w:val="0"/>
          <w:color w:val="auto"/>
          <w:sz w:val="24"/>
          <w:szCs w:val="24"/>
        </w:rPr>
      </w:pPr>
      <w:r w:rsidRPr="00B76849">
        <w:rPr>
          <w:rFonts w:ascii="华文楷体" w:hAnsi="华文楷体" w:hint="eastAsia"/>
          <w:bCs/>
          <w:sz w:val="24"/>
          <w:szCs w:val="24"/>
        </w:rPr>
        <w:t>下周关注：</w:t>
      </w:r>
      <w:r w:rsidR="008D1D18" w:rsidRPr="008D1D18">
        <w:rPr>
          <w:rFonts w:ascii="华文楷体" w:hAnsi="华文楷体" w:hint="eastAsia"/>
          <w:b w:val="0"/>
          <w:color w:val="auto"/>
          <w:sz w:val="24"/>
          <w:szCs w:val="24"/>
        </w:rPr>
        <w:t>国内疫情扩散风险、央行公开市场操作、8月规模以上工业企业利润（周二）、9月制造业PMI（周四）、美国8月核心PCE物价指数（周五）</w:t>
      </w:r>
    </w:p>
    <w:p w14:paraId="5F84F6C0" w14:textId="4C04C8BE" w:rsidR="00213121" w:rsidRDefault="00213121" w:rsidP="00B76849">
      <w:pPr>
        <w:pStyle w:val="Header1"/>
        <w:spacing w:before="240"/>
        <w:ind w:firstLineChars="200" w:firstLine="482"/>
        <w:rPr>
          <w:rFonts w:ascii="黑体" w:eastAsia="黑体" w:hint="eastAsia"/>
          <w:sz w:val="24"/>
          <w:szCs w:val="24"/>
        </w:rPr>
      </w:pPr>
      <w:r>
        <w:rPr>
          <w:rFonts w:ascii="黑体" w:eastAsia="黑体"/>
          <w:sz w:val="24"/>
          <w:szCs w:val="24"/>
        </w:rPr>
        <w:br w:type="page"/>
      </w:r>
      <w:bookmarkStart w:id="0" w:name="_GoBack"/>
      <w:bookmarkEnd w:id="0"/>
    </w:p>
    <w:p w14:paraId="3DB9657F" w14:textId="5F8292B1" w:rsidR="008F10E7" w:rsidRPr="008F10E7" w:rsidRDefault="008F10E7" w:rsidP="008F10E7">
      <w:pPr>
        <w:pStyle w:val="Header1"/>
        <w:spacing w:before="240"/>
        <w:ind w:firstLineChars="200" w:firstLine="480"/>
        <w:rPr>
          <w:rFonts w:ascii="华文楷体" w:hAnsi="华文楷体"/>
          <w:b w:val="0"/>
          <w:bCs/>
          <w:color w:val="auto"/>
          <w:sz w:val="24"/>
          <w:szCs w:val="24"/>
        </w:rPr>
      </w:pPr>
      <w:r w:rsidRPr="008F10E7">
        <w:rPr>
          <w:rFonts w:ascii="华文楷体" w:hAnsi="华文楷体" w:hint="eastAsia"/>
          <w:b w:val="0"/>
          <w:bCs/>
          <w:color w:val="auto"/>
          <w:sz w:val="24"/>
          <w:szCs w:val="24"/>
        </w:rPr>
        <w:lastRenderedPageBreak/>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8F10E7">
        <w:rPr>
          <w:rFonts w:ascii="华文楷体" w:hAnsi="华文楷体" w:hint="eastAsia"/>
          <w:b w:val="0"/>
          <w:bCs/>
          <w:color w:val="auto"/>
          <w:sz w:val="24"/>
          <w:szCs w:val="24"/>
        </w:rPr>
        <w:t>作出</w:t>
      </w:r>
      <w:proofErr w:type="gramEnd"/>
      <w:r w:rsidRPr="008F10E7">
        <w:rPr>
          <w:rFonts w:ascii="华文楷体" w:hAnsi="华文楷体" w:hint="eastAsia"/>
          <w:b w:val="0"/>
          <w:bCs/>
          <w:color w:val="auto"/>
          <w:sz w:val="24"/>
          <w:szCs w:val="24"/>
        </w:rPr>
        <w:t>调整。2、本报告中的资料、观点和预测等仅供参考，在任何时候均不构成对任何人的个人推荐。市场有风险，投资需谨慎。</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p>
    <w:sectPr w:rsidR="001170AF" w:rsidRPr="001A1299" w:rsidSect="00AB78C4">
      <w:headerReference w:type="default" r:id="rId16"/>
      <w:footerReference w:type="default" r:id="rId17"/>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FF46" w14:textId="77777777" w:rsidR="00CE1939" w:rsidRDefault="00CE1939">
      <w:r>
        <w:separator/>
      </w:r>
    </w:p>
  </w:endnote>
  <w:endnote w:type="continuationSeparator" w:id="0">
    <w:p w14:paraId="08149FB6" w14:textId="77777777" w:rsidR="00CE1939" w:rsidRDefault="00CE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Arial Unicode MS"/>
    <w:charset w:val="86"/>
    <w:family w:val="modern"/>
    <w:pitch w:val="fixed"/>
    <w:sig w:usb0="00000000"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F46081" w:rsidRDefault="00F46081">
        <w:pPr>
          <w:pStyle w:val="a4"/>
          <w:jc w:val="right"/>
        </w:pPr>
        <w:r>
          <w:fldChar w:fldCharType="begin"/>
        </w:r>
        <w:r>
          <w:instrText>PAGE   \* MERGEFORMAT</w:instrText>
        </w:r>
        <w:r>
          <w:fldChar w:fldCharType="separate"/>
        </w:r>
        <w:r w:rsidR="008F10E7" w:rsidRPr="008F10E7">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04ED8" w14:textId="77777777" w:rsidR="00CE1939" w:rsidRDefault="00CE1939">
      <w:r>
        <w:separator/>
      </w:r>
    </w:p>
  </w:footnote>
  <w:footnote w:type="continuationSeparator" w:id="0">
    <w:p w14:paraId="459F12EB" w14:textId="77777777" w:rsidR="00CE1939" w:rsidRDefault="00CE1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F46081" w:rsidRDefault="00F46081"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E9E65D6"/>
    <w:multiLevelType w:val="multilevel"/>
    <w:tmpl w:val="39B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21DC7"/>
    <w:multiLevelType w:val="hybridMultilevel"/>
    <w:tmpl w:val="5914BAAE"/>
    <w:lvl w:ilvl="0" w:tplc="F95A8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11">
    <w:nsid w:val="273729AD"/>
    <w:multiLevelType w:val="multilevel"/>
    <w:tmpl w:val="2A4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A426257"/>
    <w:multiLevelType w:val="hybridMultilevel"/>
    <w:tmpl w:val="04AED6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5">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6">
    <w:nsid w:val="39E00319"/>
    <w:multiLevelType w:val="multilevel"/>
    <w:tmpl w:val="278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7513A"/>
    <w:multiLevelType w:val="multilevel"/>
    <w:tmpl w:val="D40C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9">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20">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22">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23">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6">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8">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6"/>
  </w:num>
  <w:num w:numId="7">
    <w:abstractNumId w:val="18"/>
  </w:num>
  <w:num w:numId="8">
    <w:abstractNumId w:val="15"/>
  </w:num>
  <w:num w:numId="9">
    <w:abstractNumId w:val="6"/>
  </w:num>
  <w:num w:numId="10">
    <w:abstractNumId w:val="21"/>
  </w:num>
  <w:num w:numId="11">
    <w:abstractNumId w:val="25"/>
  </w:num>
  <w:num w:numId="12">
    <w:abstractNumId w:val="19"/>
  </w:num>
  <w:num w:numId="13">
    <w:abstractNumId w:val="27"/>
  </w:num>
  <w:num w:numId="14">
    <w:abstractNumId w:val="28"/>
  </w:num>
  <w:num w:numId="15">
    <w:abstractNumId w:val="22"/>
  </w:num>
  <w:num w:numId="16">
    <w:abstractNumId w:val="14"/>
  </w:num>
  <w:num w:numId="17">
    <w:abstractNumId w:val="10"/>
  </w:num>
  <w:num w:numId="18">
    <w:abstractNumId w:val="24"/>
  </w:num>
  <w:num w:numId="19">
    <w:abstractNumId w:val="12"/>
  </w:num>
  <w:num w:numId="20">
    <w:abstractNumId w:val="23"/>
  </w:num>
  <w:num w:numId="21">
    <w:abstractNumId w:val="7"/>
  </w:num>
  <w:num w:numId="22">
    <w:abstractNumId w:val="20"/>
  </w:num>
  <w:num w:numId="23">
    <w:abstractNumId w:val="5"/>
  </w:num>
  <w:num w:numId="24">
    <w:abstractNumId w:val="13"/>
  </w:num>
  <w:num w:numId="25">
    <w:abstractNumId w:val="9"/>
  </w:num>
  <w:num w:numId="26">
    <w:abstractNumId w:val="17"/>
  </w:num>
  <w:num w:numId="27">
    <w:abstractNumId w:val="11"/>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85D"/>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43B"/>
    <w:rsid w:val="00007A5A"/>
    <w:rsid w:val="00007F30"/>
    <w:rsid w:val="000105FB"/>
    <w:rsid w:val="00010654"/>
    <w:rsid w:val="000106E3"/>
    <w:rsid w:val="00010B19"/>
    <w:rsid w:val="00010DAA"/>
    <w:rsid w:val="000119EF"/>
    <w:rsid w:val="00011C5F"/>
    <w:rsid w:val="000128CB"/>
    <w:rsid w:val="00012A25"/>
    <w:rsid w:val="00012CA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BE5"/>
    <w:rsid w:val="00016C6A"/>
    <w:rsid w:val="00017B9C"/>
    <w:rsid w:val="0002033F"/>
    <w:rsid w:val="0002051A"/>
    <w:rsid w:val="00020970"/>
    <w:rsid w:val="00020BBA"/>
    <w:rsid w:val="00020F7F"/>
    <w:rsid w:val="000219C9"/>
    <w:rsid w:val="00021B34"/>
    <w:rsid w:val="00021C85"/>
    <w:rsid w:val="000226CA"/>
    <w:rsid w:val="00022DD3"/>
    <w:rsid w:val="0002319C"/>
    <w:rsid w:val="000232BB"/>
    <w:rsid w:val="00023531"/>
    <w:rsid w:val="00023C51"/>
    <w:rsid w:val="00023D9D"/>
    <w:rsid w:val="00023E14"/>
    <w:rsid w:val="0002431B"/>
    <w:rsid w:val="00025073"/>
    <w:rsid w:val="00025B9D"/>
    <w:rsid w:val="00025F12"/>
    <w:rsid w:val="00026193"/>
    <w:rsid w:val="00026E14"/>
    <w:rsid w:val="000270FF"/>
    <w:rsid w:val="000274EB"/>
    <w:rsid w:val="000275C9"/>
    <w:rsid w:val="0002765B"/>
    <w:rsid w:val="00027744"/>
    <w:rsid w:val="0002780B"/>
    <w:rsid w:val="00027AAB"/>
    <w:rsid w:val="00027E39"/>
    <w:rsid w:val="0003065D"/>
    <w:rsid w:val="00030711"/>
    <w:rsid w:val="00030B46"/>
    <w:rsid w:val="00030E2D"/>
    <w:rsid w:val="00030E7C"/>
    <w:rsid w:val="000312AB"/>
    <w:rsid w:val="00031A0F"/>
    <w:rsid w:val="00032A5F"/>
    <w:rsid w:val="00032A68"/>
    <w:rsid w:val="00032ABF"/>
    <w:rsid w:val="000331EC"/>
    <w:rsid w:val="0003324E"/>
    <w:rsid w:val="000332AD"/>
    <w:rsid w:val="00033828"/>
    <w:rsid w:val="00034037"/>
    <w:rsid w:val="00034E64"/>
    <w:rsid w:val="0003520F"/>
    <w:rsid w:val="0003530E"/>
    <w:rsid w:val="00035CC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6C46"/>
    <w:rsid w:val="00047219"/>
    <w:rsid w:val="000472E5"/>
    <w:rsid w:val="00047BC0"/>
    <w:rsid w:val="00047BF1"/>
    <w:rsid w:val="00047E2A"/>
    <w:rsid w:val="00047FA6"/>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4C9"/>
    <w:rsid w:val="00054893"/>
    <w:rsid w:val="00054AE0"/>
    <w:rsid w:val="00054AFD"/>
    <w:rsid w:val="00054E2A"/>
    <w:rsid w:val="0005504F"/>
    <w:rsid w:val="000550B2"/>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0F1B"/>
    <w:rsid w:val="000617BF"/>
    <w:rsid w:val="00061869"/>
    <w:rsid w:val="000618ED"/>
    <w:rsid w:val="00061C3C"/>
    <w:rsid w:val="00061D9E"/>
    <w:rsid w:val="000620E2"/>
    <w:rsid w:val="0006250F"/>
    <w:rsid w:val="00062981"/>
    <w:rsid w:val="000629A2"/>
    <w:rsid w:val="00062E89"/>
    <w:rsid w:val="0006364B"/>
    <w:rsid w:val="00063EF1"/>
    <w:rsid w:val="00064007"/>
    <w:rsid w:val="000643F4"/>
    <w:rsid w:val="0006472D"/>
    <w:rsid w:val="00064C5C"/>
    <w:rsid w:val="00064DDC"/>
    <w:rsid w:val="00065754"/>
    <w:rsid w:val="00065B19"/>
    <w:rsid w:val="0006662C"/>
    <w:rsid w:val="0006679B"/>
    <w:rsid w:val="00066A4B"/>
    <w:rsid w:val="00066B90"/>
    <w:rsid w:val="00066C46"/>
    <w:rsid w:val="00066F10"/>
    <w:rsid w:val="00067714"/>
    <w:rsid w:val="00067963"/>
    <w:rsid w:val="00067A49"/>
    <w:rsid w:val="000701D0"/>
    <w:rsid w:val="00070606"/>
    <w:rsid w:val="0007088A"/>
    <w:rsid w:val="00070A5D"/>
    <w:rsid w:val="0007166F"/>
    <w:rsid w:val="000719CA"/>
    <w:rsid w:val="0007212E"/>
    <w:rsid w:val="000722B7"/>
    <w:rsid w:val="00072410"/>
    <w:rsid w:val="0007254B"/>
    <w:rsid w:val="00073F36"/>
    <w:rsid w:val="00075608"/>
    <w:rsid w:val="00075EC6"/>
    <w:rsid w:val="000760C6"/>
    <w:rsid w:val="0007614B"/>
    <w:rsid w:val="0007685C"/>
    <w:rsid w:val="000771ED"/>
    <w:rsid w:val="000772BD"/>
    <w:rsid w:val="00077790"/>
    <w:rsid w:val="0007794F"/>
    <w:rsid w:val="00077B1B"/>
    <w:rsid w:val="00080318"/>
    <w:rsid w:val="000807AE"/>
    <w:rsid w:val="00080D49"/>
    <w:rsid w:val="00080D8B"/>
    <w:rsid w:val="0008119E"/>
    <w:rsid w:val="000815F6"/>
    <w:rsid w:val="00081E60"/>
    <w:rsid w:val="00082044"/>
    <w:rsid w:val="00082CE4"/>
    <w:rsid w:val="00083341"/>
    <w:rsid w:val="00083392"/>
    <w:rsid w:val="00083A35"/>
    <w:rsid w:val="00083B64"/>
    <w:rsid w:val="00083E1C"/>
    <w:rsid w:val="00084085"/>
    <w:rsid w:val="000840CD"/>
    <w:rsid w:val="00084848"/>
    <w:rsid w:val="00084873"/>
    <w:rsid w:val="0008490D"/>
    <w:rsid w:val="000853E5"/>
    <w:rsid w:val="00085AC0"/>
    <w:rsid w:val="00085CBE"/>
    <w:rsid w:val="0008649A"/>
    <w:rsid w:val="000869DB"/>
    <w:rsid w:val="00086E6D"/>
    <w:rsid w:val="00086E99"/>
    <w:rsid w:val="00087119"/>
    <w:rsid w:val="0008719E"/>
    <w:rsid w:val="000875B7"/>
    <w:rsid w:val="00087DC6"/>
    <w:rsid w:val="00087E90"/>
    <w:rsid w:val="00090261"/>
    <w:rsid w:val="000907BC"/>
    <w:rsid w:val="0009124F"/>
    <w:rsid w:val="00091402"/>
    <w:rsid w:val="00091559"/>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AFC"/>
    <w:rsid w:val="00095B18"/>
    <w:rsid w:val="000962C2"/>
    <w:rsid w:val="00096648"/>
    <w:rsid w:val="000967FE"/>
    <w:rsid w:val="00096C99"/>
    <w:rsid w:val="0009703A"/>
    <w:rsid w:val="00097104"/>
    <w:rsid w:val="0009729E"/>
    <w:rsid w:val="0009756E"/>
    <w:rsid w:val="00097712"/>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783"/>
    <w:rsid w:val="000A4BF8"/>
    <w:rsid w:val="000A51BC"/>
    <w:rsid w:val="000A58A7"/>
    <w:rsid w:val="000A5D4F"/>
    <w:rsid w:val="000A64B9"/>
    <w:rsid w:val="000A6B05"/>
    <w:rsid w:val="000A6DE0"/>
    <w:rsid w:val="000A71BF"/>
    <w:rsid w:val="000A74E1"/>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0E4A"/>
    <w:rsid w:val="000C11F7"/>
    <w:rsid w:val="000C183E"/>
    <w:rsid w:val="000C1B8F"/>
    <w:rsid w:val="000C2B22"/>
    <w:rsid w:val="000C31D8"/>
    <w:rsid w:val="000C3787"/>
    <w:rsid w:val="000C39FF"/>
    <w:rsid w:val="000C3DC4"/>
    <w:rsid w:val="000C449C"/>
    <w:rsid w:val="000C48A2"/>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1AE6"/>
    <w:rsid w:val="000D1B79"/>
    <w:rsid w:val="000D20CB"/>
    <w:rsid w:val="000D2ABF"/>
    <w:rsid w:val="000D2ACF"/>
    <w:rsid w:val="000D3239"/>
    <w:rsid w:val="000D39B6"/>
    <w:rsid w:val="000D476C"/>
    <w:rsid w:val="000D4D45"/>
    <w:rsid w:val="000D4F30"/>
    <w:rsid w:val="000D5319"/>
    <w:rsid w:val="000D5735"/>
    <w:rsid w:val="000D5A58"/>
    <w:rsid w:val="000D6268"/>
    <w:rsid w:val="000D6289"/>
    <w:rsid w:val="000D6D98"/>
    <w:rsid w:val="000D7167"/>
    <w:rsid w:val="000D7AE6"/>
    <w:rsid w:val="000D7AF4"/>
    <w:rsid w:val="000E0C96"/>
    <w:rsid w:val="000E0E2A"/>
    <w:rsid w:val="000E0E59"/>
    <w:rsid w:val="000E131B"/>
    <w:rsid w:val="000E1BF0"/>
    <w:rsid w:val="000E2002"/>
    <w:rsid w:val="000E2496"/>
    <w:rsid w:val="000E25F5"/>
    <w:rsid w:val="000E2962"/>
    <w:rsid w:val="000E2A9F"/>
    <w:rsid w:val="000E2AF3"/>
    <w:rsid w:val="000E3119"/>
    <w:rsid w:val="000E3145"/>
    <w:rsid w:val="000E322E"/>
    <w:rsid w:val="000E39A6"/>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64E3"/>
    <w:rsid w:val="000E7157"/>
    <w:rsid w:val="000E7483"/>
    <w:rsid w:val="000E7583"/>
    <w:rsid w:val="000E79B7"/>
    <w:rsid w:val="000F0182"/>
    <w:rsid w:val="000F0675"/>
    <w:rsid w:val="000F06A6"/>
    <w:rsid w:val="000F0944"/>
    <w:rsid w:val="000F13DC"/>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1F9D"/>
    <w:rsid w:val="001021F0"/>
    <w:rsid w:val="00102909"/>
    <w:rsid w:val="00102B5E"/>
    <w:rsid w:val="00102BB3"/>
    <w:rsid w:val="00102EDA"/>
    <w:rsid w:val="001032B0"/>
    <w:rsid w:val="0010359C"/>
    <w:rsid w:val="00103934"/>
    <w:rsid w:val="00103F06"/>
    <w:rsid w:val="001045D2"/>
    <w:rsid w:val="001046A3"/>
    <w:rsid w:val="0010475E"/>
    <w:rsid w:val="00104DA0"/>
    <w:rsid w:val="00105570"/>
    <w:rsid w:val="00105EE6"/>
    <w:rsid w:val="00106571"/>
    <w:rsid w:val="00106EE1"/>
    <w:rsid w:val="001072C7"/>
    <w:rsid w:val="001072EB"/>
    <w:rsid w:val="001076D5"/>
    <w:rsid w:val="0010794B"/>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447"/>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9D9"/>
    <w:rsid w:val="00126A2D"/>
    <w:rsid w:val="00126DBF"/>
    <w:rsid w:val="001271C1"/>
    <w:rsid w:val="00127808"/>
    <w:rsid w:val="00127AE1"/>
    <w:rsid w:val="00127E16"/>
    <w:rsid w:val="00127E8D"/>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4AF9"/>
    <w:rsid w:val="0014500B"/>
    <w:rsid w:val="001453E3"/>
    <w:rsid w:val="00145481"/>
    <w:rsid w:val="001457CA"/>
    <w:rsid w:val="001458E5"/>
    <w:rsid w:val="00146098"/>
    <w:rsid w:val="001461DD"/>
    <w:rsid w:val="0014665B"/>
    <w:rsid w:val="001469A9"/>
    <w:rsid w:val="001472D4"/>
    <w:rsid w:val="00147336"/>
    <w:rsid w:val="001473F4"/>
    <w:rsid w:val="00147557"/>
    <w:rsid w:val="00147C93"/>
    <w:rsid w:val="00150CF6"/>
    <w:rsid w:val="00150DE7"/>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1BE"/>
    <w:rsid w:val="001541EE"/>
    <w:rsid w:val="0015463A"/>
    <w:rsid w:val="00154762"/>
    <w:rsid w:val="00154E1C"/>
    <w:rsid w:val="00155063"/>
    <w:rsid w:val="001551BD"/>
    <w:rsid w:val="001551C9"/>
    <w:rsid w:val="00155427"/>
    <w:rsid w:val="001556C9"/>
    <w:rsid w:val="00155C96"/>
    <w:rsid w:val="00155CBE"/>
    <w:rsid w:val="00155D06"/>
    <w:rsid w:val="00156190"/>
    <w:rsid w:val="0015634E"/>
    <w:rsid w:val="00156410"/>
    <w:rsid w:val="00156515"/>
    <w:rsid w:val="00156AF4"/>
    <w:rsid w:val="00156B73"/>
    <w:rsid w:val="0015798B"/>
    <w:rsid w:val="00157A31"/>
    <w:rsid w:val="00157AEE"/>
    <w:rsid w:val="00157B30"/>
    <w:rsid w:val="001602AE"/>
    <w:rsid w:val="00160370"/>
    <w:rsid w:val="0016096D"/>
    <w:rsid w:val="0016107A"/>
    <w:rsid w:val="001611C1"/>
    <w:rsid w:val="0016142C"/>
    <w:rsid w:val="0016155D"/>
    <w:rsid w:val="00161568"/>
    <w:rsid w:val="00161909"/>
    <w:rsid w:val="00161984"/>
    <w:rsid w:val="00161D5D"/>
    <w:rsid w:val="0016251D"/>
    <w:rsid w:val="00162910"/>
    <w:rsid w:val="001629D2"/>
    <w:rsid w:val="00162C39"/>
    <w:rsid w:val="0016431D"/>
    <w:rsid w:val="001644C8"/>
    <w:rsid w:val="0016453E"/>
    <w:rsid w:val="001647E6"/>
    <w:rsid w:val="00166825"/>
    <w:rsid w:val="001668A4"/>
    <w:rsid w:val="00166EF2"/>
    <w:rsid w:val="00167137"/>
    <w:rsid w:val="00167E3A"/>
    <w:rsid w:val="00167EF4"/>
    <w:rsid w:val="00170521"/>
    <w:rsid w:val="00170F26"/>
    <w:rsid w:val="001715B3"/>
    <w:rsid w:val="00171997"/>
    <w:rsid w:val="0017214C"/>
    <w:rsid w:val="0017231C"/>
    <w:rsid w:val="0017232C"/>
    <w:rsid w:val="001723BD"/>
    <w:rsid w:val="001724C7"/>
    <w:rsid w:val="001725E0"/>
    <w:rsid w:val="0017270C"/>
    <w:rsid w:val="00172A27"/>
    <w:rsid w:val="00173BBF"/>
    <w:rsid w:val="001741DB"/>
    <w:rsid w:val="00174443"/>
    <w:rsid w:val="001746BF"/>
    <w:rsid w:val="0017514E"/>
    <w:rsid w:val="001754D1"/>
    <w:rsid w:val="00175927"/>
    <w:rsid w:val="00175DB7"/>
    <w:rsid w:val="001763F2"/>
    <w:rsid w:val="00176428"/>
    <w:rsid w:val="00176585"/>
    <w:rsid w:val="00176815"/>
    <w:rsid w:val="0017689A"/>
    <w:rsid w:val="00176B4A"/>
    <w:rsid w:val="00176FCB"/>
    <w:rsid w:val="00177075"/>
    <w:rsid w:val="00177B50"/>
    <w:rsid w:val="00180451"/>
    <w:rsid w:val="001811C5"/>
    <w:rsid w:val="001814D0"/>
    <w:rsid w:val="00181C6F"/>
    <w:rsid w:val="00181E75"/>
    <w:rsid w:val="00181FB3"/>
    <w:rsid w:val="00182924"/>
    <w:rsid w:val="00182A28"/>
    <w:rsid w:val="00182C74"/>
    <w:rsid w:val="00183657"/>
    <w:rsid w:val="0018385C"/>
    <w:rsid w:val="00183F22"/>
    <w:rsid w:val="00184B95"/>
    <w:rsid w:val="001851D4"/>
    <w:rsid w:val="00185778"/>
    <w:rsid w:val="001858A9"/>
    <w:rsid w:val="00185EBC"/>
    <w:rsid w:val="00186335"/>
    <w:rsid w:val="001864F2"/>
    <w:rsid w:val="001865E2"/>
    <w:rsid w:val="00187188"/>
    <w:rsid w:val="0018722E"/>
    <w:rsid w:val="001901C5"/>
    <w:rsid w:val="0019031C"/>
    <w:rsid w:val="001909FD"/>
    <w:rsid w:val="00191121"/>
    <w:rsid w:val="00191347"/>
    <w:rsid w:val="001917D7"/>
    <w:rsid w:val="001919E4"/>
    <w:rsid w:val="00191D54"/>
    <w:rsid w:val="00192B5D"/>
    <w:rsid w:val="0019318B"/>
    <w:rsid w:val="00193F49"/>
    <w:rsid w:val="001945D2"/>
    <w:rsid w:val="001947A8"/>
    <w:rsid w:val="001948F6"/>
    <w:rsid w:val="00194F80"/>
    <w:rsid w:val="00195012"/>
    <w:rsid w:val="001952E5"/>
    <w:rsid w:val="001954E8"/>
    <w:rsid w:val="00195544"/>
    <w:rsid w:val="001959A4"/>
    <w:rsid w:val="001967C0"/>
    <w:rsid w:val="001969E7"/>
    <w:rsid w:val="00196ABA"/>
    <w:rsid w:val="00196FDB"/>
    <w:rsid w:val="001973D0"/>
    <w:rsid w:val="00197AF1"/>
    <w:rsid w:val="00197F64"/>
    <w:rsid w:val="00197F76"/>
    <w:rsid w:val="001A056C"/>
    <w:rsid w:val="001A074B"/>
    <w:rsid w:val="001A07EE"/>
    <w:rsid w:val="001A0B1B"/>
    <w:rsid w:val="001A0EBD"/>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6D9"/>
    <w:rsid w:val="001A59CA"/>
    <w:rsid w:val="001A5CA0"/>
    <w:rsid w:val="001A601B"/>
    <w:rsid w:val="001A621B"/>
    <w:rsid w:val="001A62A8"/>
    <w:rsid w:val="001A6417"/>
    <w:rsid w:val="001A6D3B"/>
    <w:rsid w:val="001A6DF0"/>
    <w:rsid w:val="001A6F68"/>
    <w:rsid w:val="001A6FA9"/>
    <w:rsid w:val="001A73A0"/>
    <w:rsid w:val="001A744D"/>
    <w:rsid w:val="001A7792"/>
    <w:rsid w:val="001A7A22"/>
    <w:rsid w:val="001B0403"/>
    <w:rsid w:val="001B0864"/>
    <w:rsid w:val="001B0F99"/>
    <w:rsid w:val="001B1517"/>
    <w:rsid w:val="001B1AFF"/>
    <w:rsid w:val="001B27AB"/>
    <w:rsid w:val="001B28BB"/>
    <w:rsid w:val="001B29BE"/>
    <w:rsid w:val="001B3023"/>
    <w:rsid w:val="001B3833"/>
    <w:rsid w:val="001B3988"/>
    <w:rsid w:val="001B3BAE"/>
    <w:rsid w:val="001B4228"/>
    <w:rsid w:val="001B42F8"/>
    <w:rsid w:val="001B45EC"/>
    <w:rsid w:val="001B4E4D"/>
    <w:rsid w:val="001B5009"/>
    <w:rsid w:val="001B536D"/>
    <w:rsid w:val="001B53FC"/>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3AD"/>
    <w:rsid w:val="001C170A"/>
    <w:rsid w:val="001C1BEB"/>
    <w:rsid w:val="001C225E"/>
    <w:rsid w:val="001C23AD"/>
    <w:rsid w:val="001C24BA"/>
    <w:rsid w:val="001C269A"/>
    <w:rsid w:val="001C2789"/>
    <w:rsid w:val="001C2DB8"/>
    <w:rsid w:val="001C3579"/>
    <w:rsid w:val="001C398F"/>
    <w:rsid w:val="001C44A7"/>
    <w:rsid w:val="001C44D6"/>
    <w:rsid w:val="001C4D69"/>
    <w:rsid w:val="001C4E64"/>
    <w:rsid w:val="001C532E"/>
    <w:rsid w:val="001C53EB"/>
    <w:rsid w:val="001C574D"/>
    <w:rsid w:val="001C5AAA"/>
    <w:rsid w:val="001C64E1"/>
    <w:rsid w:val="001C682E"/>
    <w:rsid w:val="001D05EA"/>
    <w:rsid w:val="001D07B6"/>
    <w:rsid w:val="001D0B68"/>
    <w:rsid w:val="001D0BB7"/>
    <w:rsid w:val="001D0BFB"/>
    <w:rsid w:val="001D0EDD"/>
    <w:rsid w:val="001D1389"/>
    <w:rsid w:val="001D1897"/>
    <w:rsid w:val="001D19D7"/>
    <w:rsid w:val="001D1D32"/>
    <w:rsid w:val="001D2283"/>
    <w:rsid w:val="001D2D9C"/>
    <w:rsid w:val="001D2EC7"/>
    <w:rsid w:val="001D3087"/>
    <w:rsid w:val="001D3429"/>
    <w:rsid w:val="001D3599"/>
    <w:rsid w:val="001D35B3"/>
    <w:rsid w:val="001D3EB7"/>
    <w:rsid w:val="001D4032"/>
    <w:rsid w:val="001D42A4"/>
    <w:rsid w:val="001D435F"/>
    <w:rsid w:val="001D466E"/>
    <w:rsid w:val="001D4BE8"/>
    <w:rsid w:val="001D4C19"/>
    <w:rsid w:val="001D4EA0"/>
    <w:rsid w:val="001D4EEF"/>
    <w:rsid w:val="001D526B"/>
    <w:rsid w:val="001D61B9"/>
    <w:rsid w:val="001D69C6"/>
    <w:rsid w:val="001D6A11"/>
    <w:rsid w:val="001D6ABC"/>
    <w:rsid w:val="001D6E5D"/>
    <w:rsid w:val="001D7492"/>
    <w:rsid w:val="001D7759"/>
    <w:rsid w:val="001D77AD"/>
    <w:rsid w:val="001D7EE8"/>
    <w:rsid w:val="001E00E3"/>
    <w:rsid w:val="001E0137"/>
    <w:rsid w:val="001E0BE0"/>
    <w:rsid w:val="001E0C27"/>
    <w:rsid w:val="001E0C47"/>
    <w:rsid w:val="001E0DD0"/>
    <w:rsid w:val="001E1007"/>
    <w:rsid w:val="001E1353"/>
    <w:rsid w:val="001E1474"/>
    <w:rsid w:val="001E15BC"/>
    <w:rsid w:val="001E16F5"/>
    <w:rsid w:val="001E28D3"/>
    <w:rsid w:val="001E30B3"/>
    <w:rsid w:val="001E3431"/>
    <w:rsid w:val="001E386F"/>
    <w:rsid w:val="001E38AC"/>
    <w:rsid w:val="001E38B1"/>
    <w:rsid w:val="001E3C02"/>
    <w:rsid w:val="001E3FCD"/>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98C"/>
    <w:rsid w:val="001F0EA2"/>
    <w:rsid w:val="001F17BA"/>
    <w:rsid w:val="001F1991"/>
    <w:rsid w:val="001F215E"/>
    <w:rsid w:val="001F2627"/>
    <w:rsid w:val="001F298D"/>
    <w:rsid w:val="001F39CF"/>
    <w:rsid w:val="001F3BB3"/>
    <w:rsid w:val="001F3E6B"/>
    <w:rsid w:val="001F3F69"/>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3843"/>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28C"/>
    <w:rsid w:val="00212471"/>
    <w:rsid w:val="0021312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1256"/>
    <w:rsid w:val="00222198"/>
    <w:rsid w:val="00223749"/>
    <w:rsid w:val="00223D9B"/>
    <w:rsid w:val="00224570"/>
    <w:rsid w:val="00224D4C"/>
    <w:rsid w:val="00224F88"/>
    <w:rsid w:val="00224F8F"/>
    <w:rsid w:val="00224FA5"/>
    <w:rsid w:val="00225070"/>
    <w:rsid w:val="0022709F"/>
    <w:rsid w:val="002279C5"/>
    <w:rsid w:val="0023023E"/>
    <w:rsid w:val="00230372"/>
    <w:rsid w:val="00230DE4"/>
    <w:rsid w:val="00230E84"/>
    <w:rsid w:val="00230ECA"/>
    <w:rsid w:val="00230F62"/>
    <w:rsid w:val="00231973"/>
    <w:rsid w:val="00231B4A"/>
    <w:rsid w:val="00231B55"/>
    <w:rsid w:val="00231C7A"/>
    <w:rsid w:val="00231D1F"/>
    <w:rsid w:val="00231E63"/>
    <w:rsid w:val="00231E89"/>
    <w:rsid w:val="00232244"/>
    <w:rsid w:val="00232295"/>
    <w:rsid w:val="00232A2D"/>
    <w:rsid w:val="00233451"/>
    <w:rsid w:val="002334CA"/>
    <w:rsid w:val="002335E8"/>
    <w:rsid w:val="00233DD7"/>
    <w:rsid w:val="00233F53"/>
    <w:rsid w:val="0023464F"/>
    <w:rsid w:val="002346CA"/>
    <w:rsid w:val="00234798"/>
    <w:rsid w:val="00234ABC"/>
    <w:rsid w:val="00234E86"/>
    <w:rsid w:val="00235216"/>
    <w:rsid w:val="00235BF6"/>
    <w:rsid w:val="00235D65"/>
    <w:rsid w:val="00235D91"/>
    <w:rsid w:val="00235FFB"/>
    <w:rsid w:val="0023672D"/>
    <w:rsid w:val="00237A86"/>
    <w:rsid w:val="00237DAF"/>
    <w:rsid w:val="00240018"/>
    <w:rsid w:val="002404F8"/>
    <w:rsid w:val="0024069E"/>
    <w:rsid w:val="0024073D"/>
    <w:rsid w:val="00240B2A"/>
    <w:rsid w:val="00240D71"/>
    <w:rsid w:val="0024107D"/>
    <w:rsid w:val="00241108"/>
    <w:rsid w:val="00241413"/>
    <w:rsid w:val="00241448"/>
    <w:rsid w:val="00241A5F"/>
    <w:rsid w:val="0024233C"/>
    <w:rsid w:val="002423FD"/>
    <w:rsid w:val="00242403"/>
    <w:rsid w:val="002424E7"/>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4AC8"/>
    <w:rsid w:val="002556C4"/>
    <w:rsid w:val="00255AC9"/>
    <w:rsid w:val="00256370"/>
    <w:rsid w:val="0025676D"/>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9C"/>
    <w:rsid w:val="00264AAD"/>
    <w:rsid w:val="00264FC0"/>
    <w:rsid w:val="002652EA"/>
    <w:rsid w:val="00265A07"/>
    <w:rsid w:val="00265B99"/>
    <w:rsid w:val="002661B0"/>
    <w:rsid w:val="00266468"/>
    <w:rsid w:val="002672AC"/>
    <w:rsid w:val="002673BE"/>
    <w:rsid w:val="0027094F"/>
    <w:rsid w:val="00271825"/>
    <w:rsid w:val="00271835"/>
    <w:rsid w:val="00271EDC"/>
    <w:rsid w:val="002728FC"/>
    <w:rsid w:val="00272B90"/>
    <w:rsid w:val="00273B77"/>
    <w:rsid w:val="00273BF9"/>
    <w:rsid w:val="00273F66"/>
    <w:rsid w:val="0027404F"/>
    <w:rsid w:val="002749A4"/>
    <w:rsid w:val="00275140"/>
    <w:rsid w:val="00275727"/>
    <w:rsid w:val="00275C52"/>
    <w:rsid w:val="00275C90"/>
    <w:rsid w:val="00275F5F"/>
    <w:rsid w:val="00276481"/>
    <w:rsid w:val="00276EDD"/>
    <w:rsid w:val="00277145"/>
    <w:rsid w:val="002775AA"/>
    <w:rsid w:val="00277ACC"/>
    <w:rsid w:val="00277FA3"/>
    <w:rsid w:val="002800E2"/>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ADF"/>
    <w:rsid w:val="00282C84"/>
    <w:rsid w:val="00282CEB"/>
    <w:rsid w:val="002831A9"/>
    <w:rsid w:val="002836C0"/>
    <w:rsid w:val="0028385C"/>
    <w:rsid w:val="00283E53"/>
    <w:rsid w:val="0028459A"/>
    <w:rsid w:val="00284B89"/>
    <w:rsid w:val="00284F16"/>
    <w:rsid w:val="0028516F"/>
    <w:rsid w:val="002856CC"/>
    <w:rsid w:val="002856E8"/>
    <w:rsid w:val="00285713"/>
    <w:rsid w:val="0028594F"/>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0EA"/>
    <w:rsid w:val="00294384"/>
    <w:rsid w:val="00294530"/>
    <w:rsid w:val="00294A4B"/>
    <w:rsid w:val="00295080"/>
    <w:rsid w:val="00295171"/>
    <w:rsid w:val="0029549E"/>
    <w:rsid w:val="0029551B"/>
    <w:rsid w:val="00296316"/>
    <w:rsid w:val="00296658"/>
    <w:rsid w:val="00296F7D"/>
    <w:rsid w:val="00296FE0"/>
    <w:rsid w:val="00297DC5"/>
    <w:rsid w:val="00297DF3"/>
    <w:rsid w:val="00297EFE"/>
    <w:rsid w:val="00297FBC"/>
    <w:rsid w:val="002A000F"/>
    <w:rsid w:val="002A08C3"/>
    <w:rsid w:val="002A0FA8"/>
    <w:rsid w:val="002A111A"/>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7E1"/>
    <w:rsid w:val="002A6C52"/>
    <w:rsid w:val="002A7075"/>
    <w:rsid w:val="002A72BA"/>
    <w:rsid w:val="002A73B5"/>
    <w:rsid w:val="002A7950"/>
    <w:rsid w:val="002A7AEC"/>
    <w:rsid w:val="002A7C89"/>
    <w:rsid w:val="002A7CB7"/>
    <w:rsid w:val="002B0590"/>
    <w:rsid w:val="002B05D6"/>
    <w:rsid w:val="002B0752"/>
    <w:rsid w:val="002B0F81"/>
    <w:rsid w:val="002B0FF4"/>
    <w:rsid w:val="002B1530"/>
    <w:rsid w:val="002B1948"/>
    <w:rsid w:val="002B19F0"/>
    <w:rsid w:val="002B1B67"/>
    <w:rsid w:val="002B1BBF"/>
    <w:rsid w:val="002B1C30"/>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1C34"/>
    <w:rsid w:val="002C2475"/>
    <w:rsid w:val="002C252C"/>
    <w:rsid w:val="002C2CA8"/>
    <w:rsid w:val="002C2F3B"/>
    <w:rsid w:val="002C352A"/>
    <w:rsid w:val="002C3941"/>
    <w:rsid w:val="002C3C3B"/>
    <w:rsid w:val="002C3E85"/>
    <w:rsid w:val="002C448D"/>
    <w:rsid w:val="002C4A75"/>
    <w:rsid w:val="002C4ACD"/>
    <w:rsid w:val="002C4EA8"/>
    <w:rsid w:val="002C5496"/>
    <w:rsid w:val="002C6182"/>
    <w:rsid w:val="002C61A1"/>
    <w:rsid w:val="002C6BBD"/>
    <w:rsid w:val="002C70B3"/>
    <w:rsid w:val="002C763E"/>
    <w:rsid w:val="002C7910"/>
    <w:rsid w:val="002C7DA8"/>
    <w:rsid w:val="002C7E05"/>
    <w:rsid w:val="002D0834"/>
    <w:rsid w:val="002D0B07"/>
    <w:rsid w:val="002D0C96"/>
    <w:rsid w:val="002D0D12"/>
    <w:rsid w:val="002D14C6"/>
    <w:rsid w:val="002D19CF"/>
    <w:rsid w:val="002D251D"/>
    <w:rsid w:val="002D27D9"/>
    <w:rsid w:val="002D2B4C"/>
    <w:rsid w:val="002D32D5"/>
    <w:rsid w:val="002D3316"/>
    <w:rsid w:val="002D354D"/>
    <w:rsid w:val="002D361C"/>
    <w:rsid w:val="002D3BDB"/>
    <w:rsid w:val="002D3DEE"/>
    <w:rsid w:val="002D44EF"/>
    <w:rsid w:val="002D521C"/>
    <w:rsid w:val="002D5222"/>
    <w:rsid w:val="002D525F"/>
    <w:rsid w:val="002D5CAF"/>
    <w:rsid w:val="002D5DF7"/>
    <w:rsid w:val="002D714B"/>
    <w:rsid w:val="002D7606"/>
    <w:rsid w:val="002D7893"/>
    <w:rsid w:val="002D79BB"/>
    <w:rsid w:val="002E022C"/>
    <w:rsid w:val="002E05B2"/>
    <w:rsid w:val="002E087C"/>
    <w:rsid w:val="002E09F8"/>
    <w:rsid w:val="002E0B91"/>
    <w:rsid w:val="002E0C5D"/>
    <w:rsid w:val="002E1393"/>
    <w:rsid w:val="002E13ED"/>
    <w:rsid w:val="002E1AEC"/>
    <w:rsid w:val="002E232D"/>
    <w:rsid w:val="002E24BC"/>
    <w:rsid w:val="002E3768"/>
    <w:rsid w:val="002E3B46"/>
    <w:rsid w:val="002E3F59"/>
    <w:rsid w:val="002E4008"/>
    <w:rsid w:val="002E47DB"/>
    <w:rsid w:val="002E4918"/>
    <w:rsid w:val="002E50AB"/>
    <w:rsid w:val="002E5663"/>
    <w:rsid w:val="002E5BED"/>
    <w:rsid w:val="002E5EC9"/>
    <w:rsid w:val="002E68A7"/>
    <w:rsid w:val="002E6DD1"/>
    <w:rsid w:val="002E7231"/>
    <w:rsid w:val="002E74F9"/>
    <w:rsid w:val="002E7640"/>
    <w:rsid w:val="002E7B6D"/>
    <w:rsid w:val="002F027E"/>
    <w:rsid w:val="002F047D"/>
    <w:rsid w:val="002F05CB"/>
    <w:rsid w:val="002F1095"/>
    <w:rsid w:val="002F12B1"/>
    <w:rsid w:val="002F15F2"/>
    <w:rsid w:val="002F1E29"/>
    <w:rsid w:val="002F21B5"/>
    <w:rsid w:val="002F236C"/>
    <w:rsid w:val="002F2A1A"/>
    <w:rsid w:val="002F2D06"/>
    <w:rsid w:val="002F2E55"/>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0AC0"/>
    <w:rsid w:val="00301057"/>
    <w:rsid w:val="0030212C"/>
    <w:rsid w:val="00302151"/>
    <w:rsid w:val="00302427"/>
    <w:rsid w:val="003026AE"/>
    <w:rsid w:val="00302A7B"/>
    <w:rsid w:val="00302CD4"/>
    <w:rsid w:val="00302F67"/>
    <w:rsid w:val="00303034"/>
    <w:rsid w:val="0030309D"/>
    <w:rsid w:val="0030333F"/>
    <w:rsid w:val="00303424"/>
    <w:rsid w:val="0030349B"/>
    <w:rsid w:val="00304388"/>
    <w:rsid w:val="0030453B"/>
    <w:rsid w:val="00304AAB"/>
    <w:rsid w:val="00304F57"/>
    <w:rsid w:val="00305223"/>
    <w:rsid w:val="00305345"/>
    <w:rsid w:val="0030543F"/>
    <w:rsid w:val="003059AA"/>
    <w:rsid w:val="00305C7B"/>
    <w:rsid w:val="00306187"/>
    <w:rsid w:val="00306416"/>
    <w:rsid w:val="00306942"/>
    <w:rsid w:val="00307024"/>
    <w:rsid w:val="0030704C"/>
    <w:rsid w:val="00307095"/>
    <w:rsid w:val="00307DB0"/>
    <w:rsid w:val="00307E61"/>
    <w:rsid w:val="003102D5"/>
    <w:rsid w:val="00310328"/>
    <w:rsid w:val="003105CE"/>
    <w:rsid w:val="0031077E"/>
    <w:rsid w:val="00310E5A"/>
    <w:rsid w:val="003110A6"/>
    <w:rsid w:val="00311291"/>
    <w:rsid w:val="003113AE"/>
    <w:rsid w:val="00311579"/>
    <w:rsid w:val="0031171F"/>
    <w:rsid w:val="00311999"/>
    <w:rsid w:val="00311C5D"/>
    <w:rsid w:val="00312492"/>
    <w:rsid w:val="003128C3"/>
    <w:rsid w:val="00312ACA"/>
    <w:rsid w:val="00312C21"/>
    <w:rsid w:val="00312D90"/>
    <w:rsid w:val="00312DE6"/>
    <w:rsid w:val="00313717"/>
    <w:rsid w:val="003141E8"/>
    <w:rsid w:val="00314403"/>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D1A"/>
    <w:rsid w:val="00320F1C"/>
    <w:rsid w:val="00320FE7"/>
    <w:rsid w:val="00321BA2"/>
    <w:rsid w:val="003222EA"/>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6FB6"/>
    <w:rsid w:val="003273BF"/>
    <w:rsid w:val="0032768B"/>
    <w:rsid w:val="003300DB"/>
    <w:rsid w:val="0033013A"/>
    <w:rsid w:val="00330401"/>
    <w:rsid w:val="003307C2"/>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516"/>
    <w:rsid w:val="00335A08"/>
    <w:rsid w:val="003370C6"/>
    <w:rsid w:val="00337365"/>
    <w:rsid w:val="003373AF"/>
    <w:rsid w:val="00337BF7"/>
    <w:rsid w:val="00337FC0"/>
    <w:rsid w:val="003401AF"/>
    <w:rsid w:val="003401E6"/>
    <w:rsid w:val="003402AD"/>
    <w:rsid w:val="00340776"/>
    <w:rsid w:val="003409B2"/>
    <w:rsid w:val="00340BAB"/>
    <w:rsid w:val="0034105F"/>
    <w:rsid w:val="00341169"/>
    <w:rsid w:val="003411E9"/>
    <w:rsid w:val="003413B0"/>
    <w:rsid w:val="00341DD0"/>
    <w:rsid w:val="00341E75"/>
    <w:rsid w:val="00342223"/>
    <w:rsid w:val="00342482"/>
    <w:rsid w:val="00342E46"/>
    <w:rsid w:val="00342F15"/>
    <w:rsid w:val="00343038"/>
    <w:rsid w:val="00343434"/>
    <w:rsid w:val="00343EAD"/>
    <w:rsid w:val="00344169"/>
    <w:rsid w:val="00344EFD"/>
    <w:rsid w:val="00345A51"/>
    <w:rsid w:val="00345C30"/>
    <w:rsid w:val="00345EBD"/>
    <w:rsid w:val="00346468"/>
    <w:rsid w:val="0034649F"/>
    <w:rsid w:val="00346B8F"/>
    <w:rsid w:val="00347A0C"/>
    <w:rsid w:val="00347E5A"/>
    <w:rsid w:val="00347EF5"/>
    <w:rsid w:val="00347F2C"/>
    <w:rsid w:val="00347FE3"/>
    <w:rsid w:val="00350034"/>
    <w:rsid w:val="00350374"/>
    <w:rsid w:val="00350C81"/>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70"/>
    <w:rsid w:val="003612EE"/>
    <w:rsid w:val="003617DB"/>
    <w:rsid w:val="00361909"/>
    <w:rsid w:val="00362051"/>
    <w:rsid w:val="00362098"/>
    <w:rsid w:val="0036249E"/>
    <w:rsid w:val="003629DD"/>
    <w:rsid w:val="00362FD0"/>
    <w:rsid w:val="003630C7"/>
    <w:rsid w:val="00363421"/>
    <w:rsid w:val="003635B8"/>
    <w:rsid w:val="00363D41"/>
    <w:rsid w:val="003658B1"/>
    <w:rsid w:val="00365C46"/>
    <w:rsid w:val="00365F8E"/>
    <w:rsid w:val="00366556"/>
    <w:rsid w:val="00366CEA"/>
    <w:rsid w:val="00366D05"/>
    <w:rsid w:val="003673CA"/>
    <w:rsid w:val="00367DA6"/>
    <w:rsid w:val="00367F49"/>
    <w:rsid w:val="003708C4"/>
    <w:rsid w:val="00370BFD"/>
    <w:rsid w:val="0037137A"/>
    <w:rsid w:val="00371885"/>
    <w:rsid w:val="00371A4E"/>
    <w:rsid w:val="00371BBF"/>
    <w:rsid w:val="003721E5"/>
    <w:rsid w:val="003728F4"/>
    <w:rsid w:val="0037297A"/>
    <w:rsid w:val="003729D4"/>
    <w:rsid w:val="00372BA4"/>
    <w:rsid w:val="00372BBC"/>
    <w:rsid w:val="00372EDF"/>
    <w:rsid w:val="00372F0C"/>
    <w:rsid w:val="00373413"/>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8B1"/>
    <w:rsid w:val="00384EEB"/>
    <w:rsid w:val="003852DD"/>
    <w:rsid w:val="00385EA9"/>
    <w:rsid w:val="0038608B"/>
    <w:rsid w:val="00387003"/>
    <w:rsid w:val="0038736E"/>
    <w:rsid w:val="003904DB"/>
    <w:rsid w:val="0039101B"/>
    <w:rsid w:val="00391755"/>
    <w:rsid w:val="0039197C"/>
    <w:rsid w:val="00391C66"/>
    <w:rsid w:val="00391F8F"/>
    <w:rsid w:val="0039230E"/>
    <w:rsid w:val="00392565"/>
    <w:rsid w:val="003926C0"/>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D67"/>
    <w:rsid w:val="00397E01"/>
    <w:rsid w:val="00397E22"/>
    <w:rsid w:val="003A0210"/>
    <w:rsid w:val="003A0290"/>
    <w:rsid w:val="003A1587"/>
    <w:rsid w:val="003A1612"/>
    <w:rsid w:val="003A20B9"/>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9EF"/>
    <w:rsid w:val="003B1A43"/>
    <w:rsid w:val="003B1C7E"/>
    <w:rsid w:val="003B2407"/>
    <w:rsid w:val="003B2C94"/>
    <w:rsid w:val="003B2CC2"/>
    <w:rsid w:val="003B3058"/>
    <w:rsid w:val="003B3167"/>
    <w:rsid w:val="003B39A0"/>
    <w:rsid w:val="003B406A"/>
    <w:rsid w:val="003B44E9"/>
    <w:rsid w:val="003B54C0"/>
    <w:rsid w:val="003B5AA5"/>
    <w:rsid w:val="003B6140"/>
    <w:rsid w:val="003B6164"/>
    <w:rsid w:val="003B6715"/>
    <w:rsid w:val="003B68CE"/>
    <w:rsid w:val="003B6C6A"/>
    <w:rsid w:val="003B6C95"/>
    <w:rsid w:val="003B6E41"/>
    <w:rsid w:val="003B783E"/>
    <w:rsid w:val="003B7EF1"/>
    <w:rsid w:val="003C04ED"/>
    <w:rsid w:val="003C087A"/>
    <w:rsid w:val="003C0E83"/>
    <w:rsid w:val="003C1818"/>
    <w:rsid w:val="003C1CC8"/>
    <w:rsid w:val="003C1F1C"/>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D6"/>
    <w:rsid w:val="003C6DF2"/>
    <w:rsid w:val="003C7291"/>
    <w:rsid w:val="003C7569"/>
    <w:rsid w:val="003D09B8"/>
    <w:rsid w:val="003D0AF1"/>
    <w:rsid w:val="003D0E47"/>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3E50"/>
    <w:rsid w:val="003D413E"/>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5B0"/>
    <w:rsid w:val="003E39D2"/>
    <w:rsid w:val="003E3A33"/>
    <w:rsid w:val="003E3A5E"/>
    <w:rsid w:val="003E42BE"/>
    <w:rsid w:val="003E4804"/>
    <w:rsid w:val="003E4A57"/>
    <w:rsid w:val="003E4BF7"/>
    <w:rsid w:val="003E578A"/>
    <w:rsid w:val="003E5F76"/>
    <w:rsid w:val="003E62BD"/>
    <w:rsid w:val="003E643A"/>
    <w:rsid w:val="003E64BA"/>
    <w:rsid w:val="003E66CA"/>
    <w:rsid w:val="003E6A42"/>
    <w:rsid w:val="003E6FC1"/>
    <w:rsid w:val="003E74C3"/>
    <w:rsid w:val="003E75B1"/>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3A2E"/>
    <w:rsid w:val="003F3BC1"/>
    <w:rsid w:val="003F3C16"/>
    <w:rsid w:val="003F4793"/>
    <w:rsid w:val="003F4F77"/>
    <w:rsid w:val="003F5897"/>
    <w:rsid w:val="003F59A9"/>
    <w:rsid w:val="003F5A02"/>
    <w:rsid w:val="003F5BA2"/>
    <w:rsid w:val="003F6042"/>
    <w:rsid w:val="003F63D6"/>
    <w:rsid w:val="003F66B9"/>
    <w:rsid w:val="003F6779"/>
    <w:rsid w:val="003F680F"/>
    <w:rsid w:val="003F68B2"/>
    <w:rsid w:val="003F6A5F"/>
    <w:rsid w:val="003F73D3"/>
    <w:rsid w:val="003F74D8"/>
    <w:rsid w:val="003F7777"/>
    <w:rsid w:val="0040039A"/>
    <w:rsid w:val="004003D2"/>
    <w:rsid w:val="004013FD"/>
    <w:rsid w:val="0040147C"/>
    <w:rsid w:val="004014B6"/>
    <w:rsid w:val="0040180E"/>
    <w:rsid w:val="0040184D"/>
    <w:rsid w:val="00401C45"/>
    <w:rsid w:val="00401ED0"/>
    <w:rsid w:val="004021EE"/>
    <w:rsid w:val="004025FF"/>
    <w:rsid w:val="0040275C"/>
    <w:rsid w:val="00402C1B"/>
    <w:rsid w:val="0040350C"/>
    <w:rsid w:val="00403529"/>
    <w:rsid w:val="0040366C"/>
    <w:rsid w:val="004038B4"/>
    <w:rsid w:val="00404169"/>
    <w:rsid w:val="00404517"/>
    <w:rsid w:val="004048B4"/>
    <w:rsid w:val="004049CF"/>
    <w:rsid w:val="00404A4A"/>
    <w:rsid w:val="00404BDE"/>
    <w:rsid w:val="00405140"/>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3862"/>
    <w:rsid w:val="00413D38"/>
    <w:rsid w:val="00413EAE"/>
    <w:rsid w:val="00414307"/>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79D"/>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27F30"/>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02C"/>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3A8C"/>
    <w:rsid w:val="004544EB"/>
    <w:rsid w:val="004545E0"/>
    <w:rsid w:val="004547FE"/>
    <w:rsid w:val="00454AA0"/>
    <w:rsid w:val="0045651B"/>
    <w:rsid w:val="004568B0"/>
    <w:rsid w:val="004570BF"/>
    <w:rsid w:val="00457323"/>
    <w:rsid w:val="00457C5D"/>
    <w:rsid w:val="004603A4"/>
    <w:rsid w:val="0046046E"/>
    <w:rsid w:val="004608F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31C"/>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1F4"/>
    <w:rsid w:val="00472947"/>
    <w:rsid w:val="00472D83"/>
    <w:rsid w:val="00473601"/>
    <w:rsid w:val="0047397A"/>
    <w:rsid w:val="00473BCF"/>
    <w:rsid w:val="00473CD0"/>
    <w:rsid w:val="004740FF"/>
    <w:rsid w:val="004743DC"/>
    <w:rsid w:val="00474549"/>
    <w:rsid w:val="0047464A"/>
    <w:rsid w:val="0047471C"/>
    <w:rsid w:val="00474CB9"/>
    <w:rsid w:val="00474CE3"/>
    <w:rsid w:val="00474EC1"/>
    <w:rsid w:val="00474F3A"/>
    <w:rsid w:val="00475307"/>
    <w:rsid w:val="0047533E"/>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055E"/>
    <w:rsid w:val="00481216"/>
    <w:rsid w:val="004817D7"/>
    <w:rsid w:val="00482ACC"/>
    <w:rsid w:val="00482AD1"/>
    <w:rsid w:val="00482C84"/>
    <w:rsid w:val="00483575"/>
    <w:rsid w:val="0048361B"/>
    <w:rsid w:val="00483B27"/>
    <w:rsid w:val="00483F4F"/>
    <w:rsid w:val="00484C09"/>
    <w:rsid w:val="00484FE8"/>
    <w:rsid w:val="00485462"/>
    <w:rsid w:val="004855F6"/>
    <w:rsid w:val="00485BD6"/>
    <w:rsid w:val="00485BF3"/>
    <w:rsid w:val="00485D01"/>
    <w:rsid w:val="00486C61"/>
    <w:rsid w:val="00487533"/>
    <w:rsid w:val="00487DBE"/>
    <w:rsid w:val="004901FB"/>
    <w:rsid w:val="00490569"/>
    <w:rsid w:val="00490F0B"/>
    <w:rsid w:val="004910FA"/>
    <w:rsid w:val="00491215"/>
    <w:rsid w:val="00491B29"/>
    <w:rsid w:val="00491B39"/>
    <w:rsid w:val="00491BDF"/>
    <w:rsid w:val="00491CA1"/>
    <w:rsid w:val="0049209D"/>
    <w:rsid w:val="004924CF"/>
    <w:rsid w:val="00492755"/>
    <w:rsid w:val="0049280A"/>
    <w:rsid w:val="00492C70"/>
    <w:rsid w:val="00494871"/>
    <w:rsid w:val="00495749"/>
    <w:rsid w:val="00495A84"/>
    <w:rsid w:val="00495B47"/>
    <w:rsid w:val="00495FBC"/>
    <w:rsid w:val="0049661C"/>
    <w:rsid w:val="00496688"/>
    <w:rsid w:val="004966F2"/>
    <w:rsid w:val="004968BB"/>
    <w:rsid w:val="00496AF1"/>
    <w:rsid w:val="00496C34"/>
    <w:rsid w:val="00496F68"/>
    <w:rsid w:val="004978BB"/>
    <w:rsid w:val="004A05CD"/>
    <w:rsid w:val="004A06BB"/>
    <w:rsid w:val="004A17BC"/>
    <w:rsid w:val="004A1808"/>
    <w:rsid w:val="004A18FC"/>
    <w:rsid w:val="004A1B57"/>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6CF"/>
    <w:rsid w:val="004B3730"/>
    <w:rsid w:val="004B40FA"/>
    <w:rsid w:val="004B4CB3"/>
    <w:rsid w:val="004B5223"/>
    <w:rsid w:val="004B52CB"/>
    <w:rsid w:val="004B56B4"/>
    <w:rsid w:val="004B5ADF"/>
    <w:rsid w:val="004B67CE"/>
    <w:rsid w:val="004B6DC5"/>
    <w:rsid w:val="004B7377"/>
    <w:rsid w:val="004B74ED"/>
    <w:rsid w:val="004B7B88"/>
    <w:rsid w:val="004C0393"/>
    <w:rsid w:val="004C08D2"/>
    <w:rsid w:val="004C131A"/>
    <w:rsid w:val="004C22D4"/>
    <w:rsid w:val="004C22E9"/>
    <w:rsid w:val="004C232D"/>
    <w:rsid w:val="004C32F6"/>
    <w:rsid w:val="004C359D"/>
    <w:rsid w:val="004C364A"/>
    <w:rsid w:val="004C3E2B"/>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3B88"/>
    <w:rsid w:val="004D41BF"/>
    <w:rsid w:val="004D4478"/>
    <w:rsid w:val="004D44CC"/>
    <w:rsid w:val="004D477D"/>
    <w:rsid w:val="004D50B4"/>
    <w:rsid w:val="004D566C"/>
    <w:rsid w:val="004D5940"/>
    <w:rsid w:val="004D5D28"/>
    <w:rsid w:val="004D63BA"/>
    <w:rsid w:val="004D668B"/>
    <w:rsid w:val="004D67DF"/>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2B1"/>
    <w:rsid w:val="004F0526"/>
    <w:rsid w:val="004F07EC"/>
    <w:rsid w:val="004F0916"/>
    <w:rsid w:val="004F0D08"/>
    <w:rsid w:val="004F11F5"/>
    <w:rsid w:val="004F132D"/>
    <w:rsid w:val="004F189D"/>
    <w:rsid w:val="004F1963"/>
    <w:rsid w:val="004F1AB3"/>
    <w:rsid w:val="004F1BB5"/>
    <w:rsid w:val="004F1DE8"/>
    <w:rsid w:val="004F2008"/>
    <w:rsid w:val="004F29E1"/>
    <w:rsid w:val="004F2F98"/>
    <w:rsid w:val="004F306C"/>
    <w:rsid w:val="004F311A"/>
    <w:rsid w:val="004F38C5"/>
    <w:rsid w:val="004F3CC7"/>
    <w:rsid w:val="004F3CD1"/>
    <w:rsid w:val="004F3D46"/>
    <w:rsid w:val="004F405B"/>
    <w:rsid w:val="004F57AE"/>
    <w:rsid w:val="004F5CB0"/>
    <w:rsid w:val="004F6069"/>
    <w:rsid w:val="004F6333"/>
    <w:rsid w:val="004F63FA"/>
    <w:rsid w:val="004F64F2"/>
    <w:rsid w:val="004F69E1"/>
    <w:rsid w:val="004F6A24"/>
    <w:rsid w:val="004F6C21"/>
    <w:rsid w:val="004F713E"/>
    <w:rsid w:val="004F755E"/>
    <w:rsid w:val="004F78E8"/>
    <w:rsid w:val="004F7918"/>
    <w:rsid w:val="004F7939"/>
    <w:rsid w:val="004F7B13"/>
    <w:rsid w:val="005000ED"/>
    <w:rsid w:val="00500244"/>
    <w:rsid w:val="00500552"/>
    <w:rsid w:val="005006B3"/>
    <w:rsid w:val="00500BB1"/>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400"/>
    <w:rsid w:val="00515C5A"/>
    <w:rsid w:val="005160FD"/>
    <w:rsid w:val="005164AA"/>
    <w:rsid w:val="005164E9"/>
    <w:rsid w:val="00517D5F"/>
    <w:rsid w:val="00520516"/>
    <w:rsid w:val="00520CE9"/>
    <w:rsid w:val="00521091"/>
    <w:rsid w:val="005213E5"/>
    <w:rsid w:val="00521707"/>
    <w:rsid w:val="00522378"/>
    <w:rsid w:val="005223C6"/>
    <w:rsid w:val="00522436"/>
    <w:rsid w:val="005228ED"/>
    <w:rsid w:val="00522D9C"/>
    <w:rsid w:val="00522E2D"/>
    <w:rsid w:val="005235AA"/>
    <w:rsid w:val="00524F9F"/>
    <w:rsid w:val="005251C5"/>
    <w:rsid w:val="00525438"/>
    <w:rsid w:val="00525B9E"/>
    <w:rsid w:val="00525E34"/>
    <w:rsid w:val="005268AD"/>
    <w:rsid w:val="00526D94"/>
    <w:rsid w:val="00527445"/>
    <w:rsid w:val="00527D98"/>
    <w:rsid w:val="00530B93"/>
    <w:rsid w:val="00530BFA"/>
    <w:rsid w:val="00531699"/>
    <w:rsid w:val="00531807"/>
    <w:rsid w:val="005322C6"/>
    <w:rsid w:val="005326FE"/>
    <w:rsid w:val="0053271B"/>
    <w:rsid w:val="00532911"/>
    <w:rsid w:val="005329A3"/>
    <w:rsid w:val="00532B16"/>
    <w:rsid w:val="0053313D"/>
    <w:rsid w:val="00534041"/>
    <w:rsid w:val="005341AA"/>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7B0"/>
    <w:rsid w:val="00543854"/>
    <w:rsid w:val="005439F8"/>
    <w:rsid w:val="00543A29"/>
    <w:rsid w:val="00543F92"/>
    <w:rsid w:val="005441DF"/>
    <w:rsid w:val="005442E6"/>
    <w:rsid w:val="00544993"/>
    <w:rsid w:val="00544B6D"/>
    <w:rsid w:val="00544D3F"/>
    <w:rsid w:val="00544EE2"/>
    <w:rsid w:val="0054555E"/>
    <w:rsid w:val="00545A48"/>
    <w:rsid w:val="00545AB6"/>
    <w:rsid w:val="005460D9"/>
    <w:rsid w:val="0054621A"/>
    <w:rsid w:val="005465C4"/>
    <w:rsid w:val="005466C0"/>
    <w:rsid w:val="00546C9F"/>
    <w:rsid w:val="00546D35"/>
    <w:rsid w:val="0054735C"/>
    <w:rsid w:val="00547456"/>
    <w:rsid w:val="0054796A"/>
    <w:rsid w:val="00547A4A"/>
    <w:rsid w:val="00547EF5"/>
    <w:rsid w:val="00550BD2"/>
    <w:rsid w:val="00551298"/>
    <w:rsid w:val="00551B85"/>
    <w:rsid w:val="00551C03"/>
    <w:rsid w:val="00552161"/>
    <w:rsid w:val="00552372"/>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9FC"/>
    <w:rsid w:val="00555D4E"/>
    <w:rsid w:val="00556125"/>
    <w:rsid w:val="0055715D"/>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67E5A"/>
    <w:rsid w:val="0057023D"/>
    <w:rsid w:val="005707EB"/>
    <w:rsid w:val="00570822"/>
    <w:rsid w:val="005709DA"/>
    <w:rsid w:val="00570DBD"/>
    <w:rsid w:val="0057151F"/>
    <w:rsid w:val="005715B5"/>
    <w:rsid w:val="005715FD"/>
    <w:rsid w:val="00571840"/>
    <w:rsid w:val="0057185D"/>
    <w:rsid w:val="005718BC"/>
    <w:rsid w:val="00571977"/>
    <w:rsid w:val="00571EF7"/>
    <w:rsid w:val="0057268E"/>
    <w:rsid w:val="00572CB3"/>
    <w:rsid w:val="0057315D"/>
    <w:rsid w:val="00573C78"/>
    <w:rsid w:val="00573EEF"/>
    <w:rsid w:val="00574313"/>
    <w:rsid w:val="00575E0D"/>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628"/>
    <w:rsid w:val="00581B77"/>
    <w:rsid w:val="00581D26"/>
    <w:rsid w:val="00581D5B"/>
    <w:rsid w:val="00581F07"/>
    <w:rsid w:val="0058229A"/>
    <w:rsid w:val="005822DA"/>
    <w:rsid w:val="00582411"/>
    <w:rsid w:val="0058294C"/>
    <w:rsid w:val="005829A7"/>
    <w:rsid w:val="00583902"/>
    <w:rsid w:val="0058396F"/>
    <w:rsid w:val="00583C28"/>
    <w:rsid w:val="00583DBB"/>
    <w:rsid w:val="00584109"/>
    <w:rsid w:val="005842CE"/>
    <w:rsid w:val="0058453E"/>
    <w:rsid w:val="005845FB"/>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449"/>
    <w:rsid w:val="005915FA"/>
    <w:rsid w:val="00591DD3"/>
    <w:rsid w:val="00592A67"/>
    <w:rsid w:val="00592CB3"/>
    <w:rsid w:val="00592DFA"/>
    <w:rsid w:val="00593B52"/>
    <w:rsid w:val="00593E86"/>
    <w:rsid w:val="00594303"/>
    <w:rsid w:val="00594767"/>
    <w:rsid w:val="00594837"/>
    <w:rsid w:val="005952B7"/>
    <w:rsid w:val="005953D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DD2"/>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33B"/>
    <w:rsid w:val="005A7F88"/>
    <w:rsid w:val="005B0BC9"/>
    <w:rsid w:val="005B1AA7"/>
    <w:rsid w:val="005B1D9E"/>
    <w:rsid w:val="005B2811"/>
    <w:rsid w:val="005B2ACA"/>
    <w:rsid w:val="005B2C07"/>
    <w:rsid w:val="005B2DB2"/>
    <w:rsid w:val="005B2F90"/>
    <w:rsid w:val="005B32BC"/>
    <w:rsid w:val="005B33EC"/>
    <w:rsid w:val="005B354F"/>
    <w:rsid w:val="005B35FB"/>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02C9"/>
    <w:rsid w:val="005C1352"/>
    <w:rsid w:val="005C1538"/>
    <w:rsid w:val="005C18BB"/>
    <w:rsid w:val="005C1B69"/>
    <w:rsid w:val="005C2BD3"/>
    <w:rsid w:val="005C3C1E"/>
    <w:rsid w:val="005C3F29"/>
    <w:rsid w:val="005C4BA8"/>
    <w:rsid w:val="005C514B"/>
    <w:rsid w:val="005C51D7"/>
    <w:rsid w:val="005C5E52"/>
    <w:rsid w:val="005C5F5F"/>
    <w:rsid w:val="005C61A4"/>
    <w:rsid w:val="005C62E1"/>
    <w:rsid w:val="005C6814"/>
    <w:rsid w:val="005C6B09"/>
    <w:rsid w:val="005C6D8F"/>
    <w:rsid w:val="005C6F6B"/>
    <w:rsid w:val="005C7131"/>
    <w:rsid w:val="005C7EBD"/>
    <w:rsid w:val="005D00BE"/>
    <w:rsid w:val="005D047F"/>
    <w:rsid w:val="005D086D"/>
    <w:rsid w:val="005D0B01"/>
    <w:rsid w:val="005D0EB0"/>
    <w:rsid w:val="005D10BE"/>
    <w:rsid w:val="005D155F"/>
    <w:rsid w:val="005D160C"/>
    <w:rsid w:val="005D1F3B"/>
    <w:rsid w:val="005D30BA"/>
    <w:rsid w:val="005D3197"/>
    <w:rsid w:val="005D3A12"/>
    <w:rsid w:val="005D4082"/>
    <w:rsid w:val="005D44C0"/>
    <w:rsid w:val="005D478C"/>
    <w:rsid w:val="005D5C69"/>
    <w:rsid w:val="005D5DCB"/>
    <w:rsid w:val="005D6554"/>
    <w:rsid w:val="005D65C2"/>
    <w:rsid w:val="005D6E17"/>
    <w:rsid w:val="005D70EC"/>
    <w:rsid w:val="005D7568"/>
    <w:rsid w:val="005D7719"/>
    <w:rsid w:val="005D7ED9"/>
    <w:rsid w:val="005D7FDC"/>
    <w:rsid w:val="005E049B"/>
    <w:rsid w:val="005E0ABD"/>
    <w:rsid w:val="005E1097"/>
    <w:rsid w:val="005E1131"/>
    <w:rsid w:val="005E1B78"/>
    <w:rsid w:val="005E1D88"/>
    <w:rsid w:val="005E20F9"/>
    <w:rsid w:val="005E23FC"/>
    <w:rsid w:val="005E2B38"/>
    <w:rsid w:val="005E315B"/>
    <w:rsid w:val="005E31F0"/>
    <w:rsid w:val="005E335D"/>
    <w:rsid w:val="005E355B"/>
    <w:rsid w:val="005E374C"/>
    <w:rsid w:val="005E3811"/>
    <w:rsid w:val="005E4396"/>
    <w:rsid w:val="005E4544"/>
    <w:rsid w:val="005E45CC"/>
    <w:rsid w:val="005E4A97"/>
    <w:rsid w:val="005E4E3E"/>
    <w:rsid w:val="005E51AE"/>
    <w:rsid w:val="005E5580"/>
    <w:rsid w:val="005E5CB1"/>
    <w:rsid w:val="005E5CBA"/>
    <w:rsid w:val="005E6806"/>
    <w:rsid w:val="005E70FD"/>
    <w:rsid w:val="005E771B"/>
    <w:rsid w:val="005E7BE3"/>
    <w:rsid w:val="005E7D69"/>
    <w:rsid w:val="005F0576"/>
    <w:rsid w:val="005F05C5"/>
    <w:rsid w:val="005F0A33"/>
    <w:rsid w:val="005F0DAA"/>
    <w:rsid w:val="005F1732"/>
    <w:rsid w:val="005F2E97"/>
    <w:rsid w:val="005F2FD6"/>
    <w:rsid w:val="005F34B9"/>
    <w:rsid w:val="005F34FB"/>
    <w:rsid w:val="005F3720"/>
    <w:rsid w:val="005F37A1"/>
    <w:rsid w:val="005F3805"/>
    <w:rsid w:val="005F3C1A"/>
    <w:rsid w:val="005F3D18"/>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2D14"/>
    <w:rsid w:val="00603349"/>
    <w:rsid w:val="0060370C"/>
    <w:rsid w:val="00603EF0"/>
    <w:rsid w:val="00603F3E"/>
    <w:rsid w:val="00604490"/>
    <w:rsid w:val="006044BA"/>
    <w:rsid w:val="00604528"/>
    <w:rsid w:val="00604D15"/>
    <w:rsid w:val="006050AB"/>
    <w:rsid w:val="0060524A"/>
    <w:rsid w:val="006052B5"/>
    <w:rsid w:val="006059D2"/>
    <w:rsid w:val="006067A9"/>
    <w:rsid w:val="00606C55"/>
    <w:rsid w:val="00606CB9"/>
    <w:rsid w:val="00606FD4"/>
    <w:rsid w:val="0060705C"/>
    <w:rsid w:val="0060714E"/>
    <w:rsid w:val="006071A0"/>
    <w:rsid w:val="0060734E"/>
    <w:rsid w:val="00607657"/>
    <w:rsid w:val="00610D41"/>
    <w:rsid w:val="0061127F"/>
    <w:rsid w:val="006113CC"/>
    <w:rsid w:val="00611A07"/>
    <w:rsid w:val="006121A8"/>
    <w:rsid w:val="006122DF"/>
    <w:rsid w:val="00612360"/>
    <w:rsid w:val="006125F5"/>
    <w:rsid w:val="0061299F"/>
    <w:rsid w:val="00612C83"/>
    <w:rsid w:val="006135F5"/>
    <w:rsid w:val="00613719"/>
    <w:rsid w:val="00613F82"/>
    <w:rsid w:val="0061402E"/>
    <w:rsid w:val="006140B7"/>
    <w:rsid w:val="006145DE"/>
    <w:rsid w:val="006146C9"/>
    <w:rsid w:val="00615060"/>
    <w:rsid w:val="00615A9E"/>
    <w:rsid w:val="00615CD5"/>
    <w:rsid w:val="00616128"/>
    <w:rsid w:val="006163CD"/>
    <w:rsid w:val="00616969"/>
    <w:rsid w:val="00616F27"/>
    <w:rsid w:val="0061738E"/>
    <w:rsid w:val="00617413"/>
    <w:rsid w:val="00617BC1"/>
    <w:rsid w:val="006202EF"/>
    <w:rsid w:val="0062045F"/>
    <w:rsid w:val="00620C68"/>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27CD5"/>
    <w:rsid w:val="006301DC"/>
    <w:rsid w:val="0063020A"/>
    <w:rsid w:val="0063050F"/>
    <w:rsid w:val="0063059B"/>
    <w:rsid w:val="00630782"/>
    <w:rsid w:val="00630D51"/>
    <w:rsid w:val="00630D8F"/>
    <w:rsid w:val="00630EBF"/>
    <w:rsid w:val="00630F08"/>
    <w:rsid w:val="00631253"/>
    <w:rsid w:val="00631860"/>
    <w:rsid w:val="0063192C"/>
    <w:rsid w:val="00631A17"/>
    <w:rsid w:val="0063279A"/>
    <w:rsid w:val="00632CB6"/>
    <w:rsid w:val="00632ECA"/>
    <w:rsid w:val="0063323D"/>
    <w:rsid w:val="00633845"/>
    <w:rsid w:val="00633F3D"/>
    <w:rsid w:val="0063487B"/>
    <w:rsid w:val="0063487C"/>
    <w:rsid w:val="0063512F"/>
    <w:rsid w:val="00635222"/>
    <w:rsid w:val="00635540"/>
    <w:rsid w:val="00635CA9"/>
    <w:rsid w:val="006362E8"/>
    <w:rsid w:val="006365C1"/>
    <w:rsid w:val="00636618"/>
    <w:rsid w:val="0063712C"/>
    <w:rsid w:val="006375B9"/>
    <w:rsid w:val="00637B04"/>
    <w:rsid w:val="00640364"/>
    <w:rsid w:val="0064149E"/>
    <w:rsid w:val="006416D0"/>
    <w:rsid w:val="00642E2C"/>
    <w:rsid w:val="00642FDD"/>
    <w:rsid w:val="006439FF"/>
    <w:rsid w:val="00643A07"/>
    <w:rsid w:val="0064451B"/>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972"/>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44"/>
    <w:rsid w:val="00657F57"/>
    <w:rsid w:val="00660E0E"/>
    <w:rsid w:val="00660F91"/>
    <w:rsid w:val="00660FB6"/>
    <w:rsid w:val="006613C1"/>
    <w:rsid w:val="00661D14"/>
    <w:rsid w:val="006629A0"/>
    <w:rsid w:val="0066321A"/>
    <w:rsid w:val="0066363F"/>
    <w:rsid w:val="0066365D"/>
    <w:rsid w:val="00664AED"/>
    <w:rsid w:val="00665168"/>
    <w:rsid w:val="0066547A"/>
    <w:rsid w:val="00665997"/>
    <w:rsid w:val="00666EA1"/>
    <w:rsid w:val="006671E7"/>
    <w:rsid w:val="00667451"/>
    <w:rsid w:val="006674F6"/>
    <w:rsid w:val="006675F8"/>
    <w:rsid w:val="00670296"/>
    <w:rsid w:val="0067037F"/>
    <w:rsid w:val="0067170A"/>
    <w:rsid w:val="00671C98"/>
    <w:rsid w:val="00672034"/>
    <w:rsid w:val="006723EC"/>
    <w:rsid w:val="00672FC9"/>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9F6"/>
    <w:rsid w:val="00682A95"/>
    <w:rsid w:val="00682C1B"/>
    <w:rsid w:val="00682D80"/>
    <w:rsid w:val="00682F6A"/>
    <w:rsid w:val="00682F8C"/>
    <w:rsid w:val="00683213"/>
    <w:rsid w:val="0068347F"/>
    <w:rsid w:val="006834DF"/>
    <w:rsid w:val="0068374E"/>
    <w:rsid w:val="006837F4"/>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270"/>
    <w:rsid w:val="006923CC"/>
    <w:rsid w:val="00692C32"/>
    <w:rsid w:val="006931D0"/>
    <w:rsid w:val="00693374"/>
    <w:rsid w:val="00693381"/>
    <w:rsid w:val="006939E7"/>
    <w:rsid w:val="00693AD7"/>
    <w:rsid w:val="00695437"/>
    <w:rsid w:val="0069562C"/>
    <w:rsid w:val="00695938"/>
    <w:rsid w:val="00695B5A"/>
    <w:rsid w:val="00695D17"/>
    <w:rsid w:val="00695DD9"/>
    <w:rsid w:val="00695FC7"/>
    <w:rsid w:val="0069695A"/>
    <w:rsid w:val="00696F26"/>
    <w:rsid w:val="00697835"/>
    <w:rsid w:val="006979C3"/>
    <w:rsid w:val="00697FA3"/>
    <w:rsid w:val="006A0229"/>
    <w:rsid w:val="006A03B7"/>
    <w:rsid w:val="006A072A"/>
    <w:rsid w:val="006A09CB"/>
    <w:rsid w:val="006A0F00"/>
    <w:rsid w:val="006A0FCA"/>
    <w:rsid w:val="006A162B"/>
    <w:rsid w:val="006A181A"/>
    <w:rsid w:val="006A1BF8"/>
    <w:rsid w:val="006A25FE"/>
    <w:rsid w:val="006A2E5F"/>
    <w:rsid w:val="006A3538"/>
    <w:rsid w:val="006A3A60"/>
    <w:rsid w:val="006A3BED"/>
    <w:rsid w:val="006A4CD1"/>
    <w:rsid w:val="006A4DF4"/>
    <w:rsid w:val="006A4F90"/>
    <w:rsid w:val="006A58DE"/>
    <w:rsid w:val="006A5914"/>
    <w:rsid w:val="006A5CEB"/>
    <w:rsid w:val="006A61A6"/>
    <w:rsid w:val="006A62D4"/>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2697"/>
    <w:rsid w:val="006C2AA4"/>
    <w:rsid w:val="006C3B9F"/>
    <w:rsid w:val="006C3FA8"/>
    <w:rsid w:val="006C425F"/>
    <w:rsid w:val="006C470F"/>
    <w:rsid w:val="006C47C9"/>
    <w:rsid w:val="006C503D"/>
    <w:rsid w:val="006C51C0"/>
    <w:rsid w:val="006C52B5"/>
    <w:rsid w:val="006C5320"/>
    <w:rsid w:val="006C5372"/>
    <w:rsid w:val="006C5B23"/>
    <w:rsid w:val="006C5D7C"/>
    <w:rsid w:val="006C63FF"/>
    <w:rsid w:val="006C65D2"/>
    <w:rsid w:val="006C6917"/>
    <w:rsid w:val="006C6AD9"/>
    <w:rsid w:val="006C7295"/>
    <w:rsid w:val="006C72FD"/>
    <w:rsid w:val="006C733F"/>
    <w:rsid w:val="006C7663"/>
    <w:rsid w:val="006C76B5"/>
    <w:rsid w:val="006D0530"/>
    <w:rsid w:val="006D0613"/>
    <w:rsid w:val="006D0886"/>
    <w:rsid w:val="006D0D8D"/>
    <w:rsid w:val="006D11D5"/>
    <w:rsid w:val="006D13F5"/>
    <w:rsid w:val="006D1841"/>
    <w:rsid w:val="006D1AD9"/>
    <w:rsid w:val="006D20EA"/>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2C8"/>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3F34"/>
    <w:rsid w:val="006E42F2"/>
    <w:rsid w:val="006E4391"/>
    <w:rsid w:val="006E4569"/>
    <w:rsid w:val="006E4898"/>
    <w:rsid w:val="006E4923"/>
    <w:rsid w:val="006E4B17"/>
    <w:rsid w:val="006E4B59"/>
    <w:rsid w:val="006E4C06"/>
    <w:rsid w:val="006E559F"/>
    <w:rsid w:val="006E5744"/>
    <w:rsid w:val="006E594F"/>
    <w:rsid w:val="006E5E0F"/>
    <w:rsid w:val="006E67E1"/>
    <w:rsid w:val="006E6811"/>
    <w:rsid w:val="006E6BA5"/>
    <w:rsid w:val="006E6EFB"/>
    <w:rsid w:val="006E78DD"/>
    <w:rsid w:val="006E798E"/>
    <w:rsid w:val="006E7D2B"/>
    <w:rsid w:val="006F0A7B"/>
    <w:rsid w:val="006F0CA7"/>
    <w:rsid w:val="006F1138"/>
    <w:rsid w:val="006F1E2D"/>
    <w:rsid w:val="006F1F5D"/>
    <w:rsid w:val="006F2072"/>
    <w:rsid w:val="006F21C0"/>
    <w:rsid w:val="006F2495"/>
    <w:rsid w:val="006F26B5"/>
    <w:rsid w:val="006F2AA1"/>
    <w:rsid w:val="006F2AB6"/>
    <w:rsid w:val="006F2CBB"/>
    <w:rsid w:val="006F306D"/>
    <w:rsid w:val="006F346F"/>
    <w:rsid w:val="006F34EC"/>
    <w:rsid w:val="006F351A"/>
    <w:rsid w:val="006F35F6"/>
    <w:rsid w:val="006F3870"/>
    <w:rsid w:val="006F3B4F"/>
    <w:rsid w:val="006F3FA1"/>
    <w:rsid w:val="006F4916"/>
    <w:rsid w:val="006F4DE8"/>
    <w:rsid w:val="006F4E0C"/>
    <w:rsid w:val="006F578C"/>
    <w:rsid w:val="006F5E0A"/>
    <w:rsid w:val="006F6303"/>
    <w:rsid w:val="006F632C"/>
    <w:rsid w:val="006F6F50"/>
    <w:rsid w:val="006F70A6"/>
    <w:rsid w:val="006F72B2"/>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61D"/>
    <w:rsid w:val="00703F4D"/>
    <w:rsid w:val="007041C6"/>
    <w:rsid w:val="007047C3"/>
    <w:rsid w:val="00704A4A"/>
    <w:rsid w:val="00705066"/>
    <w:rsid w:val="0070568D"/>
    <w:rsid w:val="007056A5"/>
    <w:rsid w:val="00705A3C"/>
    <w:rsid w:val="00705D32"/>
    <w:rsid w:val="007068DB"/>
    <w:rsid w:val="00707088"/>
    <w:rsid w:val="0070717D"/>
    <w:rsid w:val="0070722C"/>
    <w:rsid w:val="007077F1"/>
    <w:rsid w:val="00707899"/>
    <w:rsid w:val="00707BBB"/>
    <w:rsid w:val="00707C5D"/>
    <w:rsid w:val="0071038D"/>
    <w:rsid w:val="007104C0"/>
    <w:rsid w:val="00710573"/>
    <w:rsid w:val="00710821"/>
    <w:rsid w:val="00710C35"/>
    <w:rsid w:val="00710EEA"/>
    <w:rsid w:val="0071175B"/>
    <w:rsid w:val="00711C69"/>
    <w:rsid w:val="00711CC7"/>
    <w:rsid w:val="00711EF1"/>
    <w:rsid w:val="00711F75"/>
    <w:rsid w:val="0071241F"/>
    <w:rsid w:val="007127C2"/>
    <w:rsid w:val="007127CF"/>
    <w:rsid w:val="00712BE8"/>
    <w:rsid w:val="00713050"/>
    <w:rsid w:val="0071345E"/>
    <w:rsid w:val="007137DA"/>
    <w:rsid w:val="00714211"/>
    <w:rsid w:val="00714A6D"/>
    <w:rsid w:val="00714F1E"/>
    <w:rsid w:val="007152AC"/>
    <w:rsid w:val="0071545F"/>
    <w:rsid w:val="007157CA"/>
    <w:rsid w:val="00715F2B"/>
    <w:rsid w:val="007160E2"/>
    <w:rsid w:val="00716175"/>
    <w:rsid w:val="00716627"/>
    <w:rsid w:val="007167EA"/>
    <w:rsid w:val="00716933"/>
    <w:rsid w:val="00716C51"/>
    <w:rsid w:val="00716F3B"/>
    <w:rsid w:val="00717070"/>
    <w:rsid w:val="0071710C"/>
    <w:rsid w:val="0071731C"/>
    <w:rsid w:val="00717338"/>
    <w:rsid w:val="00717755"/>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839"/>
    <w:rsid w:val="00734C10"/>
    <w:rsid w:val="007353D9"/>
    <w:rsid w:val="007353FF"/>
    <w:rsid w:val="007355E5"/>
    <w:rsid w:val="007359FD"/>
    <w:rsid w:val="0073612D"/>
    <w:rsid w:val="00736615"/>
    <w:rsid w:val="0073685C"/>
    <w:rsid w:val="00737551"/>
    <w:rsid w:val="0073798A"/>
    <w:rsid w:val="00737E37"/>
    <w:rsid w:val="0074000C"/>
    <w:rsid w:val="00740185"/>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3B0"/>
    <w:rsid w:val="007453FD"/>
    <w:rsid w:val="00745993"/>
    <w:rsid w:val="007465F8"/>
    <w:rsid w:val="00746730"/>
    <w:rsid w:val="00747950"/>
    <w:rsid w:val="00747958"/>
    <w:rsid w:val="00747B85"/>
    <w:rsid w:val="0075069E"/>
    <w:rsid w:val="00751162"/>
    <w:rsid w:val="007512C4"/>
    <w:rsid w:val="00751348"/>
    <w:rsid w:val="007515C2"/>
    <w:rsid w:val="00751991"/>
    <w:rsid w:val="007519F6"/>
    <w:rsid w:val="007523A5"/>
    <w:rsid w:val="0075283A"/>
    <w:rsid w:val="00752E9D"/>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550"/>
    <w:rsid w:val="007609FD"/>
    <w:rsid w:val="00760D20"/>
    <w:rsid w:val="00760D99"/>
    <w:rsid w:val="00761033"/>
    <w:rsid w:val="00761259"/>
    <w:rsid w:val="00761518"/>
    <w:rsid w:val="007615A3"/>
    <w:rsid w:val="00762155"/>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672D4"/>
    <w:rsid w:val="00770032"/>
    <w:rsid w:val="007700C7"/>
    <w:rsid w:val="0077013F"/>
    <w:rsid w:val="0077072F"/>
    <w:rsid w:val="00771D0D"/>
    <w:rsid w:val="00771DF6"/>
    <w:rsid w:val="0077203E"/>
    <w:rsid w:val="007734CD"/>
    <w:rsid w:val="007734DC"/>
    <w:rsid w:val="00773827"/>
    <w:rsid w:val="00773A07"/>
    <w:rsid w:val="00773EA7"/>
    <w:rsid w:val="0077492A"/>
    <w:rsid w:val="00774C2E"/>
    <w:rsid w:val="00774DA4"/>
    <w:rsid w:val="007753DD"/>
    <w:rsid w:val="00775530"/>
    <w:rsid w:val="0077583D"/>
    <w:rsid w:val="00776007"/>
    <w:rsid w:val="0077705A"/>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27"/>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075"/>
    <w:rsid w:val="007905FA"/>
    <w:rsid w:val="00790642"/>
    <w:rsid w:val="00790C07"/>
    <w:rsid w:val="00790C2A"/>
    <w:rsid w:val="00790F32"/>
    <w:rsid w:val="00791056"/>
    <w:rsid w:val="00791236"/>
    <w:rsid w:val="007914EB"/>
    <w:rsid w:val="0079154D"/>
    <w:rsid w:val="007927BD"/>
    <w:rsid w:val="00792851"/>
    <w:rsid w:val="00792B0A"/>
    <w:rsid w:val="00792EA6"/>
    <w:rsid w:val="00793DD0"/>
    <w:rsid w:val="00793F51"/>
    <w:rsid w:val="00794662"/>
    <w:rsid w:val="007946A0"/>
    <w:rsid w:val="00794DBA"/>
    <w:rsid w:val="00795B1F"/>
    <w:rsid w:val="00796656"/>
    <w:rsid w:val="00796CE4"/>
    <w:rsid w:val="007976D4"/>
    <w:rsid w:val="007978C1"/>
    <w:rsid w:val="00797A40"/>
    <w:rsid w:val="007A08A9"/>
    <w:rsid w:val="007A11A5"/>
    <w:rsid w:val="007A1399"/>
    <w:rsid w:val="007A1586"/>
    <w:rsid w:val="007A1EA9"/>
    <w:rsid w:val="007A25F0"/>
    <w:rsid w:val="007A26DA"/>
    <w:rsid w:val="007A2C99"/>
    <w:rsid w:val="007A2E4E"/>
    <w:rsid w:val="007A325B"/>
    <w:rsid w:val="007A39C1"/>
    <w:rsid w:val="007A3C8F"/>
    <w:rsid w:val="007A3F0D"/>
    <w:rsid w:val="007A44A0"/>
    <w:rsid w:val="007A53DD"/>
    <w:rsid w:val="007A54BE"/>
    <w:rsid w:val="007A596F"/>
    <w:rsid w:val="007A59B1"/>
    <w:rsid w:val="007A5D24"/>
    <w:rsid w:val="007A6106"/>
    <w:rsid w:val="007A6520"/>
    <w:rsid w:val="007A6BEE"/>
    <w:rsid w:val="007A6DC1"/>
    <w:rsid w:val="007A7727"/>
    <w:rsid w:val="007A78CB"/>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6F4"/>
    <w:rsid w:val="007B4E87"/>
    <w:rsid w:val="007B4F5B"/>
    <w:rsid w:val="007B568D"/>
    <w:rsid w:val="007B578D"/>
    <w:rsid w:val="007B59F8"/>
    <w:rsid w:val="007B5C42"/>
    <w:rsid w:val="007B6DC2"/>
    <w:rsid w:val="007B7519"/>
    <w:rsid w:val="007B768C"/>
    <w:rsid w:val="007C0C38"/>
    <w:rsid w:val="007C0E3D"/>
    <w:rsid w:val="007C185F"/>
    <w:rsid w:val="007C1EE5"/>
    <w:rsid w:val="007C21B7"/>
    <w:rsid w:val="007C223A"/>
    <w:rsid w:val="007C2613"/>
    <w:rsid w:val="007C3798"/>
    <w:rsid w:val="007C3D10"/>
    <w:rsid w:val="007C3F5B"/>
    <w:rsid w:val="007C42C4"/>
    <w:rsid w:val="007C43ED"/>
    <w:rsid w:val="007C4C14"/>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1AAE"/>
    <w:rsid w:val="007D249B"/>
    <w:rsid w:val="007D2AAD"/>
    <w:rsid w:val="007D306B"/>
    <w:rsid w:val="007D31F3"/>
    <w:rsid w:val="007D34CA"/>
    <w:rsid w:val="007D387D"/>
    <w:rsid w:val="007D45C2"/>
    <w:rsid w:val="007D4738"/>
    <w:rsid w:val="007D48F4"/>
    <w:rsid w:val="007D4EC0"/>
    <w:rsid w:val="007D50A3"/>
    <w:rsid w:val="007D5A1C"/>
    <w:rsid w:val="007D5AFD"/>
    <w:rsid w:val="007D67FB"/>
    <w:rsid w:val="007D6A27"/>
    <w:rsid w:val="007D6A91"/>
    <w:rsid w:val="007D6B6A"/>
    <w:rsid w:val="007D6F07"/>
    <w:rsid w:val="007D71CB"/>
    <w:rsid w:val="007D7938"/>
    <w:rsid w:val="007E0097"/>
    <w:rsid w:val="007E02BE"/>
    <w:rsid w:val="007E0980"/>
    <w:rsid w:val="007E12CF"/>
    <w:rsid w:val="007E15E2"/>
    <w:rsid w:val="007E1C03"/>
    <w:rsid w:val="007E1C62"/>
    <w:rsid w:val="007E21B6"/>
    <w:rsid w:val="007E2F63"/>
    <w:rsid w:val="007E314E"/>
    <w:rsid w:val="007E317F"/>
    <w:rsid w:val="007E3C64"/>
    <w:rsid w:val="007E42E7"/>
    <w:rsid w:val="007E480B"/>
    <w:rsid w:val="007E547E"/>
    <w:rsid w:val="007E57DA"/>
    <w:rsid w:val="007E59F7"/>
    <w:rsid w:val="007E6E24"/>
    <w:rsid w:val="007E7147"/>
    <w:rsid w:val="007F045E"/>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080"/>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5C"/>
    <w:rsid w:val="007F6BCF"/>
    <w:rsid w:val="007F6D26"/>
    <w:rsid w:val="007F77B5"/>
    <w:rsid w:val="007F780C"/>
    <w:rsid w:val="007F7F46"/>
    <w:rsid w:val="00800139"/>
    <w:rsid w:val="008002C6"/>
    <w:rsid w:val="008003F6"/>
    <w:rsid w:val="008011F8"/>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65A"/>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4A8"/>
    <w:rsid w:val="008405C0"/>
    <w:rsid w:val="00840A81"/>
    <w:rsid w:val="0084119E"/>
    <w:rsid w:val="0084159B"/>
    <w:rsid w:val="008419CE"/>
    <w:rsid w:val="0084213A"/>
    <w:rsid w:val="00842650"/>
    <w:rsid w:val="00842A29"/>
    <w:rsid w:val="008436FF"/>
    <w:rsid w:val="00844168"/>
    <w:rsid w:val="00844879"/>
    <w:rsid w:val="008448D5"/>
    <w:rsid w:val="00844BA3"/>
    <w:rsid w:val="0084526F"/>
    <w:rsid w:val="00845424"/>
    <w:rsid w:val="00845751"/>
    <w:rsid w:val="008457CA"/>
    <w:rsid w:val="00845B6E"/>
    <w:rsid w:val="0084636A"/>
    <w:rsid w:val="0084637A"/>
    <w:rsid w:val="008464C3"/>
    <w:rsid w:val="00846FCE"/>
    <w:rsid w:val="008477F7"/>
    <w:rsid w:val="00847A0F"/>
    <w:rsid w:val="00847EB6"/>
    <w:rsid w:val="00850026"/>
    <w:rsid w:val="00850548"/>
    <w:rsid w:val="008507E6"/>
    <w:rsid w:val="008509C9"/>
    <w:rsid w:val="008510CB"/>
    <w:rsid w:val="00851C6B"/>
    <w:rsid w:val="00851D0A"/>
    <w:rsid w:val="00852383"/>
    <w:rsid w:val="00852ECE"/>
    <w:rsid w:val="008534ED"/>
    <w:rsid w:val="00853AFB"/>
    <w:rsid w:val="00853B2D"/>
    <w:rsid w:val="00853D0C"/>
    <w:rsid w:val="00854107"/>
    <w:rsid w:val="00854190"/>
    <w:rsid w:val="00854194"/>
    <w:rsid w:val="00854481"/>
    <w:rsid w:val="0085459B"/>
    <w:rsid w:val="008549FC"/>
    <w:rsid w:val="00854DBE"/>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A4"/>
    <w:rsid w:val="00860CEA"/>
    <w:rsid w:val="00860E43"/>
    <w:rsid w:val="0086146D"/>
    <w:rsid w:val="008618FC"/>
    <w:rsid w:val="00861991"/>
    <w:rsid w:val="008626FC"/>
    <w:rsid w:val="008628CA"/>
    <w:rsid w:val="008628FA"/>
    <w:rsid w:val="00863025"/>
    <w:rsid w:val="008633F1"/>
    <w:rsid w:val="00863833"/>
    <w:rsid w:val="00863C38"/>
    <w:rsid w:val="00864106"/>
    <w:rsid w:val="00864591"/>
    <w:rsid w:val="008645A2"/>
    <w:rsid w:val="00864BCE"/>
    <w:rsid w:val="00864F74"/>
    <w:rsid w:val="00865301"/>
    <w:rsid w:val="00865381"/>
    <w:rsid w:val="008655ED"/>
    <w:rsid w:val="008656C4"/>
    <w:rsid w:val="008656EF"/>
    <w:rsid w:val="00865AEC"/>
    <w:rsid w:val="00865B01"/>
    <w:rsid w:val="00865E8F"/>
    <w:rsid w:val="00866091"/>
    <w:rsid w:val="0086617B"/>
    <w:rsid w:val="008665F7"/>
    <w:rsid w:val="008667E2"/>
    <w:rsid w:val="00866A0D"/>
    <w:rsid w:val="00867727"/>
    <w:rsid w:val="00867890"/>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A74"/>
    <w:rsid w:val="00874CDE"/>
    <w:rsid w:val="00874F25"/>
    <w:rsid w:val="008753F2"/>
    <w:rsid w:val="00875E4F"/>
    <w:rsid w:val="00876F3C"/>
    <w:rsid w:val="00876FFA"/>
    <w:rsid w:val="00880256"/>
    <w:rsid w:val="00880284"/>
    <w:rsid w:val="008802EC"/>
    <w:rsid w:val="00880329"/>
    <w:rsid w:val="00880D8B"/>
    <w:rsid w:val="00880FE2"/>
    <w:rsid w:val="00881083"/>
    <w:rsid w:val="008819C3"/>
    <w:rsid w:val="00881AB2"/>
    <w:rsid w:val="0088255E"/>
    <w:rsid w:val="00882963"/>
    <w:rsid w:val="00882FA5"/>
    <w:rsid w:val="008831F7"/>
    <w:rsid w:val="0088359C"/>
    <w:rsid w:val="00883E4F"/>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1A"/>
    <w:rsid w:val="00890B55"/>
    <w:rsid w:val="0089121F"/>
    <w:rsid w:val="008916D8"/>
    <w:rsid w:val="008918FC"/>
    <w:rsid w:val="00891D23"/>
    <w:rsid w:val="00891D74"/>
    <w:rsid w:val="00892005"/>
    <w:rsid w:val="008922A1"/>
    <w:rsid w:val="00893097"/>
    <w:rsid w:val="008930EC"/>
    <w:rsid w:val="00893406"/>
    <w:rsid w:val="008938BA"/>
    <w:rsid w:val="00893FE6"/>
    <w:rsid w:val="008943F0"/>
    <w:rsid w:val="00894600"/>
    <w:rsid w:val="00894C53"/>
    <w:rsid w:val="00894C62"/>
    <w:rsid w:val="00895F36"/>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6CF5"/>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0F"/>
    <w:rsid w:val="008B5954"/>
    <w:rsid w:val="008B5E73"/>
    <w:rsid w:val="008B61A1"/>
    <w:rsid w:val="008B6413"/>
    <w:rsid w:val="008B6FF9"/>
    <w:rsid w:val="008B73E0"/>
    <w:rsid w:val="008B7885"/>
    <w:rsid w:val="008B7D39"/>
    <w:rsid w:val="008C013F"/>
    <w:rsid w:val="008C103F"/>
    <w:rsid w:val="008C1820"/>
    <w:rsid w:val="008C18FD"/>
    <w:rsid w:val="008C1A52"/>
    <w:rsid w:val="008C23BD"/>
    <w:rsid w:val="008C25EA"/>
    <w:rsid w:val="008C29F0"/>
    <w:rsid w:val="008C2D23"/>
    <w:rsid w:val="008C305F"/>
    <w:rsid w:val="008C3522"/>
    <w:rsid w:val="008C41F4"/>
    <w:rsid w:val="008C51CD"/>
    <w:rsid w:val="008C5435"/>
    <w:rsid w:val="008C55CF"/>
    <w:rsid w:val="008C5645"/>
    <w:rsid w:val="008C5ADD"/>
    <w:rsid w:val="008C6A31"/>
    <w:rsid w:val="008C6EC6"/>
    <w:rsid w:val="008C736F"/>
    <w:rsid w:val="008C76B8"/>
    <w:rsid w:val="008C78C5"/>
    <w:rsid w:val="008C79B4"/>
    <w:rsid w:val="008C7F90"/>
    <w:rsid w:val="008D00B5"/>
    <w:rsid w:val="008D0180"/>
    <w:rsid w:val="008D0721"/>
    <w:rsid w:val="008D09A9"/>
    <w:rsid w:val="008D0A2E"/>
    <w:rsid w:val="008D0A55"/>
    <w:rsid w:val="008D151F"/>
    <w:rsid w:val="008D1D18"/>
    <w:rsid w:val="008D1FBA"/>
    <w:rsid w:val="008D2053"/>
    <w:rsid w:val="008D24E0"/>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52D0"/>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0E7"/>
    <w:rsid w:val="008F1369"/>
    <w:rsid w:val="008F1CA2"/>
    <w:rsid w:val="008F1CFF"/>
    <w:rsid w:val="008F2100"/>
    <w:rsid w:val="008F2829"/>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039B"/>
    <w:rsid w:val="009010F9"/>
    <w:rsid w:val="0090129C"/>
    <w:rsid w:val="00903328"/>
    <w:rsid w:val="009036A8"/>
    <w:rsid w:val="00903B09"/>
    <w:rsid w:val="009048F0"/>
    <w:rsid w:val="00904CBF"/>
    <w:rsid w:val="00904FE3"/>
    <w:rsid w:val="0090508B"/>
    <w:rsid w:val="00905885"/>
    <w:rsid w:val="00905F50"/>
    <w:rsid w:val="0090605D"/>
    <w:rsid w:val="00906AF9"/>
    <w:rsid w:val="00907220"/>
    <w:rsid w:val="00907297"/>
    <w:rsid w:val="00907326"/>
    <w:rsid w:val="00907933"/>
    <w:rsid w:val="00910263"/>
    <w:rsid w:val="00910421"/>
    <w:rsid w:val="00910574"/>
    <w:rsid w:val="00910F74"/>
    <w:rsid w:val="00911135"/>
    <w:rsid w:val="009111E9"/>
    <w:rsid w:val="009117EB"/>
    <w:rsid w:val="00911B5E"/>
    <w:rsid w:val="0091219C"/>
    <w:rsid w:val="00912901"/>
    <w:rsid w:val="00912945"/>
    <w:rsid w:val="00912C67"/>
    <w:rsid w:val="009131C4"/>
    <w:rsid w:val="0091354A"/>
    <w:rsid w:val="00913727"/>
    <w:rsid w:val="00913F7F"/>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6AD"/>
    <w:rsid w:val="00926C3D"/>
    <w:rsid w:val="00927011"/>
    <w:rsid w:val="0092766F"/>
    <w:rsid w:val="00927A83"/>
    <w:rsid w:val="00927B47"/>
    <w:rsid w:val="0093009C"/>
    <w:rsid w:val="009313D6"/>
    <w:rsid w:val="0093156F"/>
    <w:rsid w:val="009316FA"/>
    <w:rsid w:val="00931999"/>
    <w:rsid w:val="00931DB7"/>
    <w:rsid w:val="00931E3B"/>
    <w:rsid w:val="009321E9"/>
    <w:rsid w:val="009324E0"/>
    <w:rsid w:val="00932956"/>
    <w:rsid w:val="00932DC8"/>
    <w:rsid w:val="00932E68"/>
    <w:rsid w:val="0093309D"/>
    <w:rsid w:val="00933219"/>
    <w:rsid w:val="00933F6B"/>
    <w:rsid w:val="00934A6C"/>
    <w:rsid w:val="00934B1E"/>
    <w:rsid w:val="00934F66"/>
    <w:rsid w:val="00935A5F"/>
    <w:rsid w:val="00935CAF"/>
    <w:rsid w:val="00935EDA"/>
    <w:rsid w:val="0093645F"/>
    <w:rsid w:val="00936B4B"/>
    <w:rsid w:val="00936F6A"/>
    <w:rsid w:val="00937308"/>
    <w:rsid w:val="009373FB"/>
    <w:rsid w:val="00937436"/>
    <w:rsid w:val="0094023F"/>
    <w:rsid w:val="00940723"/>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7C5"/>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0F4"/>
    <w:rsid w:val="00960480"/>
    <w:rsid w:val="00960960"/>
    <w:rsid w:val="00960BDD"/>
    <w:rsid w:val="00960D57"/>
    <w:rsid w:val="009611A4"/>
    <w:rsid w:val="00961BD9"/>
    <w:rsid w:val="00961CA6"/>
    <w:rsid w:val="0096218F"/>
    <w:rsid w:val="00962876"/>
    <w:rsid w:val="00962ABF"/>
    <w:rsid w:val="009632EA"/>
    <w:rsid w:val="00963305"/>
    <w:rsid w:val="009636B9"/>
    <w:rsid w:val="00963D43"/>
    <w:rsid w:val="00963DF0"/>
    <w:rsid w:val="00963EE8"/>
    <w:rsid w:val="00964348"/>
    <w:rsid w:val="00964CE2"/>
    <w:rsid w:val="00964D3E"/>
    <w:rsid w:val="00964D4F"/>
    <w:rsid w:val="00964EDC"/>
    <w:rsid w:val="0096570A"/>
    <w:rsid w:val="0096597E"/>
    <w:rsid w:val="00965FE4"/>
    <w:rsid w:val="009665FF"/>
    <w:rsid w:val="0096687C"/>
    <w:rsid w:val="00966A21"/>
    <w:rsid w:val="00967264"/>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757"/>
    <w:rsid w:val="009769B2"/>
    <w:rsid w:val="00976D68"/>
    <w:rsid w:val="00976DFB"/>
    <w:rsid w:val="009776A9"/>
    <w:rsid w:val="009777C1"/>
    <w:rsid w:val="009779F4"/>
    <w:rsid w:val="00977F1B"/>
    <w:rsid w:val="00980013"/>
    <w:rsid w:val="00980B5C"/>
    <w:rsid w:val="0098179A"/>
    <w:rsid w:val="0098209F"/>
    <w:rsid w:val="009825CA"/>
    <w:rsid w:val="00982967"/>
    <w:rsid w:val="00983817"/>
    <w:rsid w:val="00983C71"/>
    <w:rsid w:val="00983E46"/>
    <w:rsid w:val="009846F7"/>
    <w:rsid w:val="009848DB"/>
    <w:rsid w:val="009853A2"/>
    <w:rsid w:val="00985462"/>
    <w:rsid w:val="0098587E"/>
    <w:rsid w:val="0098591D"/>
    <w:rsid w:val="00985BEA"/>
    <w:rsid w:val="00985D9E"/>
    <w:rsid w:val="00986154"/>
    <w:rsid w:val="009864B5"/>
    <w:rsid w:val="009871C9"/>
    <w:rsid w:val="0098763B"/>
    <w:rsid w:val="0098793C"/>
    <w:rsid w:val="00987BA3"/>
    <w:rsid w:val="0099012D"/>
    <w:rsid w:val="009909B8"/>
    <w:rsid w:val="00990F73"/>
    <w:rsid w:val="0099143D"/>
    <w:rsid w:val="00991AA3"/>
    <w:rsid w:val="009921E6"/>
    <w:rsid w:val="00992374"/>
    <w:rsid w:val="00992431"/>
    <w:rsid w:val="0099270F"/>
    <w:rsid w:val="009929B6"/>
    <w:rsid w:val="00992B01"/>
    <w:rsid w:val="00993053"/>
    <w:rsid w:val="0099333A"/>
    <w:rsid w:val="00993D03"/>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8C"/>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AB8"/>
    <w:rsid w:val="009A6EB8"/>
    <w:rsid w:val="009A70C4"/>
    <w:rsid w:val="009A7B93"/>
    <w:rsid w:val="009A7CE1"/>
    <w:rsid w:val="009A7E5C"/>
    <w:rsid w:val="009B013E"/>
    <w:rsid w:val="009B0237"/>
    <w:rsid w:val="009B03A5"/>
    <w:rsid w:val="009B097E"/>
    <w:rsid w:val="009B0D08"/>
    <w:rsid w:val="009B0E57"/>
    <w:rsid w:val="009B1371"/>
    <w:rsid w:val="009B1D72"/>
    <w:rsid w:val="009B1F76"/>
    <w:rsid w:val="009B25CD"/>
    <w:rsid w:val="009B2629"/>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2ACE"/>
    <w:rsid w:val="009C30E2"/>
    <w:rsid w:val="009C33D2"/>
    <w:rsid w:val="009C3CF6"/>
    <w:rsid w:val="009C3E0A"/>
    <w:rsid w:val="009C3FEC"/>
    <w:rsid w:val="009C40CE"/>
    <w:rsid w:val="009C46A5"/>
    <w:rsid w:val="009C4A33"/>
    <w:rsid w:val="009C4A41"/>
    <w:rsid w:val="009C4B6B"/>
    <w:rsid w:val="009C516B"/>
    <w:rsid w:val="009C5966"/>
    <w:rsid w:val="009C6036"/>
    <w:rsid w:val="009C6867"/>
    <w:rsid w:val="009C77AF"/>
    <w:rsid w:val="009D045F"/>
    <w:rsid w:val="009D05BF"/>
    <w:rsid w:val="009D060D"/>
    <w:rsid w:val="009D07C3"/>
    <w:rsid w:val="009D0A8F"/>
    <w:rsid w:val="009D0EBC"/>
    <w:rsid w:val="009D0FF8"/>
    <w:rsid w:val="009D19E0"/>
    <w:rsid w:val="009D1A77"/>
    <w:rsid w:val="009D1B63"/>
    <w:rsid w:val="009D1BEC"/>
    <w:rsid w:val="009D1E9D"/>
    <w:rsid w:val="009D1F60"/>
    <w:rsid w:val="009D203E"/>
    <w:rsid w:val="009D227B"/>
    <w:rsid w:val="009D22E3"/>
    <w:rsid w:val="009D2EB9"/>
    <w:rsid w:val="009D2EBA"/>
    <w:rsid w:val="009D2FC6"/>
    <w:rsid w:val="009D3148"/>
    <w:rsid w:val="009D3702"/>
    <w:rsid w:val="009D388C"/>
    <w:rsid w:val="009D3993"/>
    <w:rsid w:val="009D3E01"/>
    <w:rsid w:val="009D435B"/>
    <w:rsid w:val="009D44D6"/>
    <w:rsid w:val="009D4C66"/>
    <w:rsid w:val="009D5283"/>
    <w:rsid w:val="009D5305"/>
    <w:rsid w:val="009D568A"/>
    <w:rsid w:val="009D5B8D"/>
    <w:rsid w:val="009D628D"/>
    <w:rsid w:val="009D6497"/>
    <w:rsid w:val="009D71FF"/>
    <w:rsid w:val="009D73A1"/>
    <w:rsid w:val="009D798A"/>
    <w:rsid w:val="009D7E3B"/>
    <w:rsid w:val="009E0097"/>
    <w:rsid w:val="009E0419"/>
    <w:rsid w:val="009E0557"/>
    <w:rsid w:val="009E0720"/>
    <w:rsid w:val="009E0970"/>
    <w:rsid w:val="009E0F3D"/>
    <w:rsid w:val="009E2426"/>
    <w:rsid w:val="009E25BC"/>
    <w:rsid w:val="009E304F"/>
    <w:rsid w:val="009E3553"/>
    <w:rsid w:val="009E3C2E"/>
    <w:rsid w:val="009E4AD6"/>
    <w:rsid w:val="009E4AE5"/>
    <w:rsid w:val="009E543F"/>
    <w:rsid w:val="009E5700"/>
    <w:rsid w:val="009E5BDB"/>
    <w:rsid w:val="009E5F82"/>
    <w:rsid w:val="009E646D"/>
    <w:rsid w:val="009E6CCC"/>
    <w:rsid w:val="009E75BB"/>
    <w:rsid w:val="009E76BB"/>
    <w:rsid w:val="009E7CE5"/>
    <w:rsid w:val="009E7D99"/>
    <w:rsid w:val="009F01A8"/>
    <w:rsid w:val="009F033E"/>
    <w:rsid w:val="009F03F4"/>
    <w:rsid w:val="009F0675"/>
    <w:rsid w:val="009F0E49"/>
    <w:rsid w:val="009F1386"/>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8C2"/>
    <w:rsid w:val="009F6C52"/>
    <w:rsid w:val="009F6CB1"/>
    <w:rsid w:val="009F731E"/>
    <w:rsid w:val="009F7795"/>
    <w:rsid w:val="009F786B"/>
    <w:rsid w:val="009F797E"/>
    <w:rsid w:val="009F79CF"/>
    <w:rsid w:val="00A001FE"/>
    <w:rsid w:val="00A00322"/>
    <w:rsid w:val="00A00611"/>
    <w:rsid w:val="00A00944"/>
    <w:rsid w:val="00A0169A"/>
    <w:rsid w:val="00A01F0D"/>
    <w:rsid w:val="00A027BA"/>
    <w:rsid w:val="00A02C8D"/>
    <w:rsid w:val="00A02DD0"/>
    <w:rsid w:val="00A036A0"/>
    <w:rsid w:val="00A037A4"/>
    <w:rsid w:val="00A03C3A"/>
    <w:rsid w:val="00A040E8"/>
    <w:rsid w:val="00A0455D"/>
    <w:rsid w:val="00A045C5"/>
    <w:rsid w:val="00A046B0"/>
    <w:rsid w:val="00A04899"/>
    <w:rsid w:val="00A04950"/>
    <w:rsid w:val="00A04B51"/>
    <w:rsid w:val="00A04EA7"/>
    <w:rsid w:val="00A058AB"/>
    <w:rsid w:val="00A0606A"/>
    <w:rsid w:val="00A06F24"/>
    <w:rsid w:val="00A071AD"/>
    <w:rsid w:val="00A07267"/>
    <w:rsid w:val="00A0728A"/>
    <w:rsid w:val="00A0730C"/>
    <w:rsid w:val="00A07AE8"/>
    <w:rsid w:val="00A07B90"/>
    <w:rsid w:val="00A1035E"/>
    <w:rsid w:val="00A1102D"/>
    <w:rsid w:val="00A112DB"/>
    <w:rsid w:val="00A11343"/>
    <w:rsid w:val="00A11791"/>
    <w:rsid w:val="00A11829"/>
    <w:rsid w:val="00A11EC6"/>
    <w:rsid w:val="00A1281A"/>
    <w:rsid w:val="00A1370A"/>
    <w:rsid w:val="00A13B19"/>
    <w:rsid w:val="00A13DB2"/>
    <w:rsid w:val="00A13DF0"/>
    <w:rsid w:val="00A13F70"/>
    <w:rsid w:val="00A141F8"/>
    <w:rsid w:val="00A142F3"/>
    <w:rsid w:val="00A14C03"/>
    <w:rsid w:val="00A14CC1"/>
    <w:rsid w:val="00A14E0C"/>
    <w:rsid w:val="00A1537F"/>
    <w:rsid w:val="00A15BA0"/>
    <w:rsid w:val="00A15C20"/>
    <w:rsid w:val="00A15C66"/>
    <w:rsid w:val="00A16FFF"/>
    <w:rsid w:val="00A17B4E"/>
    <w:rsid w:val="00A17C8D"/>
    <w:rsid w:val="00A200E2"/>
    <w:rsid w:val="00A20208"/>
    <w:rsid w:val="00A20244"/>
    <w:rsid w:val="00A20619"/>
    <w:rsid w:val="00A20EA7"/>
    <w:rsid w:val="00A2149B"/>
    <w:rsid w:val="00A214CC"/>
    <w:rsid w:val="00A21722"/>
    <w:rsid w:val="00A21807"/>
    <w:rsid w:val="00A22001"/>
    <w:rsid w:val="00A222E7"/>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4E6"/>
    <w:rsid w:val="00A31749"/>
    <w:rsid w:val="00A31796"/>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379A1"/>
    <w:rsid w:val="00A402A4"/>
    <w:rsid w:val="00A405CF"/>
    <w:rsid w:val="00A40C38"/>
    <w:rsid w:val="00A4100F"/>
    <w:rsid w:val="00A41673"/>
    <w:rsid w:val="00A41698"/>
    <w:rsid w:val="00A4174B"/>
    <w:rsid w:val="00A41A4F"/>
    <w:rsid w:val="00A41B59"/>
    <w:rsid w:val="00A41BA7"/>
    <w:rsid w:val="00A41C09"/>
    <w:rsid w:val="00A41E5B"/>
    <w:rsid w:val="00A41F7D"/>
    <w:rsid w:val="00A41F99"/>
    <w:rsid w:val="00A42194"/>
    <w:rsid w:val="00A42278"/>
    <w:rsid w:val="00A42338"/>
    <w:rsid w:val="00A4292C"/>
    <w:rsid w:val="00A429F9"/>
    <w:rsid w:val="00A42DBA"/>
    <w:rsid w:val="00A4343E"/>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AD4"/>
    <w:rsid w:val="00A50E21"/>
    <w:rsid w:val="00A510C3"/>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5DFD"/>
    <w:rsid w:val="00A56472"/>
    <w:rsid w:val="00A5662C"/>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53F"/>
    <w:rsid w:val="00A67658"/>
    <w:rsid w:val="00A67B89"/>
    <w:rsid w:val="00A67CA2"/>
    <w:rsid w:val="00A67DAD"/>
    <w:rsid w:val="00A67DB8"/>
    <w:rsid w:val="00A70159"/>
    <w:rsid w:val="00A7043C"/>
    <w:rsid w:val="00A70938"/>
    <w:rsid w:val="00A70B31"/>
    <w:rsid w:val="00A70C29"/>
    <w:rsid w:val="00A7175D"/>
    <w:rsid w:val="00A719AF"/>
    <w:rsid w:val="00A719C1"/>
    <w:rsid w:val="00A7279A"/>
    <w:rsid w:val="00A72C41"/>
    <w:rsid w:val="00A73193"/>
    <w:rsid w:val="00A73716"/>
    <w:rsid w:val="00A73827"/>
    <w:rsid w:val="00A74A9D"/>
    <w:rsid w:val="00A75FE8"/>
    <w:rsid w:val="00A762A1"/>
    <w:rsid w:val="00A76D35"/>
    <w:rsid w:val="00A77268"/>
    <w:rsid w:val="00A77A84"/>
    <w:rsid w:val="00A77E3C"/>
    <w:rsid w:val="00A77E8A"/>
    <w:rsid w:val="00A8061F"/>
    <w:rsid w:val="00A8068F"/>
    <w:rsid w:val="00A80BCC"/>
    <w:rsid w:val="00A80D2D"/>
    <w:rsid w:val="00A80DCB"/>
    <w:rsid w:val="00A81977"/>
    <w:rsid w:val="00A81D70"/>
    <w:rsid w:val="00A81E83"/>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17BC"/>
    <w:rsid w:val="00A9219F"/>
    <w:rsid w:val="00A92BCC"/>
    <w:rsid w:val="00A932E8"/>
    <w:rsid w:val="00A93955"/>
    <w:rsid w:val="00A93B28"/>
    <w:rsid w:val="00A93CDD"/>
    <w:rsid w:val="00A93D07"/>
    <w:rsid w:val="00A941DD"/>
    <w:rsid w:val="00A9435D"/>
    <w:rsid w:val="00A94D25"/>
    <w:rsid w:val="00A94F84"/>
    <w:rsid w:val="00A94FE2"/>
    <w:rsid w:val="00A94FF9"/>
    <w:rsid w:val="00A95186"/>
    <w:rsid w:val="00A95527"/>
    <w:rsid w:val="00A959EB"/>
    <w:rsid w:val="00A95A25"/>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B39"/>
    <w:rsid w:val="00AA2C48"/>
    <w:rsid w:val="00AA36F1"/>
    <w:rsid w:val="00AA3864"/>
    <w:rsid w:val="00AA38A9"/>
    <w:rsid w:val="00AA399A"/>
    <w:rsid w:val="00AA3A6B"/>
    <w:rsid w:val="00AA3A9E"/>
    <w:rsid w:val="00AA3E93"/>
    <w:rsid w:val="00AA44FF"/>
    <w:rsid w:val="00AA4565"/>
    <w:rsid w:val="00AA4BE0"/>
    <w:rsid w:val="00AA4BE4"/>
    <w:rsid w:val="00AA55D4"/>
    <w:rsid w:val="00AA5ABD"/>
    <w:rsid w:val="00AA614B"/>
    <w:rsid w:val="00AA61F2"/>
    <w:rsid w:val="00AA6C5A"/>
    <w:rsid w:val="00AA6D3C"/>
    <w:rsid w:val="00AA6F9D"/>
    <w:rsid w:val="00AA6FCF"/>
    <w:rsid w:val="00AA748E"/>
    <w:rsid w:val="00AA781B"/>
    <w:rsid w:val="00AA79CB"/>
    <w:rsid w:val="00AA7CAD"/>
    <w:rsid w:val="00AB06D9"/>
    <w:rsid w:val="00AB0E3A"/>
    <w:rsid w:val="00AB2323"/>
    <w:rsid w:val="00AB2A4A"/>
    <w:rsid w:val="00AB2F5E"/>
    <w:rsid w:val="00AB34FA"/>
    <w:rsid w:val="00AB364A"/>
    <w:rsid w:val="00AB3FAD"/>
    <w:rsid w:val="00AB4772"/>
    <w:rsid w:val="00AB546C"/>
    <w:rsid w:val="00AB546E"/>
    <w:rsid w:val="00AB5D99"/>
    <w:rsid w:val="00AB6560"/>
    <w:rsid w:val="00AB6B3E"/>
    <w:rsid w:val="00AB7413"/>
    <w:rsid w:val="00AB75F4"/>
    <w:rsid w:val="00AB78C4"/>
    <w:rsid w:val="00AB7DC1"/>
    <w:rsid w:val="00AC038E"/>
    <w:rsid w:val="00AC06DA"/>
    <w:rsid w:val="00AC23A5"/>
    <w:rsid w:val="00AC28BB"/>
    <w:rsid w:val="00AC2976"/>
    <w:rsid w:val="00AC2A72"/>
    <w:rsid w:val="00AC2B90"/>
    <w:rsid w:val="00AC2D58"/>
    <w:rsid w:val="00AC2F64"/>
    <w:rsid w:val="00AC32F8"/>
    <w:rsid w:val="00AC35E0"/>
    <w:rsid w:val="00AC3E7B"/>
    <w:rsid w:val="00AC4A56"/>
    <w:rsid w:val="00AC4AC4"/>
    <w:rsid w:val="00AC4B5A"/>
    <w:rsid w:val="00AC4DF4"/>
    <w:rsid w:val="00AC593B"/>
    <w:rsid w:val="00AC5F63"/>
    <w:rsid w:val="00AC641D"/>
    <w:rsid w:val="00AC66F8"/>
    <w:rsid w:val="00AC6830"/>
    <w:rsid w:val="00AC6D1B"/>
    <w:rsid w:val="00AC6DFF"/>
    <w:rsid w:val="00AC6F48"/>
    <w:rsid w:val="00AC701E"/>
    <w:rsid w:val="00AC74DA"/>
    <w:rsid w:val="00AC7FD5"/>
    <w:rsid w:val="00AD0512"/>
    <w:rsid w:val="00AD112D"/>
    <w:rsid w:val="00AD1170"/>
    <w:rsid w:val="00AD1345"/>
    <w:rsid w:val="00AD1722"/>
    <w:rsid w:val="00AD1917"/>
    <w:rsid w:val="00AD1BDB"/>
    <w:rsid w:val="00AD1C83"/>
    <w:rsid w:val="00AD25D0"/>
    <w:rsid w:val="00AD2771"/>
    <w:rsid w:val="00AD2AAC"/>
    <w:rsid w:val="00AD2D74"/>
    <w:rsid w:val="00AD33CB"/>
    <w:rsid w:val="00AD377D"/>
    <w:rsid w:val="00AD3A86"/>
    <w:rsid w:val="00AD3AAE"/>
    <w:rsid w:val="00AD3B62"/>
    <w:rsid w:val="00AD3F01"/>
    <w:rsid w:val="00AD42D5"/>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0E3F"/>
    <w:rsid w:val="00AE1543"/>
    <w:rsid w:val="00AE1669"/>
    <w:rsid w:val="00AE16A2"/>
    <w:rsid w:val="00AE1BD4"/>
    <w:rsid w:val="00AE1C6A"/>
    <w:rsid w:val="00AE22B7"/>
    <w:rsid w:val="00AE2314"/>
    <w:rsid w:val="00AE284F"/>
    <w:rsid w:val="00AE2A3A"/>
    <w:rsid w:val="00AE2DD7"/>
    <w:rsid w:val="00AE319C"/>
    <w:rsid w:val="00AE3D22"/>
    <w:rsid w:val="00AE3D82"/>
    <w:rsid w:val="00AE438F"/>
    <w:rsid w:val="00AE4415"/>
    <w:rsid w:val="00AE4538"/>
    <w:rsid w:val="00AE4C03"/>
    <w:rsid w:val="00AE5436"/>
    <w:rsid w:val="00AE5690"/>
    <w:rsid w:val="00AE57B3"/>
    <w:rsid w:val="00AE57F5"/>
    <w:rsid w:val="00AE5DF2"/>
    <w:rsid w:val="00AE612E"/>
    <w:rsid w:val="00AE625F"/>
    <w:rsid w:val="00AE643A"/>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500"/>
    <w:rsid w:val="00B0077D"/>
    <w:rsid w:val="00B0099E"/>
    <w:rsid w:val="00B01951"/>
    <w:rsid w:val="00B019AF"/>
    <w:rsid w:val="00B0298F"/>
    <w:rsid w:val="00B02A82"/>
    <w:rsid w:val="00B0312C"/>
    <w:rsid w:val="00B03156"/>
    <w:rsid w:val="00B03224"/>
    <w:rsid w:val="00B03273"/>
    <w:rsid w:val="00B03A2C"/>
    <w:rsid w:val="00B041FC"/>
    <w:rsid w:val="00B0481D"/>
    <w:rsid w:val="00B0509A"/>
    <w:rsid w:val="00B050E4"/>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0970"/>
    <w:rsid w:val="00B1101F"/>
    <w:rsid w:val="00B1134F"/>
    <w:rsid w:val="00B11377"/>
    <w:rsid w:val="00B11EFE"/>
    <w:rsid w:val="00B12437"/>
    <w:rsid w:val="00B1313A"/>
    <w:rsid w:val="00B13675"/>
    <w:rsid w:val="00B1368E"/>
    <w:rsid w:val="00B150CF"/>
    <w:rsid w:val="00B1574A"/>
    <w:rsid w:val="00B16344"/>
    <w:rsid w:val="00B16E5A"/>
    <w:rsid w:val="00B17B47"/>
    <w:rsid w:val="00B17D03"/>
    <w:rsid w:val="00B20080"/>
    <w:rsid w:val="00B20149"/>
    <w:rsid w:val="00B20402"/>
    <w:rsid w:val="00B204F2"/>
    <w:rsid w:val="00B20734"/>
    <w:rsid w:val="00B20B6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899"/>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44C0"/>
    <w:rsid w:val="00B3572B"/>
    <w:rsid w:val="00B362A5"/>
    <w:rsid w:val="00B363F6"/>
    <w:rsid w:val="00B36841"/>
    <w:rsid w:val="00B36C3A"/>
    <w:rsid w:val="00B3766F"/>
    <w:rsid w:val="00B40093"/>
    <w:rsid w:val="00B40726"/>
    <w:rsid w:val="00B40A1A"/>
    <w:rsid w:val="00B40BE5"/>
    <w:rsid w:val="00B40C32"/>
    <w:rsid w:val="00B4109D"/>
    <w:rsid w:val="00B4168B"/>
    <w:rsid w:val="00B41E24"/>
    <w:rsid w:val="00B41F55"/>
    <w:rsid w:val="00B42493"/>
    <w:rsid w:val="00B42AEF"/>
    <w:rsid w:val="00B42C17"/>
    <w:rsid w:val="00B433BD"/>
    <w:rsid w:val="00B43C37"/>
    <w:rsid w:val="00B43EA8"/>
    <w:rsid w:val="00B45132"/>
    <w:rsid w:val="00B45F9F"/>
    <w:rsid w:val="00B46117"/>
    <w:rsid w:val="00B465B2"/>
    <w:rsid w:val="00B467FA"/>
    <w:rsid w:val="00B46A7F"/>
    <w:rsid w:val="00B46C2A"/>
    <w:rsid w:val="00B46D13"/>
    <w:rsid w:val="00B47A82"/>
    <w:rsid w:val="00B47D06"/>
    <w:rsid w:val="00B47EE2"/>
    <w:rsid w:val="00B50446"/>
    <w:rsid w:val="00B50694"/>
    <w:rsid w:val="00B50EF0"/>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9CF"/>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1DC1"/>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849"/>
    <w:rsid w:val="00B76B7D"/>
    <w:rsid w:val="00B7743A"/>
    <w:rsid w:val="00B7760C"/>
    <w:rsid w:val="00B77713"/>
    <w:rsid w:val="00B77C7F"/>
    <w:rsid w:val="00B77D78"/>
    <w:rsid w:val="00B77F28"/>
    <w:rsid w:val="00B80422"/>
    <w:rsid w:val="00B80489"/>
    <w:rsid w:val="00B8059E"/>
    <w:rsid w:val="00B805A8"/>
    <w:rsid w:val="00B81132"/>
    <w:rsid w:val="00B81BCA"/>
    <w:rsid w:val="00B81E73"/>
    <w:rsid w:val="00B82011"/>
    <w:rsid w:val="00B82214"/>
    <w:rsid w:val="00B82E6C"/>
    <w:rsid w:val="00B830A3"/>
    <w:rsid w:val="00B83593"/>
    <w:rsid w:val="00B83B6C"/>
    <w:rsid w:val="00B83C90"/>
    <w:rsid w:val="00B83F58"/>
    <w:rsid w:val="00B84044"/>
    <w:rsid w:val="00B842E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2F0A"/>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6AD"/>
    <w:rsid w:val="00BA19D8"/>
    <w:rsid w:val="00BA1BA6"/>
    <w:rsid w:val="00BA1CD0"/>
    <w:rsid w:val="00BA1EEF"/>
    <w:rsid w:val="00BA222C"/>
    <w:rsid w:val="00BA26B4"/>
    <w:rsid w:val="00BA3D40"/>
    <w:rsid w:val="00BA42E9"/>
    <w:rsid w:val="00BA4BB9"/>
    <w:rsid w:val="00BA54EB"/>
    <w:rsid w:val="00BA57B6"/>
    <w:rsid w:val="00BA5CBC"/>
    <w:rsid w:val="00BA6ED6"/>
    <w:rsid w:val="00BA720A"/>
    <w:rsid w:val="00BA747F"/>
    <w:rsid w:val="00BA78FB"/>
    <w:rsid w:val="00BA7FFE"/>
    <w:rsid w:val="00BB04DE"/>
    <w:rsid w:val="00BB05CF"/>
    <w:rsid w:val="00BB0B30"/>
    <w:rsid w:val="00BB0E41"/>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5E30"/>
    <w:rsid w:val="00BB745E"/>
    <w:rsid w:val="00BB7529"/>
    <w:rsid w:val="00BB7F3C"/>
    <w:rsid w:val="00BC04CA"/>
    <w:rsid w:val="00BC0855"/>
    <w:rsid w:val="00BC0C52"/>
    <w:rsid w:val="00BC0CC4"/>
    <w:rsid w:val="00BC0EF9"/>
    <w:rsid w:val="00BC10C3"/>
    <w:rsid w:val="00BC143B"/>
    <w:rsid w:val="00BC16F1"/>
    <w:rsid w:val="00BC1DA3"/>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27B"/>
    <w:rsid w:val="00BD2727"/>
    <w:rsid w:val="00BD2A63"/>
    <w:rsid w:val="00BD2A6C"/>
    <w:rsid w:val="00BD2B17"/>
    <w:rsid w:val="00BD324B"/>
    <w:rsid w:val="00BD37A6"/>
    <w:rsid w:val="00BD43F9"/>
    <w:rsid w:val="00BD4451"/>
    <w:rsid w:val="00BD4AD2"/>
    <w:rsid w:val="00BD4ADB"/>
    <w:rsid w:val="00BD4AFF"/>
    <w:rsid w:val="00BD4D87"/>
    <w:rsid w:val="00BD5202"/>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1F75"/>
    <w:rsid w:val="00BE2285"/>
    <w:rsid w:val="00BE2486"/>
    <w:rsid w:val="00BE251E"/>
    <w:rsid w:val="00BE2819"/>
    <w:rsid w:val="00BE2AB0"/>
    <w:rsid w:val="00BE3228"/>
    <w:rsid w:val="00BE3923"/>
    <w:rsid w:val="00BE4138"/>
    <w:rsid w:val="00BE44BF"/>
    <w:rsid w:val="00BE4DE3"/>
    <w:rsid w:val="00BE5024"/>
    <w:rsid w:val="00BE55D2"/>
    <w:rsid w:val="00BE5D77"/>
    <w:rsid w:val="00BE5D94"/>
    <w:rsid w:val="00BE6049"/>
    <w:rsid w:val="00BE69B0"/>
    <w:rsid w:val="00BE6E5F"/>
    <w:rsid w:val="00BE76C3"/>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74D"/>
    <w:rsid w:val="00C0194C"/>
    <w:rsid w:val="00C01AAA"/>
    <w:rsid w:val="00C01D77"/>
    <w:rsid w:val="00C02929"/>
    <w:rsid w:val="00C02933"/>
    <w:rsid w:val="00C029A2"/>
    <w:rsid w:val="00C02AD1"/>
    <w:rsid w:val="00C02BD7"/>
    <w:rsid w:val="00C032D4"/>
    <w:rsid w:val="00C03692"/>
    <w:rsid w:val="00C03A9E"/>
    <w:rsid w:val="00C03E9E"/>
    <w:rsid w:val="00C0408A"/>
    <w:rsid w:val="00C05B0D"/>
    <w:rsid w:val="00C05BDD"/>
    <w:rsid w:val="00C05CFA"/>
    <w:rsid w:val="00C0676D"/>
    <w:rsid w:val="00C070BF"/>
    <w:rsid w:val="00C07146"/>
    <w:rsid w:val="00C07362"/>
    <w:rsid w:val="00C07ECA"/>
    <w:rsid w:val="00C07FBE"/>
    <w:rsid w:val="00C10A16"/>
    <w:rsid w:val="00C10D65"/>
    <w:rsid w:val="00C10D78"/>
    <w:rsid w:val="00C114A1"/>
    <w:rsid w:val="00C12D12"/>
    <w:rsid w:val="00C12D15"/>
    <w:rsid w:val="00C12F86"/>
    <w:rsid w:val="00C1352D"/>
    <w:rsid w:val="00C135DF"/>
    <w:rsid w:val="00C13707"/>
    <w:rsid w:val="00C14673"/>
    <w:rsid w:val="00C14C69"/>
    <w:rsid w:val="00C14D2B"/>
    <w:rsid w:val="00C14EA7"/>
    <w:rsid w:val="00C14F54"/>
    <w:rsid w:val="00C1570A"/>
    <w:rsid w:val="00C1578D"/>
    <w:rsid w:val="00C15806"/>
    <w:rsid w:val="00C15F3D"/>
    <w:rsid w:val="00C1619B"/>
    <w:rsid w:val="00C16434"/>
    <w:rsid w:val="00C1677B"/>
    <w:rsid w:val="00C1687D"/>
    <w:rsid w:val="00C16B56"/>
    <w:rsid w:val="00C171C7"/>
    <w:rsid w:val="00C1733C"/>
    <w:rsid w:val="00C17808"/>
    <w:rsid w:val="00C17A8F"/>
    <w:rsid w:val="00C20059"/>
    <w:rsid w:val="00C204FE"/>
    <w:rsid w:val="00C2056D"/>
    <w:rsid w:val="00C2095D"/>
    <w:rsid w:val="00C20B23"/>
    <w:rsid w:val="00C20D8A"/>
    <w:rsid w:val="00C20FAA"/>
    <w:rsid w:val="00C21267"/>
    <w:rsid w:val="00C214DD"/>
    <w:rsid w:val="00C215DD"/>
    <w:rsid w:val="00C22512"/>
    <w:rsid w:val="00C230D4"/>
    <w:rsid w:val="00C230F0"/>
    <w:rsid w:val="00C23482"/>
    <w:rsid w:val="00C2397D"/>
    <w:rsid w:val="00C23BE6"/>
    <w:rsid w:val="00C23C02"/>
    <w:rsid w:val="00C24862"/>
    <w:rsid w:val="00C24C46"/>
    <w:rsid w:val="00C24FFF"/>
    <w:rsid w:val="00C25348"/>
    <w:rsid w:val="00C2581A"/>
    <w:rsid w:val="00C25CD0"/>
    <w:rsid w:val="00C26518"/>
    <w:rsid w:val="00C265C3"/>
    <w:rsid w:val="00C267D1"/>
    <w:rsid w:val="00C26EBA"/>
    <w:rsid w:val="00C270DD"/>
    <w:rsid w:val="00C27DF1"/>
    <w:rsid w:val="00C3105E"/>
    <w:rsid w:val="00C3147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5F2"/>
    <w:rsid w:val="00C35D1B"/>
    <w:rsid w:val="00C35F3A"/>
    <w:rsid w:val="00C3615D"/>
    <w:rsid w:val="00C3644A"/>
    <w:rsid w:val="00C364C5"/>
    <w:rsid w:val="00C36CD0"/>
    <w:rsid w:val="00C36CFD"/>
    <w:rsid w:val="00C37204"/>
    <w:rsid w:val="00C373C0"/>
    <w:rsid w:val="00C374E2"/>
    <w:rsid w:val="00C37A1C"/>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5038"/>
    <w:rsid w:val="00C4616C"/>
    <w:rsid w:val="00C461FD"/>
    <w:rsid w:val="00C46EE3"/>
    <w:rsid w:val="00C4765B"/>
    <w:rsid w:val="00C4794F"/>
    <w:rsid w:val="00C47C24"/>
    <w:rsid w:val="00C47E25"/>
    <w:rsid w:val="00C47F0B"/>
    <w:rsid w:val="00C5004C"/>
    <w:rsid w:val="00C505BD"/>
    <w:rsid w:val="00C506C1"/>
    <w:rsid w:val="00C50D0B"/>
    <w:rsid w:val="00C50EDE"/>
    <w:rsid w:val="00C51164"/>
    <w:rsid w:val="00C51420"/>
    <w:rsid w:val="00C51545"/>
    <w:rsid w:val="00C51AC1"/>
    <w:rsid w:val="00C5244C"/>
    <w:rsid w:val="00C52677"/>
    <w:rsid w:val="00C52733"/>
    <w:rsid w:val="00C52A15"/>
    <w:rsid w:val="00C52FE8"/>
    <w:rsid w:val="00C539A4"/>
    <w:rsid w:val="00C53B5A"/>
    <w:rsid w:val="00C53C5E"/>
    <w:rsid w:val="00C54006"/>
    <w:rsid w:val="00C54047"/>
    <w:rsid w:val="00C545EB"/>
    <w:rsid w:val="00C54897"/>
    <w:rsid w:val="00C54ABC"/>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868"/>
    <w:rsid w:val="00C65D72"/>
    <w:rsid w:val="00C65D79"/>
    <w:rsid w:val="00C65E92"/>
    <w:rsid w:val="00C65F1D"/>
    <w:rsid w:val="00C66291"/>
    <w:rsid w:val="00C664C7"/>
    <w:rsid w:val="00C6682F"/>
    <w:rsid w:val="00C66B94"/>
    <w:rsid w:val="00C66F0B"/>
    <w:rsid w:val="00C67176"/>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6BF"/>
    <w:rsid w:val="00C74A23"/>
    <w:rsid w:val="00C74B46"/>
    <w:rsid w:val="00C74F68"/>
    <w:rsid w:val="00C755C3"/>
    <w:rsid w:val="00C758E0"/>
    <w:rsid w:val="00C760CE"/>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6C2"/>
    <w:rsid w:val="00C86940"/>
    <w:rsid w:val="00C86996"/>
    <w:rsid w:val="00C86A44"/>
    <w:rsid w:val="00C87B76"/>
    <w:rsid w:val="00C87D79"/>
    <w:rsid w:val="00C87FED"/>
    <w:rsid w:val="00C900E3"/>
    <w:rsid w:val="00C90299"/>
    <w:rsid w:val="00C908E2"/>
    <w:rsid w:val="00C91136"/>
    <w:rsid w:val="00C9126E"/>
    <w:rsid w:val="00C914B9"/>
    <w:rsid w:val="00C91692"/>
    <w:rsid w:val="00C9186F"/>
    <w:rsid w:val="00C91A36"/>
    <w:rsid w:val="00C92614"/>
    <w:rsid w:val="00C92779"/>
    <w:rsid w:val="00C92BF9"/>
    <w:rsid w:val="00C92FC9"/>
    <w:rsid w:val="00C931F2"/>
    <w:rsid w:val="00C93376"/>
    <w:rsid w:val="00C93945"/>
    <w:rsid w:val="00C93AB6"/>
    <w:rsid w:val="00C94627"/>
    <w:rsid w:val="00C94D30"/>
    <w:rsid w:val="00C94ECA"/>
    <w:rsid w:val="00C9562A"/>
    <w:rsid w:val="00C95ADE"/>
    <w:rsid w:val="00C95DC2"/>
    <w:rsid w:val="00C966EE"/>
    <w:rsid w:val="00C96783"/>
    <w:rsid w:val="00C96FF2"/>
    <w:rsid w:val="00C97565"/>
    <w:rsid w:val="00C97C9B"/>
    <w:rsid w:val="00CA008E"/>
    <w:rsid w:val="00CA01A5"/>
    <w:rsid w:val="00CA0799"/>
    <w:rsid w:val="00CA0A27"/>
    <w:rsid w:val="00CA0DAC"/>
    <w:rsid w:val="00CA1126"/>
    <w:rsid w:val="00CA144C"/>
    <w:rsid w:val="00CA1451"/>
    <w:rsid w:val="00CA14D5"/>
    <w:rsid w:val="00CA1A88"/>
    <w:rsid w:val="00CA1B69"/>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A7C8A"/>
    <w:rsid w:val="00CB0299"/>
    <w:rsid w:val="00CB0DC7"/>
    <w:rsid w:val="00CB0E5C"/>
    <w:rsid w:val="00CB1453"/>
    <w:rsid w:val="00CB14F4"/>
    <w:rsid w:val="00CB1696"/>
    <w:rsid w:val="00CB16E9"/>
    <w:rsid w:val="00CB16F6"/>
    <w:rsid w:val="00CB19D5"/>
    <w:rsid w:val="00CB19F0"/>
    <w:rsid w:val="00CB1AB3"/>
    <w:rsid w:val="00CB1D31"/>
    <w:rsid w:val="00CB24E8"/>
    <w:rsid w:val="00CB2551"/>
    <w:rsid w:val="00CB255F"/>
    <w:rsid w:val="00CB2B53"/>
    <w:rsid w:val="00CB2E1E"/>
    <w:rsid w:val="00CB32E5"/>
    <w:rsid w:val="00CB3AB4"/>
    <w:rsid w:val="00CB3B05"/>
    <w:rsid w:val="00CB3BD5"/>
    <w:rsid w:val="00CB4128"/>
    <w:rsid w:val="00CB4141"/>
    <w:rsid w:val="00CB4247"/>
    <w:rsid w:val="00CB446A"/>
    <w:rsid w:val="00CB4564"/>
    <w:rsid w:val="00CB48FE"/>
    <w:rsid w:val="00CB4BDC"/>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093"/>
    <w:rsid w:val="00CC31F9"/>
    <w:rsid w:val="00CC3B25"/>
    <w:rsid w:val="00CC4226"/>
    <w:rsid w:val="00CC4255"/>
    <w:rsid w:val="00CC45A5"/>
    <w:rsid w:val="00CC4FC0"/>
    <w:rsid w:val="00CC5035"/>
    <w:rsid w:val="00CC5B7E"/>
    <w:rsid w:val="00CC5F00"/>
    <w:rsid w:val="00CC6D09"/>
    <w:rsid w:val="00CC7800"/>
    <w:rsid w:val="00CC79CE"/>
    <w:rsid w:val="00CC7A4F"/>
    <w:rsid w:val="00CD0131"/>
    <w:rsid w:val="00CD02EA"/>
    <w:rsid w:val="00CD07CD"/>
    <w:rsid w:val="00CD0B81"/>
    <w:rsid w:val="00CD11AB"/>
    <w:rsid w:val="00CD15A0"/>
    <w:rsid w:val="00CD1A01"/>
    <w:rsid w:val="00CD1AC5"/>
    <w:rsid w:val="00CD1AE8"/>
    <w:rsid w:val="00CD1C9C"/>
    <w:rsid w:val="00CD1EEC"/>
    <w:rsid w:val="00CD2767"/>
    <w:rsid w:val="00CD2A54"/>
    <w:rsid w:val="00CD2B4D"/>
    <w:rsid w:val="00CD2BEE"/>
    <w:rsid w:val="00CD2D7F"/>
    <w:rsid w:val="00CD3AF1"/>
    <w:rsid w:val="00CD3C43"/>
    <w:rsid w:val="00CD441E"/>
    <w:rsid w:val="00CD4496"/>
    <w:rsid w:val="00CD4CCF"/>
    <w:rsid w:val="00CD59CF"/>
    <w:rsid w:val="00CD5BBE"/>
    <w:rsid w:val="00CD5BF0"/>
    <w:rsid w:val="00CD60AC"/>
    <w:rsid w:val="00CD630E"/>
    <w:rsid w:val="00CD6876"/>
    <w:rsid w:val="00CD7D7A"/>
    <w:rsid w:val="00CE0946"/>
    <w:rsid w:val="00CE0C38"/>
    <w:rsid w:val="00CE0D51"/>
    <w:rsid w:val="00CE0E87"/>
    <w:rsid w:val="00CE0F29"/>
    <w:rsid w:val="00CE10A8"/>
    <w:rsid w:val="00CE1665"/>
    <w:rsid w:val="00CE1939"/>
    <w:rsid w:val="00CE1B84"/>
    <w:rsid w:val="00CE2A41"/>
    <w:rsid w:val="00CE33B0"/>
    <w:rsid w:val="00CE33C3"/>
    <w:rsid w:val="00CE3749"/>
    <w:rsid w:val="00CE3A5E"/>
    <w:rsid w:val="00CE3C20"/>
    <w:rsid w:val="00CE4131"/>
    <w:rsid w:val="00CE4311"/>
    <w:rsid w:val="00CE459E"/>
    <w:rsid w:val="00CE4B34"/>
    <w:rsid w:val="00CE4FC8"/>
    <w:rsid w:val="00CE5087"/>
    <w:rsid w:val="00CE5170"/>
    <w:rsid w:val="00CE5F93"/>
    <w:rsid w:val="00CE6373"/>
    <w:rsid w:val="00CE673C"/>
    <w:rsid w:val="00CE7ABF"/>
    <w:rsid w:val="00CE7ADB"/>
    <w:rsid w:val="00CE7C10"/>
    <w:rsid w:val="00CE7FF3"/>
    <w:rsid w:val="00CF0418"/>
    <w:rsid w:val="00CF0573"/>
    <w:rsid w:val="00CF165C"/>
    <w:rsid w:val="00CF1761"/>
    <w:rsid w:val="00CF1861"/>
    <w:rsid w:val="00CF26A5"/>
    <w:rsid w:val="00CF29C8"/>
    <w:rsid w:val="00CF350F"/>
    <w:rsid w:val="00CF37C4"/>
    <w:rsid w:val="00CF390B"/>
    <w:rsid w:val="00CF3927"/>
    <w:rsid w:val="00CF3EA5"/>
    <w:rsid w:val="00CF4ABF"/>
    <w:rsid w:val="00CF51A2"/>
    <w:rsid w:val="00CF5412"/>
    <w:rsid w:val="00CF5AF0"/>
    <w:rsid w:val="00CF68B3"/>
    <w:rsid w:val="00CF6B1F"/>
    <w:rsid w:val="00CF6BA5"/>
    <w:rsid w:val="00CF6FDA"/>
    <w:rsid w:val="00CF724E"/>
    <w:rsid w:val="00CF7B9E"/>
    <w:rsid w:val="00D0138E"/>
    <w:rsid w:val="00D02732"/>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9EE"/>
    <w:rsid w:val="00D12B1F"/>
    <w:rsid w:val="00D12E2D"/>
    <w:rsid w:val="00D12EF8"/>
    <w:rsid w:val="00D130A3"/>
    <w:rsid w:val="00D138CD"/>
    <w:rsid w:val="00D13AF5"/>
    <w:rsid w:val="00D13E2E"/>
    <w:rsid w:val="00D14130"/>
    <w:rsid w:val="00D14B59"/>
    <w:rsid w:val="00D155AA"/>
    <w:rsid w:val="00D15646"/>
    <w:rsid w:val="00D1591C"/>
    <w:rsid w:val="00D15958"/>
    <w:rsid w:val="00D15B30"/>
    <w:rsid w:val="00D15EA9"/>
    <w:rsid w:val="00D16090"/>
    <w:rsid w:val="00D16295"/>
    <w:rsid w:val="00D162CD"/>
    <w:rsid w:val="00D16571"/>
    <w:rsid w:val="00D168B2"/>
    <w:rsid w:val="00D175B7"/>
    <w:rsid w:val="00D17748"/>
    <w:rsid w:val="00D17A58"/>
    <w:rsid w:val="00D17AEE"/>
    <w:rsid w:val="00D17B45"/>
    <w:rsid w:val="00D17E76"/>
    <w:rsid w:val="00D203CF"/>
    <w:rsid w:val="00D21136"/>
    <w:rsid w:val="00D223E2"/>
    <w:rsid w:val="00D22A91"/>
    <w:rsid w:val="00D22B1C"/>
    <w:rsid w:val="00D22D42"/>
    <w:rsid w:val="00D22DC1"/>
    <w:rsid w:val="00D23001"/>
    <w:rsid w:val="00D233EB"/>
    <w:rsid w:val="00D238D4"/>
    <w:rsid w:val="00D2425A"/>
    <w:rsid w:val="00D24451"/>
    <w:rsid w:val="00D24EF0"/>
    <w:rsid w:val="00D25D70"/>
    <w:rsid w:val="00D25E39"/>
    <w:rsid w:val="00D262B3"/>
    <w:rsid w:val="00D269E7"/>
    <w:rsid w:val="00D26F4D"/>
    <w:rsid w:val="00D26FF3"/>
    <w:rsid w:val="00D271AD"/>
    <w:rsid w:val="00D27D1B"/>
    <w:rsid w:val="00D27EAB"/>
    <w:rsid w:val="00D30759"/>
    <w:rsid w:val="00D30FEC"/>
    <w:rsid w:val="00D31727"/>
    <w:rsid w:val="00D31AEF"/>
    <w:rsid w:val="00D31BC6"/>
    <w:rsid w:val="00D31E4E"/>
    <w:rsid w:val="00D3254A"/>
    <w:rsid w:val="00D32ACC"/>
    <w:rsid w:val="00D32C7E"/>
    <w:rsid w:val="00D33087"/>
    <w:rsid w:val="00D330B2"/>
    <w:rsid w:val="00D3402B"/>
    <w:rsid w:val="00D34702"/>
    <w:rsid w:val="00D34EDF"/>
    <w:rsid w:val="00D350FB"/>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5F77"/>
    <w:rsid w:val="00D46363"/>
    <w:rsid w:val="00D464F5"/>
    <w:rsid w:val="00D4717C"/>
    <w:rsid w:val="00D47C39"/>
    <w:rsid w:val="00D504A0"/>
    <w:rsid w:val="00D5092F"/>
    <w:rsid w:val="00D50A89"/>
    <w:rsid w:val="00D50C96"/>
    <w:rsid w:val="00D50F36"/>
    <w:rsid w:val="00D51923"/>
    <w:rsid w:val="00D51BF0"/>
    <w:rsid w:val="00D51DFD"/>
    <w:rsid w:val="00D51E62"/>
    <w:rsid w:val="00D522B1"/>
    <w:rsid w:val="00D52DAF"/>
    <w:rsid w:val="00D53B48"/>
    <w:rsid w:val="00D53DFA"/>
    <w:rsid w:val="00D5436D"/>
    <w:rsid w:val="00D54378"/>
    <w:rsid w:val="00D54865"/>
    <w:rsid w:val="00D54889"/>
    <w:rsid w:val="00D54CC8"/>
    <w:rsid w:val="00D54D20"/>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3C5"/>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5A7"/>
    <w:rsid w:val="00D80C0E"/>
    <w:rsid w:val="00D81149"/>
    <w:rsid w:val="00D812FB"/>
    <w:rsid w:val="00D816AC"/>
    <w:rsid w:val="00D81B7D"/>
    <w:rsid w:val="00D820DF"/>
    <w:rsid w:val="00D825DC"/>
    <w:rsid w:val="00D82608"/>
    <w:rsid w:val="00D82820"/>
    <w:rsid w:val="00D8285C"/>
    <w:rsid w:val="00D82A0C"/>
    <w:rsid w:val="00D82CAF"/>
    <w:rsid w:val="00D82F60"/>
    <w:rsid w:val="00D82F85"/>
    <w:rsid w:val="00D8302C"/>
    <w:rsid w:val="00D8337B"/>
    <w:rsid w:val="00D8349A"/>
    <w:rsid w:val="00D83659"/>
    <w:rsid w:val="00D83894"/>
    <w:rsid w:val="00D83EE4"/>
    <w:rsid w:val="00D84ABE"/>
    <w:rsid w:val="00D84C29"/>
    <w:rsid w:val="00D85027"/>
    <w:rsid w:val="00D85D5A"/>
    <w:rsid w:val="00D86149"/>
    <w:rsid w:val="00D862F6"/>
    <w:rsid w:val="00D8651E"/>
    <w:rsid w:val="00D86924"/>
    <w:rsid w:val="00D869DD"/>
    <w:rsid w:val="00D86D33"/>
    <w:rsid w:val="00D86E50"/>
    <w:rsid w:val="00D8723C"/>
    <w:rsid w:val="00D87455"/>
    <w:rsid w:val="00D90219"/>
    <w:rsid w:val="00D909DA"/>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70"/>
    <w:rsid w:val="00D9738C"/>
    <w:rsid w:val="00DA046C"/>
    <w:rsid w:val="00DA0B17"/>
    <w:rsid w:val="00DA0CB6"/>
    <w:rsid w:val="00DA1257"/>
    <w:rsid w:val="00DA16F7"/>
    <w:rsid w:val="00DA1B15"/>
    <w:rsid w:val="00DA1D08"/>
    <w:rsid w:val="00DA1DC8"/>
    <w:rsid w:val="00DA248B"/>
    <w:rsid w:val="00DA2754"/>
    <w:rsid w:val="00DA2BBD"/>
    <w:rsid w:val="00DA30F3"/>
    <w:rsid w:val="00DA3692"/>
    <w:rsid w:val="00DA3BB5"/>
    <w:rsid w:val="00DA3FC6"/>
    <w:rsid w:val="00DA4C7B"/>
    <w:rsid w:val="00DA4E24"/>
    <w:rsid w:val="00DA55E3"/>
    <w:rsid w:val="00DA6262"/>
    <w:rsid w:val="00DA645F"/>
    <w:rsid w:val="00DA6802"/>
    <w:rsid w:val="00DA6CA4"/>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693"/>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3B3"/>
    <w:rsid w:val="00DD0678"/>
    <w:rsid w:val="00DD088A"/>
    <w:rsid w:val="00DD14FE"/>
    <w:rsid w:val="00DD15D2"/>
    <w:rsid w:val="00DD187B"/>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C09"/>
    <w:rsid w:val="00DD7F1E"/>
    <w:rsid w:val="00DE01B6"/>
    <w:rsid w:val="00DE07AD"/>
    <w:rsid w:val="00DE0D4B"/>
    <w:rsid w:val="00DE1B1C"/>
    <w:rsid w:val="00DE29C0"/>
    <w:rsid w:val="00DE2EA5"/>
    <w:rsid w:val="00DE311C"/>
    <w:rsid w:val="00DE343B"/>
    <w:rsid w:val="00DE3E10"/>
    <w:rsid w:val="00DE40AA"/>
    <w:rsid w:val="00DE415F"/>
    <w:rsid w:val="00DE490B"/>
    <w:rsid w:val="00DE5926"/>
    <w:rsid w:val="00DE5B36"/>
    <w:rsid w:val="00DE6935"/>
    <w:rsid w:val="00DE6A6D"/>
    <w:rsid w:val="00DE76CC"/>
    <w:rsid w:val="00DE777D"/>
    <w:rsid w:val="00DE7BE2"/>
    <w:rsid w:val="00DE7F13"/>
    <w:rsid w:val="00DE7F9A"/>
    <w:rsid w:val="00DF076D"/>
    <w:rsid w:val="00DF0928"/>
    <w:rsid w:val="00DF0C99"/>
    <w:rsid w:val="00DF102E"/>
    <w:rsid w:val="00DF1136"/>
    <w:rsid w:val="00DF12BD"/>
    <w:rsid w:val="00DF1588"/>
    <w:rsid w:val="00DF182D"/>
    <w:rsid w:val="00DF18EE"/>
    <w:rsid w:val="00DF1AF7"/>
    <w:rsid w:val="00DF1B2E"/>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DF8"/>
    <w:rsid w:val="00DF6FB9"/>
    <w:rsid w:val="00DF70E5"/>
    <w:rsid w:val="00DF75AB"/>
    <w:rsid w:val="00DF77BD"/>
    <w:rsid w:val="00DF7886"/>
    <w:rsid w:val="00DF7959"/>
    <w:rsid w:val="00DF7BB6"/>
    <w:rsid w:val="00DF7CEB"/>
    <w:rsid w:val="00E0001E"/>
    <w:rsid w:val="00E000B1"/>
    <w:rsid w:val="00E00C6E"/>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635"/>
    <w:rsid w:val="00E06764"/>
    <w:rsid w:val="00E06FF0"/>
    <w:rsid w:val="00E10677"/>
    <w:rsid w:val="00E106B0"/>
    <w:rsid w:val="00E10ADD"/>
    <w:rsid w:val="00E10C3C"/>
    <w:rsid w:val="00E10C88"/>
    <w:rsid w:val="00E11883"/>
    <w:rsid w:val="00E11FFF"/>
    <w:rsid w:val="00E1201F"/>
    <w:rsid w:val="00E12079"/>
    <w:rsid w:val="00E12EE7"/>
    <w:rsid w:val="00E13285"/>
    <w:rsid w:val="00E1376B"/>
    <w:rsid w:val="00E138F3"/>
    <w:rsid w:val="00E13950"/>
    <w:rsid w:val="00E13978"/>
    <w:rsid w:val="00E15355"/>
    <w:rsid w:val="00E1550C"/>
    <w:rsid w:val="00E156B0"/>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4F15"/>
    <w:rsid w:val="00E252BE"/>
    <w:rsid w:val="00E256F0"/>
    <w:rsid w:val="00E258B1"/>
    <w:rsid w:val="00E25A2A"/>
    <w:rsid w:val="00E25AD8"/>
    <w:rsid w:val="00E2740F"/>
    <w:rsid w:val="00E27508"/>
    <w:rsid w:val="00E277DA"/>
    <w:rsid w:val="00E27A3E"/>
    <w:rsid w:val="00E27F1D"/>
    <w:rsid w:val="00E27F2D"/>
    <w:rsid w:val="00E3002E"/>
    <w:rsid w:val="00E30870"/>
    <w:rsid w:val="00E30F9B"/>
    <w:rsid w:val="00E3102D"/>
    <w:rsid w:val="00E31529"/>
    <w:rsid w:val="00E31813"/>
    <w:rsid w:val="00E3198C"/>
    <w:rsid w:val="00E31E0C"/>
    <w:rsid w:val="00E31E1A"/>
    <w:rsid w:val="00E31F6B"/>
    <w:rsid w:val="00E3240B"/>
    <w:rsid w:val="00E324EB"/>
    <w:rsid w:val="00E326C2"/>
    <w:rsid w:val="00E3287A"/>
    <w:rsid w:val="00E32D1D"/>
    <w:rsid w:val="00E33989"/>
    <w:rsid w:val="00E339AD"/>
    <w:rsid w:val="00E33B3E"/>
    <w:rsid w:val="00E33CD1"/>
    <w:rsid w:val="00E33D30"/>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90"/>
    <w:rsid w:val="00E501E7"/>
    <w:rsid w:val="00E5020D"/>
    <w:rsid w:val="00E50925"/>
    <w:rsid w:val="00E50EF3"/>
    <w:rsid w:val="00E51335"/>
    <w:rsid w:val="00E517EB"/>
    <w:rsid w:val="00E52BA6"/>
    <w:rsid w:val="00E53631"/>
    <w:rsid w:val="00E53C37"/>
    <w:rsid w:val="00E53D6B"/>
    <w:rsid w:val="00E53E69"/>
    <w:rsid w:val="00E54078"/>
    <w:rsid w:val="00E54336"/>
    <w:rsid w:val="00E543BE"/>
    <w:rsid w:val="00E550B1"/>
    <w:rsid w:val="00E561BB"/>
    <w:rsid w:val="00E562F7"/>
    <w:rsid w:val="00E572CE"/>
    <w:rsid w:val="00E574F3"/>
    <w:rsid w:val="00E60140"/>
    <w:rsid w:val="00E604B2"/>
    <w:rsid w:val="00E60862"/>
    <w:rsid w:val="00E61846"/>
    <w:rsid w:val="00E61F51"/>
    <w:rsid w:val="00E62082"/>
    <w:rsid w:val="00E62084"/>
    <w:rsid w:val="00E6224F"/>
    <w:rsid w:val="00E626D1"/>
    <w:rsid w:val="00E62D84"/>
    <w:rsid w:val="00E63179"/>
    <w:rsid w:val="00E6330D"/>
    <w:rsid w:val="00E6352F"/>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1119"/>
    <w:rsid w:val="00E728F0"/>
    <w:rsid w:val="00E72EE6"/>
    <w:rsid w:val="00E730AB"/>
    <w:rsid w:val="00E730D7"/>
    <w:rsid w:val="00E73151"/>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7765C"/>
    <w:rsid w:val="00E80014"/>
    <w:rsid w:val="00E8007C"/>
    <w:rsid w:val="00E803B7"/>
    <w:rsid w:val="00E805E3"/>
    <w:rsid w:val="00E807C9"/>
    <w:rsid w:val="00E810C1"/>
    <w:rsid w:val="00E81491"/>
    <w:rsid w:val="00E817DF"/>
    <w:rsid w:val="00E82150"/>
    <w:rsid w:val="00E8230D"/>
    <w:rsid w:val="00E8299C"/>
    <w:rsid w:val="00E82BC0"/>
    <w:rsid w:val="00E8344E"/>
    <w:rsid w:val="00E83645"/>
    <w:rsid w:val="00E83877"/>
    <w:rsid w:val="00E83AD6"/>
    <w:rsid w:val="00E84203"/>
    <w:rsid w:val="00E84276"/>
    <w:rsid w:val="00E842FD"/>
    <w:rsid w:val="00E84ABC"/>
    <w:rsid w:val="00E84AD0"/>
    <w:rsid w:val="00E8500A"/>
    <w:rsid w:val="00E853C7"/>
    <w:rsid w:val="00E8573C"/>
    <w:rsid w:val="00E85817"/>
    <w:rsid w:val="00E85AF4"/>
    <w:rsid w:val="00E860B7"/>
    <w:rsid w:val="00E86157"/>
    <w:rsid w:val="00E864BF"/>
    <w:rsid w:val="00E86600"/>
    <w:rsid w:val="00E86CEA"/>
    <w:rsid w:val="00E86CF9"/>
    <w:rsid w:val="00E86EE6"/>
    <w:rsid w:val="00E87015"/>
    <w:rsid w:val="00E8791E"/>
    <w:rsid w:val="00E87F32"/>
    <w:rsid w:val="00E907A3"/>
    <w:rsid w:val="00E9082B"/>
    <w:rsid w:val="00E90D87"/>
    <w:rsid w:val="00E925D9"/>
    <w:rsid w:val="00E92C1D"/>
    <w:rsid w:val="00E92F60"/>
    <w:rsid w:val="00E93233"/>
    <w:rsid w:val="00E935BA"/>
    <w:rsid w:val="00E93A7C"/>
    <w:rsid w:val="00E93D1F"/>
    <w:rsid w:val="00E93E57"/>
    <w:rsid w:val="00E946A9"/>
    <w:rsid w:val="00E94C9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3E3"/>
    <w:rsid w:val="00EA0518"/>
    <w:rsid w:val="00EA0664"/>
    <w:rsid w:val="00EA0FFA"/>
    <w:rsid w:val="00EA1459"/>
    <w:rsid w:val="00EA1966"/>
    <w:rsid w:val="00EA1B8C"/>
    <w:rsid w:val="00EA2197"/>
    <w:rsid w:val="00EA2340"/>
    <w:rsid w:val="00EA26C8"/>
    <w:rsid w:val="00EA2724"/>
    <w:rsid w:val="00EA2E69"/>
    <w:rsid w:val="00EA301F"/>
    <w:rsid w:val="00EA3900"/>
    <w:rsid w:val="00EA42E3"/>
    <w:rsid w:val="00EA43DF"/>
    <w:rsid w:val="00EA44B5"/>
    <w:rsid w:val="00EA4B65"/>
    <w:rsid w:val="00EA53DD"/>
    <w:rsid w:val="00EA56A1"/>
    <w:rsid w:val="00EA5E85"/>
    <w:rsid w:val="00EA5EDB"/>
    <w:rsid w:val="00EA6F74"/>
    <w:rsid w:val="00EA6FB2"/>
    <w:rsid w:val="00EA7404"/>
    <w:rsid w:val="00EA7739"/>
    <w:rsid w:val="00EA7FBA"/>
    <w:rsid w:val="00EB0068"/>
    <w:rsid w:val="00EB05A6"/>
    <w:rsid w:val="00EB0ADE"/>
    <w:rsid w:val="00EB106D"/>
    <w:rsid w:val="00EB154B"/>
    <w:rsid w:val="00EB1B57"/>
    <w:rsid w:val="00EB1FA1"/>
    <w:rsid w:val="00EB2141"/>
    <w:rsid w:val="00EB2A26"/>
    <w:rsid w:val="00EB2DBC"/>
    <w:rsid w:val="00EB39EC"/>
    <w:rsid w:val="00EB3A3D"/>
    <w:rsid w:val="00EB3B99"/>
    <w:rsid w:val="00EB3C38"/>
    <w:rsid w:val="00EB3CD5"/>
    <w:rsid w:val="00EB3E66"/>
    <w:rsid w:val="00EB4209"/>
    <w:rsid w:val="00EB47DE"/>
    <w:rsid w:val="00EB4F07"/>
    <w:rsid w:val="00EB4F13"/>
    <w:rsid w:val="00EB554C"/>
    <w:rsid w:val="00EB55C6"/>
    <w:rsid w:val="00EB5939"/>
    <w:rsid w:val="00EB5CB3"/>
    <w:rsid w:val="00EB603D"/>
    <w:rsid w:val="00EB62E8"/>
    <w:rsid w:val="00EB6517"/>
    <w:rsid w:val="00EB67A5"/>
    <w:rsid w:val="00EB6DED"/>
    <w:rsid w:val="00EB6EF7"/>
    <w:rsid w:val="00EB7053"/>
    <w:rsid w:val="00EB7175"/>
    <w:rsid w:val="00EB747A"/>
    <w:rsid w:val="00EB78C9"/>
    <w:rsid w:val="00EB79C2"/>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6B8"/>
    <w:rsid w:val="00EC5BD0"/>
    <w:rsid w:val="00EC5D9D"/>
    <w:rsid w:val="00EC5EBF"/>
    <w:rsid w:val="00EC60C9"/>
    <w:rsid w:val="00EC6540"/>
    <w:rsid w:val="00EC722C"/>
    <w:rsid w:val="00EC73C9"/>
    <w:rsid w:val="00EC7621"/>
    <w:rsid w:val="00EC77C7"/>
    <w:rsid w:val="00EC7A79"/>
    <w:rsid w:val="00EC7EB2"/>
    <w:rsid w:val="00ED00A0"/>
    <w:rsid w:val="00ED04DC"/>
    <w:rsid w:val="00ED12BC"/>
    <w:rsid w:val="00ED1FBC"/>
    <w:rsid w:val="00ED204D"/>
    <w:rsid w:val="00ED223C"/>
    <w:rsid w:val="00ED2816"/>
    <w:rsid w:val="00ED2989"/>
    <w:rsid w:val="00ED2F30"/>
    <w:rsid w:val="00ED34C3"/>
    <w:rsid w:val="00ED3853"/>
    <w:rsid w:val="00ED3C64"/>
    <w:rsid w:val="00ED55F9"/>
    <w:rsid w:val="00ED5E05"/>
    <w:rsid w:val="00ED67E4"/>
    <w:rsid w:val="00ED685E"/>
    <w:rsid w:val="00ED691E"/>
    <w:rsid w:val="00ED7521"/>
    <w:rsid w:val="00ED78D5"/>
    <w:rsid w:val="00ED7CCC"/>
    <w:rsid w:val="00ED7FD1"/>
    <w:rsid w:val="00EE001E"/>
    <w:rsid w:val="00EE037F"/>
    <w:rsid w:val="00EE070C"/>
    <w:rsid w:val="00EE0CF9"/>
    <w:rsid w:val="00EE0EA2"/>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431"/>
    <w:rsid w:val="00EE66D6"/>
    <w:rsid w:val="00EE6891"/>
    <w:rsid w:val="00EE705B"/>
    <w:rsid w:val="00EE72D0"/>
    <w:rsid w:val="00EF03B4"/>
    <w:rsid w:val="00EF07FA"/>
    <w:rsid w:val="00EF089D"/>
    <w:rsid w:val="00EF0CB6"/>
    <w:rsid w:val="00EF11B6"/>
    <w:rsid w:val="00EF1472"/>
    <w:rsid w:val="00EF1584"/>
    <w:rsid w:val="00EF1688"/>
    <w:rsid w:val="00EF1814"/>
    <w:rsid w:val="00EF1A52"/>
    <w:rsid w:val="00EF1D64"/>
    <w:rsid w:val="00EF1E0F"/>
    <w:rsid w:val="00EF1FB7"/>
    <w:rsid w:val="00EF2556"/>
    <w:rsid w:val="00EF26D8"/>
    <w:rsid w:val="00EF2C30"/>
    <w:rsid w:val="00EF2D6E"/>
    <w:rsid w:val="00EF368F"/>
    <w:rsid w:val="00EF371F"/>
    <w:rsid w:val="00EF3B44"/>
    <w:rsid w:val="00EF3C90"/>
    <w:rsid w:val="00EF3C9E"/>
    <w:rsid w:val="00EF47E3"/>
    <w:rsid w:val="00EF502B"/>
    <w:rsid w:val="00EF5207"/>
    <w:rsid w:val="00EF5291"/>
    <w:rsid w:val="00EF539B"/>
    <w:rsid w:val="00EF5CE8"/>
    <w:rsid w:val="00EF5E3C"/>
    <w:rsid w:val="00EF6263"/>
    <w:rsid w:val="00EF6395"/>
    <w:rsid w:val="00EF6595"/>
    <w:rsid w:val="00EF6825"/>
    <w:rsid w:val="00EF6929"/>
    <w:rsid w:val="00EF6EBE"/>
    <w:rsid w:val="00EF6F15"/>
    <w:rsid w:val="00EF7670"/>
    <w:rsid w:val="00F00345"/>
    <w:rsid w:val="00F00CF7"/>
    <w:rsid w:val="00F01277"/>
    <w:rsid w:val="00F01853"/>
    <w:rsid w:val="00F02D2D"/>
    <w:rsid w:val="00F0314E"/>
    <w:rsid w:val="00F032F6"/>
    <w:rsid w:val="00F03410"/>
    <w:rsid w:val="00F03925"/>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0CFD"/>
    <w:rsid w:val="00F1116C"/>
    <w:rsid w:val="00F114DE"/>
    <w:rsid w:val="00F11A6F"/>
    <w:rsid w:val="00F120EF"/>
    <w:rsid w:val="00F12153"/>
    <w:rsid w:val="00F121F5"/>
    <w:rsid w:val="00F128BE"/>
    <w:rsid w:val="00F12C6F"/>
    <w:rsid w:val="00F12CC7"/>
    <w:rsid w:val="00F12EF9"/>
    <w:rsid w:val="00F1378A"/>
    <w:rsid w:val="00F1383A"/>
    <w:rsid w:val="00F14009"/>
    <w:rsid w:val="00F14175"/>
    <w:rsid w:val="00F14439"/>
    <w:rsid w:val="00F14456"/>
    <w:rsid w:val="00F1459D"/>
    <w:rsid w:val="00F146E9"/>
    <w:rsid w:val="00F14B3A"/>
    <w:rsid w:val="00F14E78"/>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246"/>
    <w:rsid w:val="00F30C37"/>
    <w:rsid w:val="00F31045"/>
    <w:rsid w:val="00F31073"/>
    <w:rsid w:val="00F31B87"/>
    <w:rsid w:val="00F31E5C"/>
    <w:rsid w:val="00F31F26"/>
    <w:rsid w:val="00F3229A"/>
    <w:rsid w:val="00F32A15"/>
    <w:rsid w:val="00F34059"/>
    <w:rsid w:val="00F3464C"/>
    <w:rsid w:val="00F3471C"/>
    <w:rsid w:val="00F34DCC"/>
    <w:rsid w:val="00F35254"/>
    <w:rsid w:val="00F3595A"/>
    <w:rsid w:val="00F35B5A"/>
    <w:rsid w:val="00F35B99"/>
    <w:rsid w:val="00F35CD3"/>
    <w:rsid w:val="00F36390"/>
    <w:rsid w:val="00F364C9"/>
    <w:rsid w:val="00F36940"/>
    <w:rsid w:val="00F36976"/>
    <w:rsid w:val="00F369BD"/>
    <w:rsid w:val="00F36FC3"/>
    <w:rsid w:val="00F371E8"/>
    <w:rsid w:val="00F37490"/>
    <w:rsid w:val="00F377E4"/>
    <w:rsid w:val="00F37B30"/>
    <w:rsid w:val="00F4074F"/>
    <w:rsid w:val="00F407B6"/>
    <w:rsid w:val="00F408E2"/>
    <w:rsid w:val="00F40ABD"/>
    <w:rsid w:val="00F40F31"/>
    <w:rsid w:val="00F416A4"/>
    <w:rsid w:val="00F41799"/>
    <w:rsid w:val="00F41B55"/>
    <w:rsid w:val="00F4221A"/>
    <w:rsid w:val="00F423E7"/>
    <w:rsid w:val="00F42882"/>
    <w:rsid w:val="00F42DE8"/>
    <w:rsid w:val="00F43098"/>
    <w:rsid w:val="00F435CB"/>
    <w:rsid w:val="00F439F4"/>
    <w:rsid w:val="00F43A6F"/>
    <w:rsid w:val="00F44100"/>
    <w:rsid w:val="00F443A6"/>
    <w:rsid w:val="00F4459B"/>
    <w:rsid w:val="00F44B75"/>
    <w:rsid w:val="00F45A56"/>
    <w:rsid w:val="00F45C6B"/>
    <w:rsid w:val="00F45D3D"/>
    <w:rsid w:val="00F46081"/>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091"/>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1F09"/>
    <w:rsid w:val="00F62A9C"/>
    <w:rsid w:val="00F62CF9"/>
    <w:rsid w:val="00F62F43"/>
    <w:rsid w:val="00F6375C"/>
    <w:rsid w:val="00F63C10"/>
    <w:rsid w:val="00F64726"/>
    <w:rsid w:val="00F65927"/>
    <w:rsid w:val="00F65A0B"/>
    <w:rsid w:val="00F65C05"/>
    <w:rsid w:val="00F65C21"/>
    <w:rsid w:val="00F66073"/>
    <w:rsid w:val="00F66419"/>
    <w:rsid w:val="00F66512"/>
    <w:rsid w:val="00F6681D"/>
    <w:rsid w:val="00F66BB5"/>
    <w:rsid w:val="00F66C8C"/>
    <w:rsid w:val="00F66EE8"/>
    <w:rsid w:val="00F670CB"/>
    <w:rsid w:val="00F67769"/>
    <w:rsid w:val="00F67A1B"/>
    <w:rsid w:val="00F67E0C"/>
    <w:rsid w:val="00F703B4"/>
    <w:rsid w:val="00F704B5"/>
    <w:rsid w:val="00F70769"/>
    <w:rsid w:val="00F71169"/>
    <w:rsid w:val="00F713FB"/>
    <w:rsid w:val="00F72061"/>
    <w:rsid w:val="00F72AFF"/>
    <w:rsid w:val="00F72D07"/>
    <w:rsid w:val="00F72EB6"/>
    <w:rsid w:val="00F73295"/>
    <w:rsid w:val="00F737BE"/>
    <w:rsid w:val="00F73C19"/>
    <w:rsid w:val="00F744C0"/>
    <w:rsid w:val="00F7463A"/>
    <w:rsid w:val="00F74ED5"/>
    <w:rsid w:val="00F7514E"/>
    <w:rsid w:val="00F75329"/>
    <w:rsid w:val="00F75588"/>
    <w:rsid w:val="00F755ED"/>
    <w:rsid w:val="00F756A1"/>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A94"/>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6AB"/>
    <w:rsid w:val="00F95982"/>
    <w:rsid w:val="00F95AA5"/>
    <w:rsid w:val="00F95C3F"/>
    <w:rsid w:val="00F95D85"/>
    <w:rsid w:val="00F9600A"/>
    <w:rsid w:val="00F96101"/>
    <w:rsid w:val="00F961AE"/>
    <w:rsid w:val="00F96635"/>
    <w:rsid w:val="00F966B6"/>
    <w:rsid w:val="00F96B01"/>
    <w:rsid w:val="00F9744D"/>
    <w:rsid w:val="00F977D2"/>
    <w:rsid w:val="00F979DD"/>
    <w:rsid w:val="00FA06F5"/>
    <w:rsid w:val="00FA07EC"/>
    <w:rsid w:val="00FA1045"/>
    <w:rsid w:val="00FA1470"/>
    <w:rsid w:val="00FA1980"/>
    <w:rsid w:val="00FA1A03"/>
    <w:rsid w:val="00FA1B0D"/>
    <w:rsid w:val="00FA1B76"/>
    <w:rsid w:val="00FA1C10"/>
    <w:rsid w:val="00FA22A8"/>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90"/>
    <w:rsid w:val="00FB05BB"/>
    <w:rsid w:val="00FB0BC0"/>
    <w:rsid w:val="00FB0C66"/>
    <w:rsid w:val="00FB0E77"/>
    <w:rsid w:val="00FB1673"/>
    <w:rsid w:val="00FB1C79"/>
    <w:rsid w:val="00FB1E46"/>
    <w:rsid w:val="00FB2241"/>
    <w:rsid w:val="00FB2CDD"/>
    <w:rsid w:val="00FB2DD6"/>
    <w:rsid w:val="00FB3B14"/>
    <w:rsid w:val="00FB3BEC"/>
    <w:rsid w:val="00FB3EC5"/>
    <w:rsid w:val="00FB4190"/>
    <w:rsid w:val="00FB41A1"/>
    <w:rsid w:val="00FB4304"/>
    <w:rsid w:val="00FB4A7E"/>
    <w:rsid w:val="00FB51D3"/>
    <w:rsid w:val="00FB5393"/>
    <w:rsid w:val="00FB5A62"/>
    <w:rsid w:val="00FB5D55"/>
    <w:rsid w:val="00FB6A69"/>
    <w:rsid w:val="00FB6FD5"/>
    <w:rsid w:val="00FB7739"/>
    <w:rsid w:val="00FB7EE1"/>
    <w:rsid w:val="00FC0B07"/>
    <w:rsid w:val="00FC0CD9"/>
    <w:rsid w:val="00FC10D1"/>
    <w:rsid w:val="00FC1FA4"/>
    <w:rsid w:val="00FC1FF9"/>
    <w:rsid w:val="00FC2424"/>
    <w:rsid w:val="00FC2B5B"/>
    <w:rsid w:val="00FC2B62"/>
    <w:rsid w:val="00FC2F92"/>
    <w:rsid w:val="00FC32AB"/>
    <w:rsid w:val="00FC34E5"/>
    <w:rsid w:val="00FC3B6C"/>
    <w:rsid w:val="00FC3FC7"/>
    <w:rsid w:val="00FC42DA"/>
    <w:rsid w:val="00FC4351"/>
    <w:rsid w:val="00FC438B"/>
    <w:rsid w:val="00FC453D"/>
    <w:rsid w:val="00FC46C9"/>
    <w:rsid w:val="00FC4D35"/>
    <w:rsid w:val="00FC5211"/>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100"/>
    <w:rsid w:val="00FD739E"/>
    <w:rsid w:val="00FD76B0"/>
    <w:rsid w:val="00FD7AEB"/>
    <w:rsid w:val="00FD7BDB"/>
    <w:rsid w:val="00FD7DEF"/>
    <w:rsid w:val="00FD7DFA"/>
    <w:rsid w:val="00FD7EF1"/>
    <w:rsid w:val="00FD7F9B"/>
    <w:rsid w:val="00FE0317"/>
    <w:rsid w:val="00FE11AA"/>
    <w:rsid w:val="00FE12BD"/>
    <w:rsid w:val="00FE192C"/>
    <w:rsid w:val="00FE1CA7"/>
    <w:rsid w:val="00FE1D86"/>
    <w:rsid w:val="00FE1F45"/>
    <w:rsid w:val="00FE1F64"/>
    <w:rsid w:val="00FE2372"/>
    <w:rsid w:val="00FE2B4C"/>
    <w:rsid w:val="00FE3553"/>
    <w:rsid w:val="00FE4356"/>
    <w:rsid w:val="00FE4757"/>
    <w:rsid w:val="00FE4C70"/>
    <w:rsid w:val="00FE5669"/>
    <w:rsid w:val="00FE5D3C"/>
    <w:rsid w:val="00FE5D61"/>
    <w:rsid w:val="00FE5F1D"/>
    <w:rsid w:val="00FE5FC8"/>
    <w:rsid w:val="00FE725C"/>
    <w:rsid w:val="00FE76AB"/>
    <w:rsid w:val="00FE7821"/>
    <w:rsid w:val="00FE7C86"/>
    <w:rsid w:val="00FF04EE"/>
    <w:rsid w:val="00FF0A80"/>
    <w:rsid w:val="00FF0B12"/>
    <w:rsid w:val="00FF0D40"/>
    <w:rsid w:val="00FF0E05"/>
    <w:rsid w:val="00FF0EE6"/>
    <w:rsid w:val="00FF20A5"/>
    <w:rsid w:val="00FF21D7"/>
    <w:rsid w:val="00FF26B0"/>
    <w:rsid w:val="00FF2720"/>
    <w:rsid w:val="00FF2BBB"/>
    <w:rsid w:val="00FF2CB1"/>
    <w:rsid w:val="00FF2CBC"/>
    <w:rsid w:val="00FF2F91"/>
    <w:rsid w:val="00FF3811"/>
    <w:rsid w:val="00FF38C4"/>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0B1"/>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411">
      <w:bodyDiv w:val="1"/>
      <w:marLeft w:val="0"/>
      <w:marRight w:val="0"/>
      <w:marTop w:val="0"/>
      <w:marBottom w:val="0"/>
      <w:divBdr>
        <w:top w:val="none" w:sz="0" w:space="0" w:color="auto"/>
        <w:left w:val="none" w:sz="0" w:space="0" w:color="auto"/>
        <w:bottom w:val="none" w:sz="0" w:space="0" w:color="auto"/>
        <w:right w:val="none" w:sz="0" w:space="0" w:color="auto"/>
      </w:divBdr>
    </w:div>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74405049">
      <w:bodyDiv w:val="1"/>
      <w:marLeft w:val="0"/>
      <w:marRight w:val="0"/>
      <w:marTop w:val="0"/>
      <w:marBottom w:val="0"/>
      <w:divBdr>
        <w:top w:val="none" w:sz="0" w:space="0" w:color="auto"/>
        <w:left w:val="none" w:sz="0" w:space="0" w:color="auto"/>
        <w:bottom w:val="none" w:sz="0" w:space="0" w:color="auto"/>
        <w:right w:val="none" w:sz="0" w:space="0" w:color="auto"/>
      </w:divBdr>
    </w:div>
    <w:div w:id="104152484">
      <w:bodyDiv w:val="1"/>
      <w:marLeft w:val="0"/>
      <w:marRight w:val="0"/>
      <w:marTop w:val="0"/>
      <w:marBottom w:val="0"/>
      <w:divBdr>
        <w:top w:val="none" w:sz="0" w:space="0" w:color="auto"/>
        <w:left w:val="none" w:sz="0" w:space="0" w:color="auto"/>
        <w:bottom w:val="none" w:sz="0" w:space="0" w:color="auto"/>
        <w:right w:val="none" w:sz="0" w:space="0" w:color="auto"/>
      </w:divBdr>
    </w:div>
    <w:div w:id="107822524">
      <w:bodyDiv w:val="1"/>
      <w:marLeft w:val="0"/>
      <w:marRight w:val="0"/>
      <w:marTop w:val="0"/>
      <w:marBottom w:val="0"/>
      <w:divBdr>
        <w:top w:val="none" w:sz="0" w:space="0" w:color="auto"/>
        <w:left w:val="none" w:sz="0" w:space="0" w:color="auto"/>
        <w:bottom w:val="none" w:sz="0" w:space="0" w:color="auto"/>
        <w:right w:val="none" w:sz="0" w:space="0" w:color="auto"/>
      </w:divBdr>
    </w:div>
    <w:div w:id="113797640">
      <w:bodyDiv w:val="1"/>
      <w:marLeft w:val="0"/>
      <w:marRight w:val="0"/>
      <w:marTop w:val="0"/>
      <w:marBottom w:val="0"/>
      <w:divBdr>
        <w:top w:val="none" w:sz="0" w:space="0" w:color="auto"/>
        <w:left w:val="none" w:sz="0" w:space="0" w:color="auto"/>
        <w:bottom w:val="none" w:sz="0" w:space="0" w:color="auto"/>
        <w:right w:val="none" w:sz="0" w:space="0" w:color="auto"/>
      </w:divBdr>
    </w:div>
    <w:div w:id="114254364">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36147302">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7493660">
      <w:bodyDiv w:val="1"/>
      <w:marLeft w:val="0"/>
      <w:marRight w:val="0"/>
      <w:marTop w:val="0"/>
      <w:marBottom w:val="0"/>
      <w:divBdr>
        <w:top w:val="none" w:sz="0" w:space="0" w:color="auto"/>
        <w:left w:val="none" w:sz="0" w:space="0" w:color="auto"/>
        <w:bottom w:val="none" w:sz="0" w:space="0" w:color="auto"/>
        <w:right w:val="none" w:sz="0" w:space="0" w:color="auto"/>
      </w:divBdr>
    </w:div>
    <w:div w:id="210503464">
      <w:bodyDiv w:val="1"/>
      <w:marLeft w:val="0"/>
      <w:marRight w:val="0"/>
      <w:marTop w:val="0"/>
      <w:marBottom w:val="0"/>
      <w:divBdr>
        <w:top w:val="none" w:sz="0" w:space="0" w:color="auto"/>
        <w:left w:val="none" w:sz="0" w:space="0" w:color="auto"/>
        <w:bottom w:val="none" w:sz="0" w:space="0" w:color="auto"/>
        <w:right w:val="none" w:sz="0" w:space="0" w:color="auto"/>
      </w:divBdr>
    </w:div>
    <w:div w:id="218980075">
      <w:bodyDiv w:val="1"/>
      <w:marLeft w:val="0"/>
      <w:marRight w:val="0"/>
      <w:marTop w:val="0"/>
      <w:marBottom w:val="0"/>
      <w:divBdr>
        <w:top w:val="none" w:sz="0" w:space="0" w:color="auto"/>
        <w:left w:val="none" w:sz="0" w:space="0" w:color="auto"/>
        <w:bottom w:val="none" w:sz="0" w:space="0" w:color="auto"/>
        <w:right w:val="none" w:sz="0" w:space="0" w:color="auto"/>
      </w:divBdr>
    </w:div>
    <w:div w:id="219052149">
      <w:bodyDiv w:val="1"/>
      <w:marLeft w:val="0"/>
      <w:marRight w:val="0"/>
      <w:marTop w:val="0"/>
      <w:marBottom w:val="0"/>
      <w:divBdr>
        <w:top w:val="none" w:sz="0" w:space="0" w:color="auto"/>
        <w:left w:val="none" w:sz="0" w:space="0" w:color="auto"/>
        <w:bottom w:val="none" w:sz="0" w:space="0" w:color="auto"/>
        <w:right w:val="none" w:sz="0" w:space="0" w:color="auto"/>
      </w:divBdr>
    </w:div>
    <w:div w:id="219944870">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45716027">
      <w:bodyDiv w:val="1"/>
      <w:marLeft w:val="0"/>
      <w:marRight w:val="0"/>
      <w:marTop w:val="0"/>
      <w:marBottom w:val="0"/>
      <w:divBdr>
        <w:top w:val="none" w:sz="0" w:space="0" w:color="auto"/>
        <w:left w:val="none" w:sz="0" w:space="0" w:color="auto"/>
        <w:bottom w:val="none" w:sz="0" w:space="0" w:color="auto"/>
        <w:right w:val="none" w:sz="0" w:space="0" w:color="auto"/>
      </w:divBdr>
    </w:div>
    <w:div w:id="350567264">
      <w:bodyDiv w:val="1"/>
      <w:marLeft w:val="0"/>
      <w:marRight w:val="0"/>
      <w:marTop w:val="0"/>
      <w:marBottom w:val="0"/>
      <w:divBdr>
        <w:top w:val="none" w:sz="0" w:space="0" w:color="auto"/>
        <w:left w:val="none" w:sz="0" w:space="0" w:color="auto"/>
        <w:bottom w:val="none" w:sz="0" w:space="0" w:color="auto"/>
        <w:right w:val="none" w:sz="0" w:space="0" w:color="auto"/>
      </w:divBdr>
    </w:div>
    <w:div w:id="350767076">
      <w:bodyDiv w:val="1"/>
      <w:marLeft w:val="0"/>
      <w:marRight w:val="0"/>
      <w:marTop w:val="0"/>
      <w:marBottom w:val="0"/>
      <w:divBdr>
        <w:top w:val="none" w:sz="0" w:space="0" w:color="auto"/>
        <w:left w:val="none" w:sz="0" w:space="0" w:color="auto"/>
        <w:bottom w:val="none" w:sz="0" w:space="0" w:color="auto"/>
        <w:right w:val="none" w:sz="0" w:space="0" w:color="auto"/>
      </w:divBdr>
    </w:div>
    <w:div w:id="353922964">
      <w:bodyDiv w:val="1"/>
      <w:marLeft w:val="0"/>
      <w:marRight w:val="0"/>
      <w:marTop w:val="0"/>
      <w:marBottom w:val="0"/>
      <w:divBdr>
        <w:top w:val="none" w:sz="0" w:space="0" w:color="auto"/>
        <w:left w:val="none" w:sz="0" w:space="0" w:color="auto"/>
        <w:bottom w:val="none" w:sz="0" w:space="0" w:color="auto"/>
        <w:right w:val="none" w:sz="0" w:space="0" w:color="auto"/>
      </w:divBdr>
    </w:div>
    <w:div w:id="381635052">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3937312">
      <w:bodyDiv w:val="1"/>
      <w:marLeft w:val="0"/>
      <w:marRight w:val="0"/>
      <w:marTop w:val="0"/>
      <w:marBottom w:val="0"/>
      <w:divBdr>
        <w:top w:val="none" w:sz="0" w:space="0" w:color="auto"/>
        <w:left w:val="none" w:sz="0" w:space="0" w:color="auto"/>
        <w:bottom w:val="none" w:sz="0" w:space="0" w:color="auto"/>
        <w:right w:val="none" w:sz="0" w:space="0" w:color="auto"/>
      </w:divBdr>
      <w:divsChild>
        <w:div w:id="2069374055">
          <w:marLeft w:val="0"/>
          <w:marRight w:val="0"/>
          <w:marTop w:val="0"/>
          <w:marBottom w:val="0"/>
          <w:divBdr>
            <w:top w:val="none" w:sz="0" w:space="0" w:color="auto"/>
            <w:left w:val="none" w:sz="0" w:space="0" w:color="auto"/>
            <w:bottom w:val="none" w:sz="0" w:space="0" w:color="auto"/>
            <w:right w:val="none" w:sz="0" w:space="0" w:color="auto"/>
          </w:divBdr>
        </w:div>
      </w:divsChild>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01829362">
      <w:bodyDiv w:val="1"/>
      <w:marLeft w:val="0"/>
      <w:marRight w:val="0"/>
      <w:marTop w:val="0"/>
      <w:marBottom w:val="0"/>
      <w:divBdr>
        <w:top w:val="none" w:sz="0" w:space="0" w:color="auto"/>
        <w:left w:val="none" w:sz="0" w:space="0" w:color="auto"/>
        <w:bottom w:val="none" w:sz="0" w:space="0" w:color="auto"/>
        <w:right w:val="none" w:sz="0" w:space="0" w:color="auto"/>
      </w:divBdr>
    </w:div>
    <w:div w:id="408768525">
      <w:bodyDiv w:val="1"/>
      <w:marLeft w:val="0"/>
      <w:marRight w:val="0"/>
      <w:marTop w:val="0"/>
      <w:marBottom w:val="0"/>
      <w:divBdr>
        <w:top w:val="none" w:sz="0" w:space="0" w:color="auto"/>
        <w:left w:val="none" w:sz="0" w:space="0" w:color="auto"/>
        <w:bottom w:val="none" w:sz="0" w:space="0" w:color="auto"/>
        <w:right w:val="none" w:sz="0" w:space="0" w:color="auto"/>
      </w:divBdr>
      <w:divsChild>
        <w:div w:id="89787644">
          <w:marLeft w:val="0"/>
          <w:marRight w:val="0"/>
          <w:marTop w:val="0"/>
          <w:marBottom w:val="0"/>
          <w:divBdr>
            <w:top w:val="none" w:sz="0" w:space="0" w:color="auto"/>
            <w:left w:val="none" w:sz="0" w:space="0" w:color="auto"/>
            <w:bottom w:val="none" w:sz="0" w:space="0" w:color="auto"/>
            <w:right w:val="none" w:sz="0" w:space="0" w:color="auto"/>
          </w:divBdr>
        </w:div>
      </w:divsChild>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30667084">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4754916">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486284636">
      <w:bodyDiv w:val="1"/>
      <w:marLeft w:val="0"/>
      <w:marRight w:val="0"/>
      <w:marTop w:val="0"/>
      <w:marBottom w:val="0"/>
      <w:divBdr>
        <w:top w:val="none" w:sz="0" w:space="0" w:color="auto"/>
        <w:left w:val="none" w:sz="0" w:space="0" w:color="auto"/>
        <w:bottom w:val="none" w:sz="0" w:space="0" w:color="auto"/>
        <w:right w:val="none" w:sz="0" w:space="0" w:color="auto"/>
      </w:divBdr>
    </w:div>
    <w:div w:id="494417478">
      <w:bodyDiv w:val="1"/>
      <w:marLeft w:val="0"/>
      <w:marRight w:val="0"/>
      <w:marTop w:val="0"/>
      <w:marBottom w:val="0"/>
      <w:divBdr>
        <w:top w:val="none" w:sz="0" w:space="0" w:color="auto"/>
        <w:left w:val="none" w:sz="0" w:space="0" w:color="auto"/>
        <w:bottom w:val="none" w:sz="0" w:space="0" w:color="auto"/>
        <w:right w:val="none" w:sz="0" w:space="0" w:color="auto"/>
      </w:divBdr>
    </w:div>
    <w:div w:id="564724038">
      <w:bodyDiv w:val="1"/>
      <w:marLeft w:val="0"/>
      <w:marRight w:val="0"/>
      <w:marTop w:val="0"/>
      <w:marBottom w:val="0"/>
      <w:divBdr>
        <w:top w:val="none" w:sz="0" w:space="0" w:color="auto"/>
        <w:left w:val="none" w:sz="0" w:space="0" w:color="auto"/>
        <w:bottom w:val="none" w:sz="0" w:space="0" w:color="auto"/>
        <w:right w:val="none" w:sz="0" w:space="0" w:color="auto"/>
      </w:divBdr>
    </w:div>
    <w:div w:id="568535509">
      <w:bodyDiv w:val="1"/>
      <w:marLeft w:val="0"/>
      <w:marRight w:val="0"/>
      <w:marTop w:val="0"/>
      <w:marBottom w:val="0"/>
      <w:divBdr>
        <w:top w:val="none" w:sz="0" w:space="0" w:color="auto"/>
        <w:left w:val="none" w:sz="0" w:space="0" w:color="auto"/>
        <w:bottom w:val="none" w:sz="0" w:space="0" w:color="auto"/>
        <w:right w:val="none" w:sz="0" w:space="0" w:color="auto"/>
      </w:divBdr>
    </w:div>
    <w:div w:id="573977461">
      <w:bodyDiv w:val="1"/>
      <w:marLeft w:val="0"/>
      <w:marRight w:val="0"/>
      <w:marTop w:val="0"/>
      <w:marBottom w:val="0"/>
      <w:divBdr>
        <w:top w:val="none" w:sz="0" w:space="0" w:color="auto"/>
        <w:left w:val="none" w:sz="0" w:space="0" w:color="auto"/>
        <w:bottom w:val="none" w:sz="0" w:space="0" w:color="auto"/>
        <w:right w:val="none" w:sz="0" w:space="0" w:color="auto"/>
      </w:divBdr>
    </w:div>
    <w:div w:id="586579262">
      <w:bodyDiv w:val="1"/>
      <w:marLeft w:val="0"/>
      <w:marRight w:val="0"/>
      <w:marTop w:val="0"/>
      <w:marBottom w:val="0"/>
      <w:divBdr>
        <w:top w:val="none" w:sz="0" w:space="0" w:color="auto"/>
        <w:left w:val="none" w:sz="0" w:space="0" w:color="auto"/>
        <w:bottom w:val="none" w:sz="0" w:space="0" w:color="auto"/>
        <w:right w:val="none" w:sz="0" w:space="0" w:color="auto"/>
      </w:divBdr>
    </w:div>
    <w:div w:id="588469225">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35331640">
      <w:bodyDiv w:val="1"/>
      <w:marLeft w:val="0"/>
      <w:marRight w:val="0"/>
      <w:marTop w:val="0"/>
      <w:marBottom w:val="0"/>
      <w:divBdr>
        <w:top w:val="none" w:sz="0" w:space="0" w:color="auto"/>
        <w:left w:val="none" w:sz="0" w:space="0" w:color="auto"/>
        <w:bottom w:val="none" w:sz="0" w:space="0" w:color="auto"/>
        <w:right w:val="none" w:sz="0" w:space="0" w:color="auto"/>
      </w:divBdr>
    </w:div>
    <w:div w:id="669910974">
      <w:bodyDiv w:val="1"/>
      <w:marLeft w:val="0"/>
      <w:marRight w:val="0"/>
      <w:marTop w:val="0"/>
      <w:marBottom w:val="0"/>
      <w:divBdr>
        <w:top w:val="none" w:sz="0" w:space="0" w:color="auto"/>
        <w:left w:val="none" w:sz="0" w:space="0" w:color="auto"/>
        <w:bottom w:val="none" w:sz="0" w:space="0" w:color="auto"/>
        <w:right w:val="none" w:sz="0" w:space="0" w:color="auto"/>
      </w:divBdr>
    </w:div>
    <w:div w:id="671227921">
      <w:bodyDiv w:val="1"/>
      <w:marLeft w:val="0"/>
      <w:marRight w:val="0"/>
      <w:marTop w:val="0"/>
      <w:marBottom w:val="0"/>
      <w:divBdr>
        <w:top w:val="none" w:sz="0" w:space="0" w:color="auto"/>
        <w:left w:val="none" w:sz="0" w:space="0" w:color="auto"/>
        <w:bottom w:val="none" w:sz="0" w:space="0" w:color="auto"/>
        <w:right w:val="none" w:sz="0" w:space="0" w:color="auto"/>
      </w:divBdr>
    </w:div>
    <w:div w:id="687369066">
      <w:bodyDiv w:val="1"/>
      <w:marLeft w:val="0"/>
      <w:marRight w:val="0"/>
      <w:marTop w:val="0"/>
      <w:marBottom w:val="0"/>
      <w:divBdr>
        <w:top w:val="none" w:sz="0" w:space="0" w:color="auto"/>
        <w:left w:val="none" w:sz="0" w:space="0" w:color="auto"/>
        <w:bottom w:val="none" w:sz="0" w:space="0" w:color="auto"/>
        <w:right w:val="none" w:sz="0" w:space="0" w:color="auto"/>
      </w:divBdr>
    </w:div>
    <w:div w:id="703945560">
      <w:bodyDiv w:val="1"/>
      <w:marLeft w:val="0"/>
      <w:marRight w:val="0"/>
      <w:marTop w:val="0"/>
      <w:marBottom w:val="0"/>
      <w:divBdr>
        <w:top w:val="none" w:sz="0" w:space="0" w:color="auto"/>
        <w:left w:val="none" w:sz="0" w:space="0" w:color="auto"/>
        <w:bottom w:val="none" w:sz="0" w:space="0" w:color="auto"/>
        <w:right w:val="none" w:sz="0" w:space="0" w:color="auto"/>
      </w:divBdr>
    </w:div>
    <w:div w:id="725839819">
      <w:bodyDiv w:val="1"/>
      <w:marLeft w:val="0"/>
      <w:marRight w:val="0"/>
      <w:marTop w:val="0"/>
      <w:marBottom w:val="0"/>
      <w:divBdr>
        <w:top w:val="none" w:sz="0" w:space="0" w:color="auto"/>
        <w:left w:val="none" w:sz="0" w:space="0" w:color="auto"/>
        <w:bottom w:val="none" w:sz="0" w:space="0" w:color="auto"/>
        <w:right w:val="none" w:sz="0" w:space="0" w:color="auto"/>
      </w:divBdr>
    </w:div>
    <w:div w:id="751194676">
      <w:bodyDiv w:val="1"/>
      <w:marLeft w:val="0"/>
      <w:marRight w:val="0"/>
      <w:marTop w:val="0"/>
      <w:marBottom w:val="0"/>
      <w:divBdr>
        <w:top w:val="none" w:sz="0" w:space="0" w:color="auto"/>
        <w:left w:val="none" w:sz="0" w:space="0" w:color="auto"/>
        <w:bottom w:val="none" w:sz="0" w:space="0" w:color="auto"/>
        <w:right w:val="none" w:sz="0" w:space="0" w:color="auto"/>
      </w:divBdr>
    </w:div>
    <w:div w:id="763692169">
      <w:bodyDiv w:val="1"/>
      <w:marLeft w:val="0"/>
      <w:marRight w:val="0"/>
      <w:marTop w:val="0"/>
      <w:marBottom w:val="0"/>
      <w:divBdr>
        <w:top w:val="none" w:sz="0" w:space="0" w:color="auto"/>
        <w:left w:val="none" w:sz="0" w:space="0" w:color="auto"/>
        <w:bottom w:val="none" w:sz="0" w:space="0" w:color="auto"/>
        <w:right w:val="none" w:sz="0" w:space="0" w:color="auto"/>
      </w:divBdr>
    </w:div>
    <w:div w:id="766852492">
      <w:bodyDiv w:val="1"/>
      <w:marLeft w:val="0"/>
      <w:marRight w:val="0"/>
      <w:marTop w:val="0"/>
      <w:marBottom w:val="0"/>
      <w:divBdr>
        <w:top w:val="none" w:sz="0" w:space="0" w:color="auto"/>
        <w:left w:val="none" w:sz="0" w:space="0" w:color="auto"/>
        <w:bottom w:val="none" w:sz="0" w:space="0" w:color="auto"/>
        <w:right w:val="none" w:sz="0" w:space="0" w:color="auto"/>
      </w:divBdr>
    </w:div>
    <w:div w:id="828517260">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39350559">
      <w:bodyDiv w:val="1"/>
      <w:marLeft w:val="0"/>
      <w:marRight w:val="0"/>
      <w:marTop w:val="0"/>
      <w:marBottom w:val="0"/>
      <w:divBdr>
        <w:top w:val="none" w:sz="0" w:space="0" w:color="auto"/>
        <w:left w:val="none" w:sz="0" w:space="0" w:color="auto"/>
        <w:bottom w:val="none" w:sz="0" w:space="0" w:color="auto"/>
        <w:right w:val="none" w:sz="0" w:space="0" w:color="auto"/>
      </w:divBdr>
    </w:div>
    <w:div w:id="865338405">
      <w:bodyDiv w:val="1"/>
      <w:marLeft w:val="0"/>
      <w:marRight w:val="0"/>
      <w:marTop w:val="0"/>
      <w:marBottom w:val="0"/>
      <w:divBdr>
        <w:top w:val="none" w:sz="0" w:space="0" w:color="auto"/>
        <w:left w:val="none" w:sz="0" w:space="0" w:color="auto"/>
        <w:bottom w:val="none" w:sz="0" w:space="0" w:color="auto"/>
        <w:right w:val="none" w:sz="0" w:space="0" w:color="auto"/>
      </w:divBdr>
    </w:div>
    <w:div w:id="865557369">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1725927">
      <w:bodyDiv w:val="1"/>
      <w:marLeft w:val="0"/>
      <w:marRight w:val="0"/>
      <w:marTop w:val="0"/>
      <w:marBottom w:val="0"/>
      <w:divBdr>
        <w:top w:val="none" w:sz="0" w:space="0" w:color="auto"/>
        <w:left w:val="none" w:sz="0" w:space="0" w:color="auto"/>
        <w:bottom w:val="none" w:sz="0" w:space="0" w:color="auto"/>
        <w:right w:val="none" w:sz="0" w:space="0" w:color="auto"/>
      </w:divBdr>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894007863">
      <w:bodyDiv w:val="1"/>
      <w:marLeft w:val="0"/>
      <w:marRight w:val="0"/>
      <w:marTop w:val="0"/>
      <w:marBottom w:val="0"/>
      <w:divBdr>
        <w:top w:val="none" w:sz="0" w:space="0" w:color="auto"/>
        <w:left w:val="none" w:sz="0" w:space="0" w:color="auto"/>
        <w:bottom w:val="none" w:sz="0" w:space="0" w:color="auto"/>
        <w:right w:val="none" w:sz="0" w:space="0" w:color="auto"/>
      </w:divBdr>
      <w:divsChild>
        <w:div w:id="962273013">
          <w:marLeft w:val="0"/>
          <w:marRight w:val="0"/>
          <w:marTop w:val="0"/>
          <w:marBottom w:val="0"/>
          <w:divBdr>
            <w:top w:val="none" w:sz="0" w:space="0" w:color="auto"/>
            <w:left w:val="none" w:sz="0" w:space="0" w:color="auto"/>
            <w:bottom w:val="none" w:sz="0" w:space="0" w:color="auto"/>
            <w:right w:val="none" w:sz="0" w:space="0" w:color="auto"/>
          </w:divBdr>
        </w:div>
      </w:divsChild>
    </w:div>
    <w:div w:id="916091457">
      <w:bodyDiv w:val="1"/>
      <w:marLeft w:val="0"/>
      <w:marRight w:val="0"/>
      <w:marTop w:val="0"/>
      <w:marBottom w:val="0"/>
      <w:divBdr>
        <w:top w:val="none" w:sz="0" w:space="0" w:color="auto"/>
        <w:left w:val="none" w:sz="0" w:space="0" w:color="auto"/>
        <w:bottom w:val="none" w:sz="0" w:space="0" w:color="auto"/>
        <w:right w:val="none" w:sz="0" w:space="0" w:color="auto"/>
      </w:divBdr>
    </w:div>
    <w:div w:id="9311622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686">
          <w:marLeft w:val="0"/>
          <w:marRight w:val="0"/>
          <w:marTop w:val="0"/>
          <w:marBottom w:val="0"/>
          <w:divBdr>
            <w:top w:val="none" w:sz="0" w:space="0" w:color="auto"/>
            <w:left w:val="none" w:sz="0" w:space="0" w:color="auto"/>
            <w:bottom w:val="none" w:sz="0" w:space="0" w:color="auto"/>
            <w:right w:val="none" w:sz="0" w:space="0" w:color="auto"/>
          </w:divBdr>
        </w:div>
      </w:divsChild>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79767962">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15158441">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73352238">
      <w:bodyDiv w:val="1"/>
      <w:marLeft w:val="0"/>
      <w:marRight w:val="0"/>
      <w:marTop w:val="0"/>
      <w:marBottom w:val="0"/>
      <w:divBdr>
        <w:top w:val="none" w:sz="0" w:space="0" w:color="auto"/>
        <w:left w:val="none" w:sz="0" w:space="0" w:color="auto"/>
        <w:bottom w:val="none" w:sz="0" w:space="0" w:color="auto"/>
        <w:right w:val="none" w:sz="0" w:space="0" w:color="auto"/>
      </w:divBdr>
      <w:divsChild>
        <w:div w:id="799302574">
          <w:marLeft w:val="0"/>
          <w:marRight w:val="0"/>
          <w:marTop w:val="0"/>
          <w:marBottom w:val="0"/>
          <w:divBdr>
            <w:top w:val="none" w:sz="0" w:space="0" w:color="auto"/>
            <w:left w:val="none" w:sz="0" w:space="0" w:color="auto"/>
            <w:bottom w:val="none" w:sz="0" w:space="0" w:color="auto"/>
            <w:right w:val="none" w:sz="0" w:space="0" w:color="auto"/>
          </w:divBdr>
        </w:div>
      </w:divsChild>
    </w:div>
    <w:div w:id="1073503341">
      <w:bodyDiv w:val="1"/>
      <w:marLeft w:val="0"/>
      <w:marRight w:val="0"/>
      <w:marTop w:val="0"/>
      <w:marBottom w:val="0"/>
      <w:divBdr>
        <w:top w:val="none" w:sz="0" w:space="0" w:color="auto"/>
        <w:left w:val="none" w:sz="0" w:space="0" w:color="auto"/>
        <w:bottom w:val="none" w:sz="0" w:space="0" w:color="auto"/>
        <w:right w:val="none" w:sz="0" w:space="0" w:color="auto"/>
      </w:divBdr>
      <w:divsChild>
        <w:div w:id="1442723832">
          <w:marLeft w:val="0"/>
          <w:marRight w:val="0"/>
          <w:marTop w:val="0"/>
          <w:marBottom w:val="0"/>
          <w:divBdr>
            <w:top w:val="none" w:sz="0" w:space="0" w:color="auto"/>
            <w:left w:val="none" w:sz="0" w:space="0" w:color="auto"/>
            <w:bottom w:val="none" w:sz="0" w:space="0" w:color="auto"/>
            <w:right w:val="none" w:sz="0" w:space="0" w:color="auto"/>
          </w:divBdr>
        </w:div>
      </w:divsChild>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085613295">
      <w:bodyDiv w:val="1"/>
      <w:marLeft w:val="0"/>
      <w:marRight w:val="0"/>
      <w:marTop w:val="0"/>
      <w:marBottom w:val="0"/>
      <w:divBdr>
        <w:top w:val="none" w:sz="0" w:space="0" w:color="auto"/>
        <w:left w:val="none" w:sz="0" w:space="0" w:color="auto"/>
        <w:bottom w:val="none" w:sz="0" w:space="0" w:color="auto"/>
        <w:right w:val="none" w:sz="0" w:space="0" w:color="auto"/>
      </w:divBdr>
    </w:div>
    <w:div w:id="1086150425">
      <w:bodyDiv w:val="1"/>
      <w:marLeft w:val="0"/>
      <w:marRight w:val="0"/>
      <w:marTop w:val="0"/>
      <w:marBottom w:val="0"/>
      <w:divBdr>
        <w:top w:val="none" w:sz="0" w:space="0" w:color="auto"/>
        <w:left w:val="none" w:sz="0" w:space="0" w:color="auto"/>
        <w:bottom w:val="none" w:sz="0" w:space="0" w:color="auto"/>
        <w:right w:val="none" w:sz="0" w:space="0" w:color="auto"/>
      </w:divBdr>
    </w:div>
    <w:div w:id="1094664281">
      <w:bodyDiv w:val="1"/>
      <w:marLeft w:val="0"/>
      <w:marRight w:val="0"/>
      <w:marTop w:val="0"/>
      <w:marBottom w:val="0"/>
      <w:divBdr>
        <w:top w:val="none" w:sz="0" w:space="0" w:color="auto"/>
        <w:left w:val="none" w:sz="0" w:space="0" w:color="auto"/>
        <w:bottom w:val="none" w:sz="0" w:space="0" w:color="auto"/>
        <w:right w:val="none" w:sz="0" w:space="0" w:color="auto"/>
      </w:divBdr>
      <w:divsChild>
        <w:div w:id="382607494">
          <w:marLeft w:val="0"/>
          <w:marRight w:val="0"/>
          <w:marTop w:val="0"/>
          <w:marBottom w:val="0"/>
          <w:divBdr>
            <w:top w:val="none" w:sz="0" w:space="0" w:color="auto"/>
            <w:left w:val="none" w:sz="0" w:space="0" w:color="auto"/>
            <w:bottom w:val="none" w:sz="0" w:space="0" w:color="auto"/>
            <w:right w:val="none" w:sz="0" w:space="0" w:color="auto"/>
          </w:divBdr>
        </w:div>
      </w:divsChild>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062726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8599151">
      <w:bodyDiv w:val="1"/>
      <w:marLeft w:val="0"/>
      <w:marRight w:val="0"/>
      <w:marTop w:val="0"/>
      <w:marBottom w:val="0"/>
      <w:divBdr>
        <w:top w:val="none" w:sz="0" w:space="0" w:color="auto"/>
        <w:left w:val="none" w:sz="0" w:space="0" w:color="auto"/>
        <w:bottom w:val="none" w:sz="0" w:space="0" w:color="auto"/>
        <w:right w:val="none" w:sz="0" w:space="0" w:color="auto"/>
      </w:divBdr>
    </w:div>
    <w:div w:id="1119765097">
      <w:bodyDiv w:val="1"/>
      <w:marLeft w:val="0"/>
      <w:marRight w:val="0"/>
      <w:marTop w:val="0"/>
      <w:marBottom w:val="0"/>
      <w:divBdr>
        <w:top w:val="none" w:sz="0" w:space="0" w:color="auto"/>
        <w:left w:val="none" w:sz="0" w:space="0" w:color="auto"/>
        <w:bottom w:val="none" w:sz="0" w:space="0" w:color="auto"/>
        <w:right w:val="none" w:sz="0" w:space="0" w:color="auto"/>
      </w:divBdr>
    </w:div>
    <w:div w:id="1126582156">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59541317">
      <w:bodyDiv w:val="1"/>
      <w:marLeft w:val="0"/>
      <w:marRight w:val="0"/>
      <w:marTop w:val="0"/>
      <w:marBottom w:val="0"/>
      <w:divBdr>
        <w:top w:val="none" w:sz="0" w:space="0" w:color="auto"/>
        <w:left w:val="none" w:sz="0" w:space="0" w:color="auto"/>
        <w:bottom w:val="none" w:sz="0" w:space="0" w:color="auto"/>
        <w:right w:val="none" w:sz="0" w:space="0" w:color="auto"/>
      </w:divBdr>
    </w:div>
    <w:div w:id="1174347117">
      <w:bodyDiv w:val="1"/>
      <w:marLeft w:val="0"/>
      <w:marRight w:val="0"/>
      <w:marTop w:val="0"/>
      <w:marBottom w:val="0"/>
      <w:divBdr>
        <w:top w:val="none" w:sz="0" w:space="0" w:color="auto"/>
        <w:left w:val="none" w:sz="0" w:space="0" w:color="auto"/>
        <w:bottom w:val="none" w:sz="0" w:space="0" w:color="auto"/>
        <w:right w:val="none" w:sz="0" w:space="0" w:color="auto"/>
      </w:divBdr>
      <w:divsChild>
        <w:div w:id="623077532">
          <w:marLeft w:val="0"/>
          <w:marRight w:val="0"/>
          <w:marTop w:val="0"/>
          <w:marBottom w:val="0"/>
          <w:divBdr>
            <w:top w:val="none" w:sz="0" w:space="0" w:color="auto"/>
            <w:left w:val="none" w:sz="0" w:space="0" w:color="auto"/>
            <w:bottom w:val="none" w:sz="0" w:space="0" w:color="auto"/>
            <w:right w:val="none" w:sz="0" w:space="0" w:color="auto"/>
          </w:divBdr>
        </w:div>
      </w:divsChild>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194226191">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07909033">
      <w:bodyDiv w:val="1"/>
      <w:marLeft w:val="0"/>
      <w:marRight w:val="0"/>
      <w:marTop w:val="0"/>
      <w:marBottom w:val="0"/>
      <w:divBdr>
        <w:top w:val="none" w:sz="0" w:space="0" w:color="auto"/>
        <w:left w:val="none" w:sz="0" w:space="0" w:color="auto"/>
        <w:bottom w:val="none" w:sz="0" w:space="0" w:color="auto"/>
        <w:right w:val="none" w:sz="0" w:space="0" w:color="auto"/>
      </w:divBdr>
    </w:div>
    <w:div w:id="1226144171">
      <w:bodyDiv w:val="1"/>
      <w:marLeft w:val="0"/>
      <w:marRight w:val="0"/>
      <w:marTop w:val="0"/>
      <w:marBottom w:val="0"/>
      <w:divBdr>
        <w:top w:val="none" w:sz="0" w:space="0" w:color="auto"/>
        <w:left w:val="none" w:sz="0" w:space="0" w:color="auto"/>
        <w:bottom w:val="none" w:sz="0" w:space="0" w:color="auto"/>
        <w:right w:val="none" w:sz="0" w:space="0" w:color="auto"/>
      </w:divBdr>
    </w:div>
    <w:div w:id="1266577147">
      <w:bodyDiv w:val="1"/>
      <w:marLeft w:val="0"/>
      <w:marRight w:val="0"/>
      <w:marTop w:val="0"/>
      <w:marBottom w:val="0"/>
      <w:divBdr>
        <w:top w:val="none" w:sz="0" w:space="0" w:color="auto"/>
        <w:left w:val="none" w:sz="0" w:space="0" w:color="auto"/>
        <w:bottom w:val="none" w:sz="0" w:space="0" w:color="auto"/>
        <w:right w:val="none" w:sz="0" w:space="0" w:color="auto"/>
      </w:divBdr>
    </w:div>
    <w:div w:id="128079668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04964852">
      <w:bodyDiv w:val="1"/>
      <w:marLeft w:val="0"/>
      <w:marRight w:val="0"/>
      <w:marTop w:val="0"/>
      <w:marBottom w:val="0"/>
      <w:divBdr>
        <w:top w:val="none" w:sz="0" w:space="0" w:color="auto"/>
        <w:left w:val="none" w:sz="0" w:space="0" w:color="auto"/>
        <w:bottom w:val="none" w:sz="0" w:space="0" w:color="auto"/>
        <w:right w:val="none" w:sz="0" w:space="0" w:color="auto"/>
      </w:divBdr>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354569246">
      <w:bodyDiv w:val="1"/>
      <w:marLeft w:val="0"/>
      <w:marRight w:val="0"/>
      <w:marTop w:val="0"/>
      <w:marBottom w:val="0"/>
      <w:divBdr>
        <w:top w:val="none" w:sz="0" w:space="0" w:color="auto"/>
        <w:left w:val="none" w:sz="0" w:space="0" w:color="auto"/>
        <w:bottom w:val="none" w:sz="0" w:space="0" w:color="auto"/>
        <w:right w:val="none" w:sz="0" w:space="0" w:color="auto"/>
      </w:divBdr>
    </w:div>
    <w:div w:id="1357196507">
      <w:bodyDiv w:val="1"/>
      <w:marLeft w:val="0"/>
      <w:marRight w:val="0"/>
      <w:marTop w:val="0"/>
      <w:marBottom w:val="0"/>
      <w:divBdr>
        <w:top w:val="none" w:sz="0" w:space="0" w:color="auto"/>
        <w:left w:val="none" w:sz="0" w:space="0" w:color="auto"/>
        <w:bottom w:val="none" w:sz="0" w:space="0" w:color="auto"/>
        <w:right w:val="none" w:sz="0" w:space="0" w:color="auto"/>
      </w:divBdr>
      <w:divsChild>
        <w:div w:id="133068627">
          <w:marLeft w:val="0"/>
          <w:marRight w:val="0"/>
          <w:marTop w:val="0"/>
          <w:marBottom w:val="0"/>
          <w:divBdr>
            <w:top w:val="none" w:sz="0" w:space="0" w:color="auto"/>
            <w:left w:val="none" w:sz="0" w:space="0" w:color="auto"/>
            <w:bottom w:val="none" w:sz="0" w:space="0" w:color="auto"/>
            <w:right w:val="none" w:sz="0" w:space="0" w:color="auto"/>
          </w:divBdr>
        </w:div>
      </w:divsChild>
    </w:div>
    <w:div w:id="1370494342">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389497229">
      <w:bodyDiv w:val="1"/>
      <w:marLeft w:val="0"/>
      <w:marRight w:val="0"/>
      <w:marTop w:val="0"/>
      <w:marBottom w:val="0"/>
      <w:divBdr>
        <w:top w:val="none" w:sz="0" w:space="0" w:color="auto"/>
        <w:left w:val="none" w:sz="0" w:space="0" w:color="auto"/>
        <w:bottom w:val="none" w:sz="0" w:space="0" w:color="auto"/>
        <w:right w:val="none" w:sz="0" w:space="0" w:color="auto"/>
      </w:divBdr>
    </w:div>
    <w:div w:id="1392999421">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474836636">
      <w:bodyDiv w:val="1"/>
      <w:marLeft w:val="0"/>
      <w:marRight w:val="0"/>
      <w:marTop w:val="0"/>
      <w:marBottom w:val="0"/>
      <w:divBdr>
        <w:top w:val="none" w:sz="0" w:space="0" w:color="auto"/>
        <w:left w:val="none" w:sz="0" w:space="0" w:color="auto"/>
        <w:bottom w:val="none" w:sz="0" w:space="0" w:color="auto"/>
        <w:right w:val="none" w:sz="0" w:space="0" w:color="auto"/>
      </w:divBdr>
    </w:div>
    <w:div w:id="1479615899">
      <w:bodyDiv w:val="1"/>
      <w:marLeft w:val="0"/>
      <w:marRight w:val="0"/>
      <w:marTop w:val="0"/>
      <w:marBottom w:val="0"/>
      <w:divBdr>
        <w:top w:val="none" w:sz="0" w:space="0" w:color="auto"/>
        <w:left w:val="none" w:sz="0" w:space="0" w:color="auto"/>
        <w:bottom w:val="none" w:sz="0" w:space="0" w:color="auto"/>
        <w:right w:val="none" w:sz="0" w:space="0" w:color="auto"/>
      </w:divBdr>
    </w:div>
    <w:div w:id="1487739694">
      <w:bodyDiv w:val="1"/>
      <w:marLeft w:val="0"/>
      <w:marRight w:val="0"/>
      <w:marTop w:val="0"/>
      <w:marBottom w:val="0"/>
      <w:divBdr>
        <w:top w:val="none" w:sz="0" w:space="0" w:color="auto"/>
        <w:left w:val="none" w:sz="0" w:space="0" w:color="auto"/>
        <w:bottom w:val="none" w:sz="0" w:space="0" w:color="auto"/>
        <w:right w:val="none" w:sz="0" w:space="0" w:color="auto"/>
      </w:divBdr>
    </w:div>
    <w:div w:id="1503739994">
      <w:bodyDiv w:val="1"/>
      <w:marLeft w:val="0"/>
      <w:marRight w:val="0"/>
      <w:marTop w:val="0"/>
      <w:marBottom w:val="0"/>
      <w:divBdr>
        <w:top w:val="none" w:sz="0" w:space="0" w:color="auto"/>
        <w:left w:val="none" w:sz="0" w:space="0" w:color="auto"/>
        <w:bottom w:val="none" w:sz="0" w:space="0" w:color="auto"/>
        <w:right w:val="none" w:sz="0" w:space="0" w:color="auto"/>
      </w:divBdr>
    </w:div>
    <w:div w:id="1504510062">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47526740">
      <w:bodyDiv w:val="1"/>
      <w:marLeft w:val="0"/>
      <w:marRight w:val="0"/>
      <w:marTop w:val="0"/>
      <w:marBottom w:val="0"/>
      <w:divBdr>
        <w:top w:val="none" w:sz="0" w:space="0" w:color="auto"/>
        <w:left w:val="none" w:sz="0" w:space="0" w:color="auto"/>
        <w:bottom w:val="none" w:sz="0" w:space="0" w:color="auto"/>
        <w:right w:val="none" w:sz="0" w:space="0" w:color="auto"/>
      </w:divBdr>
      <w:divsChild>
        <w:div w:id="463549119">
          <w:marLeft w:val="0"/>
          <w:marRight w:val="0"/>
          <w:marTop w:val="0"/>
          <w:marBottom w:val="0"/>
          <w:divBdr>
            <w:top w:val="none" w:sz="0" w:space="0" w:color="auto"/>
            <w:left w:val="none" w:sz="0" w:space="0" w:color="auto"/>
            <w:bottom w:val="none" w:sz="0" w:space="0" w:color="auto"/>
            <w:right w:val="none" w:sz="0" w:space="0" w:color="auto"/>
          </w:divBdr>
        </w:div>
      </w:divsChild>
    </w:div>
    <w:div w:id="1554346420">
      <w:bodyDiv w:val="1"/>
      <w:marLeft w:val="0"/>
      <w:marRight w:val="0"/>
      <w:marTop w:val="0"/>
      <w:marBottom w:val="0"/>
      <w:divBdr>
        <w:top w:val="none" w:sz="0" w:space="0" w:color="auto"/>
        <w:left w:val="none" w:sz="0" w:space="0" w:color="auto"/>
        <w:bottom w:val="none" w:sz="0" w:space="0" w:color="auto"/>
        <w:right w:val="none" w:sz="0" w:space="0" w:color="auto"/>
      </w:divBdr>
    </w:div>
    <w:div w:id="1567452836">
      <w:bodyDiv w:val="1"/>
      <w:marLeft w:val="0"/>
      <w:marRight w:val="0"/>
      <w:marTop w:val="0"/>
      <w:marBottom w:val="0"/>
      <w:divBdr>
        <w:top w:val="none" w:sz="0" w:space="0" w:color="auto"/>
        <w:left w:val="none" w:sz="0" w:space="0" w:color="auto"/>
        <w:bottom w:val="none" w:sz="0" w:space="0" w:color="auto"/>
        <w:right w:val="none" w:sz="0" w:space="0" w:color="auto"/>
      </w:divBdr>
    </w:div>
    <w:div w:id="1570067966">
      <w:bodyDiv w:val="1"/>
      <w:marLeft w:val="0"/>
      <w:marRight w:val="0"/>
      <w:marTop w:val="0"/>
      <w:marBottom w:val="0"/>
      <w:divBdr>
        <w:top w:val="none" w:sz="0" w:space="0" w:color="auto"/>
        <w:left w:val="none" w:sz="0" w:space="0" w:color="auto"/>
        <w:bottom w:val="none" w:sz="0" w:space="0" w:color="auto"/>
        <w:right w:val="none" w:sz="0" w:space="0" w:color="auto"/>
      </w:divBdr>
      <w:divsChild>
        <w:div w:id="524945384">
          <w:marLeft w:val="0"/>
          <w:marRight w:val="0"/>
          <w:marTop w:val="0"/>
          <w:marBottom w:val="0"/>
          <w:divBdr>
            <w:top w:val="none" w:sz="0" w:space="0" w:color="auto"/>
            <w:left w:val="none" w:sz="0" w:space="0" w:color="auto"/>
            <w:bottom w:val="none" w:sz="0" w:space="0" w:color="auto"/>
            <w:right w:val="none" w:sz="0" w:space="0" w:color="auto"/>
          </w:divBdr>
        </w:div>
      </w:divsChild>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589848901">
      <w:bodyDiv w:val="1"/>
      <w:marLeft w:val="0"/>
      <w:marRight w:val="0"/>
      <w:marTop w:val="0"/>
      <w:marBottom w:val="0"/>
      <w:divBdr>
        <w:top w:val="none" w:sz="0" w:space="0" w:color="auto"/>
        <w:left w:val="none" w:sz="0" w:space="0" w:color="auto"/>
        <w:bottom w:val="none" w:sz="0" w:space="0" w:color="auto"/>
        <w:right w:val="none" w:sz="0" w:space="0" w:color="auto"/>
      </w:divBdr>
    </w:div>
    <w:div w:id="1600721378">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32708267">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61489434">
      <w:bodyDiv w:val="1"/>
      <w:marLeft w:val="0"/>
      <w:marRight w:val="0"/>
      <w:marTop w:val="0"/>
      <w:marBottom w:val="0"/>
      <w:divBdr>
        <w:top w:val="none" w:sz="0" w:space="0" w:color="auto"/>
        <w:left w:val="none" w:sz="0" w:space="0" w:color="auto"/>
        <w:bottom w:val="none" w:sz="0" w:space="0" w:color="auto"/>
        <w:right w:val="none" w:sz="0" w:space="0" w:color="auto"/>
      </w:divBdr>
    </w:div>
    <w:div w:id="1768649751">
      <w:bodyDiv w:val="1"/>
      <w:marLeft w:val="0"/>
      <w:marRight w:val="0"/>
      <w:marTop w:val="0"/>
      <w:marBottom w:val="0"/>
      <w:divBdr>
        <w:top w:val="none" w:sz="0" w:space="0" w:color="auto"/>
        <w:left w:val="none" w:sz="0" w:space="0" w:color="auto"/>
        <w:bottom w:val="none" w:sz="0" w:space="0" w:color="auto"/>
        <w:right w:val="none" w:sz="0" w:space="0" w:color="auto"/>
      </w:divBdr>
    </w:div>
    <w:div w:id="1778795599">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02070609">
      <w:bodyDiv w:val="1"/>
      <w:marLeft w:val="0"/>
      <w:marRight w:val="0"/>
      <w:marTop w:val="0"/>
      <w:marBottom w:val="0"/>
      <w:divBdr>
        <w:top w:val="none" w:sz="0" w:space="0" w:color="auto"/>
        <w:left w:val="none" w:sz="0" w:space="0" w:color="auto"/>
        <w:bottom w:val="none" w:sz="0" w:space="0" w:color="auto"/>
        <w:right w:val="none" w:sz="0" w:space="0" w:color="auto"/>
      </w:divBdr>
    </w:div>
    <w:div w:id="1810707997">
      <w:bodyDiv w:val="1"/>
      <w:marLeft w:val="0"/>
      <w:marRight w:val="0"/>
      <w:marTop w:val="0"/>
      <w:marBottom w:val="0"/>
      <w:divBdr>
        <w:top w:val="none" w:sz="0" w:space="0" w:color="auto"/>
        <w:left w:val="none" w:sz="0" w:space="0" w:color="auto"/>
        <w:bottom w:val="none" w:sz="0" w:space="0" w:color="auto"/>
        <w:right w:val="none" w:sz="0" w:space="0" w:color="auto"/>
      </w:divBdr>
    </w:div>
    <w:div w:id="1813133059">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19304187">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44273121">
      <w:bodyDiv w:val="1"/>
      <w:marLeft w:val="0"/>
      <w:marRight w:val="0"/>
      <w:marTop w:val="0"/>
      <w:marBottom w:val="0"/>
      <w:divBdr>
        <w:top w:val="none" w:sz="0" w:space="0" w:color="auto"/>
        <w:left w:val="none" w:sz="0" w:space="0" w:color="auto"/>
        <w:bottom w:val="none" w:sz="0" w:space="0" w:color="auto"/>
        <w:right w:val="none" w:sz="0" w:space="0" w:color="auto"/>
      </w:divBdr>
    </w:div>
    <w:div w:id="1875774721">
      <w:bodyDiv w:val="1"/>
      <w:marLeft w:val="0"/>
      <w:marRight w:val="0"/>
      <w:marTop w:val="0"/>
      <w:marBottom w:val="0"/>
      <w:divBdr>
        <w:top w:val="none" w:sz="0" w:space="0" w:color="auto"/>
        <w:left w:val="none" w:sz="0" w:space="0" w:color="auto"/>
        <w:bottom w:val="none" w:sz="0" w:space="0" w:color="auto"/>
        <w:right w:val="none" w:sz="0" w:space="0" w:color="auto"/>
      </w:divBdr>
      <w:divsChild>
        <w:div w:id="1597012833">
          <w:marLeft w:val="0"/>
          <w:marRight w:val="0"/>
          <w:marTop w:val="0"/>
          <w:marBottom w:val="0"/>
          <w:divBdr>
            <w:top w:val="none" w:sz="0" w:space="0" w:color="auto"/>
            <w:left w:val="none" w:sz="0" w:space="0" w:color="auto"/>
            <w:bottom w:val="none" w:sz="0" w:space="0" w:color="auto"/>
            <w:right w:val="none" w:sz="0" w:space="0" w:color="auto"/>
          </w:divBdr>
        </w:div>
      </w:divsChild>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895311162">
      <w:bodyDiv w:val="1"/>
      <w:marLeft w:val="0"/>
      <w:marRight w:val="0"/>
      <w:marTop w:val="0"/>
      <w:marBottom w:val="0"/>
      <w:divBdr>
        <w:top w:val="none" w:sz="0" w:space="0" w:color="auto"/>
        <w:left w:val="none" w:sz="0" w:space="0" w:color="auto"/>
        <w:bottom w:val="none" w:sz="0" w:space="0" w:color="auto"/>
        <w:right w:val="none" w:sz="0" w:space="0" w:color="auto"/>
      </w:divBdr>
      <w:divsChild>
        <w:div w:id="1065958894">
          <w:marLeft w:val="0"/>
          <w:marRight w:val="0"/>
          <w:marTop w:val="0"/>
          <w:marBottom w:val="0"/>
          <w:divBdr>
            <w:top w:val="none" w:sz="0" w:space="0" w:color="auto"/>
            <w:left w:val="none" w:sz="0" w:space="0" w:color="auto"/>
            <w:bottom w:val="none" w:sz="0" w:space="0" w:color="auto"/>
            <w:right w:val="none" w:sz="0" w:space="0" w:color="auto"/>
          </w:divBdr>
        </w:div>
      </w:divsChild>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46769948">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1666467">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24167246">
      <w:bodyDiv w:val="1"/>
      <w:marLeft w:val="0"/>
      <w:marRight w:val="0"/>
      <w:marTop w:val="0"/>
      <w:marBottom w:val="0"/>
      <w:divBdr>
        <w:top w:val="none" w:sz="0" w:space="0" w:color="auto"/>
        <w:left w:val="none" w:sz="0" w:space="0" w:color="auto"/>
        <w:bottom w:val="none" w:sz="0" w:space="0" w:color="auto"/>
        <w:right w:val="none" w:sz="0" w:space="0" w:color="auto"/>
      </w:divBdr>
    </w:div>
    <w:div w:id="2029015173">
      <w:bodyDiv w:val="1"/>
      <w:marLeft w:val="0"/>
      <w:marRight w:val="0"/>
      <w:marTop w:val="0"/>
      <w:marBottom w:val="0"/>
      <w:divBdr>
        <w:top w:val="none" w:sz="0" w:space="0" w:color="auto"/>
        <w:left w:val="none" w:sz="0" w:space="0" w:color="auto"/>
        <w:bottom w:val="none" w:sz="0" w:space="0" w:color="auto"/>
        <w:right w:val="none" w:sz="0" w:space="0" w:color="auto"/>
      </w:divBdr>
    </w:div>
    <w:div w:id="2045788401">
      <w:bodyDiv w:val="1"/>
      <w:marLeft w:val="0"/>
      <w:marRight w:val="0"/>
      <w:marTop w:val="0"/>
      <w:marBottom w:val="0"/>
      <w:divBdr>
        <w:top w:val="none" w:sz="0" w:space="0" w:color="auto"/>
        <w:left w:val="none" w:sz="0" w:space="0" w:color="auto"/>
        <w:bottom w:val="none" w:sz="0" w:space="0" w:color="auto"/>
        <w:right w:val="none" w:sz="0" w:space="0" w:color="auto"/>
      </w:divBdr>
    </w:div>
    <w:div w:id="2062752289">
      <w:bodyDiv w:val="1"/>
      <w:marLeft w:val="0"/>
      <w:marRight w:val="0"/>
      <w:marTop w:val="0"/>
      <w:marBottom w:val="0"/>
      <w:divBdr>
        <w:top w:val="none" w:sz="0" w:space="0" w:color="auto"/>
        <w:left w:val="none" w:sz="0" w:space="0" w:color="auto"/>
        <w:bottom w:val="none" w:sz="0" w:space="0" w:color="auto"/>
        <w:right w:val="none" w:sz="0" w:space="0" w:color="auto"/>
      </w:divBdr>
      <w:divsChild>
        <w:div w:id="840705970">
          <w:marLeft w:val="0"/>
          <w:marRight w:val="0"/>
          <w:marTop w:val="0"/>
          <w:marBottom w:val="0"/>
          <w:divBdr>
            <w:top w:val="none" w:sz="0" w:space="0" w:color="auto"/>
            <w:left w:val="none" w:sz="0" w:space="0" w:color="auto"/>
            <w:bottom w:val="none" w:sz="0" w:space="0" w:color="auto"/>
            <w:right w:val="none" w:sz="0" w:space="0" w:color="auto"/>
          </w:divBdr>
        </w:div>
      </w:divsChild>
    </w:div>
    <w:div w:id="2071031973">
      <w:bodyDiv w:val="1"/>
      <w:marLeft w:val="0"/>
      <w:marRight w:val="0"/>
      <w:marTop w:val="0"/>
      <w:marBottom w:val="0"/>
      <w:divBdr>
        <w:top w:val="none" w:sz="0" w:space="0" w:color="auto"/>
        <w:left w:val="none" w:sz="0" w:space="0" w:color="auto"/>
        <w:bottom w:val="none" w:sz="0" w:space="0" w:color="auto"/>
        <w:right w:val="none" w:sz="0" w:space="0" w:color="auto"/>
      </w:divBdr>
    </w:div>
    <w:div w:id="2072653167">
      <w:bodyDiv w:val="1"/>
      <w:marLeft w:val="0"/>
      <w:marRight w:val="0"/>
      <w:marTop w:val="0"/>
      <w:marBottom w:val="0"/>
      <w:divBdr>
        <w:top w:val="none" w:sz="0" w:space="0" w:color="auto"/>
        <w:left w:val="none" w:sz="0" w:space="0" w:color="auto"/>
        <w:bottom w:val="none" w:sz="0" w:space="0" w:color="auto"/>
        <w:right w:val="none" w:sz="0" w:space="0" w:color="auto"/>
      </w:divBdr>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089034774">
      <w:bodyDiv w:val="1"/>
      <w:marLeft w:val="0"/>
      <w:marRight w:val="0"/>
      <w:marTop w:val="0"/>
      <w:marBottom w:val="0"/>
      <w:divBdr>
        <w:top w:val="none" w:sz="0" w:space="0" w:color="auto"/>
        <w:left w:val="none" w:sz="0" w:space="0" w:color="auto"/>
        <w:bottom w:val="none" w:sz="0" w:space="0" w:color="auto"/>
        <w:right w:val="none" w:sz="0" w:space="0" w:color="auto"/>
      </w:divBdr>
      <w:divsChild>
        <w:div w:id="700591324">
          <w:marLeft w:val="0"/>
          <w:marRight w:val="0"/>
          <w:marTop w:val="0"/>
          <w:marBottom w:val="0"/>
          <w:divBdr>
            <w:top w:val="none" w:sz="0" w:space="0" w:color="auto"/>
            <w:left w:val="none" w:sz="0" w:space="0" w:color="auto"/>
            <w:bottom w:val="none" w:sz="0" w:space="0" w:color="auto"/>
            <w:right w:val="none" w:sz="0" w:space="0" w:color="auto"/>
          </w:divBdr>
        </w:div>
      </w:divsChild>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6656195">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30972390">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OneDrive\OneDrive%20-%20mail.nankai.edu.cn\desktop\&#26216;&#25253;\&#22266;&#25910;&#21608;&#25253;\&#23500;&#33635;&#22266;&#25910;&#21608;&#25253;-&#26032;&#29256;.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利率!$J$3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利率!$K$2:$Q$2</c:f>
              <c:strCache>
                <c:ptCount val="7"/>
                <c:pt idx="0">
                  <c:v>1M</c:v>
                </c:pt>
                <c:pt idx="1">
                  <c:v>3M</c:v>
                </c:pt>
                <c:pt idx="2">
                  <c:v>1Y</c:v>
                </c:pt>
                <c:pt idx="3">
                  <c:v>3Y</c:v>
                </c:pt>
                <c:pt idx="4">
                  <c:v>5Y</c:v>
                </c:pt>
                <c:pt idx="5">
                  <c:v>7Y</c:v>
                </c:pt>
                <c:pt idx="6">
                  <c:v>10Y</c:v>
                </c:pt>
              </c:strCache>
            </c:strRef>
          </c:cat>
          <c:val>
            <c:numRef>
              <c:f>利率!$K$3:$Q$3</c:f>
              <c:numCache>
                <c:formatCode>0.0_ ;[Red]\-0.0\ </c:formatCode>
                <c:ptCount val="7"/>
                <c:pt idx="0">
                  <c:v>-5.74</c:v>
                </c:pt>
                <c:pt idx="1">
                  <c:v>-4.45</c:v>
                </c:pt>
                <c:pt idx="2">
                  <c:v>-0.84</c:v>
                </c:pt>
                <c:pt idx="3">
                  <c:v>-4.18</c:v>
                </c:pt>
                <c:pt idx="4">
                  <c:v>-0.2</c:v>
                </c:pt>
                <c:pt idx="5">
                  <c:v>-1.04</c:v>
                </c:pt>
                <c:pt idx="6">
                  <c:v>0.02</c:v>
                </c:pt>
              </c:numCache>
            </c:numRef>
          </c:val>
          <c:extLst xmlns:c16r2="http://schemas.microsoft.com/office/drawing/2015/06/chart">
            <c:ext xmlns:c16="http://schemas.microsoft.com/office/drawing/2014/chart" uri="{C3380CC4-5D6E-409C-BE32-E72D297353CC}">
              <c16:uniqueId val="{00000000-4CBA-4568-A819-E91E0539C398}"/>
            </c:ext>
          </c:extLst>
        </c:ser>
        <c:dLbls>
          <c:showLegendKey val="0"/>
          <c:showVal val="0"/>
          <c:showCatName val="0"/>
          <c:showSerName val="0"/>
          <c:showPercent val="0"/>
          <c:showBubbleSize val="0"/>
        </c:dLbls>
        <c:gapWidth val="150"/>
        <c:axId val="504356864"/>
        <c:axId val="504358784"/>
      </c:barChart>
      <c:lineChart>
        <c:grouping val="standard"/>
        <c:varyColors val="0"/>
        <c:ser>
          <c:idx val="2"/>
          <c:order val="1"/>
          <c:tx>
            <c:strRef>
              <c:f>利率!$J$4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BA-4568-A819-E91E0539C398}"/>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BA-4568-A819-E91E0539C398}"/>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BA-4568-A819-E91E0539C39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CBA-4568-A819-E91E0539C398}"/>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CBA-4568-A819-E91E0539C398}"/>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CBA-4568-A819-E91E0539C398}"/>
                </c:ext>
              </c:extLst>
            </c:dLbl>
            <c:dLbl>
              <c:idx val="6"/>
              <c:layout>
                <c:manualLayout>
                  <c:x val="-6.9598794750148615E-2"/>
                  <c:y val="-7.84817892549145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CBA-4568-A819-E91E0539C39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利率!$K$2:$Q$2</c:f>
              <c:strCache>
                <c:ptCount val="7"/>
                <c:pt idx="0">
                  <c:v>1M</c:v>
                </c:pt>
                <c:pt idx="1">
                  <c:v>3M</c:v>
                </c:pt>
                <c:pt idx="2">
                  <c:v>1Y</c:v>
                </c:pt>
                <c:pt idx="3">
                  <c:v>3Y</c:v>
                </c:pt>
                <c:pt idx="4">
                  <c:v>5Y</c:v>
                </c:pt>
                <c:pt idx="5">
                  <c:v>7Y</c:v>
                </c:pt>
                <c:pt idx="6">
                  <c:v>10Y</c:v>
                </c:pt>
              </c:strCache>
            </c:strRef>
          </c:cat>
          <c:val>
            <c:numRef>
              <c:f>利率!$K$4:$Q$4</c:f>
              <c:numCache>
                <c:formatCode>###,###,###,###,##0.00</c:formatCode>
                <c:ptCount val="7"/>
                <c:pt idx="0">
                  <c:v>1.9381999999999999</c:v>
                </c:pt>
                <c:pt idx="1">
                  <c:v>2.0335000000000001</c:v>
                </c:pt>
                <c:pt idx="2">
                  <c:v>2.3828</c:v>
                </c:pt>
                <c:pt idx="3">
                  <c:v>2.5426000000000002</c:v>
                </c:pt>
                <c:pt idx="4">
                  <c:v>2.7206000000000001</c:v>
                </c:pt>
                <c:pt idx="5">
                  <c:v>2.8521000000000001</c:v>
                </c:pt>
                <c:pt idx="6">
                  <c:v>2.8719000000000001</c:v>
                </c:pt>
              </c:numCache>
            </c:numRef>
          </c:val>
          <c:smooth val="0"/>
          <c:extLst xmlns:c16r2="http://schemas.microsoft.com/office/drawing/2015/06/chart">
            <c:ext xmlns:c16="http://schemas.microsoft.com/office/drawing/2014/chart" uri="{C3380CC4-5D6E-409C-BE32-E72D297353CC}">
              <c16:uniqueId val="{00000008-4CBA-4568-A819-E91E0539C398}"/>
            </c:ext>
          </c:extLst>
        </c:ser>
        <c:ser>
          <c:idx val="1"/>
          <c:order val="2"/>
          <c:tx>
            <c:strRef>
              <c:f>利率!$J$5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利率!$K$2:$Q$2</c:f>
              <c:strCache>
                <c:ptCount val="7"/>
                <c:pt idx="0">
                  <c:v>1M</c:v>
                </c:pt>
                <c:pt idx="1">
                  <c:v>3M</c:v>
                </c:pt>
                <c:pt idx="2">
                  <c:v>1Y</c:v>
                </c:pt>
                <c:pt idx="3">
                  <c:v>3Y</c:v>
                </c:pt>
                <c:pt idx="4">
                  <c:v>5Y</c:v>
                </c:pt>
                <c:pt idx="5">
                  <c:v>7Y</c:v>
                </c:pt>
                <c:pt idx="6">
                  <c:v>10Y</c:v>
                </c:pt>
              </c:strCache>
            </c:strRef>
          </c:cat>
          <c:val>
            <c:numRef>
              <c:f>利率!$K$5:$Q$5</c:f>
              <c:numCache>
                <c:formatCode>###,###,###,###,##0.00</c:formatCode>
                <c:ptCount val="7"/>
                <c:pt idx="0">
                  <c:v>1.9956</c:v>
                </c:pt>
                <c:pt idx="1">
                  <c:v>2.0779999999999998</c:v>
                </c:pt>
                <c:pt idx="2">
                  <c:v>2.3912</c:v>
                </c:pt>
                <c:pt idx="3">
                  <c:v>2.5844</c:v>
                </c:pt>
                <c:pt idx="4">
                  <c:v>2.7225999999999999</c:v>
                </c:pt>
                <c:pt idx="5">
                  <c:v>2.8624999999999998</c:v>
                </c:pt>
                <c:pt idx="6">
                  <c:v>2.8717000000000001</c:v>
                </c:pt>
              </c:numCache>
            </c:numRef>
          </c:val>
          <c:smooth val="0"/>
          <c:extLst xmlns:c16r2="http://schemas.microsoft.com/office/drawing/2015/06/chart">
            <c:ext xmlns:c16="http://schemas.microsoft.com/office/drawing/2014/chart" uri="{C3380CC4-5D6E-409C-BE32-E72D297353CC}">
              <c16:uniqueId val="{00000009-4CBA-4568-A819-E91E0539C398}"/>
            </c:ext>
          </c:extLst>
        </c:ser>
        <c:dLbls>
          <c:showLegendKey val="0"/>
          <c:showVal val="0"/>
          <c:showCatName val="0"/>
          <c:showSerName val="0"/>
          <c:showPercent val="0"/>
          <c:showBubbleSize val="0"/>
        </c:dLbls>
        <c:marker val="1"/>
        <c:smooth val="0"/>
        <c:axId val="505488512"/>
        <c:axId val="504360320"/>
      </c:lineChart>
      <c:dateAx>
        <c:axId val="504356864"/>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504358784"/>
        <c:crosses val="autoZero"/>
        <c:auto val="0"/>
        <c:lblOffset val="0"/>
        <c:baseTimeUnit val="days"/>
      </c:dateAx>
      <c:valAx>
        <c:axId val="504358784"/>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504356864"/>
        <c:crosses val="autoZero"/>
        <c:crossBetween val="between"/>
      </c:valAx>
      <c:valAx>
        <c:axId val="504360320"/>
        <c:scaling>
          <c:orientation val="minMax"/>
        </c:scaling>
        <c:delete val="0"/>
        <c:axPos val="r"/>
        <c:numFmt formatCode="#,##0.0_);[Red]\(#,##0.0\)" sourceLinked="0"/>
        <c:majorTickMark val="out"/>
        <c:minorTickMark val="none"/>
        <c:tickLblPos val="nextTo"/>
        <c:spPr>
          <a:ln w="3175">
            <a:solidFill>
              <a:sysClr val="windowText" lastClr="000000"/>
            </a:solidFill>
          </a:ln>
        </c:spPr>
        <c:crossAx val="505488512"/>
        <c:crosses val="max"/>
        <c:crossBetween val="between"/>
      </c:valAx>
      <c:dateAx>
        <c:axId val="505488512"/>
        <c:scaling>
          <c:orientation val="minMax"/>
        </c:scaling>
        <c:delete val="1"/>
        <c:axPos val="b"/>
        <c:numFmt formatCode="General" sourceLinked="1"/>
        <c:majorTickMark val="out"/>
        <c:minorTickMark val="none"/>
        <c:tickLblPos val="nextTo"/>
        <c:crossAx val="504360320"/>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利率!$J$8</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利率!$K$7:$Q$7</c:f>
              <c:strCache>
                <c:ptCount val="7"/>
                <c:pt idx="0">
                  <c:v>1M</c:v>
                </c:pt>
                <c:pt idx="1">
                  <c:v>3M</c:v>
                </c:pt>
                <c:pt idx="2">
                  <c:v>1Y</c:v>
                </c:pt>
                <c:pt idx="3">
                  <c:v>3Y</c:v>
                </c:pt>
                <c:pt idx="4">
                  <c:v>5Y</c:v>
                </c:pt>
                <c:pt idx="5">
                  <c:v>7Y</c:v>
                </c:pt>
                <c:pt idx="6">
                  <c:v>10Y</c:v>
                </c:pt>
              </c:strCache>
            </c:strRef>
          </c:cat>
          <c:val>
            <c:numRef>
              <c:f>利率!$K$8:$Q$8</c:f>
              <c:numCache>
                <c:formatCode>0.0_ ;[Red]\-0.0\ </c:formatCode>
                <c:ptCount val="7"/>
                <c:pt idx="0">
                  <c:v>-8.85</c:v>
                </c:pt>
                <c:pt idx="1">
                  <c:v>-8.4499999999999993</c:v>
                </c:pt>
                <c:pt idx="2">
                  <c:v>1.1399999999999999</c:v>
                </c:pt>
                <c:pt idx="3">
                  <c:v>-2.41</c:v>
                </c:pt>
                <c:pt idx="4">
                  <c:v>0.09</c:v>
                </c:pt>
                <c:pt idx="5">
                  <c:v>-1.1100000000000001</c:v>
                </c:pt>
                <c:pt idx="6">
                  <c:v>0</c:v>
                </c:pt>
              </c:numCache>
            </c:numRef>
          </c:val>
          <c:extLst xmlns:c16r2="http://schemas.microsoft.com/office/drawing/2015/06/chart">
            <c:ext xmlns:c16="http://schemas.microsoft.com/office/drawing/2014/chart" uri="{C3380CC4-5D6E-409C-BE32-E72D297353CC}">
              <c16:uniqueId val="{00000000-311C-4FB4-AF2C-7ABC41F9DCD0}"/>
            </c:ext>
          </c:extLst>
        </c:ser>
        <c:dLbls>
          <c:showLegendKey val="0"/>
          <c:showVal val="0"/>
          <c:showCatName val="0"/>
          <c:showSerName val="0"/>
          <c:showPercent val="0"/>
          <c:showBubbleSize val="0"/>
        </c:dLbls>
        <c:gapWidth val="150"/>
        <c:axId val="505533184"/>
        <c:axId val="505535104"/>
      </c:barChart>
      <c:lineChart>
        <c:grouping val="standard"/>
        <c:varyColors val="0"/>
        <c:ser>
          <c:idx val="2"/>
          <c:order val="1"/>
          <c:tx>
            <c:strRef>
              <c:f>利率!$J$9</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11C-4FB4-AF2C-7ABC41F9DCD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11C-4FB4-AF2C-7ABC41F9DCD0}"/>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1C-4FB4-AF2C-7ABC41F9DCD0}"/>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11C-4FB4-AF2C-7ABC41F9DCD0}"/>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11C-4FB4-AF2C-7ABC41F9DCD0}"/>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11C-4FB4-AF2C-7ABC41F9DCD0}"/>
                </c:ext>
              </c:extLst>
            </c:dLbl>
            <c:dLbl>
              <c:idx val="6"/>
              <c:layout>
                <c:manualLayout>
                  <c:x val="-6.9613476610968131E-2"/>
                  <c:y val="-7.682909797892824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11C-4FB4-AF2C-7ABC41F9DCD0}"/>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利率!$K$7:$Q$7</c:f>
              <c:strCache>
                <c:ptCount val="7"/>
                <c:pt idx="0">
                  <c:v>1M</c:v>
                </c:pt>
                <c:pt idx="1">
                  <c:v>3M</c:v>
                </c:pt>
                <c:pt idx="2">
                  <c:v>1Y</c:v>
                </c:pt>
                <c:pt idx="3">
                  <c:v>3Y</c:v>
                </c:pt>
                <c:pt idx="4">
                  <c:v>5Y</c:v>
                </c:pt>
                <c:pt idx="5">
                  <c:v>7Y</c:v>
                </c:pt>
                <c:pt idx="6">
                  <c:v>10Y</c:v>
                </c:pt>
              </c:strCache>
            </c:strRef>
          </c:cat>
          <c:val>
            <c:numRef>
              <c:f>利率!$K$9:$Q$9</c:f>
              <c:numCache>
                <c:formatCode>###,###,###,###,##0.00</c:formatCode>
                <c:ptCount val="7"/>
                <c:pt idx="0">
                  <c:v>1.9449000000000001</c:v>
                </c:pt>
                <c:pt idx="1">
                  <c:v>2.0960999999999999</c:v>
                </c:pt>
                <c:pt idx="2">
                  <c:v>2.4167999999999998</c:v>
                </c:pt>
                <c:pt idx="3">
                  <c:v>2.7972999999999999</c:v>
                </c:pt>
                <c:pt idx="4">
                  <c:v>2.9864000000000002</c:v>
                </c:pt>
                <c:pt idx="5">
                  <c:v>3.1901999999999999</c:v>
                </c:pt>
                <c:pt idx="6">
                  <c:v>3.1825000000000001</c:v>
                </c:pt>
              </c:numCache>
            </c:numRef>
          </c:val>
          <c:smooth val="0"/>
          <c:extLst xmlns:c16r2="http://schemas.microsoft.com/office/drawing/2015/06/chart">
            <c:ext xmlns:c16="http://schemas.microsoft.com/office/drawing/2014/chart" uri="{C3380CC4-5D6E-409C-BE32-E72D297353CC}">
              <c16:uniqueId val="{00000008-311C-4FB4-AF2C-7ABC41F9DCD0}"/>
            </c:ext>
          </c:extLst>
        </c:ser>
        <c:ser>
          <c:idx val="1"/>
          <c:order val="2"/>
          <c:tx>
            <c:strRef>
              <c:f>利率!$J$10</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利率!$K$7:$Q$7</c:f>
              <c:strCache>
                <c:ptCount val="7"/>
                <c:pt idx="0">
                  <c:v>1M</c:v>
                </c:pt>
                <c:pt idx="1">
                  <c:v>3M</c:v>
                </c:pt>
                <c:pt idx="2">
                  <c:v>1Y</c:v>
                </c:pt>
                <c:pt idx="3">
                  <c:v>3Y</c:v>
                </c:pt>
                <c:pt idx="4">
                  <c:v>5Y</c:v>
                </c:pt>
                <c:pt idx="5">
                  <c:v>7Y</c:v>
                </c:pt>
                <c:pt idx="6">
                  <c:v>10Y</c:v>
                </c:pt>
              </c:strCache>
            </c:strRef>
          </c:cat>
          <c:val>
            <c:numRef>
              <c:f>利率!$K$10:$Q$10</c:f>
              <c:numCache>
                <c:formatCode>###,###,###,###,##0.00</c:formatCode>
                <c:ptCount val="7"/>
                <c:pt idx="0">
                  <c:v>2.0333999999999999</c:v>
                </c:pt>
                <c:pt idx="1">
                  <c:v>2.1806000000000001</c:v>
                </c:pt>
                <c:pt idx="2">
                  <c:v>2.4054000000000002</c:v>
                </c:pt>
                <c:pt idx="3">
                  <c:v>2.8214000000000001</c:v>
                </c:pt>
                <c:pt idx="4">
                  <c:v>2.9855</c:v>
                </c:pt>
                <c:pt idx="5">
                  <c:v>3.2012999999999998</c:v>
                </c:pt>
                <c:pt idx="6">
                  <c:v>3.1825000000000001</c:v>
                </c:pt>
              </c:numCache>
            </c:numRef>
          </c:val>
          <c:smooth val="0"/>
          <c:extLst xmlns:c16r2="http://schemas.microsoft.com/office/drawing/2015/06/chart">
            <c:ext xmlns:c16="http://schemas.microsoft.com/office/drawing/2014/chart" uri="{C3380CC4-5D6E-409C-BE32-E72D297353CC}">
              <c16:uniqueId val="{00000009-311C-4FB4-AF2C-7ABC41F9DCD0}"/>
            </c:ext>
          </c:extLst>
        </c:ser>
        <c:dLbls>
          <c:showLegendKey val="0"/>
          <c:showVal val="0"/>
          <c:showCatName val="0"/>
          <c:showSerName val="0"/>
          <c:showPercent val="0"/>
          <c:showBubbleSize val="0"/>
        </c:dLbls>
        <c:marker val="1"/>
        <c:smooth val="0"/>
        <c:axId val="505546624"/>
        <c:axId val="505545088"/>
      </c:lineChart>
      <c:dateAx>
        <c:axId val="505533184"/>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505535104"/>
        <c:crosses val="autoZero"/>
        <c:auto val="0"/>
        <c:lblOffset val="0"/>
        <c:baseTimeUnit val="days"/>
      </c:dateAx>
      <c:valAx>
        <c:axId val="505535104"/>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505533184"/>
        <c:crosses val="autoZero"/>
        <c:crossBetween val="between"/>
      </c:valAx>
      <c:valAx>
        <c:axId val="505545088"/>
        <c:scaling>
          <c:orientation val="minMax"/>
        </c:scaling>
        <c:delete val="0"/>
        <c:axPos val="r"/>
        <c:numFmt formatCode="#,##0.0_);[Red]\(#,##0.0\)" sourceLinked="0"/>
        <c:majorTickMark val="out"/>
        <c:minorTickMark val="none"/>
        <c:tickLblPos val="nextTo"/>
        <c:spPr>
          <a:ln w="3175">
            <a:solidFill>
              <a:sysClr val="windowText" lastClr="000000"/>
            </a:solidFill>
          </a:ln>
        </c:spPr>
        <c:crossAx val="505546624"/>
        <c:crosses val="max"/>
        <c:crossBetween val="between"/>
      </c:valAx>
      <c:dateAx>
        <c:axId val="505546624"/>
        <c:scaling>
          <c:orientation val="minMax"/>
        </c:scaling>
        <c:delete val="1"/>
        <c:axPos val="b"/>
        <c:numFmt formatCode="General" sourceLinked="1"/>
        <c:majorTickMark val="out"/>
        <c:minorTickMark val="none"/>
        <c:tickLblPos val="nextTo"/>
        <c:crossAx val="505545088"/>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44463</c:v>
                </c:pt>
                <c:pt idx="1">
                  <c:v>44456</c:v>
                </c:pt>
                <c:pt idx="2">
                  <c:v>44449</c:v>
                </c:pt>
                <c:pt idx="3">
                  <c:v>44442</c:v>
                </c:pt>
                <c:pt idx="4">
                  <c:v>44435</c:v>
                </c:pt>
                <c:pt idx="5">
                  <c:v>44428</c:v>
                </c:pt>
                <c:pt idx="6">
                  <c:v>44421</c:v>
                </c:pt>
                <c:pt idx="7">
                  <c:v>44414</c:v>
                </c:pt>
                <c:pt idx="8">
                  <c:v>44407</c:v>
                </c:pt>
                <c:pt idx="9">
                  <c:v>44400</c:v>
                </c:pt>
                <c:pt idx="10">
                  <c:v>44393</c:v>
                </c:pt>
                <c:pt idx="11">
                  <c:v>44386</c:v>
                </c:pt>
                <c:pt idx="12">
                  <c:v>44379</c:v>
                </c:pt>
                <c:pt idx="13">
                  <c:v>44372</c:v>
                </c:pt>
                <c:pt idx="14">
                  <c:v>44365</c:v>
                </c:pt>
                <c:pt idx="15">
                  <c:v>44358</c:v>
                </c:pt>
                <c:pt idx="16">
                  <c:v>44351</c:v>
                </c:pt>
                <c:pt idx="17">
                  <c:v>44344</c:v>
                </c:pt>
                <c:pt idx="18">
                  <c:v>44337</c:v>
                </c:pt>
                <c:pt idx="19">
                  <c:v>44330</c:v>
                </c:pt>
                <c:pt idx="20">
                  <c:v>44323</c:v>
                </c:pt>
                <c:pt idx="21">
                  <c:v>44316</c:v>
                </c:pt>
                <c:pt idx="22">
                  <c:v>44309</c:v>
                </c:pt>
                <c:pt idx="23">
                  <c:v>44302</c:v>
                </c:pt>
              </c:numCache>
            </c:numRef>
          </c:cat>
          <c:val>
            <c:numRef>
              <c:f>转债!$H$5:$H$28</c:f>
              <c:numCache>
                <c:formatCode>General</c:formatCode>
                <c:ptCount val="24"/>
                <c:pt idx="0">
                  <c:v>12.30986835183263</c:v>
                </c:pt>
                <c:pt idx="1">
                  <c:v>12.087562247336292</c:v>
                </c:pt>
                <c:pt idx="2">
                  <c:v>15.091487720828223</c:v>
                </c:pt>
                <c:pt idx="3">
                  <c:v>12.718957140858222</c:v>
                </c:pt>
                <c:pt idx="4">
                  <c:v>10.299297015924246</c:v>
                </c:pt>
                <c:pt idx="5">
                  <c:v>8.3251710818752489</c:v>
                </c:pt>
                <c:pt idx="6">
                  <c:v>9.5207917763553862</c:v>
                </c:pt>
                <c:pt idx="7">
                  <c:v>8.3142157676258535</c:v>
                </c:pt>
                <c:pt idx="8">
                  <c:v>6.9623462595194585</c:v>
                </c:pt>
                <c:pt idx="9">
                  <c:v>7.9160551757351705</c:v>
                </c:pt>
                <c:pt idx="10">
                  <c:v>6.420681897807512</c:v>
                </c:pt>
                <c:pt idx="11">
                  <c:v>5.0000162702686923</c:v>
                </c:pt>
                <c:pt idx="12">
                  <c:v>3.0507296130821704</c:v>
                </c:pt>
                <c:pt idx="13">
                  <c:v>4.0524629390396472</c:v>
                </c:pt>
                <c:pt idx="14">
                  <c:v>2.014177912134052</c:v>
                </c:pt>
                <c:pt idx="15">
                  <c:v>3.71935630478335</c:v>
                </c:pt>
                <c:pt idx="16">
                  <c:v>3.8904924142583841</c:v>
                </c:pt>
                <c:pt idx="17">
                  <c:v>3.8092495392802128</c:v>
                </c:pt>
                <c:pt idx="18">
                  <c:v>2.123866640200367</c:v>
                </c:pt>
                <c:pt idx="19">
                  <c:v>1.8966794550978605</c:v>
                </c:pt>
                <c:pt idx="20">
                  <c:v>1.0044450374053326</c:v>
                </c:pt>
                <c:pt idx="21">
                  <c:v>0.71936281289082249</c:v>
                </c:pt>
                <c:pt idx="22">
                  <c:v>0.72126101090432826</c:v>
                </c:pt>
                <c:pt idx="23">
                  <c:v>0</c:v>
                </c:pt>
              </c:numCache>
            </c:numRef>
          </c:val>
          <c:smooth val="1"/>
          <c:extLst xmlns:c16r2="http://schemas.microsoft.com/office/drawing/2015/06/chart">
            <c:ext xmlns:c16="http://schemas.microsoft.com/office/drawing/2014/chart" uri="{C3380CC4-5D6E-409C-BE32-E72D297353CC}">
              <c16:uniqueId val="{00000000-0D73-400B-9E9D-268BB459FA8C}"/>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44463</c:v>
                </c:pt>
                <c:pt idx="1">
                  <c:v>44456</c:v>
                </c:pt>
                <c:pt idx="2">
                  <c:v>44449</c:v>
                </c:pt>
                <c:pt idx="3">
                  <c:v>44442</c:v>
                </c:pt>
                <c:pt idx="4">
                  <c:v>44435</c:v>
                </c:pt>
                <c:pt idx="5">
                  <c:v>44428</c:v>
                </c:pt>
                <c:pt idx="6">
                  <c:v>44421</c:v>
                </c:pt>
                <c:pt idx="7">
                  <c:v>44414</c:v>
                </c:pt>
                <c:pt idx="8">
                  <c:v>44407</c:v>
                </c:pt>
                <c:pt idx="9">
                  <c:v>44400</c:v>
                </c:pt>
                <c:pt idx="10">
                  <c:v>44393</c:v>
                </c:pt>
                <c:pt idx="11">
                  <c:v>44386</c:v>
                </c:pt>
                <c:pt idx="12">
                  <c:v>44379</c:v>
                </c:pt>
                <c:pt idx="13">
                  <c:v>44372</c:v>
                </c:pt>
                <c:pt idx="14">
                  <c:v>44365</c:v>
                </c:pt>
                <c:pt idx="15">
                  <c:v>44358</c:v>
                </c:pt>
                <c:pt idx="16">
                  <c:v>44351</c:v>
                </c:pt>
                <c:pt idx="17">
                  <c:v>44344</c:v>
                </c:pt>
                <c:pt idx="18">
                  <c:v>44337</c:v>
                </c:pt>
                <c:pt idx="19">
                  <c:v>44330</c:v>
                </c:pt>
                <c:pt idx="20">
                  <c:v>44323</c:v>
                </c:pt>
                <c:pt idx="21">
                  <c:v>44316</c:v>
                </c:pt>
                <c:pt idx="22">
                  <c:v>44309</c:v>
                </c:pt>
                <c:pt idx="23">
                  <c:v>44302</c:v>
                </c:pt>
              </c:numCache>
            </c:numRef>
          </c:cat>
          <c:val>
            <c:numRef>
              <c:f>转债!$I$5:$I$28</c:f>
              <c:numCache>
                <c:formatCode>General</c:formatCode>
                <c:ptCount val="24"/>
                <c:pt idx="0">
                  <c:v>1.4779711833350806</c:v>
                </c:pt>
                <c:pt idx="1">
                  <c:v>1.408358749078964</c:v>
                </c:pt>
                <c:pt idx="2">
                  <c:v>1.5132437444197677</c:v>
                </c:pt>
                <c:pt idx="3">
                  <c:v>1.6754466515232158</c:v>
                </c:pt>
                <c:pt idx="4">
                  <c:v>1.5162961775905703</c:v>
                </c:pt>
                <c:pt idx="5">
                  <c:v>1.6290666252892327</c:v>
                </c:pt>
                <c:pt idx="6">
                  <c:v>1.4448183675078718</c:v>
                </c:pt>
                <c:pt idx="7">
                  <c:v>1.7470940412265046</c:v>
                </c:pt>
                <c:pt idx="8">
                  <c:v>1.5779383696784999</c:v>
                </c:pt>
                <c:pt idx="9">
                  <c:v>1.2894834350387185</c:v>
                </c:pt>
                <c:pt idx="10">
                  <c:v>1.0268893925403644</c:v>
                </c:pt>
                <c:pt idx="11">
                  <c:v>0.69790492857730868</c:v>
                </c:pt>
                <c:pt idx="12">
                  <c:v>0.28421544412478017</c:v>
                </c:pt>
                <c:pt idx="13">
                  <c:v>0.25538690862287883</c:v>
                </c:pt>
                <c:pt idx="14">
                  <c:v>4.9347669594457244E-2</c:v>
                </c:pt>
                <c:pt idx="15">
                  <c:v>0.12676076639814848</c:v>
                </c:pt>
                <c:pt idx="16">
                  <c:v>0.34170293550803699</c:v>
                </c:pt>
                <c:pt idx="17">
                  <c:v>0.43887205811155017</c:v>
                </c:pt>
                <c:pt idx="18">
                  <c:v>0.5028883648878768</c:v>
                </c:pt>
                <c:pt idx="19">
                  <c:v>0.23461340509942641</c:v>
                </c:pt>
                <c:pt idx="20">
                  <c:v>0.14499057561259132</c:v>
                </c:pt>
                <c:pt idx="21">
                  <c:v>8.7757453660253226E-2</c:v>
                </c:pt>
                <c:pt idx="22">
                  <c:v>0.12718471544963528</c:v>
                </c:pt>
                <c:pt idx="23">
                  <c:v>0</c:v>
                </c:pt>
              </c:numCache>
            </c:numRef>
          </c:val>
          <c:smooth val="1"/>
          <c:extLst xmlns:c16r2="http://schemas.microsoft.com/office/drawing/2015/06/chart">
            <c:ext xmlns:c16="http://schemas.microsoft.com/office/drawing/2014/chart" uri="{C3380CC4-5D6E-409C-BE32-E72D297353CC}">
              <c16:uniqueId val="{00000001-0D73-400B-9E9D-268BB459FA8C}"/>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44463</c:v>
                </c:pt>
                <c:pt idx="1">
                  <c:v>44456</c:v>
                </c:pt>
                <c:pt idx="2">
                  <c:v>44449</c:v>
                </c:pt>
                <c:pt idx="3">
                  <c:v>44442</c:v>
                </c:pt>
                <c:pt idx="4">
                  <c:v>44435</c:v>
                </c:pt>
                <c:pt idx="5">
                  <c:v>44428</c:v>
                </c:pt>
                <c:pt idx="6">
                  <c:v>44421</c:v>
                </c:pt>
                <c:pt idx="7">
                  <c:v>44414</c:v>
                </c:pt>
                <c:pt idx="8">
                  <c:v>44407</c:v>
                </c:pt>
                <c:pt idx="9">
                  <c:v>44400</c:v>
                </c:pt>
                <c:pt idx="10">
                  <c:v>44393</c:v>
                </c:pt>
                <c:pt idx="11">
                  <c:v>44386</c:v>
                </c:pt>
                <c:pt idx="12">
                  <c:v>44379</c:v>
                </c:pt>
                <c:pt idx="13">
                  <c:v>44372</c:v>
                </c:pt>
                <c:pt idx="14">
                  <c:v>44365</c:v>
                </c:pt>
                <c:pt idx="15">
                  <c:v>44358</c:v>
                </c:pt>
                <c:pt idx="16">
                  <c:v>44351</c:v>
                </c:pt>
                <c:pt idx="17">
                  <c:v>44344</c:v>
                </c:pt>
                <c:pt idx="18">
                  <c:v>44337</c:v>
                </c:pt>
                <c:pt idx="19">
                  <c:v>44330</c:v>
                </c:pt>
                <c:pt idx="20">
                  <c:v>44323</c:v>
                </c:pt>
                <c:pt idx="21">
                  <c:v>44316</c:v>
                </c:pt>
                <c:pt idx="22">
                  <c:v>44309</c:v>
                </c:pt>
                <c:pt idx="23">
                  <c:v>44302</c:v>
                </c:pt>
              </c:numCache>
            </c:numRef>
          </c:cat>
          <c:val>
            <c:numRef>
              <c:f>转债!$J$5:$J$28</c:f>
              <c:numCache>
                <c:formatCode>General</c:formatCode>
                <c:ptCount val="24"/>
                <c:pt idx="0">
                  <c:v>-2.350969440079409</c:v>
                </c:pt>
                <c:pt idx="1">
                  <c:v>-2.2198324583853735</c:v>
                </c:pt>
                <c:pt idx="2">
                  <c:v>0.95326366571690802</c:v>
                </c:pt>
                <c:pt idx="3">
                  <c:v>-2.4791423736037377</c:v>
                </c:pt>
                <c:pt idx="4">
                  <c:v>-2.801706123846337</c:v>
                </c:pt>
                <c:pt idx="5">
                  <c:v>-3.9650849623667606</c:v>
                </c:pt>
                <c:pt idx="6">
                  <c:v>-0.40671493031133599</c:v>
                </c:pt>
                <c:pt idx="7">
                  <c:v>-0.89840461114073511</c:v>
                </c:pt>
                <c:pt idx="8">
                  <c:v>-3.1213440846931673</c:v>
                </c:pt>
                <c:pt idx="9">
                  <c:v>2.477700621912482</c:v>
                </c:pt>
                <c:pt idx="10">
                  <c:v>2.5893457650990825</c:v>
                </c:pt>
                <c:pt idx="11">
                  <c:v>2.0791630011237405</c:v>
                </c:pt>
                <c:pt idx="12">
                  <c:v>2.3143759296252897</c:v>
                </c:pt>
                <c:pt idx="13">
                  <c:v>5.513034955571805</c:v>
                </c:pt>
                <c:pt idx="14">
                  <c:v>2.744253527121665</c:v>
                </c:pt>
                <c:pt idx="15">
                  <c:v>5.2056478568612841</c:v>
                </c:pt>
                <c:pt idx="16">
                  <c:v>6.3649732789648139</c:v>
                </c:pt>
                <c:pt idx="17">
                  <c:v>7.1464872676511915</c:v>
                </c:pt>
                <c:pt idx="18">
                  <c:v>3.3822205960229779</c:v>
                </c:pt>
                <c:pt idx="19">
                  <c:v>2.9078480444460819</c:v>
                </c:pt>
                <c:pt idx="20">
                  <c:v>0.60150041648703301</c:v>
                </c:pt>
                <c:pt idx="21">
                  <c:v>3.1675828334170042</c:v>
                </c:pt>
                <c:pt idx="22">
                  <c:v>3.4085003464734864</c:v>
                </c:pt>
                <c:pt idx="23">
                  <c:v>0</c:v>
                </c:pt>
              </c:numCache>
            </c:numRef>
          </c:val>
          <c:smooth val="1"/>
          <c:extLst xmlns:c16r2="http://schemas.microsoft.com/office/drawing/2015/06/chart">
            <c:ext xmlns:c16="http://schemas.microsoft.com/office/drawing/2014/chart" uri="{C3380CC4-5D6E-409C-BE32-E72D297353CC}">
              <c16:uniqueId val="{00000002-0D73-400B-9E9D-268BB459FA8C}"/>
            </c:ext>
          </c:extLst>
        </c:ser>
        <c:dLbls>
          <c:showLegendKey val="0"/>
          <c:showVal val="0"/>
          <c:showCatName val="0"/>
          <c:showSerName val="0"/>
          <c:showPercent val="0"/>
          <c:showBubbleSize val="0"/>
        </c:dLbls>
        <c:marker val="1"/>
        <c:smooth val="0"/>
        <c:axId val="505593216"/>
        <c:axId val="505599104"/>
      </c:lineChart>
      <c:dateAx>
        <c:axId val="505593216"/>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505599104"/>
        <c:crosses val="autoZero"/>
        <c:auto val="0"/>
        <c:lblOffset val="0"/>
        <c:baseTimeUnit val="days"/>
      </c:dateAx>
      <c:valAx>
        <c:axId val="505599104"/>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505593216"/>
        <c:crosses val="autoZero"/>
        <c:crossBetween val="between"/>
      </c:valAx>
    </c:plotArea>
    <c:legend>
      <c:legendPos val="r"/>
      <c:layout>
        <c:manualLayout>
          <c:xMode val="edge"/>
          <c:yMode val="edge"/>
          <c:x val="9.9472362946142159E-2"/>
          <c:y val="9.1259531804523744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汇率!$B$2</c:f>
              <c:strCache>
                <c:ptCount val="1"/>
                <c:pt idx="0">
                  <c:v>美元兑人民币</c:v>
                </c:pt>
              </c:strCache>
            </c:strRef>
          </c:tx>
          <c:spPr>
            <a:ln w="25400">
              <a:solidFill>
                <a:srgbClr val="ED7D31">
                  <a:lumMod val="75000"/>
                </a:srgbClr>
              </a:solidFill>
            </a:ln>
          </c:spPr>
          <c:marker>
            <c:symbol val="none"/>
          </c:marker>
          <c:cat>
            <c:numRef>
              <c:f>汇率!$A$3:$A$24</c:f>
              <c:numCache>
                <c:formatCode>yyyy\-mm\-dd;@</c:formatCode>
                <c:ptCount val="22"/>
                <c:pt idx="0">
                  <c:v>44464</c:v>
                </c:pt>
                <c:pt idx="1">
                  <c:v>44457</c:v>
                </c:pt>
                <c:pt idx="2">
                  <c:v>44450</c:v>
                </c:pt>
                <c:pt idx="3">
                  <c:v>44443</c:v>
                </c:pt>
                <c:pt idx="4">
                  <c:v>44436</c:v>
                </c:pt>
                <c:pt idx="5">
                  <c:v>44429</c:v>
                </c:pt>
                <c:pt idx="6">
                  <c:v>44422</c:v>
                </c:pt>
                <c:pt idx="7">
                  <c:v>44415</c:v>
                </c:pt>
                <c:pt idx="8">
                  <c:v>44408</c:v>
                </c:pt>
                <c:pt idx="9">
                  <c:v>44401</c:v>
                </c:pt>
                <c:pt idx="10">
                  <c:v>44394</c:v>
                </c:pt>
                <c:pt idx="11">
                  <c:v>44387</c:v>
                </c:pt>
                <c:pt idx="12">
                  <c:v>44380</c:v>
                </c:pt>
                <c:pt idx="13">
                  <c:v>44373</c:v>
                </c:pt>
                <c:pt idx="14">
                  <c:v>44366</c:v>
                </c:pt>
                <c:pt idx="15">
                  <c:v>44359</c:v>
                </c:pt>
                <c:pt idx="16">
                  <c:v>44352</c:v>
                </c:pt>
                <c:pt idx="17">
                  <c:v>44345</c:v>
                </c:pt>
                <c:pt idx="18">
                  <c:v>44338</c:v>
                </c:pt>
                <c:pt idx="19">
                  <c:v>44331</c:v>
                </c:pt>
                <c:pt idx="20">
                  <c:v>44324</c:v>
                </c:pt>
                <c:pt idx="21">
                  <c:v>44317</c:v>
                </c:pt>
              </c:numCache>
            </c:numRef>
          </c:cat>
          <c:val>
            <c:numRef>
              <c:f>汇率!$B$3:$B$24</c:f>
              <c:numCache>
                <c:formatCode>###,###,###,###,##0.00</c:formatCode>
                <c:ptCount val="22"/>
                <c:pt idx="0">
                  <c:v>6.4645000000000001</c:v>
                </c:pt>
                <c:pt idx="1">
                  <c:v>6.4520999999999997</c:v>
                </c:pt>
                <c:pt idx="2">
                  <c:v>6.4408000000000003</c:v>
                </c:pt>
                <c:pt idx="3">
                  <c:v>6.4565000000000001</c:v>
                </c:pt>
                <c:pt idx="4">
                  <c:v>6.4797000000000002</c:v>
                </c:pt>
                <c:pt idx="5">
                  <c:v>6.5</c:v>
                </c:pt>
                <c:pt idx="6">
                  <c:v>6.4829999999999997</c:v>
                </c:pt>
                <c:pt idx="7">
                  <c:v>6.4687999999999999</c:v>
                </c:pt>
                <c:pt idx="8">
                  <c:v>6.4560000000000004</c:v>
                </c:pt>
                <c:pt idx="9">
                  <c:v>6.4759000000000002</c:v>
                </c:pt>
                <c:pt idx="10">
                  <c:v>6.4678000000000004</c:v>
                </c:pt>
                <c:pt idx="11">
                  <c:v>6.4847000000000001</c:v>
                </c:pt>
                <c:pt idx="12">
                  <c:v>6.4824999999999999</c:v>
                </c:pt>
                <c:pt idx="13">
                  <c:v>6.4553000000000003</c:v>
                </c:pt>
                <c:pt idx="14">
                  <c:v>6.4408000000000003</c:v>
                </c:pt>
                <c:pt idx="15">
                  <c:v>6.3914</c:v>
                </c:pt>
                <c:pt idx="16">
                  <c:v>6.4092000000000002</c:v>
                </c:pt>
                <c:pt idx="17">
                  <c:v>6.3654000000000002</c:v>
                </c:pt>
                <c:pt idx="18">
                  <c:v>6.4337</c:v>
                </c:pt>
                <c:pt idx="19">
                  <c:v>6.4347000000000003</c:v>
                </c:pt>
                <c:pt idx="20">
                  <c:v>6.4588999999999999</c:v>
                </c:pt>
                <c:pt idx="21">
                  <c:v>6.4715999999999996</c:v>
                </c:pt>
              </c:numCache>
            </c:numRef>
          </c:val>
          <c:smooth val="1"/>
          <c:extLst xmlns:c16r2="http://schemas.microsoft.com/office/drawing/2015/06/chart">
            <c:ext xmlns:c16="http://schemas.microsoft.com/office/drawing/2014/chart" uri="{C3380CC4-5D6E-409C-BE32-E72D297353CC}">
              <c16:uniqueId val="{00000000-C585-4274-9580-F75589BC6212}"/>
            </c:ext>
          </c:extLst>
        </c:ser>
        <c:dLbls>
          <c:showLegendKey val="0"/>
          <c:showVal val="0"/>
          <c:showCatName val="0"/>
          <c:showSerName val="0"/>
          <c:showPercent val="0"/>
          <c:showBubbleSize val="0"/>
        </c:dLbls>
        <c:marker val="1"/>
        <c:smooth val="0"/>
        <c:axId val="505650176"/>
        <c:axId val="505668352"/>
      </c:lineChart>
      <c:lineChart>
        <c:grouping val="standard"/>
        <c:varyColors val="0"/>
        <c:ser>
          <c:idx val="2"/>
          <c:order val="1"/>
          <c:tx>
            <c:strRef>
              <c:f>汇率!$C$2</c:f>
              <c:strCache>
                <c:ptCount val="1"/>
                <c:pt idx="0">
                  <c:v>中美利差</c:v>
                </c:pt>
              </c:strCache>
            </c:strRef>
          </c:tx>
          <c:spPr>
            <a:ln w="25400">
              <a:solidFill>
                <a:srgbClr val="ED7D31"/>
              </a:solidFill>
              <a:prstDash val="sysDash"/>
            </a:ln>
          </c:spPr>
          <c:marker>
            <c:symbol val="none"/>
          </c:marker>
          <c:cat>
            <c:numRef>
              <c:f>汇率!$A$3:$A$24</c:f>
              <c:numCache>
                <c:formatCode>yyyy\-mm\-dd;@</c:formatCode>
                <c:ptCount val="22"/>
                <c:pt idx="0">
                  <c:v>44464</c:v>
                </c:pt>
                <c:pt idx="1">
                  <c:v>44457</c:v>
                </c:pt>
                <c:pt idx="2">
                  <c:v>44450</c:v>
                </c:pt>
                <c:pt idx="3">
                  <c:v>44443</c:v>
                </c:pt>
                <c:pt idx="4">
                  <c:v>44436</c:v>
                </c:pt>
                <c:pt idx="5">
                  <c:v>44429</c:v>
                </c:pt>
                <c:pt idx="6">
                  <c:v>44422</c:v>
                </c:pt>
                <c:pt idx="7">
                  <c:v>44415</c:v>
                </c:pt>
                <c:pt idx="8">
                  <c:v>44408</c:v>
                </c:pt>
                <c:pt idx="9">
                  <c:v>44401</c:v>
                </c:pt>
                <c:pt idx="10">
                  <c:v>44394</c:v>
                </c:pt>
                <c:pt idx="11">
                  <c:v>44387</c:v>
                </c:pt>
                <c:pt idx="12">
                  <c:v>44380</c:v>
                </c:pt>
                <c:pt idx="13">
                  <c:v>44373</c:v>
                </c:pt>
                <c:pt idx="14">
                  <c:v>44366</c:v>
                </c:pt>
                <c:pt idx="15">
                  <c:v>44359</c:v>
                </c:pt>
                <c:pt idx="16">
                  <c:v>44352</c:v>
                </c:pt>
                <c:pt idx="17">
                  <c:v>44345</c:v>
                </c:pt>
                <c:pt idx="18">
                  <c:v>44338</c:v>
                </c:pt>
                <c:pt idx="19">
                  <c:v>44331</c:v>
                </c:pt>
                <c:pt idx="20">
                  <c:v>44324</c:v>
                </c:pt>
                <c:pt idx="21">
                  <c:v>44317</c:v>
                </c:pt>
              </c:numCache>
            </c:numRef>
          </c:cat>
          <c:val>
            <c:numRef>
              <c:f>汇率!$C$3:$C$24</c:f>
              <c:numCache>
                <c:formatCode>###,###,###,###,##0.00</c:formatCode>
                <c:ptCount val="22"/>
                <c:pt idx="0">
                  <c:v>140.19000000000003</c:v>
                </c:pt>
                <c:pt idx="1">
                  <c:v>150.84999999999997</c:v>
                </c:pt>
                <c:pt idx="2">
                  <c:v>151.56</c:v>
                </c:pt>
                <c:pt idx="3">
                  <c:v>150.26999999999998</c:v>
                </c:pt>
                <c:pt idx="4">
                  <c:v>155.98000000000002</c:v>
                </c:pt>
                <c:pt idx="5">
                  <c:v>159.19999999999999</c:v>
                </c:pt>
                <c:pt idx="6">
                  <c:v>158.91999999999999</c:v>
                </c:pt>
                <c:pt idx="7">
                  <c:v>150.38999999999999</c:v>
                </c:pt>
                <c:pt idx="8">
                  <c:v>159.63</c:v>
                </c:pt>
                <c:pt idx="9">
                  <c:v>161.34</c:v>
                </c:pt>
                <c:pt idx="10">
                  <c:v>163.32</c:v>
                </c:pt>
                <c:pt idx="11">
                  <c:v>164.04999999999998</c:v>
                </c:pt>
                <c:pt idx="12">
                  <c:v>164.02999999999997</c:v>
                </c:pt>
                <c:pt idx="13">
                  <c:v>154.26999999999998</c:v>
                </c:pt>
                <c:pt idx="14">
                  <c:v>167.02</c:v>
                </c:pt>
                <c:pt idx="15">
                  <c:v>165.76000000000002</c:v>
                </c:pt>
                <c:pt idx="16">
                  <c:v>153.24999999999997</c:v>
                </c:pt>
                <c:pt idx="17">
                  <c:v>150.25</c:v>
                </c:pt>
                <c:pt idx="18">
                  <c:v>145.76000000000002</c:v>
                </c:pt>
                <c:pt idx="19">
                  <c:v>151.22</c:v>
                </c:pt>
                <c:pt idx="20">
                  <c:v>155.88999999999999</c:v>
                </c:pt>
                <c:pt idx="21">
                  <c:v>151.40000000000003</c:v>
                </c:pt>
              </c:numCache>
            </c:numRef>
          </c:val>
          <c:smooth val="1"/>
          <c:extLst xmlns:c16r2="http://schemas.microsoft.com/office/drawing/2015/06/chart">
            <c:ext xmlns:c16="http://schemas.microsoft.com/office/drawing/2014/chart" uri="{C3380CC4-5D6E-409C-BE32-E72D297353CC}">
              <c16:uniqueId val="{00000001-C585-4274-9580-F75589BC6212}"/>
            </c:ext>
          </c:extLst>
        </c:ser>
        <c:dLbls>
          <c:showLegendKey val="0"/>
          <c:showVal val="0"/>
          <c:showCatName val="0"/>
          <c:showSerName val="0"/>
          <c:showPercent val="0"/>
          <c:showBubbleSize val="0"/>
        </c:dLbls>
        <c:marker val="1"/>
        <c:smooth val="0"/>
        <c:axId val="505671680"/>
        <c:axId val="505669888"/>
      </c:lineChart>
      <c:dateAx>
        <c:axId val="505650176"/>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505668352"/>
        <c:crosses val="autoZero"/>
        <c:auto val="0"/>
        <c:lblOffset val="0"/>
        <c:baseTimeUnit val="days"/>
      </c:dateAx>
      <c:valAx>
        <c:axId val="505668352"/>
        <c:scaling>
          <c:orientation val="minMax"/>
          <c:min val="6.35"/>
        </c:scaling>
        <c:delete val="0"/>
        <c:axPos val="l"/>
        <c:numFmt formatCode="#,##0.00_);[Red]\(#,##0.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505650176"/>
        <c:crosses val="autoZero"/>
        <c:crossBetween val="between"/>
      </c:valAx>
      <c:valAx>
        <c:axId val="505669888"/>
        <c:scaling>
          <c:orientation val="minMax"/>
        </c:scaling>
        <c:delete val="0"/>
        <c:axPos val="r"/>
        <c:numFmt formatCode="#,##0_);[Red]\(#,##0\)" sourceLinked="0"/>
        <c:majorTickMark val="out"/>
        <c:minorTickMark val="none"/>
        <c:tickLblPos val="nextTo"/>
        <c:spPr>
          <a:ln w="3175">
            <a:solidFill>
              <a:sysClr val="windowText" lastClr="000000"/>
            </a:solidFill>
          </a:ln>
        </c:spPr>
        <c:crossAx val="505671680"/>
        <c:crosses val="max"/>
        <c:crossBetween val="between"/>
      </c:valAx>
      <c:dateAx>
        <c:axId val="505671680"/>
        <c:scaling>
          <c:orientation val="minMax"/>
        </c:scaling>
        <c:delete val="1"/>
        <c:axPos val="b"/>
        <c:numFmt formatCode="yyyy\-mm\-dd;@" sourceLinked="1"/>
        <c:majorTickMark val="out"/>
        <c:minorTickMark val="none"/>
        <c:tickLblPos val="nextTo"/>
        <c:crossAx val="505669888"/>
        <c:crosses val="autoZero"/>
        <c:auto val="0"/>
        <c:lblOffset val="100"/>
        <c:baseTimeUnit val="years"/>
      </c:dateAx>
    </c:plotArea>
    <c:legend>
      <c:legendPos val="r"/>
      <c:layout>
        <c:manualLayout>
          <c:xMode val="edge"/>
          <c:yMode val="edge"/>
          <c:x val="0.15225"/>
          <c:y val="2.3337707786526686E-3"/>
          <c:w val="0.690571084864392"/>
          <c:h val="8.584900845727618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汇率!$L$2</c:f>
              <c:strCache>
                <c:ptCount val="1"/>
                <c:pt idx="0">
                  <c:v>现货结算价:LME铜:周</c:v>
                </c:pt>
              </c:strCache>
            </c:strRef>
          </c:tx>
          <c:spPr>
            <a:ln>
              <a:solidFill>
                <a:srgbClr val="ED7D31">
                  <a:lumMod val="75000"/>
                </a:srgbClr>
              </a:solidFill>
            </a:ln>
          </c:spPr>
          <c:marker>
            <c:symbol val="none"/>
          </c:marker>
          <c:cat>
            <c:numRef>
              <c:f>汇率!$K$3:$K$100</c:f>
              <c:numCache>
                <c:formatCode>yyyy\-mm\-dd;@</c:formatCode>
                <c:ptCount val="98"/>
                <c:pt idx="0">
                  <c:v>44464</c:v>
                </c:pt>
                <c:pt idx="1">
                  <c:v>44457</c:v>
                </c:pt>
                <c:pt idx="2">
                  <c:v>44450</c:v>
                </c:pt>
                <c:pt idx="3">
                  <c:v>44443</c:v>
                </c:pt>
                <c:pt idx="4">
                  <c:v>44436</c:v>
                </c:pt>
                <c:pt idx="5">
                  <c:v>44429</c:v>
                </c:pt>
                <c:pt idx="6">
                  <c:v>44422</c:v>
                </c:pt>
                <c:pt idx="7">
                  <c:v>44415</c:v>
                </c:pt>
                <c:pt idx="8">
                  <c:v>44408</c:v>
                </c:pt>
                <c:pt idx="9">
                  <c:v>44401</c:v>
                </c:pt>
                <c:pt idx="10">
                  <c:v>44394</c:v>
                </c:pt>
                <c:pt idx="11">
                  <c:v>44387</c:v>
                </c:pt>
                <c:pt idx="12">
                  <c:v>44380</c:v>
                </c:pt>
                <c:pt idx="13">
                  <c:v>44373</c:v>
                </c:pt>
                <c:pt idx="14">
                  <c:v>44366</c:v>
                </c:pt>
                <c:pt idx="15">
                  <c:v>44359</c:v>
                </c:pt>
                <c:pt idx="16">
                  <c:v>44352</c:v>
                </c:pt>
                <c:pt idx="17">
                  <c:v>44345</c:v>
                </c:pt>
                <c:pt idx="18">
                  <c:v>44338</c:v>
                </c:pt>
                <c:pt idx="19">
                  <c:v>44331</c:v>
                </c:pt>
                <c:pt idx="20">
                  <c:v>44324</c:v>
                </c:pt>
                <c:pt idx="21">
                  <c:v>44317</c:v>
                </c:pt>
                <c:pt idx="22">
                  <c:v>44310</c:v>
                </c:pt>
                <c:pt idx="23">
                  <c:v>44303</c:v>
                </c:pt>
                <c:pt idx="24">
                  <c:v>44296</c:v>
                </c:pt>
                <c:pt idx="25">
                  <c:v>44289</c:v>
                </c:pt>
                <c:pt idx="26">
                  <c:v>44282</c:v>
                </c:pt>
                <c:pt idx="27">
                  <c:v>44275</c:v>
                </c:pt>
                <c:pt idx="28">
                  <c:v>44268</c:v>
                </c:pt>
                <c:pt idx="29">
                  <c:v>44261</c:v>
                </c:pt>
                <c:pt idx="30">
                  <c:v>44254</c:v>
                </c:pt>
                <c:pt idx="31">
                  <c:v>44247</c:v>
                </c:pt>
                <c:pt idx="32">
                  <c:v>44240</c:v>
                </c:pt>
                <c:pt idx="33">
                  <c:v>44233</c:v>
                </c:pt>
                <c:pt idx="34">
                  <c:v>44226</c:v>
                </c:pt>
                <c:pt idx="35">
                  <c:v>44219</c:v>
                </c:pt>
                <c:pt idx="36">
                  <c:v>44212</c:v>
                </c:pt>
                <c:pt idx="37">
                  <c:v>44205</c:v>
                </c:pt>
                <c:pt idx="38">
                  <c:v>44198</c:v>
                </c:pt>
                <c:pt idx="39">
                  <c:v>44191</c:v>
                </c:pt>
                <c:pt idx="40">
                  <c:v>44184</c:v>
                </c:pt>
                <c:pt idx="41">
                  <c:v>44177</c:v>
                </c:pt>
                <c:pt idx="42">
                  <c:v>44170</c:v>
                </c:pt>
                <c:pt idx="43">
                  <c:v>44163</c:v>
                </c:pt>
                <c:pt idx="44">
                  <c:v>44156</c:v>
                </c:pt>
                <c:pt idx="45">
                  <c:v>44149</c:v>
                </c:pt>
                <c:pt idx="46">
                  <c:v>44142</c:v>
                </c:pt>
                <c:pt idx="47">
                  <c:v>44135</c:v>
                </c:pt>
                <c:pt idx="48">
                  <c:v>44128</c:v>
                </c:pt>
                <c:pt idx="49">
                  <c:v>44121</c:v>
                </c:pt>
                <c:pt idx="50">
                  <c:v>44114</c:v>
                </c:pt>
                <c:pt idx="51">
                  <c:v>44107</c:v>
                </c:pt>
                <c:pt idx="52">
                  <c:v>44100</c:v>
                </c:pt>
                <c:pt idx="53">
                  <c:v>44093</c:v>
                </c:pt>
                <c:pt idx="54">
                  <c:v>44086</c:v>
                </c:pt>
                <c:pt idx="55">
                  <c:v>44079</c:v>
                </c:pt>
                <c:pt idx="56">
                  <c:v>44072</c:v>
                </c:pt>
                <c:pt idx="57">
                  <c:v>44065</c:v>
                </c:pt>
                <c:pt idx="58">
                  <c:v>44058</c:v>
                </c:pt>
                <c:pt idx="59">
                  <c:v>44051</c:v>
                </c:pt>
                <c:pt idx="60">
                  <c:v>44044</c:v>
                </c:pt>
                <c:pt idx="61">
                  <c:v>44037</c:v>
                </c:pt>
                <c:pt idx="62">
                  <c:v>44030</c:v>
                </c:pt>
                <c:pt idx="63">
                  <c:v>44023</c:v>
                </c:pt>
                <c:pt idx="64">
                  <c:v>44016</c:v>
                </c:pt>
                <c:pt idx="65">
                  <c:v>44009</c:v>
                </c:pt>
                <c:pt idx="66">
                  <c:v>44002</c:v>
                </c:pt>
                <c:pt idx="67">
                  <c:v>43995</c:v>
                </c:pt>
                <c:pt idx="68">
                  <c:v>43988</c:v>
                </c:pt>
                <c:pt idx="69">
                  <c:v>43981</c:v>
                </c:pt>
                <c:pt idx="70">
                  <c:v>43974</c:v>
                </c:pt>
                <c:pt idx="71">
                  <c:v>43967</c:v>
                </c:pt>
                <c:pt idx="72">
                  <c:v>43960</c:v>
                </c:pt>
                <c:pt idx="73">
                  <c:v>43953</c:v>
                </c:pt>
                <c:pt idx="74">
                  <c:v>43946</c:v>
                </c:pt>
                <c:pt idx="75">
                  <c:v>43939</c:v>
                </c:pt>
                <c:pt idx="76">
                  <c:v>43932</c:v>
                </c:pt>
                <c:pt idx="77">
                  <c:v>43925</c:v>
                </c:pt>
                <c:pt idx="78">
                  <c:v>43918</c:v>
                </c:pt>
                <c:pt idx="79">
                  <c:v>43911</c:v>
                </c:pt>
                <c:pt idx="80">
                  <c:v>43904</c:v>
                </c:pt>
                <c:pt idx="81">
                  <c:v>43897</c:v>
                </c:pt>
                <c:pt idx="82">
                  <c:v>43890</c:v>
                </c:pt>
                <c:pt idx="83">
                  <c:v>43883</c:v>
                </c:pt>
                <c:pt idx="84">
                  <c:v>43876</c:v>
                </c:pt>
                <c:pt idx="85">
                  <c:v>43869</c:v>
                </c:pt>
                <c:pt idx="86">
                  <c:v>43862</c:v>
                </c:pt>
                <c:pt idx="87">
                  <c:v>43855</c:v>
                </c:pt>
                <c:pt idx="88">
                  <c:v>43848</c:v>
                </c:pt>
                <c:pt idx="89">
                  <c:v>43841</c:v>
                </c:pt>
                <c:pt idx="90">
                  <c:v>43834</c:v>
                </c:pt>
                <c:pt idx="91">
                  <c:v>43827</c:v>
                </c:pt>
                <c:pt idx="92">
                  <c:v>43820</c:v>
                </c:pt>
                <c:pt idx="93">
                  <c:v>43813</c:v>
                </c:pt>
                <c:pt idx="94">
                  <c:v>43806</c:v>
                </c:pt>
                <c:pt idx="95">
                  <c:v>43799</c:v>
                </c:pt>
                <c:pt idx="96">
                  <c:v>43792</c:v>
                </c:pt>
                <c:pt idx="97">
                  <c:v>43785</c:v>
                </c:pt>
              </c:numCache>
            </c:numRef>
          </c:cat>
          <c:val>
            <c:numRef>
              <c:f>汇率!$L$3:$L$100</c:f>
              <c:numCache>
                <c:formatCode>###,###,###,###,##0.00</c:formatCode>
                <c:ptCount val="98"/>
                <c:pt idx="0">
                  <c:v>9275</c:v>
                </c:pt>
                <c:pt idx="1">
                  <c:v>9435.5</c:v>
                </c:pt>
                <c:pt idx="2">
                  <c:v>9515</c:v>
                </c:pt>
                <c:pt idx="3">
                  <c:v>9361</c:v>
                </c:pt>
                <c:pt idx="4">
                  <c:v>9352</c:v>
                </c:pt>
                <c:pt idx="5">
                  <c:v>8922</c:v>
                </c:pt>
                <c:pt idx="6">
                  <c:v>9429.5</c:v>
                </c:pt>
                <c:pt idx="7">
                  <c:v>9529.5</c:v>
                </c:pt>
                <c:pt idx="8">
                  <c:v>9747.5</c:v>
                </c:pt>
                <c:pt idx="9">
                  <c:v>9433.5</c:v>
                </c:pt>
                <c:pt idx="10">
                  <c:v>9396.5</c:v>
                </c:pt>
                <c:pt idx="11">
                  <c:v>9437.5</c:v>
                </c:pt>
                <c:pt idx="12">
                  <c:v>9296.5</c:v>
                </c:pt>
                <c:pt idx="13">
                  <c:v>9432.5</c:v>
                </c:pt>
                <c:pt idx="14">
                  <c:v>9206</c:v>
                </c:pt>
                <c:pt idx="15">
                  <c:v>10029</c:v>
                </c:pt>
                <c:pt idx="16">
                  <c:v>9852</c:v>
                </c:pt>
                <c:pt idx="17">
                  <c:v>10159.5</c:v>
                </c:pt>
                <c:pt idx="18">
                  <c:v>10011</c:v>
                </c:pt>
                <c:pt idx="19">
                  <c:v>10212</c:v>
                </c:pt>
                <c:pt idx="20">
                  <c:v>10361</c:v>
                </c:pt>
                <c:pt idx="21">
                  <c:v>9949</c:v>
                </c:pt>
                <c:pt idx="22">
                  <c:v>9545.5</c:v>
                </c:pt>
                <c:pt idx="23">
                  <c:v>9336</c:v>
                </c:pt>
                <c:pt idx="24">
                  <c:v>8993</c:v>
                </c:pt>
                <c:pt idx="25">
                  <c:v>8768</c:v>
                </c:pt>
                <c:pt idx="26">
                  <c:v>8929</c:v>
                </c:pt>
                <c:pt idx="27">
                  <c:v>9036</c:v>
                </c:pt>
                <c:pt idx="28">
                  <c:v>9052.5</c:v>
                </c:pt>
                <c:pt idx="29">
                  <c:v>9021.5</c:v>
                </c:pt>
                <c:pt idx="30">
                  <c:v>9172.5</c:v>
                </c:pt>
                <c:pt idx="31">
                  <c:v>8806.5</c:v>
                </c:pt>
                <c:pt idx="32">
                  <c:v>8270.5</c:v>
                </c:pt>
                <c:pt idx="33">
                  <c:v>7936.5</c:v>
                </c:pt>
                <c:pt idx="34">
                  <c:v>7877</c:v>
                </c:pt>
                <c:pt idx="35">
                  <c:v>7872</c:v>
                </c:pt>
                <c:pt idx="36">
                  <c:v>7979.5</c:v>
                </c:pt>
                <c:pt idx="37">
                  <c:v>8146</c:v>
                </c:pt>
                <c:pt idx="38">
                  <c:v>7741.5</c:v>
                </c:pt>
                <c:pt idx="39">
                  <c:v>7793</c:v>
                </c:pt>
                <c:pt idx="40">
                  <c:v>7964</c:v>
                </c:pt>
                <c:pt idx="41">
                  <c:v>7741</c:v>
                </c:pt>
                <c:pt idx="42">
                  <c:v>7741.5</c:v>
                </c:pt>
                <c:pt idx="43">
                  <c:v>7462</c:v>
                </c:pt>
                <c:pt idx="44">
                  <c:v>7178.5</c:v>
                </c:pt>
                <c:pt idx="45">
                  <c:v>6926</c:v>
                </c:pt>
                <c:pt idx="46">
                  <c:v>6938.5</c:v>
                </c:pt>
                <c:pt idx="47">
                  <c:v>6694.5</c:v>
                </c:pt>
                <c:pt idx="48">
                  <c:v>6879.5</c:v>
                </c:pt>
                <c:pt idx="49">
                  <c:v>6728</c:v>
                </c:pt>
                <c:pt idx="50">
                  <c:v>6740.5</c:v>
                </c:pt>
                <c:pt idx="51">
                  <c:v>6409.5</c:v>
                </c:pt>
                <c:pt idx="52">
                  <c:v>6529</c:v>
                </c:pt>
                <c:pt idx="53">
                  <c:v>6833.5</c:v>
                </c:pt>
                <c:pt idx="54">
                  <c:v>6757.5</c:v>
                </c:pt>
                <c:pt idx="55">
                  <c:v>6678</c:v>
                </c:pt>
                <c:pt idx="56">
                  <c:v>6728</c:v>
                </c:pt>
                <c:pt idx="57">
                  <c:v>6564.5</c:v>
                </c:pt>
                <c:pt idx="58">
                  <c:v>6342.5</c:v>
                </c:pt>
                <c:pt idx="59">
                  <c:v>6437</c:v>
                </c:pt>
                <c:pt idx="60">
                  <c:v>6446.5</c:v>
                </c:pt>
                <c:pt idx="61">
                  <c:v>6412.5</c:v>
                </c:pt>
                <c:pt idx="62">
                  <c:v>6454.5</c:v>
                </c:pt>
                <c:pt idx="63">
                  <c:v>6322.5</c:v>
                </c:pt>
                <c:pt idx="64">
                  <c:v>6022.5</c:v>
                </c:pt>
                <c:pt idx="65">
                  <c:v>5985.5</c:v>
                </c:pt>
                <c:pt idx="66">
                  <c:v>5835.5</c:v>
                </c:pt>
                <c:pt idx="67">
                  <c:v>5785.5</c:v>
                </c:pt>
                <c:pt idx="68">
                  <c:v>5588</c:v>
                </c:pt>
                <c:pt idx="69">
                  <c:v>5332.5</c:v>
                </c:pt>
                <c:pt idx="70">
                  <c:v>5242.5</c:v>
                </c:pt>
                <c:pt idx="71">
                  <c:v>5165</c:v>
                </c:pt>
                <c:pt idx="72">
                  <c:v>5227.5</c:v>
                </c:pt>
                <c:pt idx="73">
                  <c:v>5061</c:v>
                </c:pt>
                <c:pt idx="74">
                  <c:v>5118</c:v>
                </c:pt>
                <c:pt idx="75">
                  <c:v>5175.5</c:v>
                </c:pt>
                <c:pt idx="76">
                  <c:v>4963.5</c:v>
                </c:pt>
                <c:pt idx="77">
                  <c:v>4863.5</c:v>
                </c:pt>
                <c:pt idx="78">
                  <c:v>4774</c:v>
                </c:pt>
                <c:pt idx="79">
                  <c:v>4855</c:v>
                </c:pt>
                <c:pt idx="80">
                  <c:v>5530.5</c:v>
                </c:pt>
                <c:pt idx="81">
                  <c:v>5624</c:v>
                </c:pt>
                <c:pt idx="82">
                  <c:v>5573</c:v>
                </c:pt>
                <c:pt idx="83">
                  <c:v>5702</c:v>
                </c:pt>
                <c:pt idx="84">
                  <c:v>5737</c:v>
                </c:pt>
                <c:pt idx="85">
                  <c:v>5653</c:v>
                </c:pt>
                <c:pt idx="86">
                  <c:v>5570</c:v>
                </c:pt>
                <c:pt idx="87">
                  <c:v>5968</c:v>
                </c:pt>
                <c:pt idx="88">
                  <c:v>6276.5</c:v>
                </c:pt>
                <c:pt idx="89">
                  <c:v>6157</c:v>
                </c:pt>
                <c:pt idx="90">
                  <c:v>6077</c:v>
                </c:pt>
                <c:pt idx="91">
                  <c:v>6211</c:v>
                </c:pt>
                <c:pt idx="92">
                  <c:v>6155.5</c:v>
                </c:pt>
                <c:pt idx="93">
                  <c:v>6154</c:v>
                </c:pt>
                <c:pt idx="94">
                  <c:v>5867.5</c:v>
                </c:pt>
                <c:pt idx="95">
                  <c:v>5854</c:v>
                </c:pt>
                <c:pt idx="96">
                  <c:v>5834</c:v>
                </c:pt>
                <c:pt idx="97">
                  <c:v>5812</c:v>
                </c:pt>
              </c:numCache>
            </c:numRef>
          </c:val>
          <c:smooth val="1"/>
          <c:extLst xmlns:c16r2="http://schemas.microsoft.com/office/drawing/2015/06/chart">
            <c:ext xmlns:c16="http://schemas.microsoft.com/office/drawing/2014/chart" uri="{C3380CC4-5D6E-409C-BE32-E72D297353CC}">
              <c16:uniqueId val="{00000000-9812-47DD-B9B9-8610E8DE4A45}"/>
            </c:ext>
          </c:extLst>
        </c:ser>
        <c:dLbls>
          <c:showLegendKey val="0"/>
          <c:showVal val="0"/>
          <c:showCatName val="0"/>
          <c:showSerName val="0"/>
          <c:showPercent val="0"/>
          <c:showBubbleSize val="0"/>
        </c:dLbls>
        <c:marker val="1"/>
        <c:smooth val="0"/>
        <c:axId val="506836096"/>
        <c:axId val="506837632"/>
      </c:lineChart>
      <c:lineChart>
        <c:grouping val="standard"/>
        <c:varyColors val="0"/>
        <c:ser>
          <c:idx val="2"/>
          <c:order val="1"/>
          <c:tx>
            <c:strRef>
              <c:f>汇率!$M$2</c:f>
              <c:strCache>
                <c:ptCount val="1"/>
                <c:pt idx="0">
                  <c:v>期货结算价(连续):布伦特原油:周</c:v>
                </c:pt>
              </c:strCache>
            </c:strRef>
          </c:tx>
          <c:spPr>
            <a:ln>
              <a:solidFill>
                <a:srgbClr val="ED7D31"/>
              </a:solidFill>
              <a:prstDash val="sysDash"/>
            </a:ln>
          </c:spPr>
          <c:marker>
            <c:symbol val="none"/>
          </c:marker>
          <c:cat>
            <c:numRef>
              <c:f>汇率!$K$3:$K$100</c:f>
              <c:numCache>
                <c:formatCode>yyyy\-mm\-dd;@</c:formatCode>
                <c:ptCount val="98"/>
                <c:pt idx="0">
                  <c:v>44464</c:v>
                </c:pt>
                <c:pt idx="1">
                  <c:v>44457</c:v>
                </c:pt>
                <c:pt idx="2">
                  <c:v>44450</c:v>
                </c:pt>
                <c:pt idx="3">
                  <c:v>44443</c:v>
                </c:pt>
                <c:pt idx="4">
                  <c:v>44436</c:v>
                </c:pt>
                <c:pt idx="5">
                  <c:v>44429</c:v>
                </c:pt>
                <c:pt idx="6">
                  <c:v>44422</c:v>
                </c:pt>
                <c:pt idx="7">
                  <c:v>44415</c:v>
                </c:pt>
                <c:pt idx="8">
                  <c:v>44408</c:v>
                </c:pt>
                <c:pt idx="9">
                  <c:v>44401</c:v>
                </c:pt>
                <c:pt idx="10">
                  <c:v>44394</c:v>
                </c:pt>
                <c:pt idx="11">
                  <c:v>44387</c:v>
                </c:pt>
                <c:pt idx="12">
                  <c:v>44380</c:v>
                </c:pt>
                <c:pt idx="13">
                  <c:v>44373</c:v>
                </c:pt>
                <c:pt idx="14">
                  <c:v>44366</c:v>
                </c:pt>
                <c:pt idx="15">
                  <c:v>44359</c:v>
                </c:pt>
                <c:pt idx="16">
                  <c:v>44352</c:v>
                </c:pt>
                <c:pt idx="17">
                  <c:v>44345</c:v>
                </c:pt>
                <c:pt idx="18">
                  <c:v>44338</c:v>
                </c:pt>
                <c:pt idx="19">
                  <c:v>44331</c:v>
                </c:pt>
                <c:pt idx="20">
                  <c:v>44324</c:v>
                </c:pt>
                <c:pt idx="21">
                  <c:v>44317</c:v>
                </c:pt>
                <c:pt idx="22">
                  <c:v>44310</c:v>
                </c:pt>
                <c:pt idx="23">
                  <c:v>44303</c:v>
                </c:pt>
                <c:pt idx="24">
                  <c:v>44296</c:v>
                </c:pt>
                <c:pt idx="25">
                  <c:v>44289</c:v>
                </c:pt>
                <c:pt idx="26">
                  <c:v>44282</c:v>
                </c:pt>
                <c:pt idx="27">
                  <c:v>44275</c:v>
                </c:pt>
                <c:pt idx="28">
                  <c:v>44268</c:v>
                </c:pt>
                <c:pt idx="29">
                  <c:v>44261</c:v>
                </c:pt>
                <c:pt idx="30">
                  <c:v>44254</c:v>
                </c:pt>
                <c:pt idx="31">
                  <c:v>44247</c:v>
                </c:pt>
                <c:pt idx="32">
                  <c:v>44240</c:v>
                </c:pt>
                <c:pt idx="33">
                  <c:v>44233</c:v>
                </c:pt>
                <c:pt idx="34">
                  <c:v>44226</c:v>
                </c:pt>
                <c:pt idx="35">
                  <c:v>44219</c:v>
                </c:pt>
                <c:pt idx="36">
                  <c:v>44212</c:v>
                </c:pt>
                <c:pt idx="37">
                  <c:v>44205</c:v>
                </c:pt>
                <c:pt idx="38">
                  <c:v>44198</c:v>
                </c:pt>
                <c:pt idx="39">
                  <c:v>44191</c:v>
                </c:pt>
                <c:pt idx="40">
                  <c:v>44184</c:v>
                </c:pt>
                <c:pt idx="41">
                  <c:v>44177</c:v>
                </c:pt>
                <c:pt idx="42">
                  <c:v>44170</c:v>
                </c:pt>
                <c:pt idx="43">
                  <c:v>44163</c:v>
                </c:pt>
                <c:pt idx="44">
                  <c:v>44156</c:v>
                </c:pt>
                <c:pt idx="45">
                  <c:v>44149</c:v>
                </c:pt>
                <c:pt idx="46">
                  <c:v>44142</c:v>
                </c:pt>
                <c:pt idx="47">
                  <c:v>44135</c:v>
                </c:pt>
                <c:pt idx="48">
                  <c:v>44128</c:v>
                </c:pt>
                <c:pt idx="49">
                  <c:v>44121</c:v>
                </c:pt>
                <c:pt idx="50">
                  <c:v>44114</c:v>
                </c:pt>
                <c:pt idx="51">
                  <c:v>44107</c:v>
                </c:pt>
                <c:pt idx="52">
                  <c:v>44100</c:v>
                </c:pt>
                <c:pt idx="53">
                  <c:v>44093</c:v>
                </c:pt>
                <c:pt idx="54">
                  <c:v>44086</c:v>
                </c:pt>
                <c:pt idx="55">
                  <c:v>44079</c:v>
                </c:pt>
                <c:pt idx="56">
                  <c:v>44072</c:v>
                </c:pt>
                <c:pt idx="57">
                  <c:v>44065</c:v>
                </c:pt>
                <c:pt idx="58">
                  <c:v>44058</c:v>
                </c:pt>
                <c:pt idx="59">
                  <c:v>44051</c:v>
                </c:pt>
                <c:pt idx="60">
                  <c:v>44044</c:v>
                </c:pt>
                <c:pt idx="61">
                  <c:v>44037</c:v>
                </c:pt>
                <c:pt idx="62">
                  <c:v>44030</c:v>
                </c:pt>
                <c:pt idx="63">
                  <c:v>44023</c:v>
                </c:pt>
                <c:pt idx="64">
                  <c:v>44016</c:v>
                </c:pt>
                <c:pt idx="65">
                  <c:v>44009</c:v>
                </c:pt>
                <c:pt idx="66">
                  <c:v>44002</c:v>
                </c:pt>
                <c:pt idx="67">
                  <c:v>43995</c:v>
                </c:pt>
                <c:pt idx="68">
                  <c:v>43988</c:v>
                </c:pt>
                <c:pt idx="69">
                  <c:v>43981</c:v>
                </c:pt>
                <c:pt idx="70">
                  <c:v>43974</c:v>
                </c:pt>
                <c:pt idx="71">
                  <c:v>43967</c:v>
                </c:pt>
                <c:pt idx="72">
                  <c:v>43960</c:v>
                </c:pt>
                <c:pt idx="73">
                  <c:v>43953</c:v>
                </c:pt>
                <c:pt idx="74">
                  <c:v>43946</c:v>
                </c:pt>
                <c:pt idx="75">
                  <c:v>43939</c:v>
                </c:pt>
                <c:pt idx="76">
                  <c:v>43932</c:v>
                </c:pt>
                <c:pt idx="77">
                  <c:v>43925</c:v>
                </c:pt>
                <c:pt idx="78">
                  <c:v>43918</c:v>
                </c:pt>
                <c:pt idx="79">
                  <c:v>43911</c:v>
                </c:pt>
                <c:pt idx="80">
                  <c:v>43904</c:v>
                </c:pt>
                <c:pt idx="81">
                  <c:v>43897</c:v>
                </c:pt>
                <c:pt idx="82">
                  <c:v>43890</c:v>
                </c:pt>
                <c:pt idx="83">
                  <c:v>43883</c:v>
                </c:pt>
                <c:pt idx="84">
                  <c:v>43876</c:v>
                </c:pt>
                <c:pt idx="85">
                  <c:v>43869</c:v>
                </c:pt>
                <c:pt idx="86">
                  <c:v>43862</c:v>
                </c:pt>
                <c:pt idx="87">
                  <c:v>43855</c:v>
                </c:pt>
                <c:pt idx="88">
                  <c:v>43848</c:v>
                </c:pt>
                <c:pt idx="89">
                  <c:v>43841</c:v>
                </c:pt>
                <c:pt idx="90">
                  <c:v>43834</c:v>
                </c:pt>
                <c:pt idx="91">
                  <c:v>43827</c:v>
                </c:pt>
                <c:pt idx="92">
                  <c:v>43820</c:v>
                </c:pt>
                <c:pt idx="93">
                  <c:v>43813</c:v>
                </c:pt>
                <c:pt idx="94">
                  <c:v>43806</c:v>
                </c:pt>
                <c:pt idx="95">
                  <c:v>43799</c:v>
                </c:pt>
                <c:pt idx="96">
                  <c:v>43792</c:v>
                </c:pt>
                <c:pt idx="97">
                  <c:v>43785</c:v>
                </c:pt>
              </c:numCache>
            </c:numRef>
          </c:cat>
          <c:val>
            <c:numRef>
              <c:f>汇率!$M$3:$M$100</c:f>
              <c:numCache>
                <c:formatCode>###,###,###,###,##0.00</c:formatCode>
                <c:ptCount val="98"/>
                <c:pt idx="0">
                  <c:v>78.09</c:v>
                </c:pt>
                <c:pt idx="1">
                  <c:v>75.34</c:v>
                </c:pt>
                <c:pt idx="2">
                  <c:v>72.92</c:v>
                </c:pt>
                <c:pt idx="3">
                  <c:v>72.61</c:v>
                </c:pt>
                <c:pt idx="4">
                  <c:v>72.7</c:v>
                </c:pt>
                <c:pt idx="5">
                  <c:v>65.180000000000007</c:v>
                </c:pt>
                <c:pt idx="6">
                  <c:v>70.59</c:v>
                </c:pt>
                <c:pt idx="7">
                  <c:v>70.7</c:v>
                </c:pt>
                <c:pt idx="8">
                  <c:v>76.33</c:v>
                </c:pt>
                <c:pt idx="9">
                  <c:v>74.099999999999994</c:v>
                </c:pt>
                <c:pt idx="10">
                  <c:v>73.59</c:v>
                </c:pt>
                <c:pt idx="11">
                  <c:v>75.55</c:v>
                </c:pt>
                <c:pt idx="12">
                  <c:v>76.17</c:v>
                </c:pt>
                <c:pt idx="13">
                  <c:v>76.180000000000007</c:v>
                </c:pt>
                <c:pt idx="14">
                  <c:v>73.510000000000005</c:v>
                </c:pt>
                <c:pt idx="15">
                  <c:v>72.69</c:v>
                </c:pt>
                <c:pt idx="16">
                  <c:v>71.89</c:v>
                </c:pt>
                <c:pt idx="17">
                  <c:v>69.63</c:v>
                </c:pt>
                <c:pt idx="18">
                  <c:v>66.44</c:v>
                </c:pt>
                <c:pt idx="19">
                  <c:v>68.709999999999994</c:v>
                </c:pt>
                <c:pt idx="20">
                  <c:v>68.28</c:v>
                </c:pt>
                <c:pt idx="21">
                  <c:v>67.25</c:v>
                </c:pt>
                <c:pt idx="22">
                  <c:v>66.11</c:v>
                </c:pt>
                <c:pt idx="23">
                  <c:v>66.77</c:v>
                </c:pt>
                <c:pt idx="24">
                  <c:v>62.95</c:v>
                </c:pt>
                <c:pt idx="25">
                  <c:v>63.54</c:v>
                </c:pt>
                <c:pt idx="26">
                  <c:v>64.569999999999993</c:v>
                </c:pt>
                <c:pt idx="27">
                  <c:v>64.53</c:v>
                </c:pt>
                <c:pt idx="28">
                  <c:v>69.22</c:v>
                </c:pt>
                <c:pt idx="29">
                  <c:v>69.36</c:v>
                </c:pt>
                <c:pt idx="30">
                  <c:v>66.13</c:v>
                </c:pt>
                <c:pt idx="31">
                  <c:v>62.91</c:v>
                </c:pt>
                <c:pt idx="32">
                  <c:v>62.43</c:v>
                </c:pt>
                <c:pt idx="33">
                  <c:v>59.34</c:v>
                </c:pt>
                <c:pt idx="34">
                  <c:v>55.88</c:v>
                </c:pt>
                <c:pt idx="35">
                  <c:v>55.41</c:v>
                </c:pt>
                <c:pt idx="36">
                  <c:v>55.1</c:v>
                </c:pt>
                <c:pt idx="37">
                  <c:v>55.99</c:v>
                </c:pt>
                <c:pt idx="38">
                  <c:v>51.8</c:v>
                </c:pt>
                <c:pt idx="39">
                  <c:v>51.29</c:v>
                </c:pt>
                <c:pt idx="40">
                  <c:v>52.26</c:v>
                </c:pt>
                <c:pt idx="41">
                  <c:v>49.97</c:v>
                </c:pt>
                <c:pt idx="42">
                  <c:v>49.25</c:v>
                </c:pt>
                <c:pt idx="43">
                  <c:v>48.18</c:v>
                </c:pt>
                <c:pt idx="44">
                  <c:v>44.96</c:v>
                </c:pt>
                <c:pt idx="45">
                  <c:v>42.78</c:v>
                </c:pt>
                <c:pt idx="46">
                  <c:v>39.450000000000003</c:v>
                </c:pt>
                <c:pt idx="47">
                  <c:v>37.46</c:v>
                </c:pt>
                <c:pt idx="48">
                  <c:v>41.77</c:v>
                </c:pt>
                <c:pt idx="49">
                  <c:v>42.93</c:v>
                </c:pt>
                <c:pt idx="50">
                  <c:v>42.85</c:v>
                </c:pt>
                <c:pt idx="51">
                  <c:v>39.270000000000003</c:v>
                </c:pt>
                <c:pt idx="52">
                  <c:v>41.92</c:v>
                </c:pt>
                <c:pt idx="53">
                  <c:v>43.15</c:v>
                </c:pt>
                <c:pt idx="54">
                  <c:v>39.83</c:v>
                </c:pt>
                <c:pt idx="55">
                  <c:v>42.66</c:v>
                </c:pt>
                <c:pt idx="56">
                  <c:v>45.05</c:v>
                </c:pt>
                <c:pt idx="57">
                  <c:v>44.35</c:v>
                </c:pt>
                <c:pt idx="58">
                  <c:v>44.8</c:v>
                </c:pt>
                <c:pt idx="59">
                  <c:v>44.4</c:v>
                </c:pt>
                <c:pt idx="60">
                  <c:v>43.3</c:v>
                </c:pt>
                <c:pt idx="61">
                  <c:v>43.34</c:v>
                </c:pt>
                <c:pt idx="62">
                  <c:v>43.14</c:v>
                </c:pt>
                <c:pt idx="63">
                  <c:v>43.24</c:v>
                </c:pt>
                <c:pt idx="64">
                  <c:v>42.8</c:v>
                </c:pt>
                <c:pt idx="65">
                  <c:v>41.02</c:v>
                </c:pt>
                <c:pt idx="66">
                  <c:v>42.19</c:v>
                </c:pt>
                <c:pt idx="67">
                  <c:v>38.729999999999997</c:v>
                </c:pt>
                <c:pt idx="68">
                  <c:v>42.3</c:v>
                </c:pt>
                <c:pt idx="69">
                  <c:v>35.33</c:v>
                </c:pt>
                <c:pt idx="70">
                  <c:v>35.130000000000003</c:v>
                </c:pt>
                <c:pt idx="71">
                  <c:v>32.5</c:v>
                </c:pt>
                <c:pt idx="72">
                  <c:v>30.97</c:v>
                </c:pt>
                <c:pt idx="73">
                  <c:v>26.44</c:v>
                </c:pt>
                <c:pt idx="74">
                  <c:v>21.44</c:v>
                </c:pt>
                <c:pt idx="75">
                  <c:v>28.08</c:v>
                </c:pt>
                <c:pt idx="76">
                  <c:v>31.48</c:v>
                </c:pt>
                <c:pt idx="77">
                  <c:v>34.11</c:v>
                </c:pt>
                <c:pt idx="78">
                  <c:v>24.93</c:v>
                </c:pt>
                <c:pt idx="79">
                  <c:v>26.98</c:v>
                </c:pt>
                <c:pt idx="80">
                  <c:v>33.85</c:v>
                </c:pt>
                <c:pt idx="81">
                  <c:v>45.27</c:v>
                </c:pt>
                <c:pt idx="82">
                  <c:v>50.52</c:v>
                </c:pt>
                <c:pt idx="83">
                  <c:v>58.5</c:v>
                </c:pt>
                <c:pt idx="84">
                  <c:v>57.32</c:v>
                </c:pt>
                <c:pt idx="85">
                  <c:v>54.54</c:v>
                </c:pt>
                <c:pt idx="86">
                  <c:v>58.16</c:v>
                </c:pt>
                <c:pt idx="87">
                  <c:v>60.69</c:v>
                </c:pt>
                <c:pt idx="88">
                  <c:v>64.849999999999994</c:v>
                </c:pt>
                <c:pt idx="89">
                  <c:v>64.98</c:v>
                </c:pt>
                <c:pt idx="90">
                  <c:v>68.599999999999994</c:v>
                </c:pt>
                <c:pt idx="91">
                  <c:v>68.16</c:v>
                </c:pt>
                <c:pt idx="92">
                  <c:v>66.14</c:v>
                </c:pt>
                <c:pt idx="93">
                  <c:v>65.22</c:v>
                </c:pt>
                <c:pt idx="94">
                  <c:v>64.39</c:v>
                </c:pt>
                <c:pt idx="95">
                  <c:v>62.43</c:v>
                </c:pt>
                <c:pt idx="96">
                  <c:v>63.39</c:v>
                </c:pt>
                <c:pt idx="97">
                  <c:v>63.3</c:v>
                </c:pt>
              </c:numCache>
            </c:numRef>
          </c:val>
          <c:smooth val="1"/>
          <c:extLst xmlns:c16r2="http://schemas.microsoft.com/office/drawing/2015/06/chart">
            <c:ext xmlns:c16="http://schemas.microsoft.com/office/drawing/2014/chart" uri="{C3380CC4-5D6E-409C-BE32-E72D297353CC}">
              <c16:uniqueId val="{00000001-9812-47DD-B9B9-8610E8DE4A45}"/>
            </c:ext>
          </c:extLst>
        </c:ser>
        <c:dLbls>
          <c:showLegendKey val="0"/>
          <c:showVal val="0"/>
          <c:showCatName val="0"/>
          <c:showSerName val="0"/>
          <c:showPercent val="0"/>
          <c:showBubbleSize val="0"/>
        </c:dLbls>
        <c:marker val="1"/>
        <c:smooth val="0"/>
        <c:axId val="506849152"/>
        <c:axId val="506847616"/>
      </c:lineChart>
      <c:dateAx>
        <c:axId val="506836096"/>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506837632"/>
        <c:crosses val="autoZero"/>
        <c:auto val="0"/>
        <c:lblOffset val="0"/>
        <c:baseTimeUnit val="days"/>
      </c:dateAx>
      <c:valAx>
        <c:axId val="506837632"/>
        <c:scaling>
          <c:orientation val="minMax"/>
          <c:min val="4000"/>
        </c:scaling>
        <c:delete val="0"/>
        <c:axPos val="l"/>
        <c:numFmt formatCode="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506836096"/>
        <c:crosses val="autoZero"/>
        <c:crossBetween val="between"/>
      </c:valAx>
      <c:valAx>
        <c:axId val="506847616"/>
        <c:scaling>
          <c:orientation val="minMax"/>
          <c:min val="20"/>
        </c:scaling>
        <c:delete val="0"/>
        <c:axPos val="r"/>
        <c:numFmt formatCode="#,##0_);[Red]\(#,##0\)" sourceLinked="0"/>
        <c:majorTickMark val="out"/>
        <c:minorTickMark val="none"/>
        <c:tickLblPos val="nextTo"/>
        <c:spPr>
          <a:ln w="3175">
            <a:solidFill>
              <a:sysClr val="windowText" lastClr="000000"/>
            </a:solidFill>
          </a:ln>
        </c:spPr>
        <c:crossAx val="506849152"/>
        <c:crosses val="max"/>
        <c:crossBetween val="between"/>
      </c:valAx>
      <c:dateAx>
        <c:axId val="506849152"/>
        <c:scaling>
          <c:orientation val="minMax"/>
        </c:scaling>
        <c:delete val="1"/>
        <c:axPos val="b"/>
        <c:numFmt formatCode="yyyy\-mm\-dd;@" sourceLinked="1"/>
        <c:majorTickMark val="out"/>
        <c:minorTickMark val="none"/>
        <c:tickLblPos val="nextTo"/>
        <c:crossAx val="506847616"/>
        <c:crosses val="autoZero"/>
        <c:auto val="0"/>
        <c:lblOffset val="100"/>
        <c:baseTimeUnit val="years"/>
      </c:dateAx>
    </c:plotArea>
    <c:legend>
      <c:legendPos val="r"/>
      <c:layout>
        <c:manualLayout>
          <c:xMode val="edge"/>
          <c:yMode val="edge"/>
          <c:x val="9.8452539198019592E-2"/>
          <c:y val="2.3337707786526686E-3"/>
          <c:w val="0.82506483230016781"/>
          <c:h val="0.1375287391401656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10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10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6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6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9762-A136-45CF-81A2-E6AA2923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729</Words>
  <Characters>4158</Characters>
  <Application>Microsoft Office Word</Application>
  <DocSecurity>0</DocSecurity>
  <Lines>34</Lines>
  <Paragraphs>9</Paragraphs>
  <ScaleCrop>false</ScaleCrop>
  <Company>Microsoft</Company>
  <LinksUpToDate>false</LinksUpToDate>
  <CharactersWithSpaces>4878</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钱伟</dc:creator>
  <cp:lastModifiedBy>Administrator</cp:lastModifiedBy>
  <cp:revision>3</cp:revision>
  <cp:lastPrinted>2019-06-26T06:05:00Z</cp:lastPrinted>
  <dcterms:created xsi:type="dcterms:W3CDTF">2021-09-27T06:45:00Z</dcterms:created>
  <dcterms:modified xsi:type="dcterms:W3CDTF">2021-09-27T07:07:00Z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