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B1B4" w14:textId="77777777" w:rsidR="00D51FDF" w:rsidRDefault="00D51FDF">
      <w:pPr>
        <w:tabs>
          <w:tab w:val="left" w:pos="6660"/>
        </w:tabs>
        <w:spacing w:line="360" w:lineRule="auto"/>
        <w:jc w:val="center"/>
        <w:rPr>
          <w:rFonts w:asciiTheme="minorEastAsia" w:hAnsiTheme="minorEastAsia" w:cs="Times New Roman"/>
          <w:bCs/>
          <w:sz w:val="48"/>
          <w:szCs w:val="48"/>
        </w:rPr>
      </w:pPr>
    </w:p>
    <w:p w14:paraId="1F1F3211" w14:textId="77777777" w:rsidR="00D51FDF" w:rsidRDefault="00D51FDF">
      <w:pPr>
        <w:spacing w:line="360" w:lineRule="auto"/>
        <w:jc w:val="center"/>
        <w:rPr>
          <w:rFonts w:asciiTheme="minorEastAsia" w:hAnsiTheme="minorEastAsia" w:cs="Times New Roman"/>
          <w:b/>
          <w:sz w:val="48"/>
          <w:szCs w:val="48"/>
        </w:rPr>
      </w:pPr>
    </w:p>
    <w:p w14:paraId="0AD06A68" w14:textId="77777777" w:rsidR="00D51FDF" w:rsidRDefault="00D51FDF">
      <w:pPr>
        <w:adjustRightInd w:val="0"/>
        <w:snapToGrid w:val="0"/>
        <w:spacing w:line="360" w:lineRule="auto"/>
        <w:jc w:val="center"/>
        <w:rPr>
          <w:rFonts w:asciiTheme="minorEastAsia" w:hAnsiTheme="minorEastAsia" w:cs="Arial"/>
          <w:sz w:val="48"/>
          <w:szCs w:val="48"/>
        </w:rPr>
      </w:pPr>
      <w:bookmarkStart w:id="0" w:name="_Toc139991729"/>
      <w:bookmarkStart w:id="1" w:name="_Toc123701386"/>
      <w:bookmarkStart w:id="2" w:name="_Toc123112266"/>
      <w:bookmarkStart w:id="3" w:name="_Toc123112227"/>
    </w:p>
    <w:p w14:paraId="788EBC0B" w14:textId="77777777" w:rsidR="00D51FDF" w:rsidRDefault="007F75F6">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富荣价值精选灵活配置混合型发起式证券投资基金更新的招募说明书</w:t>
      </w:r>
    </w:p>
    <w:p w14:paraId="16D0EEE8" w14:textId="24444B70" w:rsidR="00D51FDF" w:rsidRDefault="007F75F6">
      <w:pPr>
        <w:adjustRightInd w:val="0"/>
        <w:snapToGrid w:val="0"/>
        <w:spacing w:line="360" w:lineRule="auto"/>
        <w:jc w:val="center"/>
        <w:rPr>
          <w:rFonts w:asciiTheme="minorEastAsia" w:hAnsiTheme="minorEastAsia" w:cs="Arial"/>
          <w:b/>
          <w:sz w:val="48"/>
          <w:szCs w:val="48"/>
        </w:rPr>
      </w:pPr>
      <w:r>
        <w:rPr>
          <w:rFonts w:asciiTheme="minorEastAsia" w:hAnsiTheme="minorEastAsia" w:cs="Arial" w:hint="eastAsia"/>
          <w:b/>
          <w:sz w:val="48"/>
          <w:szCs w:val="48"/>
        </w:rPr>
        <w:t>（</w:t>
      </w:r>
      <w:r w:rsidR="00CF4360">
        <w:rPr>
          <w:rFonts w:asciiTheme="minorEastAsia" w:hAnsiTheme="minorEastAsia" w:cs="Arial"/>
          <w:b/>
          <w:sz w:val="48"/>
          <w:szCs w:val="48"/>
        </w:rPr>
        <w:t>2021年第</w:t>
      </w:r>
      <w:r w:rsidR="000C4F1C">
        <w:rPr>
          <w:rFonts w:asciiTheme="minorEastAsia" w:hAnsiTheme="minorEastAsia" w:cs="Arial" w:hint="eastAsia"/>
          <w:b/>
          <w:sz w:val="48"/>
          <w:szCs w:val="48"/>
        </w:rPr>
        <w:t>4</w:t>
      </w:r>
      <w:r w:rsidR="00CF4360">
        <w:rPr>
          <w:rFonts w:asciiTheme="minorEastAsia" w:hAnsiTheme="minorEastAsia" w:cs="Arial"/>
          <w:b/>
          <w:sz w:val="48"/>
          <w:szCs w:val="48"/>
        </w:rPr>
        <w:t>号</w:t>
      </w:r>
      <w:r>
        <w:rPr>
          <w:rFonts w:asciiTheme="minorEastAsia" w:hAnsiTheme="minorEastAsia" w:cs="Arial" w:hint="eastAsia"/>
          <w:b/>
          <w:sz w:val="48"/>
          <w:szCs w:val="48"/>
        </w:rPr>
        <w:t>）</w:t>
      </w:r>
    </w:p>
    <w:p w14:paraId="6869E5F6" w14:textId="77777777" w:rsidR="00D51FDF" w:rsidRDefault="00D51FDF">
      <w:pPr>
        <w:adjustRightInd w:val="0"/>
        <w:snapToGrid w:val="0"/>
        <w:spacing w:line="360" w:lineRule="auto"/>
        <w:jc w:val="center"/>
        <w:rPr>
          <w:rFonts w:asciiTheme="minorEastAsia" w:hAnsiTheme="minorEastAsia" w:cs="Arial"/>
          <w:sz w:val="36"/>
          <w:szCs w:val="36"/>
        </w:rPr>
      </w:pPr>
    </w:p>
    <w:p w14:paraId="41A80A99" w14:textId="77777777" w:rsidR="00D51FDF" w:rsidRDefault="00D51FDF">
      <w:pPr>
        <w:adjustRightInd w:val="0"/>
        <w:snapToGrid w:val="0"/>
        <w:spacing w:line="360" w:lineRule="auto"/>
        <w:jc w:val="center"/>
        <w:rPr>
          <w:rFonts w:asciiTheme="minorEastAsia" w:hAnsiTheme="minorEastAsia" w:cs="Arial"/>
          <w:sz w:val="36"/>
          <w:szCs w:val="36"/>
        </w:rPr>
      </w:pPr>
    </w:p>
    <w:p w14:paraId="66AB6F90" w14:textId="77777777" w:rsidR="00D51FDF" w:rsidRDefault="00D51FDF">
      <w:pPr>
        <w:adjustRightInd w:val="0"/>
        <w:snapToGrid w:val="0"/>
        <w:spacing w:line="360" w:lineRule="auto"/>
        <w:jc w:val="center"/>
        <w:rPr>
          <w:rFonts w:asciiTheme="minorEastAsia" w:hAnsiTheme="minorEastAsia" w:cs="Arial"/>
          <w:sz w:val="36"/>
          <w:szCs w:val="36"/>
        </w:rPr>
      </w:pPr>
    </w:p>
    <w:p w14:paraId="59E3DB4D" w14:textId="77777777" w:rsidR="00D51FDF" w:rsidRDefault="00D51FDF">
      <w:pPr>
        <w:adjustRightInd w:val="0"/>
        <w:snapToGrid w:val="0"/>
        <w:spacing w:line="360" w:lineRule="auto"/>
        <w:jc w:val="center"/>
        <w:rPr>
          <w:rFonts w:asciiTheme="minorEastAsia" w:hAnsiTheme="minorEastAsia" w:cs="Arial"/>
          <w:sz w:val="36"/>
          <w:szCs w:val="36"/>
        </w:rPr>
      </w:pPr>
    </w:p>
    <w:p w14:paraId="1560F9B5" w14:textId="77777777" w:rsidR="00D51FDF" w:rsidRDefault="00D51FDF">
      <w:pPr>
        <w:adjustRightInd w:val="0"/>
        <w:snapToGrid w:val="0"/>
        <w:spacing w:line="360" w:lineRule="auto"/>
        <w:jc w:val="center"/>
        <w:rPr>
          <w:rFonts w:asciiTheme="minorEastAsia" w:hAnsiTheme="minorEastAsia" w:cs="Arial"/>
          <w:sz w:val="36"/>
          <w:szCs w:val="36"/>
        </w:rPr>
      </w:pPr>
    </w:p>
    <w:p w14:paraId="44585B56" w14:textId="77777777" w:rsidR="00D51FDF" w:rsidRDefault="00D51FDF">
      <w:pPr>
        <w:adjustRightInd w:val="0"/>
        <w:snapToGrid w:val="0"/>
        <w:spacing w:line="360" w:lineRule="auto"/>
        <w:jc w:val="center"/>
        <w:rPr>
          <w:rFonts w:asciiTheme="minorEastAsia" w:hAnsiTheme="minorEastAsia" w:cs="Arial"/>
          <w:sz w:val="36"/>
          <w:szCs w:val="36"/>
        </w:rPr>
      </w:pPr>
    </w:p>
    <w:p w14:paraId="0CB4D021" w14:textId="77777777" w:rsidR="00D51FDF" w:rsidRDefault="007F75F6">
      <w:pPr>
        <w:snapToGrid w:val="0"/>
        <w:spacing w:line="360" w:lineRule="auto"/>
        <w:jc w:val="center"/>
        <w:rPr>
          <w:rFonts w:asciiTheme="minorEastAsia" w:hAnsiTheme="minorEastAsia" w:cs="Times New Roman"/>
          <w:b/>
          <w:sz w:val="36"/>
          <w:szCs w:val="36"/>
        </w:rPr>
      </w:pPr>
      <w:bookmarkStart w:id="4" w:name="_Toc123112224"/>
      <w:bookmarkStart w:id="5" w:name="_Toc123112263"/>
      <w:bookmarkStart w:id="6" w:name="_Toc139992301"/>
      <w:bookmarkStart w:id="7" w:name="_Toc139991726"/>
      <w:bookmarkStart w:id="8" w:name="_Toc123701383"/>
      <w:r>
        <w:rPr>
          <w:rFonts w:asciiTheme="minorEastAsia" w:hAnsiTheme="minorEastAsia" w:cs="Times New Roman" w:hint="eastAsia"/>
          <w:b/>
          <w:sz w:val="36"/>
          <w:szCs w:val="36"/>
        </w:rPr>
        <w:t>基金管理人：</w:t>
      </w:r>
      <w:bookmarkEnd w:id="4"/>
      <w:bookmarkEnd w:id="5"/>
      <w:bookmarkEnd w:id="6"/>
      <w:bookmarkEnd w:id="7"/>
      <w:bookmarkEnd w:id="8"/>
      <w:r>
        <w:rPr>
          <w:rFonts w:asciiTheme="minorEastAsia" w:hAnsiTheme="minorEastAsia" w:cs="Times New Roman" w:hint="eastAsia"/>
          <w:b/>
          <w:sz w:val="36"/>
          <w:szCs w:val="36"/>
        </w:rPr>
        <w:t>富荣基金管理有限公司</w:t>
      </w:r>
    </w:p>
    <w:p w14:paraId="0FA14C52" w14:textId="77777777" w:rsidR="00D51FDF" w:rsidRDefault="007F75F6">
      <w:pPr>
        <w:autoSpaceDE w:val="0"/>
        <w:autoSpaceDN w:val="0"/>
        <w:adjustRightInd w:val="0"/>
        <w:snapToGrid w:val="0"/>
        <w:spacing w:line="360" w:lineRule="auto"/>
        <w:jc w:val="center"/>
        <w:rPr>
          <w:rFonts w:asciiTheme="minorEastAsia" w:hAnsiTheme="minorEastAsia" w:cs="Arial"/>
          <w:b/>
          <w:bCs/>
          <w:sz w:val="36"/>
          <w:szCs w:val="36"/>
        </w:rPr>
      </w:pPr>
      <w:bookmarkStart w:id="9" w:name="_Toc123112225"/>
      <w:bookmarkStart w:id="10" w:name="_Toc139992302"/>
      <w:bookmarkStart w:id="11" w:name="_Toc123701384"/>
      <w:bookmarkStart w:id="12" w:name="_Toc139991727"/>
      <w:bookmarkStart w:id="13" w:name="_Toc123112264"/>
      <w:r>
        <w:rPr>
          <w:rFonts w:asciiTheme="minorEastAsia" w:hAnsiTheme="minorEastAsia" w:cs="Times New Roman" w:hint="eastAsia"/>
          <w:b/>
          <w:sz w:val="36"/>
          <w:szCs w:val="36"/>
        </w:rPr>
        <w:t>基金托管人：</w:t>
      </w:r>
      <w:bookmarkEnd w:id="9"/>
      <w:bookmarkEnd w:id="10"/>
      <w:bookmarkEnd w:id="11"/>
      <w:bookmarkEnd w:id="12"/>
      <w:bookmarkEnd w:id="13"/>
      <w:r>
        <w:rPr>
          <w:rFonts w:asciiTheme="minorEastAsia" w:hAnsiTheme="minorEastAsia" w:cs="Times New Roman" w:hint="eastAsia"/>
          <w:b/>
          <w:sz w:val="36"/>
          <w:szCs w:val="36"/>
        </w:rPr>
        <w:t>中国光大银行股份有限公司</w:t>
      </w:r>
    </w:p>
    <w:p w14:paraId="39F9A075" w14:textId="77777777" w:rsidR="00D51FDF" w:rsidRDefault="00D51FDF">
      <w:pPr>
        <w:autoSpaceDE w:val="0"/>
        <w:autoSpaceDN w:val="0"/>
        <w:adjustRightInd w:val="0"/>
        <w:snapToGrid w:val="0"/>
        <w:spacing w:line="360" w:lineRule="auto"/>
        <w:jc w:val="center"/>
        <w:rPr>
          <w:rFonts w:asciiTheme="minorEastAsia" w:hAnsiTheme="minorEastAsia" w:cs="Arial"/>
          <w:b/>
          <w:bCs/>
          <w:sz w:val="28"/>
          <w:szCs w:val="28"/>
        </w:rPr>
      </w:pPr>
    </w:p>
    <w:p w14:paraId="388D8AF6" w14:textId="77777777" w:rsidR="00D51FDF" w:rsidRDefault="00D51FDF">
      <w:pPr>
        <w:autoSpaceDE w:val="0"/>
        <w:autoSpaceDN w:val="0"/>
        <w:adjustRightInd w:val="0"/>
        <w:snapToGrid w:val="0"/>
        <w:spacing w:line="360" w:lineRule="auto"/>
        <w:jc w:val="center"/>
        <w:rPr>
          <w:rFonts w:asciiTheme="minorEastAsia" w:hAnsiTheme="minorEastAsia" w:cs="Arial"/>
          <w:b/>
          <w:bCs/>
          <w:sz w:val="28"/>
          <w:szCs w:val="28"/>
        </w:rPr>
      </w:pPr>
    </w:p>
    <w:p w14:paraId="2918CCC5" w14:textId="0A9E5E11" w:rsidR="00D51FDF" w:rsidRDefault="007F75F6">
      <w:pPr>
        <w:autoSpaceDE w:val="0"/>
        <w:autoSpaceDN w:val="0"/>
        <w:adjustRightInd w:val="0"/>
        <w:snapToGrid w:val="0"/>
        <w:spacing w:line="360" w:lineRule="auto"/>
        <w:jc w:val="center"/>
        <w:rPr>
          <w:rFonts w:asciiTheme="minorEastAsia" w:hAnsiTheme="minorEastAsia" w:cs="Arial"/>
          <w:b/>
          <w:bCs/>
          <w:sz w:val="28"/>
          <w:szCs w:val="28"/>
        </w:rPr>
      </w:pPr>
      <w:r>
        <w:rPr>
          <w:rFonts w:asciiTheme="minorEastAsia" w:hAnsiTheme="minorEastAsia" w:hint="eastAsia"/>
          <w:b/>
          <w:bCs/>
          <w:sz w:val="30"/>
          <w:szCs w:val="30"/>
        </w:rPr>
        <w:t>二零二一年</w:t>
      </w:r>
      <w:r w:rsidR="00246E9E">
        <w:rPr>
          <w:rFonts w:asciiTheme="minorEastAsia" w:hAnsiTheme="minorEastAsia" w:hint="eastAsia"/>
          <w:b/>
          <w:bCs/>
          <w:sz w:val="30"/>
          <w:szCs w:val="30"/>
        </w:rPr>
        <w:t>十一</w:t>
      </w:r>
      <w:r>
        <w:rPr>
          <w:rFonts w:asciiTheme="minorEastAsia" w:hAnsiTheme="minorEastAsia" w:hint="eastAsia"/>
          <w:b/>
          <w:bCs/>
          <w:sz w:val="30"/>
          <w:szCs w:val="30"/>
        </w:rPr>
        <w:t>月</w:t>
      </w:r>
    </w:p>
    <w:p w14:paraId="37746D65" w14:textId="77777777" w:rsidR="00D51FDF" w:rsidRDefault="00D51FDF">
      <w:pPr>
        <w:widowControl/>
        <w:spacing w:line="360" w:lineRule="auto"/>
        <w:rPr>
          <w:rFonts w:asciiTheme="minorEastAsia" w:hAnsiTheme="minorEastAsia" w:cs="Arial"/>
          <w:b/>
          <w:bCs/>
          <w:kern w:val="0"/>
          <w:sz w:val="28"/>
          <w:szCs w:val="28"/>
        </w:rPr>
        <w:sectPr w:rsidR="00D51FDF">
          <w:footerReference w:type="default" r:id="rId12"/>
          <w:footerReference w:type="first" r:id="rId13"/>
          <w:pgSz w:w="11906" w:h="16838"/>
          <w:pgMar w:top="1440" w:right="1800" w:bottom="1440" w:left="1800" w:header="851" w:footer="992" w:gutter="0"/>
          <w:pgNumType w:start="0"/>
          <w:cols w:space="720"/>
          <w:titlePg/>
          <w:docGrid w:type="lines" w:linePitch="312"/>
        </w:sectPr>
      </w:pPr>
    </w:p>
    <w:p w14:paraId="08958EA4" w14:textId="77777777" w:rsidR="00D51FDF" w:rsidRDefault="007F75F6">
      <w:pPr>
        <w:autoSpaceDE w:val="0"/>
        <w:autoSpaceDN w:val="0"/>
        <w:adjustRightInd w:val="0"/>
        <w:snapToGrid w:val="0"/>
        <w:spacing w:line="360" w:lineRule="auto"/>
        <w:jc w:val="center"/>
        <w:outlineLvl w:val="0"/>
        <w:rPr>
          <w:rFonts w:asciiTheme="minorEastAsia" w:hAnsiTheme="minorEastAsia" w:cs="Arial"/>
          <w:b/>
          <w:bCs/>
          <w:sz w:val="30"/>
          <w:szCs w:val="30"/>
        </w:rPr>
      </w:pPr>
      <w:bookmarkStart w:id="14" w:name="_Toc2677401"/>
      <w:bookmarkStart w:id="15" w:name="_Toc2676901"/>
      <w:bookmarkStart w:id="16" w:name="_Toc2675485"/>
      <w:bookmarkStart w:id="17" w:name="_Toc2676024"/>
      <w:r>
        <w:rPr>
          <w:rFonts w:asciiTheme="minorEastAsia" w:hAnsiTheme="minorEastAsia" w:cs="Arial" w:hint="eastAsia"/>
          <w:b/>
          <w:bCs/>
          <w:sz w:val="30"/>
          <w:szCs w:val="30"/>
        </w:rPr>
        <w:lastRenderedPageBreak/>
        <w:t>【重要提示】</w:t>
      </w:r>
      <w:bookmarkEnd w:id="14"/>
      <w:bookmarkEnd w:id="15"/>
      <w:bookmarkEnd w:id="16"/>
      <w:bookmarkEnd w:id="17"/>
    </w:p>
    <w:p w14:paraId="6C8DDFF9" w14:textId="77777777" w:rsidR="00D51FDF" w:rsidRDefault="00D51FDF">
      <w:pPr>
        <w:autoSpaceDE w:val="0"/>
        <w:autoSpaceDN w:val="0"/>
        <w:adjustRightInd w:val="0"/>
        <w:snapToGrid w:val="0"/>
        <w:spacing w:line="360" w:lineRule="auto"/>
        <w:jc w:val="center"/>
        <w:rPr>
          <w:rFonts w:asciiTheme="minorEastAsia" w:hAnsiTheme="minorEastAsia" w:cs="Arial"/>
          <w:b/>
          <w:bCs/>
          <w:szCs w:val="21"/>
        </w:rPr>
      </w:pPr>
    </w:p>
    <w:p w14:paraId="19D64EB7" w14:textId="77777777" w:rsidR="00D51FDF" w:rsidRDefault="007F75F6">
      <w:pPr>
        <w:autoSpaceDE w:val="0"/>
        <w:autoSpaceDN w:val="0"/>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1、本基金根据2017</w:t>
      </w:r>
      <w:r>
        <w:rPr>
          <w:rFonts w:asciiTheme="minorEastAsia" w:hAnsiTheme="minorEastAsia" w:cs="Arial" w:hint="eastAsia"/>
          <w:sz w:val="24"/>
          <w:szCs w:val="24"/>
        </w:rPr>
        <w:t>年</w:t>
      </w:r>
      <w:r>
        <w:rPr>
          <w:rFonts w:asciiTheme="minorEastAsia" w:hAnsiTheme="minorEastAsia" w:cs="Arial"/>
          <w:sz w:val="24"/>
          <w:szCs w:val="24"/>
        </w:rPr>
        <w:t>12</w:t>
      </w:r>
      <w:r>
        <w:rPr>
          <w:rFonts w:asciiTheme="minorEastAsia" w:hAnsiTheme="minorEastAsia" w:cs="Arial" w:hint="eastAsia"/>
          <w:sz w:val="24"/>
          <w:szCs w:val="24"/>
        </w:rPr>
        <w:t>月</w:t>
      </w:r>
      <w:r>
        <w:rPr>
          <w:rFonts w:asciiTheme="minorEastAsia" w:hAnsiTheme="minorEastAsia" w:cs="Arial"/>
          <w:sz w:val="24"/>
          <w:szCs w:val="24"/>
        </w:rPr>
        <w:t>28</w:t>
      </w:r>
      <w:r>
        <w:rPr>
          <w:rFonts w:asciiTheme="minorEastAsia" w:hAnsiTheme="minorEastAsia" w:cs="Arial" w:hint="eastAsia"/>
          <w:sz w:val="24"/>
          <w:szCs w:val="24"/>
        </w:rPr>
        <w:t>日中国证券监督管理委员会（以下简称“中国证监会”）《关于准予富荣价值精选灵活配置</w:t>
      </w:r>
      <w:r>
        <w:rPr>
          <w:rFonts w:asciiTheme="minorEastAsia" w:hAnsiTheme="minorEastAsia" w:cs="Arial"/>
          <w:sz w:val="24"/>
          <w:szCs w:val="24"/>
        </w:rPr>
        <w:t>混合型</w:t>
      </w:r>
      <w:r>
        <w:rPr>
          <w:rFonts w:asciiTheme="minorEastAsia" w:hAnsiTheme="minorEastAsia" w:cs="Arial" w:hint="eastAsia"/>
          <w:sz w:val="24"/>
          <w:szCs w:val="24"/>
        </w:rPr>
        <w:t>发起式证券投资基金募集的批复》（证监许可【</w:t>
      </w:r>
      <w:r>
        <w:rPr>
          <w:rFonts w:asciiTheme="minorEastAsia" w:hAnsiTheme="minorEastAsia" w:cs="Arial"/>
          <w:sz w:val="24"/>
          <w:szCs w:val="24"/>
        </w:rPr>
        <w:t>2017】2431</w:t>
      </w:r>
      <w:r>
        <w:rPr>
          <w:rFonts w:asciiTheme="minorEastAsia" w:hAnsiTheme="minorEastAsia" w:cs="Arial" w:hint="eastAsia"/>
          <w:sz w:val="24"/>
          <w:szCs w:val="24"/>
        </w:rPr>
        <w:t>号）进行募集。本基金于</w:t>
      </w:r>
      <w:r>
        <w:rPr>
          <w:rFonts w:asciiTheme="minorEastAsia" w:hAnsiTheme="minorEastAsia" w:cs="Arial"/>
          <w:sz w:val="24"/>
          <w:szCs w:val="24"/>
        </w:rPr>
        <w:t>2018年8月10日正式生效。</w:t>
      </w:r>
    </w:p>
    <w:p w14:paraId="4D9694AD" w14:textId="77777777" w:rsidR="00D51FDF" w:rsidRDefault="007F75F6">
      <w:pPr>
        <w:autoSpaceDE w:val="0"/>
        <w:autoSpaceDN w:val="0"/>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2、基金管理人保证招募说明书的内容真实、准确、完整。本招募说明书经中国证监会注册，但中国证监会对本基金募集的注册，并不表明其对本基金的投资价值和市场前景</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24D294A7" w14:textId="77777777" w:rsidR="00D51FDF" w:rsidRDefault="007F75F6">
      <w:pPr>
        <w:autoSpaceDE w:val="0"/>
        <w:autoSpaceDN w:val="0"/>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cs="Arial"/>
          <w:sz w:val="24"/>
          <w:szCs w:val="24"/>
        </w:rPr>
        <w:t>3、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独立决策。基金管理人提醒投资者基金投资的“买者自负”原则，在投资者</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投资决策后，基金运营状况与基金净值变化导致的投资风险，由投资者自行负担。</w:t>
      </w:r>
    </w:p>
    <w:p w14:paraId="3D9DA269" w14:textId="77777777" w:rsidR="00D51FDF" w:rsidRDefault="007F75F6">
      <w:pPr>
        <w:autoSpaceDE w:val="0"/>
        <w:autoSpaceDN w:val="0"/>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636C6485" w14:textId="77777777" w:rsidR="00D51FDF" w:rsidRDefault="007F75F6">
      <w:pPr>
        <w:autoSpaceDE w:val="0"/>
        <w:autoSpaceDN w:val="0"/>
        <w:adjustRightInd w:val="0"/>
        <w:snapToGrid w:val="0"/>
        <w:spacing w:line="360" w:lineRule="auto"/>
        <w:ind w:firstLineChars="250" w:firstLine="600"/>
        <w:jc w:val="left"/>
        <w:rPr>
          <w:rFonts w:asciiTheme="minorEastAsia" w:hAnsiTheme="minorEastAsia" w:cs="Arial"/>
          <w:sz w:val="24"/>
          <w:szCs w:val="24"/>
        </w:rPr>
      </w:pPr>
      <w:r>
        <w:rPr>
          <w:rFonts w:asciiTheme="minorEastAsia" w:hAnsiTheme="minorEastAsia" w:cs="Arial" w:hint="eastAsia"/>
          <w:sz w:val="24"/>
          <w:szCs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50591C01" w14:textId="77777777" w:rsidR="00D51FDF" w:rsidRDefault="007F75F6">
      <w:pPr>
        <w:autoSpaceDE w:val="0"/>
        <w:autoSpaceDN w:val="0"/>
        <w:adjustRightInd w:val="0"/>
        <w:snapToGrid w:val="0"/>
        <w:spacing w:line="360" w:lineRule="auto"/>
        <w:ind w:firstLineChars="250" w:firstLine="600"/>
        <w:jc w:val="left"/>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05943C7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sz w:val="24"/>
          <w:szCs w:val="24"/>
        </w:rPr>
        <w:t>5、</w:t>
      </w:r>
      <w:r>
        <w:rPr>
          <w:rFonts w:asciiTheme="minorEastAsia" w:hAnsiTheme="minorEastAsia" w:hint="eastAsia"/>
          <w:bCs/>
          <w:sz w:val="24"/>
        </w:rPr>
        <w:t>本基金属于混合型基金，其预期风险和预期收益高于货币市场基金、债券基金，低于股票型基金，属于证券投资基金中</w:t>
      </w:r>
      <w:proofErr w:type="gramStart"/>
      <w:r>
        <w:rPr>
          <w:rFonts w:asciiTheme="minorEastAsia" w:hAnsiTheme="minorEastAsia" w:hint="eastAsia"/>
          <w:bCs/>
          <w:sz w:val="24"/>
        </w:rPr>
        <w:t>中</w:t>
      </w:r>
      <w:proofErr w:type="gramEnd"/>
      <w:r>
        <w:rPr>
          <w:rFonts w:asciiTheme="minorEastAsia" w:hAnsiTheme="minorEastAsia" w:hint="eastAsia"/>
          <w:bCs/>
          <w:sz w:val="24"/>
        </w:rPr>
        <w:t>风险、中预期收益的品种。</w:t>
      </w:r>
    </w:p>
    <w:p w14:paraId="22E05C80" w14:textId="77777777" w:rsidR="00D51FDF" w:rsidRDefault="007F75F6">
      <w:pPr>
        <w:autoSpaceDE w:val="0"/>
        <w:autoSpaceDN w:val="0"/>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Unicode MS"/>
          <w:sz w:val="24"/>
          <w:szCs w:val="24"/>
        </w:rPr>
        <w:t>6</w:t>
      </w:r>
      <w:r>
        <w:rPr>
          <w:rFonts w:asciiTheme="minorEastAsia" w:hAnsiTheme="minorEastAsia" w:cs="Arial" w:hint="eastAsia"/>
          <w:sz w:val="24"/>
          <w:szCs w:val="24"/>
        </w:rPr>
        <w:t>、本基金份额发售面值为人民币</w:t>
      </w:r>
      <w:r>
        <w:rPr>
          <w:rFonts w:asciiTheme="minorEastAsia" w:hAnsiTheme="minorEastAsia" w:cs="Arial"/>
          <w:sz w:val="24"/>
          <w:szCs w:val="24"/>
        </w:rPr>
        <w:t xml:space="preserve">1.00 </w:t>
      </w:r>
      <w:r>
        <w:rPr>
          <w:rFonts w:asciiTheme="minorEastAsia" w:hAnsiTheme="minorEastAsia" w:cs="Arial" w:hint="eastAsia"/>
          <w:sz w:val="24"/>
          <w:szCs w:val="24"/>
        </w:rPr>
        <w:t>元。在市场波动因素影响下，本基金净值可能低于发售面值，本基金投资者有可能出现亏损。</w:t>
      </w:r>
    </w:p>
    <w:p w14:paraId="144967FB" w14:textId="77777777" w:rsidR="00D51FDF" w:rsidRDefault="007F75F6">
      <w:pPr>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lastRenderedPageBreak/>
        <w:t>7</w:t>
      </w:r>
      <w:r>
        <w:rPr>
          <w:rFonts w:asciiTheme="minorEastAsia" w:hAnsiTheme="minorEastAsia" w:cs="Arial" w:hint="eastAsia"/>
          <w:sz w:val="24"/>
          <w:szCs w:val="24"/>
        </w:rPr>
        <w:t>、基金的过往业绩并不预示其未来表现，基金管理人管理的其他基金的业绩也不构成对本基金业绩表现的保证。</w:t>
      </w:r>
    </w:p>
    <w:p w14:paraId="5F26B49D" w14:textId="77777777" w:rsidR="00D51FDF" w:rsidRDefault="007F75F6">
      <w:pPr>
        <w:autoSpaceDE w:val="0"/>
        <w:autoSpaceDN w:val="0"/>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w:t>
      </w:r>
      <w:r>
        <w:rPr>
          <w:rFonts w:asciiTheme="minorEastAsia" w:hAnsiTheme="minorEastAsia" w:cs="Arial"/>
          <w:sz w:val="24"/>
          <w:szCs w:val="24"/>
        </w:rPr>
        <w:t>基金管理人依照恪尽职守、诚实信用、谨慎勤勉的原则管理和运用基金财产，但不保证基金一定盈利，也不保证最低收益。</w:t>
      </w:r>
      <w:r>
        <w:rPr>
          <w:rFonts w:asciiTheme="minorEastAsia" w:hAnsiTheme="minorEastAsia" w:cs="Arial" w:hint="eastAsia"/>
          <w:sz w:val="24"/>
          <w:szCs w:val="24"/>
        </w:rPr>
        <w:t>基金管理人提醒投资者基金投资的“买者自负”原则，在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投资决策后，基金运营状况与基金净值变化引致的投资风险，由投资者自行承担。</w:t>
      </w:r>
    </w:p>
    <w:p w14:paraId="1323AB6D" w14:textId="6B0ED3E3" w:rsidR="00844A58" w:rsidRPr="00295DB8" w:rsidRDefault="007F75F6" w:rsidP="00844A58">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sidR="00246E9E" w:rsidRPr="00740AC3">
        <w:rPr>
          <w:rFonts w:ascii="宋体" w:hAnsi="宋体" w:hint="eastAsia"/>
          <w:b/>
          <w:bCs/>
          <w:color w:val="000000"/>
          <w:kern w:val="0"/>
          <w:sz w:val="24"/>
        </w:rPr>
        <w:t>本次招募说明书仅对本基金</w:t>
      </w:r>
      <w:r w:rsidR="00C81E56">
        <w:rPr>
          <w:rFonts w:ascii="宋体" w:hAnsi="宋体" w:hint="eastAsia"/>
          <w:b/>
          <w:bCs/>
          <w:color w:val="000000"/>
          <w:kern w:val="0"/>
          <w:sz w:val="24"/>
        </w:rPr>
        <w:t>最低持有份额</w:t>
      </w:r>
      <w:r w:rsidR="00246E9E" w:rsidRPr="00740AC3">
        <w:rPr>
          <w:rFonts w:ascii="宋体" w:hAnsi="宋体" w:hint="eastAsia"/>
          <w:b/>
          <w:bCs/>
          <w:color w:val="000000"/>
          <w:kern w:val="0"/>
          <w:sz w:val="24"/>
        </w:rPr>
        <w:t>的内容进行更新</w:t>
      </w:r>
      <w:r w:rsidR="00246E9E">
        <w:rPr>
          <w:rFonts w:ascii="宋体" w:hAnsi="宋体" w:hint="eastAsia"/>
          <w:color w:val="000000"/>
          <w:kern w:val="0"/>
          <w:sz w:val="24"/>
        </w:rPr>
        <w:t>，</w:t>
      </w:r>
      <w:r w:rsidR="00844A58" w:rsidRPr="00295DB8">
        <w:rPr>
          <w:rFonts w:asciiTheme="minorEastAsia" w:hAnsiTheme="minorEastAsia" w:cs="Arial" w:hint="eastAsia"/>
          <w:sz w:val="24"/>
          <w:szCs w:val="24"/>
        </w:rPr>
        <w:t>本招募说明书所载</w:t>
      </w:r>
      <w:r w:rsidR="00246E9E">
        <w:rPr>
          <w:rFonts w:asciiTheme="minorEastAsia" w:hAnsiTheme="minorEastAsia" w:cs="Arial" w:hint="eastAsia"/>
          <w:sz w:val="24"/>
          <w:szCs w:val="24"/>
        </w:rPr>
        <w:t>其他</w:t>
      </w:r>
      <w:r w:rsidR="00844A58" w:rsidRPr="00295DB8">
        <w:rPr>
          <w:rFonts w:asciiTheme="minorEastAsia" w:hAnsiTheme="minorEastAsia" w:cs="Arial" w:hint="eastAsia"/>
          <w:sz w:val="24"/>
          <w:szCs w:val="24"/>
        </w:rPr>
        <w:t>内容截止日为2021年6月30日，有关财务数据截止日为2021年6月30日，净值表现截止日为2021年6月30日。（财务数据未经审计）。</w:t>
      </w:r>
    </w:p>
    <w:p w14:paraId="56D07AEA" w14:textId="77777777" w:rsidR="00D51FDF" w:rsidRPr="001714F2" w:rsidRDefault="00D51FDF">
      <w:pPr>
        <w:autoSpaceDE w:val="0"/>
        <w:autoSpaceDN w:val="0"/>
        <w:adjustRightInd w:val="0"/>
        <w:snapToGrid w:val="0"/>
        <w:spacing w:line="360" w:lineRule="auto"/>
        <w:jc w:val="center"/>
        <w:rPr>
          <w:rFonts w:asciiTheme="minorEastAsia" w:hAnsiTheme="minorEastAsia" w:cs="Arial"/>
          <w:b/>
          <w:bCs/>
          <w:sz w:val="28"/>
          <w:szCs w:val="28"/>
        </w:rPr>
      </w:pPr>
    </w:p>
    <w:p w14:paraId="17084DEF" w14:textId="77777777" w:rsidR="00D51FDF" w:rsidRPr="00844A58" w:rsidRDefault="00D51FDF">
      <w:pPr>
        <w:widowControl/>
        <w:spacing w:line="360" w:lineRule="auto"/>
        <w:jc w:val="left"/>
        <w:rPr>
          <w:rFonts w:asciiTheme="minorEastAsia" w:hAnsiTheme="minorEastAsia" w:cs="Times New Roman"/>
          <w:b/>
          <w:kern w:val="0"/>
          <w:sz w:val="30"/>
          <w:szCs w:val="30"/>
        </w:rPr>
        <w:sectPr w:rsidR="00D51FDF" w:rsidRPr="00844A58">
          <w:headerReference w:type="default" r:id="rId14"/>
          <w:pgSz w:w="11906" w:h="16838"/>
          <w:pgMar w:top="1440" w:right="1800" w:bottom="1440" w:left="1800" w:header="851" w:footer="992" w:gutter="0"/>
          <w:cols w:space="720"/>
          <w:docGrid w:type="lines" w:linePitch="312"/>
        </w:sectPr>
      </w:pPr>
      <w:bookmarkStart w:id="18" w:name="_Toc139991730"/>
      <w:bookmarkStart w:id="19" w:name="_Toc4966"/>
      <w:bookmarkStart w:id="20" w:name="_Toc4867"/>
      <w:bookmarkStart w:id="21" w:name="_Toc141703880"/>
      <w:bookmarkStart w:id="22" w:name="_Toc123112268"/>
      <w:bookmarkStart w:id="23" w:name="_Toc6306"/>
      <w:bookmarkStart w:id="24" w:name="_Toc15517"/>
      <w:bookmarkStart w:id="25" w:name="_Toc352229746"/>
      <w:bookmarkStart w:id="26" w:name="_Toc30935"/>
      <w:bookmarkStart w:id="27" w:name="_Toc123701389"/>
      <w:bookmarkStart w:id="28" w:name="_Toc11660"/>
      <w:bookmarkStart w:id="29" w:name="_Toc26897"/>
      <w:bookmarkStart w:id="30" w:name="_Toc123112229"/>
      <w:bookmarkStart w:id="31" w:name="_Toc29629"/>
      <w:bookmarkStart w:id="32" w:name="_Toc32639"/>
      <w:bookmarkStart w:id="33" w:name="_Toc8727"/>
      <w:bookmarkStart w:id="34" w:name="_Toc23386"/>
      <w:bookmarkStart w:id="35" w:name="_Toc233456271"/>
      <w:bookmarkEnd w:id="0"/>
      <w:bookmarkEnd w:id="1"/>
      <w:bookmarkEnd w:id="2"/>
      <w:bookmarkEnd w:id="3"/>
    </w:p>
    <w:p w14:paraId="34A28505" w14:textId="77777777" w:rsidR="00D51FDF" w:rsidRDefault="007F75F6">
      <w:pPr>
        <w:jc w:val="center"/>
        <w:rPr>
          <w:rFonts w:asciiTheme="minorEastAsia" w:hAnsiTheme="minorEastAsia"/>
          <w:b/>
          <w:bCs/>
          <w:sz w:val="24"/>
        </w:rPr>
      </w:pPr>
      <w:r>
        <w:rPr>
          <w:rFonts w:asciiTheme="minorEastAsia" w:hAnsiTheme="minorEastAsia" w:hint="eastAsia"/>
          <w:b/>
          <w:bCs/>
          <w:sz w:val="24"/>
        </w:rPr>
        <w:lastRenderedPageBreak/>
        <w:t>目</w:t>
      </w:r>
      <w:r>
        <w:rPr>
          <w:rFonts w:asciiTheme="minorEastAsia" w:hAnsiTheme="minorEastAsia"/>
          <w:b/>
          <w:bCs/>
          <w:sz w:val="24"/>
        </w:rPr>
        <w:t xml:space="preserve">    </w:t>
      </w:r>
      <w:r>
        <w:rPr>
          <w:rFonts w:asciiTheme="minorEastAsia" w:hAnsiTheme="minorEastAsia" w:hint="eastAsia"/>
          <w:b/>
          <w:bCs/>
          <w:sz w:val="24"/>
        </w:rPr>
        <w:t>录</w:t>
      </w:r>
    </w:p>
    <w:p w14:paraId="59D5D753" w14:textId="77777777" w:rsidR="00D51FDF" w:rsidRDefault="007F75F6">
      <w:pPr>
        <w:pStyle w:val="TOC1"/>
        <w:rPr>
          <w:rFonts w:asciiTheme="minorEastAsia" w:eastAsiaTheme="minorEastAsia" w:hAnsiTheme="minorEastAsia" w:cstheme="minorBidi"/>
          <w:b/>
          <w:noProof/>
          <w:szCs w:val="22"/>
        </w:rPr>
      </w:pPr>
      <w:r>
        <w:rPr>
          <w:rFonts w:asciiTheme="minorEastAsia" w:eastAsiaTheme="minorEastAsia" w:hAnsiTheme="minorEastAsia"/>
          <w:b/>
          <w:bCs/>
        </w:rPr>
        <w:fldChar w:fldCharType="begin"/>
      </w:r>
      <w:r>
        <w:rPr>
          <w:rFonts w:asciiTheme="minorEastAsia" w:eastAsiaTheme="minorEastAsia" w:hAnsiTheme="minorEastAsia"/>
          <w:b/>
          <w:bCs/>
        </w:rPr>
        <w:instrText xml:space="preserve"> TOC \o "1-1" \h \z \u </w:instrText>
      </w:r>
      <w:r>
        <w:rPr>
          <w:rFonts w:asciiTheme="minorEastAsia" w:eastAsiaTheme="minorEastAsia" w:hAnsiTheme="minorEastAsia"/>
          <w:b/>
          <w:bCs/>
        </w:rPr>
        <w:fldChar w:fldCharType="separate"/>
      </w:r>
    </w:p>
    <w:p w14:paraId="7BB26211" w14:textId="43CF97F9" w:rsidR="00D51FDF" w:rsidRDefault="00442A67">
      <w:pPr>
        <w:pStyle w:val="TOC1"/>
        <w:rPr>
          <w:rFonts w:asciiTheme="minorEastAsia" w:eastAsiaTheme="minorEastAsia" w:hAnsiTheme="minorEastAsia" w:cstheme="minorBidi"/>
          <w:b/>
          <w:noProof/>
          <w:szCs w:val="22"/>
        </w:rPr>
      </w:pPr>
      <w:hyperlink w:anchor="_Toc2677402" w:history="1">
        <w:r w:rsidR="007F75F6">
          <w:rPr>
            <w:rStyle w:val="afa"/>
            <w:rFonts w:asciiTheme="minorEastAsia" w:eastAsiaTheme="minorEastAsia" w:hAnsiTheme="minorEastAsia"/>
            <w:b/>
            <w:noProof/>
          </w:rPr>
          <w:t>第一部分  绪言</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_Toc2677402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4</w:t>
        </w:r>
        <w:r w:rsidR="007F75F6">
          <w:rPr>
            <w:rFonts w:asciiTheme="minorEastAsia" w:eastAsiaTheme="minorEastAsia" w:hAnsiTheme="minorEastAsia"/>
            <w:b/>
            <w:noProof/>
          </w:rPr>
          <w:fldChar w:fldCharType="end"/>
        </w:r>
      </w:hyperlink>
    </w:p>
    <w:p w14:paraId="05691AFE" w14:textId="02F90E0D" w:rsidR="00D51FDF" w:rsidRDefault="00442A67">
      <w:pPr>
        <w:pStyle w:val="TOC1"/>
        <w:rPr>
          <w:rFonts w:asciiTheme="minorEastAsia" w:eastAsiaTheme="minorEastAsia" w:hAnsiTheme="minorEastAsia" w:cstheme="minorBidi"/>
          <w:b/>
          <w:noProof/>
          <w:szCs w:val="22"/>
        </w:rPr>
      </w:pPr>
      <w:hyperlink w:anchor="_Toc2677403" w:history="1">
        <w:r w:rsidR="007F75F6">
          <w:rPr>
            <w:rStyle w:val="afa"/>
            <w:rFonts w:asciiTheme="minorEastAsia" w:eastAsiaTheme="minorEastAsia" w:hAnsiTheme="minorEastAsia"/>
            <w:b/>
            <w:noProof/>
          </w:rPr>
          <w:t>第二部分  释义</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_Toc2677403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5</w:t>
        </w:r>
        <w:r w:rsidR="007F75F6">
          <w:rPr>
            <w:rFonts w:asciiTheme="minorEastAsia" w:eastAsiaTheme="minorEastAsia" w:hAnsiTheme="minorEastAsia"/>
            <w:b/>
            <w:noProof/>
          </w:rPr>
          <w:fldChar w:fldCharType="end"/>
        </w:r>
      </w:hyperlink>
    </w:p>
    <w:p w14:paraId="2C3D3CA5" w14:textId="37432060" w:rsidR="00D51FDF" w:rsidRDefault="00442A67">
      <w:pPr>
        <w:pStyle w:val="TOC1"/>
        <w:rPr>
          <w:rFonts w:asciiTheme="minorEastAsia" w:eastAsiaTheme="minorEastAsia" w:hAnsiTheme="minorEastAsia" w:cstheme="minorBidi"/>
          <w:b/>
          <w:noProof/>
          <w:szCs w:val="22"/>
        </w:rPr>
      </w:pPr>
      <w:hyperlink w:anchor="_Toc2677404" w:history="1">
        <w:r w:rsidR="007F75F6">
          <w:rPr>
            <w:rStyle w:val="afa"/>
            <w:rFonts w:asciiTheme="minorEastAsia" w:eastAsiaTheme="minorEastAsia" w:hAnsiTheme="minorEastAsia"/>
            <w:b/>
            <w:noProof/>
          </w:rPr>
          <w:t>第三部分  基金管理人</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_Toc2677404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10</w:t>
        </w:r>
        <w:r w:rsidR="007F75F6">
          <w:rPr>
            <w:rFonts w:asciiTheme="minorEastAsia" w:eastAsiaTheme="minorEastAsia" w:hAnsiTheme="minorEastAsia"/>
            <w:b/>
            <w:noProof/>
          </w:rPr>
          <w:fldChar w:fldCharType="end"/>
        </w:r>
      </w:hyperlink>
    </w:p>
    <w:p w14:paraId="444C4C86" w14:textId="5D0A55F2" w:rsidR="00D51FDF" w:rsidRDefault="00442A67">
      <w:pPr>
        <w:pStyle w:val="TOC1"/>
        <w:rPr>
          <w:rFonts w:asciiTheme="minorEastAsia" w:eastAsiaTheme="minorEastAsia" w:hAnsiTheme="minorEastAsia" w:cstheme="minorBidi"/>
          <w:b/>
          <w:noProof/>
          <w:szCs w:val="22"/>
        </w:rPr>
      </w:pPr>
      <w:hyperlink w:anchor="_Toc2677405" w:history="1">
        <w:r w:rsidR="007F75F6">
          <w:rPr>
            <w:rStyle w:val="afa"/>
            <w:rFonts w:asciiTheme="minorEastAsia" w:eastAsiaTheme="minorEastAsia" w:hAnsiTheme="minorEastAsia"/>
            <w:b/>
            <w:noProof/>
          </w:rPr>
          <w:t>第四部分  基金托管人</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_Toc2677405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21</w:t>
        </w:r>
        <w:r w:rsidR="007F75F6">
          <w:rPr>
            <w:rFonts w:asciiTheme="minorEastAsia" w:eastAsiaTheme="minorEastAsia" w:hAnsiTheme="minorEastAsia"/>
            <w:b/>
            <w:noProof/>
          </w:rPr>
          <w:fldChar w:fldCharType="end"/>
        </w:r>
      </w:hyperlink>
    </w:p>
    <w:p w14:paraId="3E208E91" w14:textId="708FFE00" w:rsidR="00D51FDF" w:rsidRDefault="00442A67">
      <w:pPr>
        <w:pStyle w:val="TOC1"/>
        <w:rPr>
          <w:rFonts w:asciiTheme="minorEastAsia" w:eastAsiaTheme="minorEastAsia" w:hAnsiTheme="minorEastAsia" w:cstheme="minorBidi"/>
          <w:b/>
          <w:noProof/>
          <w:szCs w:val="22"/>
        </w:rPr>
      </w:pPr>
      <w:hyperlink w:anchor="_Toc2677406" w:history="1">
        <w:r w:rsidR="007F75F6">
          <w:rPr>
            <w:rStyle w:val="afa"/>
            <w:rFonts w:asciiTheme="minorEastAsia" w:eastAsiaTheme="minorEastAsia" w:hAnsiTheme="minorEastAsia"/>
            <w:b/>
            <w:noProof/>
          </w:rPr>
          <w:t>第五部分  相关服务机构</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_Toc2677406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25</w:t>
        </w:r>
        <w:r w:rsidR="007F75F6">
          <w:rPr>
            <w:rFonts w:asciiTheme="minorEastAsia" w:eastAsiaTheme="minorEastAsia" w:hAnsiTheme="minorEastAsia"/>
            <w:b/>
            <w:noProof/>
          </w:rPr>
          <w:fldChar w:fldCharType="end"/>
        </w:r>
      </w:hyperlink>
    </w:p>
    <w:p w14:paraId="020A1B02" w14:textId="5F104514" w:rsidR="00D51FDF" w:rsidRDefault="00442A67">
      <w:pPr>
        <w:pStyle w:val="TOC1"/>
        <w:rPr>
          <w:rFonts w:asciiTheme="minorEastAsia" w:eastAsiaTheme="minorEastAsia" w:hAnsiTheme="minorEastAsia" w:cstheme="minorBidi"/>
          <w:b/>
          <w:noProof/>
          <w:szCs w:val="22"/>
        </w:rPr>
      </w:pPr>
      <w:hyperlink w:anchor="_Toc2677407" w:history="1">
        <w:r w:rsidR="007F75F6">
          <w:rPr>
            <w:rStyle w:val="afa"/>
            <w:rFonts w:asciiTheme="minorEastAsia" w:eastAsiaTheme="minorEastAsia" w:hAnsiTheme="minorEastAsia"/>
            <w:b/>
            <w:noProof/>
          </w:rPr>
          <w:t>第六部分  基金的募集</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_Toc2677407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32</w:t>
        </w:r>
        <w:r w:rsidR="007F75F6">
          <w:rPr>
            <w:rFonts w:asciiTheme="minorEastAsia" w:eastAsiaTheme="minorEastAsia" w:hAnsiTheme="minorEastAsia"/>
            <w:b/>
            <w:noProof/>
          </w:rPr>
          <w:fldChar w:fldCharType="end"/>
        </w:r>
      </w:hyperlink>
    </w:p>
    <w:p w14:paraId="58BAD665" w14:textId="0E36EC81" w:rsidR="00D51FDF" w:rsidRDefault="00442A67">
      <w:pPr>
        <w:pStyle w:val="TOC1"/>
        <w:rPr>
          <w:rFonts w:asciiTheme="minorEastAsia" w:eastAsiaTheme="minorEastAsia" w:hAnsiTheme="minorEastAsia" w:cstheme="minorBidi"/>
          <w:b/>
          <w:noProof/>
          <w:szCs w:val="22"/>
        </w:rPr>
      </w:pPr>
      <w:hyperlink w:anchor="_Toc2677408" w:history="1">
        <w:r w:rsidR="007F75F6">
          <w:rPr>
            <w:rStyle w:val="afa"/>
            <w:rFonts w:asciiTheme="minorEastAsia" w:eastAsiaTheme="minorEastAsia" w:hAnsiTheme="minorEastAsia"/>
            <w:b/>
            <w:noProof/>
          </w:rPr>
          <w:t>第七部分  基金合同的生效</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_Toc2677408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33</w:t>
        </w:r>
        <w:r w:rsidR="007F75F6">
          <w:rPr>
            <w:rFonts w:asciiTheme="minorEastAsia" w:eastAsiaTheme="minorEastAsia" w:hAnsiTheme="minorEastAsia"/>
            <w:b/>
            <w:noProof/>
          </w:rPr>
          <w:fldChar w:fldCharType="end"/>
        </w:r>
      </w:hyperlink>
    </w:p>
    <w:p w14:paraId="12BFC327" w14:textId="6C1BDB57" w:rsidR="00D51FDF" w:rsidRDefault="00442A67">
      <w:pPr>
        <w:pStyle w:val="TOC1"/>
        <w:rPr>
          <w:rFonts w:asciiTheme="minorEastAsia" w:eastAsiaTheme="minorEastAsia" w:hAnsiTheme="minorEastAsia" w:cstheme="minorBidi"/>
          <w:b/>
          <w:noProof/>
          <w:szCs w:val="22"/>
        </w:rPr>
      </w:pPr>
      <w:hyperlink w:anchor="_Toc2677409" w:history="1">
        <w:r w:rsidR="007F75F6">
          <w:rPr>
            <w:rStyle w:val="afa"/>
            <w:rFonts w:asciiTheme="minorEastAsia" w:eastAsiaTheme="minorEastAsia" w:hAnsiTheme="minorEastAsia"/>
            <w:b/>
            <w:noProof/>
          </w:rPr>
          <w:t>第八部分  基金份额的申购与赎回</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_Toc2677409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34</w:t>
        </w:r>
        <w:r w:rsidR="007F75F6">
          <w:rPr>
            <w:rFonts w:asciiTheme="minorEastAsia" w:eastAsiaTheme="minorEastAsia" w:hAnsiTheme="minorEastAsia"/>
            <w:b/>
            <w:noProof/>
          </w:rPr>
          <w:fldChar w:fldCharType="end"/>
        </w:r>
      </w:hyperlink>
    </w:p>
    <w:p w14:paraId="61AE6D35" w14:textId="03BA8794" w:rsidR="00D51FDF" w:rsidRDefault="00442A67">
      <w:pPr>
        <w:pStyle w:val="TOC1"/>
        <w:rPr>
          <w:rFonts w:asciiTheme="minorEastAsia" w:eastAsiaTheme="minorEastAsia" w:hAnsiTheme="minorEastAsia" w:cstheme="minorBidi"/>
          <w:b/>
          <w:noProof/>
          <w:szCs w:val="22"/>
        </w:rPr>
      </w:pPr>
      <w:hyperlink w:anchor="_Toc2677410" w:history="1">
        <w:r w:rsidR="007F75F6">
          <w:rPr>
            <w:rStyle w:val="afa"/>
            <w:rFonts w:asciiTheme="minorEastAsia" w:eastAsiaTheme="minorEastAsia" w:hAnsiTheme="minorEastAsia"/>
            <w:b/>
            <w:noProof/>
          </w:rPr>
          <w:t>第九部分  基金的投资</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_Toc2677410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45</w:t>
        </w:r>
        <w:r w:rsidR="007F75F6">
          <w:rPr>
            <w:rFonts w:asciiTheme="minorEastAsia" w:eastAsiaTheme="minorEastAsia" w:hAnsiTheme="minorEastAsia"/>
            <w:b/>
            <w:noProof/>
          </w:rPr>
          <w:fldChar w:fldCharType="end"/>
        </w:r>
      </w:hyperlink>
    </w:p>
    <w:p w14:paraId="7BA07360" w14:textId="25EFECB1" w:rsidR="00D51FDF" w:rsidRDefault="00442A67">
      <w:pPr>
        <w:pStyle w:val="TOC1"/>
        <w:rPr>
          <w:rFonts w:asciiTheme="minorEastAsia" w:eastAsiaTheme="minorEastAsia" w:hAnsiTheme="minorEastAsia" w:cstheme="minorBidi"/>
          <w:b/>
          <w:noProof/>
          <w:szCs w:val="22"/>
        </w:rPr>
      </w:pPr>
      <w:hyperlink w:anchor="_Toc2677411" w:history="1">
        <w:r w:rsidR="007F75F6">
          <w:rPr>
            <w:rStyle w:val="afa"/>
            <w:rFonts w:asciiTheme="minorEastAsia" w:eastAsiaTheme="minorEastAsia" w:hAnsiTheme="minorEastAsia"/>
            <w:b/>
            <w:noProof/>
          </w:rPr>
          <w:t>第十部分  基金的财产</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_Toc2677411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60</w:t>
        </w:r>
        <w:r w:rsidR="007F75F6">
          <w:rPr>
            <w:rFonts w:asciiTheme="minorEastAsia" w:eastAsiaTheme="minorEastAsia" w:hAnsiTheme="minorEastAsia"/>
            <w:b/>
            <w:noProof/>
          </w:rPr>
          <w:fldChar w:fldCharType="end"/>
        </w:r>
      </w:hyperlink>
    </w:p>
    <w:p w14:paraId="55772402" w14:textId="0058176C" w:rsidR="00D51FDF" w:rsidRDefault="00442A67">
      <w:pPr>
        <w:pStyle w:val="TOC1"/>
        <w:rPr>
          <w:rFonts w:asciiTheme="minorEastAsia" w:eastAsiaTheme="minorEastAsia" w:hAnsiTheme="minorEastAsia" w:cstheme="minorBidi"/>
          <w:b/>
          <w:noProof/>
          <w:szCs w:val="22"/>
        </w:rPr>
      </w:pPr>
      <w:hyperlink w:anchor="_Toc2677412" w:history="1">
        <w:r w:rsidR="007F75F6">
          <w:rPr>
            <w:rStyle w:val="afa"/>
            <w:rFonts w:asciiTheme="minorEastAsia" w:eastAsiaTheme="minorEastAsia" w:hAnsiTheme="minorEastAsia"/>
            <w:b/>
            <w:noProof/>
          </w:rPr>
          <w:t>第十一部分  基金资产的估值</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_Toc2677412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61</w:t>
        </w:r>
        <w:r w:rsidR="007F75F6">
          <w:rPr>
            <w:rFonts w:asciiTheme="minorEastAsia" w:eastAsiaTheme="minorEastAsia" w:hAnsiTheme="minorEastAsia"/>
            <w:b/>
            <w:noProof/>
          </w:rPr>
          <w:fldChar w:fldCharType="end"/>
        </w:r>
      </w:hyperlink>
    </w:p>
    <w:p w14:paraId="56AD3D90" w14:textId="4E874AE6" w:rsidR="00D51FDF" w:rsidRDefault="00442A67">
      <w:pPr>
        <w:pStyle w:val="TOC1"/>
        <w:rPr>
          <w:rFonts w:asciiTheme="minorEastAsia" w:eastAsiaTheme="minorEastAsia" w:hAnsiTheme="minorEastAsia" w:cstheme="minorBidi"/>
          <w:b/>
          <w:noProof/>
          <w:szCs w:val="22"/>
        </w:rPr>
      </w:pPr>
      <w:hyperlink w:anchor="_Toc2677413" w:history="1">
        <w:r w:rsidR="007F75F6">
          <w:rPr>
            <w:rStyle w:val="afa"/>
            <w:rFonts w:asciiTheme="minorEastAsia" w:eastAsiaTheme="minorEastAsia" w:hAnsiTheme="minorEastAsia"/>
            <w:b/>
            <w:noProof/>
          </w:rPr>
          <w:t>第十二部分  基金的收益分配</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_Toc2677413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66</w:t>
        </w:r>
        <w:r w:rsidR="007F75F6">
          <w:rPr>
            <w:rFonts w:asciiTheme="minorEastAsia" w:eastAsiaTheme="minorEastAsia" w:hAnsiTheme="minorEastAsia"/>
            <w:b/>
            <w:noProof/>
          </w:rPr>
          <w:fldChar w:fldCharType="end"/>
        </w:r>
      </w:hyperlink>
    </w:p>
    <w:p w14:paraId="4F1F992D" w14:textId="37512A08" w:rsidR="00D51FDF" w:rsidRDefault="00442A67">
      <w:pPr>
        <w:pStyle w:val="TOC1"/>
        <w:rPr>
          <w:rFonts w:asciiTheme="minorEastAsia" w:eastAsiaTheme="minorEastAsia" w:hAnsiTheme="minorEastAsia" w:cstheme="minorBidi"/>
          <w:b/>
          <w:noProof/>
          <w:szCs w:val="22"/>
        </w:rPr>
      </w:pPr>
      <w:hyperlink w:anchor="_Toc2677414" w:history="1">
        <w:r w:rsidR="007F75F6">
          <w:rPr>
            <w:rStyle w:val="afa"/>
            <w:rFonts w:asciiTheme="minorEastAsia" w:eastAsiaTheme="minorEastAsia" w:hAnsiTheme="minorEastAsia"/>
            <w:b/>
            <w:noProof/>
          </w:rPr>
          <w:t>第十三部分  基金费用与税收</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_Toc2677414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68</w:t>
        </w:r>
        <w:r w:rsidR="007F75F6">
          <w:rPr>
            <w:rFonts w:asciiTheme="minorEastAsia" w:eastAsiaTheme="minorEastAsia" w:hAnsiTheme="minorEastAsia"/>
            <w:b/>
            <w:noProof/>
          </w:rPr>
          <w:fldChar w:fldCharType="end"/>
        </w:r>
      </w:hyperlink>
    </w:p>
    <w:p w14:paraId="0A44215A" w14:textId="3FC639EA" w:rsidR="00D51FDF" w:rsidRDefault="00442A67">
      <w:pPr>
        <w:pStyle w:val="TOC1"/>
        <w:rPr>
          <w:rFonts w:asciiTheme="minorEastAsia" w:eastAsiaTheme="minorEastAsia" w:hAnsiTheme="minorEastAsia" w:cstheme="minorBidi"/>
          <w:b/>
          <w:noProof/>
          <w:szCs w:val="22"/>
        </w:rPr>
      </w:pPr>
      <w:hyperlink w:anchor="_Toc2677415" w:history="1">
        <w:r w:rsidR="007F75F6">
          <w:rPr>
            <w:rStyle w:val="afa"/>
            <w:rFonts w:asciiTheme="minorEastAsia" w:eastAsiaTheme="minorEastAsia" w:hAnsiTheme="minorEastAsia"/>
            <w:b/>
            <w:noProof/>
          </w:rPr>
          <w:t>第十四部分  基金的会计与审计</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_Toc2677415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71</w:t>
        </w:r>
        <w:r w:rsidR="007F75F6">
          <w:rPr>
            <w:rFonts w:asciiTheme="minorEastAsia" w:eastAsiaTheme="minorEastAsia" w:hAnsiTheme="minorEastAsia"/>
            <w:b/>
            <w:noProof/>
          </w:rPr>
          <w:fldChar w:fldCharType="end"/>
        </w:r>
      </w:hyperlink>
    </w:p>
    <w:p w14:paraId="72C0308A" w14:textId="32A8AB03" w:rsidR="00D51FDF" w:rsidRDefault="00442A67">
      <w:pPr>
        <w:pStyle w:val="TOC1"/>
        <w:rPr>
          <w:rFonts w:asciiTheme="minorEastAsia" w:eastAsiaTheme="minorEastAsia" w:hAnsiTheme="minorEastAsia" w:cstheme="minorBidi"/>
          <w:b/>
          <w:noProof/>
          <w:szCs w:val="22"/>
        </w:rPr>
      </w:pPr>
      <w:hyperlink w:anchor="_Toc2677416" w:history="1">
        <w:r w:rsidR="007F75F6">
          <w:rPr>
            <w:rStyle w:val="afa"/>
            <w:rFonts w:asciiTheme="minorEastAsia" w:eastAsiaTheme="minorEastAsia" w:hAnsiTheme="minorEastAsia"/>
            <w:b/>
            <w:noProof/>
          </w:rPr>
          <w:t>第十五部分  基金的信息披露</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_Toc2677416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72</w:t>
        </w:r>
        <w:r w:rsidR="007F75F6">
          <w:rPr>
            <w:rFonts w:asciiTheme="minorEastAsia" w:eastAsiaTheme="minorEastAsia" w:hAnsiTheme="minorEastAsia"/>
            <w:b/>
            <w:noProof/>
          </w:rPr>
          <w:fldChar w:fldCharType="end"/>
        </w:r>
      </w:hyperlink>
    </w:p>
    <w:p w14:paraId="52131CD6" w14:textId="0BB5663D" w:rsidR="00D51FDF" w:rsidRDefault="00442A67">
      <w:pPr>
        <w:pStyle w:val="TOC1"/>
        <w:rPr>
          <w:rFonts w:asciiTheme="minorEastAsia" w:eastAsiaTheme="minorEastAsia" w:hAnsiTheme="minorEastAsia" w:cstheme="minorBidi"/>
          <w:b/>
          <w:noProof/>
          <w:szCs w:val="22"/>
        </w:rPr>
      </w:pPr>
      <w:hyperlink w:anchor="_Toc2677417" w:history="1">
        <w:r w:rsidR="007F75F6">
          <w:rPr>
            <w:rStyle w:val="afa"/>
            <w:rFonts w:asciiTheme="minorEastAsia" w:eastAsiaTheme="minorEastAsia" w:hAnsiTheme="minorEastAsia"/>
            <w:b/>
            <w:noProof/>
          </w:rPr>
          <w:t>第十六部分  风险揭示</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_Toc2677417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79</w:t>
        </w:r>
        <w:r w:rsidR="007F75F6">
          <w:rPr>
            <w:rFonts w:asciiTheme="minorEastAsia" w:eastAsiaTheme="minorEastAsia" w:hAnsiTheme="minorEastAsia"/>
            <w:b/>
            <w:noProof/>
          </w:rPr>
          <w:fldChar w:fldCharType="end"/>
        </w:r>
      </w:hyperlink>
    </w:p>
    <w:p w14:paraId="42461D93" w14:textId="491FE4F6" w:rsidR="00D51FDF" w:rsidRDefault="00442A67">
      <w:pPr>
        <w:pStyle w:val="TOC1"/>
        <w:rPr>
          <w:rFonts w:asciiTheme="minorEastAsia" w:eastAsiaTheme="minorEastAsia" w:hAnsiTheme="minorEastAsia" w:cstheme="minorBidi"/>
          <w:b/>
          <w:noProof/>
          <w:szCs w:val="22"/>
        </w:rPr>
      </w:pPr>
      <w:hyperlink w:anchor="_Toc2677418" w:history="1">
        <w:r w:rsidR="007F75F6">
          <w:rPr>
            <w:rStyle w:val="afa"/>
            <w:rFonts w:asciiTheme="minorEastAsia" w:eastAsiaTheme="minorEastAsia" w:hAnsiTheme="minorEastAsia"/>
            <w:b/>
            <w:noProof/>
          </w:rPr>
          <w:t>第十七部分  基金合同的变更、终止与基金财产的清算</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_Toc2677418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84</w:t>
        </w:r>
        <w:r w:rsidR="007F75F6">
          <w:rPr>
            <w:rFonts w:asciiTheme="minorEastAsia" w:eastAsiaTheme="minorEastAsia" w:hAnsiTheme="minorEastAsia"/>
            <w:b/>
            <w:noProof/>
          </w:rPr>
          <w:fldChar w:fldCharType="end"/>
        </w:r>
      </w:hyperlink>
    </w:p>
    <w:p w14:paraId="16E97675" w14:textId="679F910C" w:rsidR="00D51FDF" w:rsidRDefault="00442A67">
      <w:pPr>
        <w:pStyle w:val="TOC1"/>
        <w:rPr>
          <w:rFonts w:asciiTheme="minorEastAsia" w:eastAsiaTheme="minorEastAsia" w:hAnsiTheme="minorEastAsia" w:cstheme="minorBidi"/>
          <w:b/>
          <w:noProof/>
          <w:szCs w:val="22"/>
        </w:rPr>
      </w:pPr>
      <w:hyperlink w:anchor="_Toc2677419" w:history="1">
        <w:r w:rsidR="007F75F6">
          <w:rPr>
            <w:rStyle w:val="afa"/>
            <w:rFonts w:asciiTheme="minorEastAsia" w:eastAsiaTheme="minorEastAsia" w:hAnsiTheme="minorEastAsia"/>
            <w:b/>
            <w:noProof/>
          </w:rPr>
          <w:t>第十八部分  基金合同的内容摘要</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_Toc2677419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86</w:t>
        </w:r>
        <w:r w:rsidR="007F75F6">
          <w:rPr>
            <w:rFonts w:asciiTheme="minorEastAsia" w:eastAsiaTheme="minorEastAsia" w:hAnsiTheme="minorEastAsia"/>
            <w:b/>
            <w:noProof/>
          </w:rPr>
          <w:fldChar w:fldCharType="end"/>
        </w:r>
      </w:hyperlink>
    </w:p>
    <w:p w14:paraId="1572291E" w14:textId="6F8C77D6" w:rsidR="00D51FDF" w:rsidRDefault="00442A67">
      <w:pPr>
        <w:pStyle w:val="TOC1"/>
        <w:rPr>
          <w:rFonts w:asciiTheme="minorEastAsia" w:eastAsiaTheme="minorEastAsia" w:hAnsiTheme="minorEastAsia" w:cstheme="minorBidi"/>
          <w:b/>
          <w:noProof/>
          <w:szCs w:val="22"/>
        </w:rPr>
      </w:pPr>
      <w:hyperlink w:anchor="_Toc2677420" w:history="1">
        <w:r w:rsidR="007F75F6">
          <w:rPr>
            <w:rStyle w:val="afa"/>
            <w:rFonts w:asciiTheme="minorEastAsia" w:eastAsiaTheme="minorEastAsia" w:hAnsiTheme="minorEastAsia"/>
            <w:b/>
            <w:noProof/>
          </w:rPr>
          <w:t>第十九部分  基金托管协议的内容摘要</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_Toc2677420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101</w:t>
        </w:r>
        <w:r w:rsidR="007F75F6">
          <w:rPr>
            <w:rFonts w:asciiTheme="minorEastAsia" w:eastAsiaTheme="minorEastAsia" w:hAnsiTheme="minorEastAsia"/>
            <w:b/>
            <w:noProof/>
          </w:rPr>
          <w:fldChar w:fldCharType="end"/>
        </w:r>
      </w:hyperlink>
    </w:p>
    <w:p w14:paraId="57A029BB" w14:textId="7ADE3DF5" w:rsidR="00D51FDF" w:rsidRDefault="00442A67">
      <w:pPr>
        <w:pStyle w:val="TOC1"/>
        <w:rPr>
          <w:rFonts w:asciiTheme="minorEastAsia" w:eastAsiaTheme="minorEastAsia" w:hAnsiTheme="minorEastAsia" w:cstheme="minorBidi"/>
          <w:b/>
          <w:noProof/>
          <w:szCs w:val="22"/>
        </w:rPr>
      </w:pPr>
      <w:hyperlink w:anchor="_Toc2677421" w:history="1">
        <w:r w:rsidR="007F75F6">
          <w:rPr>
            <w:rStyle w:val="afa"/>
            <w:rFonts w:asciiTheme="minorEastAsia" w:eastAsiaTheme="minorEastAsia" w:hAnsiTheme="minorEastAsia"/>
            <w:b/>
            <w:noProof/>
          </w:rPr>
          <w:t>第二十部分  对基金份额持有人的服务</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_Toc2677421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121</w:t>
        </w:r>
        <w:r w:rsidR="007F75F6">
          <w:rPr>
            <w:rFonts w:asciiTheme="minorEastAsia" w:eastAsiaTheme="minorEastAsia" w:hAnsiTheme="minorEastAsia"/>
            <w:b/>
            <w:noProof/>
          </w:rPr>
          <w:fldChar w:fldCharType="end"/>
        </w:r>
      </w:hyperlink>
    </w:p>
    <w:p w14:paraId="366DCFDD" w14:textId="3AFBCB87" w:rsidR="00D51FDF" w:rsidRDefault="00442A67">
      <w:pPr>
        <w:pStyle w:val="TOC1"/>
        <w:rPr>
          <w:rFonts w:asciiTheme="minorEastAsia" w:eastAsiaTheme="minorEastAsia" w:hAnsiTheme="minorEastAsia" w:cstheme="minorBidi"/>
          <w:b/>
          <w:noProof/>
          <w:szCs w:val="22"/>
        </w:rPr>
      </w:pPr>
      <w:hyperlink w:anchor="_Toc2677422" w:history="1">
        <w:r w:rsidR="007F75F6">
          <w:rPr>
            <w:rStyle w:val="afa"/>
            <w:rFonts w:asciiTheme="minorEastAsia" w:eastAsiaTheme="minorEastAsia" w:hAnsiTheme="minorEastAsia"/>
            <w:b/>
            <w:noProof/>
          </w:rPr>
          <w:t>第二十一部分  其他应披露事项</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_Toc2677422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123</w:t>
        </w:r>
        <w:r w:rsidR="007F75F6">
          <w:rPr>
            <w:rFonts w:asciiTheme="minorEastAsia" w:eastAsiaTheme="minorEastAsia" w:hAnsiTheme="minorEastAsia"/>
            <w:b/>
            <w:noProof/>
          </w:rPr>
          <w:fldChar w:fldCharType="end"/>
        </w:r>
      </w:hyperlink>
    </w:p>
    <w:p w14:paraId="2DCC1E76" w14:textId="68BBC6B1" w:rsidR="00D51FDF" w:rsidRDefault="00442A67">
      <w:pPr>
        <w:pStyle w:val="TOC1"/>
        <w:rPr>
          <w:rFonts w:asciiTheme="minorEastAsia" w:eastAsiaTheme="minorEastAsia" w:hAnsiTheme="minorEastAsia" w:cstheme="minorBidi"/>
          <w:b/>
          <w:noProof/>
          <w:szCs w:val="22"/>
        </w:rPr>
      </w:pPr>
      <w:hyperlink w:anchor="_Toc2677423" w:history="1">
        <w:r w:rsidR="007F75F6">
          <w:rPr>
            <w:rStyle w:val="afa"/>
            <w:rFonts w:asciiTheme="minorEastAsia" w:eastAsiaTheme="minorEastAsia" w:hAnsiTheme="minorEastAsia"/>
            <w:b/>
            <w:noProof/>
          </w:rPr>
          <w:t>第二十二部分  招募说明书存放及查阅方式</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_Toc2677423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125</w:t>
        </w:r>
        <w:r w:rsidR="007F75F6">
          <w:rPr>
            <w:rFonts w:asciiTheme="minorEastAsia" w:eastAsiaTheme="minorEastAsia" w:hAnsiTheme="minorEastAsia"/>
            <w:b/>
            <w:noProof/>
          </w:rPr>
          <w:fldChar w:fldCharType="end"/>
        </w:r>
      </w:hyperlink>
    </w:p>
    <w:p w14:paraId="0AB97228" w14:textId="06C26D8A" w:rsidR="00D51FDF" w:rsidRDefault="00442A67">
      <w:pPr>
        <w:pStyle w:val="TOC1"/>
        <w:rPr>
          <w:rFonts w:asciiTheme="minorEastAsia" w:eastAsiaTheme="minorEastAsia" w:hAnsiTheme="minorEastAsia" w:cstheme="minorBidi"/>
          <w:b/>
          <w:noProof/>
          <w:szCs w:val="22"/>
        </w:rPr>
      </w:pPr>
      <w:hyperlink w:anchor="_Toc2677424" w:history="1">
        <w:r w:rsidR="007F75F6">
          <w:rPr>
            <w:rStyle w:val="afa"/>
            <w:rFonts w:asciiTheme="minorEastAsia" w:eastAsiaTheme="minorEastAsia" w:hAnsiTheme="minorEastAsia"/>
            <w:b/>
            <w:noProof/>
          </w:rPr>
          <w:t>第二十三部分  备查文件</w:t>
        </w:r>
        <w:r w:rsidR="007F75F6">
          <w:rPr>
            <w:rFonts w:asciiTheme="minorEastAsia" w:eastAsiaTheme="minorEastAsia" w:hAnsiTheme="minorEastAsia"/>
            <w:b/>
            <w:noProof/>
          </w:rPr>
          <w:tab/>
        </w:r>
        <w:r w:rsidR="007F75F6">
          <w:rPr>
            <w:rFonts w:asciiTheme="minorEastAsia" w:eastAsiaTheme="minorEastAsia" w:hAnsiTheme="minorEastAsia"/>
            <w:b/>
            <w:noProof/>
          </w:rPr>
          <w:fldChar w:fldCharType="begin"/>
        </w:r>
        <w:r w:rsidR="007F75F6">
          <w:rPr>
            <w:rFonts w:asciiTheme="minorEastAsia" w:eastAsiaTheme="minorEastAsia" w:hAnsiTheme="minorEastAsia"/>
            <w:b/>
            <w:noProof/>
          </w:rPr>
          <w:instrText xml:space="preserve"> PAGEREF _Toc2677424 \h </w:instrText>
        </w:r>
        <w:r w:rsidR="007F75F6">
          <w:rPr>
            <w:rFonts w:asciiTheme="minorEastAsia" w:eastAsiaTheme="minorEastAsia" w:hAnsiTheme="minorEastAsia"/>
            <w:b/>
            <w:noProof/>
          </w:rPr>
        </w:r>
        <w:r w:rsidR="007F75F6">
          <w:rPr>
            <w:rFonts w:asciiTheme="minorEastAsia" w:eastAsiaTheme="minorEastAsia" w:hAnsiTheme="minorEastAsia"/>
            <w:b/>
            <w:noProof/>
          </w:rPr>
          <w:fldChar w:fldCharType="separate"/>
        </w:r>
        <w:r>
          <w:rPr>
            <w:rFonts w:asciiTheme="minorEastAsia" w:eastAsiaTheme="minorEastAsia" w:hAnsiTheme="minorEastAsia"/>
            <w:b/>
            <w:noProof/>
          </w:rPr>
          <w:t>126</w:t>
        </w:r>
        <w:r w:rsidR="007F75F6">
          <w:rPr>
            <w:rFonts w:asciiTheme="minorEastAsia" w:eastAsiaTheme="minorEastAsia" w:hAnsiTheme="minorEastAsia"/>
            <w:b/>
            <w:noProof/>
          </w:rPr>
          <w:fldChar w:fldCharType="end"/>
        </w:r>
      </w:hyperlink>
    </w:p>
    <w:p w14:paraId="075D217B" w14:textId="77777777" w:rsidR="00D51FDF" w:rsidRDefault="007F75F6">
      <w:pPr>
        <w:rPr>
          <w:rFonts w:asciiTheme="minorEastAsia" w:hAnsiTheme="minorEastAsia"/>
          <w:b/>
        </w:rPr>
        <w:sectPr w:rsidR="00D51FDF">
          <w:pgSz w:w="11906" w:h="16838"/>
          <w:pgMar w:top="1440" w:right="1800" w:bottom="1440" w:left="1800" w:header="851" w:footer="992" w:gutter="0"/>
          <w:pgNumType w:chapStyle="1"/>
          <w:cols w:space="720"/>
          <w:docGrid w:type="lines" w:linePitch="312"/>
        </w:sectPr>
      </w:pPr>
      <w:r>
        <w:rPr>
          <w:rFonts w:asciiTheme="minorEastAsia" w:hAnsiTheme="minorEastAsia"/>
          <w:b/>
        </w:rPr>
        <w:fldChar w:fldCharType="end"/>
      </w:r>
      <w:bookmarkStart w:id="36" w:name="_Toc416264537"/>
      <w:bookmarkStart w:id="37" w:name="_Toc263092309"/>
      <w:bookmarkStart w:id="38" w:name="_Toc31551"/>
      <w:bookmarkStart w:id="39" w:name="_Toc21301"/>
      <w:bookmarkStart w:id="40" w:name="_Toc352229747"/>
      <w:bookmarkStart w:id="41" w:name="_Toc22864"/>
      <w:bookmarkStart w:id="42" w:name="_Toc24860"/>
      <w:bookmarkStart w:id="43" w:name="_Toc13020"/>
      <w:bookmarkStart w:id="44" w:name="_Toc2465"/>
      <w:bookmarkStart w:id="45" w:name="_Toc819"/>
      <w:bookmarkStart w:id="46" w:name="_Toc15067"/>
      <w:bookmarkStart w:id="47" w:name="_Toc3224"/>
      <w:bookmarkStart w:id="48" w:name="_Toc19592"/>
      <w:bookmarkStart w:id="49" w:name="_Toc258829399"/>
      <w:bookmarkStart w:id="50" w:name="_Toc66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ADA20F6" w14:textId="77777777" w:rsidR="00D51FDF" w:rsidRDefault="007F75F6">
      <w:pPr>
        <w:pStyle w:val="1"/>
        <w:jc w:val="center"/>
        <w:rPr>
          <w:rFonts w:asciiTheme="minorEastAsia" w:eastAsiaTheme="minorEastAsia" w:hAnsiTheme="minorEastAsia"/>
          <w:sz w:val="30"/>
          <w:szCs w:val="30"/>
        </w:rPr>
      </w:pPr>
      <w:bookmarkStart w:id="51" w:name="_Toc2677402"/>
      <w:r>
        <w:rPr>
          <w:rFonts w:asciiTheme="minorEastAsia" w:eastAsiaTheme="minorEastAsia" w:hAnsiTheme="minorEastAsia" w:hint="eastAsia"/>
          <w:sz w:val="30"/>
          <w:szCs w:val="30"/>
        </w:rPr>
        <w:lastRenderedPageBreak/>
        <w:t>第一部分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绪言</w:t>
      </w:r>
      <w:bookmarkEnd w:id="36"/>
      <w:bookmarkEnd w:id="37"/>
      <w:bookmarkEnd w:id="51"/>
    </w:p>
    <w:p w14:paraId="3D2F3677" w14:textId="77777777" w:rsidR="00D51FDF" w:rsidRDefault="007F75F6">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价值精选灵活配置混合型发起式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w:t>
      </w:r>
      <w:r>
        <w:rPr>
          <w:rFonts w:asciiTheme="minorEastAsia" w:hAnsiTheme="minorEastAsia" w:cs="Arial" w:hint="eastAsia"/>
          <w:sz w:val="24"/>
          <w:szCs w:val="21"/>
        </w:rPr>
        <w:t>、《公开募集开放式证券投资基金流动性风险管理规定》（以下简称“《管理规定》”）</w:t>
      </w:r>
      <w:r>
        <w:rPr>
          <w:rFonts w:asciiTheme="minorEastAsia" w:hAnsiTheme="minorEastAsia" w:cs="Arial" w:hint="eastAsia"/>
          <w:sz w:val="24"/>
          <w:szCs w:val="24"/>
        </w:rPr>
        <w:t>以及《富荣价值精选灵活配置混合型发起式证券投资基金基金合同》（以下简称“基金合同”）编写。</w:t>
      </w:r>
    </w:p>
    <w:p w14:paraId="57493671" w14:textId="77777777" w:rsidR="00D51FDF" w:rsidRDefault="007F75F6">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2EBA6445" w14:textId="77777777" w:rsidR="00D51FDF" w:rsidRDefault="007F75F6">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价值精选灵活配置混合型发起式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FA56F07" w14:textId="77777777" w:rsidR="00D51FDF" w:rsidRDefault="007F75F6">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8A12FB7" w14:textId="77777777" w:rsidR="00D51FDF" w:rsidRDefault="00D51FDF">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D51FDF">
          <w:footerReference w:type="default" r:id="rId15"/>
          <w:footerReference w:type="first" r:id="rId16"/>
          <w:pgSz w:w="11906" w:h="16838"/>
          <w:pgMar w:top="1440" w:right="1800" w:bottom="1440" w:left="1800" w:header="851" w:footer="992" w:gutter="0"/>
          <w:pgNumType w:chapStyle="1"/>
          <w:cols w:space="720"/>
          <w:titlePg/>
          <w:docGrid w:type="lines" w:linePitch="312"/>
        </w:sectPr>
      </w:pPr>
      <w:bookmarkStart w:id="52" w:name="_Toc20627"/>
      <w:bookmarkStart w:id="53" w:name="_Toc352229748"/>
      <w:bookmarkStart w:id="54" w:name="_Toc24571"/>
      <w:bookmarkStart w:id="55" w:name="_Toc13288"/>
      <w:bookmarkStart w:id="56" w:name="_Toc22708"/>
      <w:bookmarkStart w:id="57" w:name="_Toc18631"/>
      <w:bookmarkStart w:id="58" w:name="_Toc733"/>
      <w:bookmarkStart w:id="59" w:name="_Toc545"/>
      <w:bookmarkStart w:id="60" w:name="_Toc20318"/>
      <w:bookmarkStart w:id="61" w:name="_Toc5246"/>
      <w:bookmarkStart w:id="62" w:name="_Toc6149"/>
      <w:bookmarkStart w:id="63" w:name="_Toc6683"/>
      <w:bookmarkStart w:id="64" w:name="_Toc233456272"/>
      <w:bookmarkStart w:id="65" w:name="_Toc258829400"/>
      <w:bookmarkEnd w:id="35"/>
      <w:bookmarkEnd w:id="38"/>
      <w:bookmarkEnd w:id="39"/>
      <w:bookmarkEnd w:id="40"/>
      <w:bookmarkEnd w:id="41"/>
      <w:bookmarkEnd w:id="42"/>
      <w:bookmarkEnd w:id="43"/>
      <w:bookmarkEnd w:id="44"/>
      <w:bookmarkEnd w:id="45"/>
      <w:bookmarkEnd w:id="46"/>
      <w:bookmarkEnd w:id="47"/>
      <w:bookmarkEnd w:id="48"/>
      <w:bookmarkEnd w:id="49"/>
      <w:bookmarkEnd w:id="50"/>
    </w:p>
    <w:p w14:paraId="6AB066F4" w14:textId="77777777" w:rsidR="00D51FDF" w:rsidRDefault="007F75F6">
      <w:pPr>
        <w:pStyle w:val="1"/>
        <w:jc w:val="center"/>
        <w:rPr>
          <w:rFonts w:asciiTheme="minorEastAsia" w:eastAsiaTheme="minorEastAsia" w:hAnsiTheme="minorEastAsia"/>
          <w:sz w:val="30"/>
          <w:szCs w:val="30"/>
        </w:rPr>
      </w:pPr>
      <w:bookmarkStart w:id="66" w:name="_Toc2677403"/>
      <w:r>
        <w:rPr>
          <w:rFonts w:asciiTheme="minorEastAsia" w:eastAsiaTheme="minorEastAsia" w:hAnsiTheme="minorEastAsia" w:hint="eastAsia"/>
          <w:sz w:val="30"/>
          <w:szCs w:val="30"/>
        </w:rPr>
        <w:lastRenderedPageBreak/>
        <w:t>第二部分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释义</w:t>
      </w:r>
      <w:bookmarkEnd w:id="66"/>
    </w:p>
    <w:p w14:paraId="0C6A98ED"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7079805B" w14:textId="77777777" w:rsidR="00D51FDF" w:rsidRDefault="007F75F6">
      <w:pPr>
        <w:spacing w:line="360" w:lineRule="auto"/>
        <w:ind w:firstLineChars="200" w:firstLine="480"/>
        <w:rPr>
          <w:rFonts w:asciiTheme="minorEastAsia" w:hAnsiTheme="minorEastAsia"/>
          <w:bCs/>
          <w:sz w:val="24"/>
          <w:szCs w:val="24"/>
        </w:rPr>
      </w:pPr>
      <w:bookmarkStart w:id="67" w:name="_Toc416264539"/>
      <w:bookmarkStart w:id="68" w:name="_Toc263092311"/>
      <w:bookmarkStart w:id="69" w:name="_Toc352229749"/>
      <w:bookmarkStart w:id="70" w:name="_Toc24682"/>
      <w:bookmarkStart w:id="71" w:name="_Toc410197817"/>
      <w:bookmarkStart w:id="72" w:name="_Toc29784"/>
      <w:bookmarkStart w:id="73" w:name="_Toc90742390"/>
      <w:bookmarkStart w:id="74" w:name="_Toc27226"/>
      <w:bookmarkStart w:id="75" w:name="_Toc6714"/>
      <w:bookmarkStart w:id="76" w:name="_Toc7151"/>
      <w:bookmarkStart w:id="77" w:name="_Toc3266"/>
      <w:bookmarkStart w:id="78" w:name="_Toc29948"/>
      <w:bookmarkStart w:id="79" w:name="_Toc15203"/>
      <w:bookmarkStart w:id="80" w:name="_Toc27189"/>
      <w:bookmarkStart w:id="81" w:name="_Toc90742321"/>
      <w:bookmarkStart w:id="82" w:name="_Toc22074"/>
      <w:bookmarkStart w:id="83" w:name="_Toc16265"/>
      <w:bookmarkStart w:id="84" w:name="_Toc90742688"/>
      <w:bookmarkEnd w:id="52"/>
      <w:bookmarkEnd w:id="53"/>
      <w:bookmarkEnd w:id="54"/>
      <w:bookmarkEnd w:id="55"/>
      <w:bookmarkEnd w:id="56"/>
      <w:bookmarkEnd w:id="57"/>
      <w:bookmarkEnd w:id="58"/>
      <w:bookmarkEnd w:id="59"/>
      <w:bookmarkEnd w:id="60"/>
      <w:bookmarkEnd w:id="61"/>
      <w:bookmarkEnd w:id="62"/>
      <w:bookmarkEnd w:id="63"/>
      <w:r>
        <w:rPr>
          <w:rFonts w:asciiTheme="minorEastAsia" w:hAnsiTheme="minorEastAsia"/>
          <w:bCs/>
          <w:sz w:val="24"/>
          <w:szCs w:val="24"/>
        </w:rPr>
        <w:t>1</w:t>
      </w:r>
      <w:r>
        <w:rPr>
          <w:rFonts w:asciiTheme="minorEastAsia" w:hAnsiTheme="minorEastAsia" w:hint="eastAsia"/>
          <w:bCs/>
          <w:sz w:val="24"/>
          <w:szCs w:val="24"/>
        </w:rPr>
        <w:t>、基金或本基金：指富荣价值精选灵活配置混合型发起式证券投资基金</w:t>
      </w:r>
    </w:p>
    <w:p w14:paraId="003E0F1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2、基金管理人：指富荣基金管理有限公司</w:t>
      </w:r>
      <w:r>
        <w:rPr>
          <w:rFonts w:asciiTheme="minorEastAsia" w:hAnsiTheme="minorEastAsia"/>
          <w:bCs/>
          <w:sz w:val="24"/>
          <w:szCs w:val="24"/>
        </w:rPr>
        <w:t xml:space="preserve"> </w:t>
      </w:r>
    </w:p>
    <w:p w14:paraId="67D655F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3、基金托管人：指中国光大银行股份有限公司</w:t>
      </w:r>
      <w:r>
        <w:rPr>
          <w:rFonts w:asciiTheme="minorEastAsia" w:hAnsiTheme="minorEastAsia"/>
          <w:bCs/>
          <w:sz w:val="24"/>
          <w:szCs w:val="24"/>
        </w:rPr>
        <w:t xml:space="preserve"> </w:t>
      </w:r>
    </w:p>
    <w:p w14:paraId="24AC2EA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4、基金合同：指《富荣价值精选灵活配置混合型发起式证券投资基金基金合同》及对基金合同的任何有效修订和补充</w:t>
      </w:r>
    </w:p>
    <w:p w14:paraId="7C85DF8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5、托管协议：指基金管理人与基金托管人就本基金签订之《富荣价值精选灵活配置混合型发起式证券投资基金托管协议》及对该托管协议的任何有效修订和补充</w:t>
      </w:r>
    </w:p>
    <w:p w14:paraId="36DD46B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6、招募说明书或本招募说明书：指《富荣价值精选灵活配置混合型发起式证券投资基金招募说明书》及其更新</w:t>
      </w:r>
    </w:p>
    <w:p w14:paraId="61EE99F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7、基金产品资料概要：指《富荣价值精选灵活配置混合型发起式证券投资基金基金产品资料概要》及其更新</w:t>
      </w:r>
    </w:p>
    <w:p w14:paraId="1994ACF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8</w:t>
      </w:r>
      <w:r>
        <w:rPr>
          <w:rFonts w:asciiTheme="minorEastAsia" w:hAnsiTheme="minorEastAsia" w:hint="eastAsia"/>
          <w:bCs/>
          <w:sz w:val="24"/>
          <w:szCs w:val="24"/>
        </w:rPr>
        <w:t>、基金份额发售公告：指《富荣价值精选灵活配置混合型发起式证券投资基金基金份额发售公告》</w:t>
      </w:r>
    </w:p>
    <w:p w14:paraId="77BD11B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9</w:t>
      </w:r>
      <w:r>
        <w:rPr>
          <w:rFonts w:asciiTheme="minorEastAsia" w:hAnsiTheme="minorEastAsia" w:hint="eastAsia"/>
          <w:bCs/>
          <w:sz w:val="24"/>
          <w:szCs w:val="24"/>
        </w:rPr>
        <w:t>、法律法规：指中国现行有效并公布实施的法律、行政法规、规范性文件、司法解释、行政规章以及其他对基金合同当事人有约束力的决定、决议、通知等</w:t>
      </w:r>
    </w:p>
    <w:p w14:paraId="2B5E89D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10</w:t>
      </w:r>
      <w:r>
        <w:rPr>
          <w:rFonts w:asciiTheme="minorEastAsia" w:hAnsiTheme="minorEastAsia" w:hint="eastAsia"/>
          <w:bCs/>
          <w:sz w:val="24"/>
          <w:szCs w:val="24"/>
        </w:rPr>
        <w:t>、《基金法》：指2003年10月28日经第十届全国人民代表大会常务委员会第五次会议通过，并经2012年12月28日第十一届全国人民代表大会常务委员会第三十次会议修订，自20</w:t>
      </w:r>
      <w:r>
        <w:rPr>
          <w:rFonts w:asciiTheme="minorEastAsia" w:hAnsiTheme="minorEastAsia"/>
          <w:bCs/>
          <w:sz w:val="24"/>
          <w:szCs w:val="24"/>
        </w:rPr>
        <w:t>13</w:t>
      </w:r>
      <w:r>
        <w:rPr>
          <w:rFonts w:asciiTheme="minorEastAsia" w:hAnsiTheme="minorEastAsia" w:hint="eastAsia"/>
          <w:bCs/>
          <w:sz w:val="24"/>
          <w:szCs w:val="24"/>
        </w:rPr>
        <w:t>年6月1日起实施，经2015年4月24日第十二届全国人民代表大会常务委员会第十四次会议《全国人民代表大会常务委员会关于修改</w:t>
      </w:r>
      <w:r>
        <w:rPr>
          <w:rFonts w:asciiTheme="minorEastAsia" w:hAnsiTheme="minorEastAsia"/>
          <w:bCs/>
          <w:sz w:val="24"/>
          <w:szCs w:val="24"/>
        </w:rPr>
        <w:t>&lt;</w:t>
      </w:r>
      <w:r>
        <w:rPr>
          <w:rFonts w:asciiTheme="minorEastAsia" w:hAnsiTheme="minorEastAsia" w:hint="eastAsia"/>
          <w:bCs/>
          <w:sz w:val="24"/>
          <w:szCs w:val="24"/>
        </w:rPr>
        <w:t>中华人民共和国港口法</w:t>
      </w:r>
      <w:r>
        <w:rPr>
          <w:rFonts w:asciiTheme="minorEastAsia" w:hAnsiTheme="minorEastAsia"/>
          <w:bCs/>
          <w:sz w:val="24"/>
          <w:szCs w:val="24"/>
        </w:rPr>
        <w:t>&gt;</w:t>
      </w:r>
      <w:r>
        <w:rPr>
          <w:rFonts w:asciiTheme="minorEastAsia" w:hAnsiTheme="minorEastAsia" w:hint="eastAsia"/>
          <w:bCs/>
          <w:sz w:val="24"/>
          <w:szCs w:val="24"/>
        </w:rPr>
        <w:t>等七部法律的决定》修改的《中华人民共和国证券投资基金法》及颁布机关对其不时做出的修订</w:t>
      </w:r>
    </w:p>
    <w:p w14:paraId="64DA61C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11</w:t>
      </w:r>
      <w:r>
        <w:rPr>
          <w:rFonts w:asciiTheme="minorEastAsia" w:hAnsiTheme="minorEastAsia" w:hint="eastAsia"/>
          <w:bCs/>
          <w:sz w:val="24"/>
          <w:szCs w:val="24"/>
        </w:rPr>
        <w:t>、《销售办法》：指中国证监会201</w:t>
      </w:r>
      <w:r>
        <w:rPr>
          <w:rFonts w:asciiTheme="minorEastAsia" w:hAnsiTheme="minorEastAsia"/>
          <w:bCs/>
          <w:sz w:val="24"/>
          <w:szCs w:val="24"/>
        </w:rPr>
        <w:t>3</w:t>
      </w:r>
      <w:r>
        <w:rPr>
          <w:rFonts w:asciiTheme="minorEastAsia" w:hAnsiTheme="minorEastAsia" w:hint="eastAsia"/>
          <w:bCs/>
          <w:sz w:val="24"/>
          <w:szCs w:val="24"/>
        </w:rPr>
        <w:t>年</w:t>
      </w:r>
      <w:r>
        <w:rPr>
          <w:rFonts w:asciiTheme="minorEastAsia" w:hAnsiTheme="minorEastAsia"/>
          <w:bCs/>
          <w:sz w:val="24"/>
          <w:szCs w:val="24"/>
        </w:rPr>
        <w:t>3</w:t>
      </w:r>
      <w:r>
        <w:rPr>
          <w:rFonts w:asciiTheme="minorEastAsia" w:hAnsiTheme="minorEastAsia" w:hint="eastAsia"/>
          <w:bCs/>
          <w:sz w:val="24"/>
          <w:szCs w:val="24"/>
        </w:rPr>
        <w:t>月</w:t>
      </w:r>
      <w:r>
        <w:rPr>
          <w:rFonts w:asciiTheme="minorEastAsia" w:hAnsiTheme="minorEastAsia"/>
          <w:bCs/>
          <w:sz w:val="24"/>
          <w:szCs w:val="24"/>
        </w:rPr>
        <w:t>15</w:t>
      </w:r>
      <w:r>
        <w:rPr>
          <w:rFonts w:asciiTheme="minorEastAsia" w:hAnsiTheme="minorEastAsia" w:hint="eastAsia"/>
          <w:bCs/>
          <w:sz w:val="24"/>
          <w:szCs w:val="24"/>
        </w:rPr>
        <w:t>日颁布、同年</w:t>
      </w:r>
      <w:r>
        <w:rPr>
          <w:rFonts w:asciiTheme="minorEastAsia" w:hAnsiTheme="minorEastAsia"/>
          <w:bCs/>
          <w:sz w:val="24"/>
          <w:szCs w:val="24"/>
        </w:rPr>
        <w:t>6</w:t>
      </w:r>
      <w:r>
        <w:rPr>
          <w:rFonts w:asciiTheme="minorEastAsia" w:hAnsiTheme="minorEastAsia" w:hint="eastAsia"/>
          <w:bCs/>
          <w:sz w:val="24"/>
          <w:szCs w:val="24"/>
        </w:rPr>
        <w:t>月1日实施的《证券投资基金销售管理办法》及颁布机关对其不时做出的修订</w:t>
      </w:r>
    </w:p>
    <w:p w14:paraId="28E51DD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12</w:t>
      </w:r>
      <w:r>
        <w:rPr>
          <w:rFonts w:asciiTheme="minorEastAsia" w:hAnsiTheme="minorEastAsia" w:hint="eastAsia"/>
          <w:bCs/>
          <w:sz w:val="24"/>
          <w:szCs w:val="24"/>
        </w:rPr>
        <w:t>、《信息披露办法》：指中国证监会2019年7月26日颁布、同年9月1日实施的《公开募集证券投资基金信息披露管理办法》及颁布机关对其不时做出的修订</w:t>
      </w:r>
    </w:p>
    <w:p w14:paraId="78B70DE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lastRenderedPageBreak/>
        <w:t>13</w:t>
      </w:r>
      <w:r>
        <w:rPr>
          <w:rFonts w:asciiTheme="minorEastAsia" w:hAnsiTheme="minorEastAsia" w:hint="eastAsia"/>
          <w:bCs/>
          <w:sz w:val="24"/>
          <w:szCs w:val="24"/>
        </w:rPr>
        <w:t>、</w:t>
      </w:r>
      <w:r>
        <w:rPr>
          <w:rFonts w:asciiTheme="minorEastAsia" w:hAnsiTheme="minorEastAsia" w:cs="Arial"/>
          <w:sz w:val="24"/>
          <w:szCs w:val="24"/>
        </w:rPr>
        <w:t>《运作办法》</w:t>
      </w:r>
      <w:r>
        <w:rPr>
          <w:rFonts w:asciiTheme="minorEastAsia" w:hAnsiTheme="minorEastAsia" w:cs="Arial" w:hint="eastAsia"/>
          <w:sz w:val="24"/>
          <w:szCs w:val="24"/>
        </w:rPr>
        <w:t>：</w:t>
      </w:r>
      <w:r>
        <w:rPr>
          <w:rFonts w:asciiTheme="minorEastAsia" w:hAnsiTheme="minorEastAsia"/>
          <w:bCs/>
          <w:sz w:val="24"/>
          <w:szCs w:val="24"/>
        </w:rPr>
        <w:t>指中国证监会2014年7月7日颁布、同年8月8日实施的《</w:t>
      </w:r>
      <w:r>
        <w:rPr>
          <w:rFonts w:asciiTheme="minorEastAsia" w:hAnsiTheme="minorEastAsia" w:hint="eastAsia"/>
          <w:bCs/>
          <w:sz w:val="24"/>
          <w:szCs w:val="24"/>
        </w:rPr>
        <w:t>公开募集证券投资基金运作管理办法</w:t>
      </w:r>
      <w:r>
        <w:rPr>
          <w:rFonts w:asciiTheme="minorEastAsia" w:hAnsiTheme="minorEastAsia"/>
          <w:bCs/>
          <w:sz w:val="24"/>
          <w:szCs w:val="24"/>
        </w:rPr>
        <w:t>》</w:t>
      </w:r>
      <w:r>
        <w:rPr>
          <w:rFonts w:asciiTheme="minorEastAsia" w:hAnsiTheme="minorEastAsia" w:hint="eastAsia"/>
          <w:bCs/>
          <w:sz w:val="24"/>
          <w:szCs w:val="24"/>
        </w:rPr>
        <w:t>及颁布机关对其不时做出的修订</w:t>
      </w:r>
    </w:p>
    <w:p w14:paraId="219C813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14</w:t>
      </w:r>
      <w:r>
        <w:rPr>
          <w:rFonts w:asciiTheme="minorEastAsia" w:hAnsiTheme="minorEastAsia" w:hint="eastAsia"/>
          <w:bCs/>
          <w:sz w:val="24"/>
          <w:szCs w:val="24"/>
        </w:rPr>
        <w:t>、《管理规定》：指中国证监会</w:t>
      </w:r>
      <w:r>
        <w:rPr>
          <w:rFonts w:asciiTheme="minorEastAsia" w:hAnsiTheme="minorEastAsia"/>
          <w:bCs/>
          <w:sz w:val="24"/>
          <w:szCs w:val="24"/>
        </w:rPr>
        <w:t>2017年8月31日颁布、同年10月1日实施的《公开募集开放式证券投资基金流动性风险管理规定》及颁布机关对其不时做出的修订</w:t>
      </w:r>
    </w:p>
    <w:p w14:paraId="0C15632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15</w:t>
      </w:r>
      <w:r>
        <w:rPr>
          <w:rFonts w:asciiTheme="minorEastAsia" w:hAnsiTheme="minorEastAsia" w:hint="eastAsia"/>
          <w:bCs/>
          <w:sz w:val="24"/>
          <w:szCs w:val="24"/>
        </w:rPr>
        <w:t>、中国证监会：指中国证券监督管理委员会</w:t>
      </w:r>
    </w:p>
    <w:p w14:paraId="2B89E95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16</w:t>
      </w:r>
      <w:r>
        <w:rPr>
          <w:rFonts w:asciiTheme="minorEastAsia" w:hAnsiTheme="minorEastAsia" w:hint="eastAsia"/>
          <w:bCs/>
          <w:sz w:val="24"/>
          <w:szCs w:val="24"/>
        </w:rPr>
        <w:t>、银行业监督管理机构：指中国人民银行和/或中国银行保险监督管理委员会</w:t>
      </w:r>
    </w:p>
    <w:p w14:paraId="64CAB44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17</w:t>
      </w:r>
      <w:r>
        <w:rPr>
          <w:rFonts w:asciiTheme="minorEastAsia" w:hAnsiTheme="minorEastAsia" w:hint="eastAsia"/>
          <w:bCs/>
          <w:sz w:val="24"/>
          <w:szCs w:val="24"/>
        </w:rPr>
        <w:t>、基金合同当事人：指受基金合同约束，根据基金合同享有权利并承担义务的法律主体，包括基金管理人、基金托管人和基金份额持有人</w:t>
      </w:r>
    </w:p>
    <w:p w14:paraId="4F74098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18</w:t>
      </w:r>
      <w:r>
        <w:rPr>
          <w:rFonts w:asciiTheme="minorEastAsia" w:hAnsiTheme="minorEastAsia" w:hint="eastAsia"/>
          <w:bCs/>
          <w:sz w:val="24"/>
          <w:szCs w:val="24"/>
        </w:rPr>
        <w:t>、个人投资者：指依据有关法律法规规定可投资于证券投资基金的自然人</w:t>
      </w:r>
    </w:p>
    <w:p w14:paraId="319E36D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19</w:t>
      </w:r>
      <w:r>
        <w:rPr>
          <w:rFonts w:asciiTheme="minorEastAsia" w:hAnsiTheme="minorEastAsia" w:hint="eastAsia"/>
          <w:bCs/>
          <w:sz w:val="24"/>
          <w:szCs w:val="24"/>
        </w:rPr>
        <w:t>、机构投资者：指依法可以投资证券投资基金的、在中华人民共和国境内合法登记并存续或经有关政府部门批准设立并存续的企业法人、事业法人、社会团体或其他组织</w:t>
      </w:r>
    </w:p>
    <w:p w14:paraId="1DA9C14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20</w:t>
      </w:r>
      <w:r>
        <w:rPr>
          <w:rFonts w:asciiTheme="minorEastAsia" w:hAnsiTheme="minorEastAsia"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14:paraId="1469647E"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21</w:t>
      </w:r>
      <w:r>
        <w:rPr>
          <w:rFonts w:asciiTheme="minorEastAsia" w:hAnsiTheme="minorEastAsia" w:hint="eastAsia"/>
          <w:sz w:val="24"/>
          <w:szCs w:val="24"/>
        </w:rPr>
        <w:t>、发起式基金：指按照《运作办法》及中国证监会规定的条件募集、运作，募集资金中发起资金不少于规定金额且发起资金认购的基金份额持有期限不少于三年的证券投资基金</w:t>
      </w:r>
      <w:r>
        <w:rPr>
          <w:rFonts w:asciiTheme="minorEastAsia" w:hAnsiTheme="minorEastAsia"/>
          <w:sz w:val="24"/>
          <w:szCs w:val="24"/>
        </w:rPr>
        <w:t xml:space="preserve"> </w:t>
      </w:r>
    </w:p>
    <w:p w14:paraId="2A40EE1F"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bCs/>
          <w:sz w:val="24"/>
          <w:szCs w:val="24"/>
        </w:rPr>
        <w:t>22</w:t>
      </w:r>
      <w:r>
        <w:rPr>
          <w:rFonts w:asciiTheme="minorEastAsia" w:hAnsiTheme="minorEastAsia" w:hint="eastAsia"/>
          <w:bCs/>
          <w:sz w:val="24"/>
          <w:szCs w:val="24"/>
        </w:rPr>
        <w:t>、</w:t>
      </w:r>
      <w:r>
        <w:rPr>
          <w:rFonts w:asciiTheme="minorEastAsia" w:hAnsiTheme="minorEastAsia"/>
          <w:sz w:val="24"/>
          <w:szCs w:val="24"/>
        </w:rPr>
        <w:t>发起资金：指用于认购发起</w:t>
      </w:r>
      <w:proofErr w:type="gramStart"/>
      <w:r>
        <w:rPr>
          <w:rFonts w:asciiTheme="minorEastAsia" w:hAnsiTheme="minorEastAsia"/>
          <w:sz w:val="24"/>
          <w:szCs w:val="24"/>
        </w:rPr>
        <w:t>式基金</w:t>
      </w:r>
      <w:proofErr w:type="gramEnd"/>
      <w:r>
        <w:rPr>
          <w:rFonts w:asciiTheme="minorEastAsia" w:hAnsiTheme="minorEastAsia"/>
          <w:sz w:val="24"/>
          <w:szCs w:val="24"/>
        </w:rPr>
        <w:t>且来源于基金管理人的股东资金、基 金管理人固有资金、基金管理人高级管理人员或基金经理（指基金管理人员工中 依法具有基金经理资格者，包括但可能不限于本基金的基金经理</w:t>
      </w:r>
      <w:r>
        <w:rPr>
          <w:rFonts w:asciiTheme="minorEastAsia" w:hAnsiTheme="minorEastAsia" w:hint="eastAsia"/>
          <w:sz w:val="24"/>
          <w:szCs w:val="24"/>
        </w:rPr>
        <w:t>、</w:t>
      </w:r>
      <w:r>
        <w:rPr>
          <w:rFonts w:asciiTheme="minorEastAsia" w:hAnsiTheme="minorEastAsia"/>
          <w:sz w:val="24"/>
          <w:szCs w:val="24"/>
        </w:rPr>
        <w:t>公司投</w:t>
      </w:r>
      <w:proofErr w:type="gramStart"/>
      <w:r>
        <w:rPr>
          <w:rFonts w:asciiTheme="minorEastAsia" w:hAnsiTheme="minorEastAsia"/>
          <w:sz w:val="24"/>
          <w:szCs w:val="24"/>
        </w:rPr>
        <w:t>研</w:t>
      </w:r>
      <w:proofErr w:type="gramEnd"/>
      <w:r>
        <w:rPr>
          <w:rFonts w:asciiTheme="minorEastAsia" w:hAnsiTheme="minorEastAsia"/>
          <w:sz w:val="24"/>
          <w:szCs w:val="24"/>
        </w:rPr>
        <w:t>人员</w:t>
      </w:r>
      <w:r>
        <w:rPr>
          <w:rFonts w:asciiTheme="minorEastAsia" w:hAnsiTheme="minorEastAsia" w:hint="eastAsia"/>
          <w:sz w:val="24"/>
          <w:szCs w:val="24"/>
        </w:rPr>
        <w:t>，下同</w:t>
      </w:r>
      <w:r>
        <w:rPr>
          <w:rFonts w:asciiTheme="minorEastAsia" w:hAnsiTheme="minorEastAsia"/>
          <w:sz w:val="24"/>
          <w:szCs w:val="24"/>
        </w:rPr>
        <w:t>）等人员的资金</w:t>
      </w:r>
    </w:p>
    <w:p w14:paraId="17FBE58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sz w:val="24"/>
          <w:szCs w:val="24"/>
        </w:rPr>
        <w:t>23</w:t>
      </w:r>
      <w:r>
        <w:rPr>
          <w:rFonts w:asciiTheme="minorEastAsia" w:hAnsiTheme="minorEastAsia" w:hint="eastAsia"/>
          <w:sz w:val="24"/>
          <w:szCs w:val="24"/>
        </w:rPr>
        <w:t>、</w:t>
      </w:r>
      <w:r>
        <w:rPr>
          <w:rFonts w:asciiTheme="minorEastAsia" w:hAnsiTheme="minorEastAsia"/>
          <w:sz w:val="24"/>
          <w:szCs w:val="24"/>
        </w:rPr>
        <w:t>发起资金提供方：指以发起资金认购本基金且承诺以发起资金认购的基 金份额持有期限不少于三年的基金管理人的股东、基金管理人、基金管理人高级 管理人员或基金经理等人员</w:t>
      </w:r>
    </w:p>
    <w:p w14:paraId="35A0D30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24</w:t>
      </w:r>
      <w:r>
        <w:rPr>
          <w:rFonts w:asciiTheme="minorEastAsia" w:hAnsiTheme="minorEastAsia" w:hint="eastAsia"/>
          <w:bCs/>
          <w:sz w:val="24"/>
          <w:szCs w:val="24"/>
        </w:rPr>
        <w:t>、投资人：指个人投资者、机构投资者、合格境外机构投资者和发起资金提供方以及法律法规或中国证监会允许购买证券投资基金的其他投资人的合称</w:t>
      </w:r>
    </w:p>
    <w:p w14:paraId="75CC270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lastRenderedPageBreak/>
        <w:t>25</w:t>
      </w:r>
      <w:r>
        <w:rPr>
          <w:rFonts w:asciiTheme="minorEastAsia" w:hAnsiTheme="minorEastAsia" w:hint="eastAsia"/>
          <w:bCs/>
          <w:sz w:val="24"/>
          <w:szCs w:val="24"/>
        </w:rPr>
        <w:t>、基金份额持有人：指依基金合同和招募说明书合法取得基金份额的投资人</w:t>
      </w:r>
    </w:p>
    <w:p w14:paraId="34022AE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26</w:t>
      </w:r>
      <w:r>
        <w:rPr>
          <w:rFonts w:asciiTheme="minorEastAsia" w:hAnsiTheme="minorEastAsia" w:hint="eastAsia"/>
          <w:bCs/>
          <w:sz w:val="24"/>
          <w:szCs w:val="24"/>
        </w:rPr>
        <w:t>、基金销售业务：指基金管理人或销售机构宣传推介基金，发售基金份额，办理基金份额的申购、赎回、转换、转托管及定期定额投资等业务</w:t>
      </w:r>
    </w:p>
    <w:p w14:paraId="5235E22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27</w:t>
      </w:r>
      <w:r>
        <w:rPr>
          <w:rFonts w:asciiTheme="minorEastAsia" w:hAnsiTheme="minorEastAsia" w:hint="eastAsia"/>
          <w:bCs/>
          <w:sz w:val="24"/>
          <w:szCs w:val="24"/>
        </w:rPr>
        <w:t>、销售机构：指富荣基金管理有限公司以及符合《销售办法》和中国证监会规定的其他条件，取得基金销售业务资格并与基金管理人签订了基金销售服务协议，办理基金销售业务的机构</w:t>
      </w:r>
    </w:p>
    <w:p w14:paraId="7832998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28</w:t>
      </w:r>
      <w:r>
        <w:rPr>
          <w:rFonts w:asciiTheme="minorEastAsia" w:hAnsiTheme="minorEastAsia" w:hint="eastAsia"/>
          <w:bCs/>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hint="eastAsia"/>
          <w:bCs/>
          <w:sz w:val="24"/>
          <w:szCs w:val="24"/>
        </w:rPr>
        <w:t>非交易</w:t>
      </w:r>
      <w:proofErr w:type="gramEnd"/>
      <w:r>
        <w:rPr>
          <w:rFonts w:asciiTheme="minorEastAsia" w:hAnsiTheme="minorEastAsia" w:hint="eastAsia"/>
          <w:bCs/>
          <w:sz w:val="24"/>
          <w:szCs w:val="24"/>
        </w:rPr>
        <w:t>过户等</w:t>
      </w:r>
    </w:p>
    <w:p w14:paraId="4838F7A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29</w:t>
      </w:r>
      <w:r>
        <w:rPr>
          <w:rFonts w:asciiTheme="minorEastAsia" w:hAnsiTheme="minorEastAsia" w:hint="eastAsia"/>
          <w:bCs/>
          <w:sz w:val="24"/>
          <w:szCs w:val="24"/>
        </w:rPr>
        <w:t>、登记机构：</w:t>
      </w:r>
      <w:proofErr w:type="gramStart"/>
      <w:r>
        <w:rPr>
          <w:rFonts w:asciiTheme="minorEastAsia" w:hAnsiTheme="minorEastAsia" w:hint="eastAsia"/>
          <w:bCs/>
          <w:sz w:val="24"/>
          <w:szCs w:val="24"/>
        </w:rPr>
        <w:t>指办理</w:t>
      </w:r>
      <w:proofErr w:type="gramEnd"/>
      <w:r>
        <w:rPr>
          <w:rFonts w:asciiTheme="minorEastAsia" w:hAnsiTheme="minorEastAsia" w:hint="eastAsia"/>
          <w:bCs/>
          <w:sz w:val="24"/>
          <w:szCs w:val="24"/>
        </w:rPr>
        <w:t>登记业务的机构。本基金的登记机构为富荣基金管理有限公司或接受富荣基金管理有限公司委托代为办理登记业务的机构</w:t>
      </w:r>
    </w:p>
    <w:p w14:paraId="4C81CE9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30</w:t>
      </w:r>
      <w:r>
        <w:rPr>
          <w:rFonts w:asciiTheme="minorEastAsia" w:hAnsiTheme="minorEastAsia" w:hint="eastAsia"/>
          <w:bCs/>
          <w:sz w:val="24"/>
          <w:szCs w:val="24"/>
        </w:rPr>
        <w:t>、基金账户：指登记机构为投资人开立的、记录其持有的、基金管理人所管理的基金份额余额及其变动情况的账户</w:t>
      </w:r>
    </w:p>
    <w:p w14:paraId="2AE003B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31</w:t>
      </w:r>
      <w:r>
        <w:rPr>
          <w:rFonts w:asciiTheme="minorEastAsia" w:hAnsiTheme="minorEastAsia" w:hint="eastAsia"/>
          <w:bCs/>
          <w:sz w:val="24"/>
          <w:szCs w:val="24"/>
        </w:rPr>
        <w:t>、基金交易账户：指销售机构为投资人开立的、记录投资人通过该销售机构办理认购、申购、赎回、转换、转托管及定期定额投资等业务而引起的基金份额变动及结余情况的账户</w:t>
      </w:r>
    </w:p>
    <w:p w14:paraId="6EFAB960"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sz w:val="24"/>
        </w:rPr>
        <w:t>32</w:t>
      </w:r>
      <w:r>
        <w:rPr>
          <w:rFonts w:asciiTheme="minorEastAsia" w:hAnsiTheme="minorEastAsia" w:hint="eastAsia"/>
          <w:sz w:val="24"/>
        </w:rPr>
        <w:t>、基金</w:t>
      </w:r>
      <w:r>
        <w:rPr>
          <w:rFonts w:asciiTheme="minorEastAsia" w:hAnsiTheme="minorEastAsia" w:hint="eastAsia"/>
          <w:bCs/>
          <w:sz w:val="24"/>
        </w:rPr>
        <w:t>合同生效日</w:t>
      </w:r>
      <w:r>
        <w:rPr>
          <w:rFonts w:asciiTheme="minorEastAsia" w:hAnsiTheme="minorEastAsia" w:hint="eastAsia"/>
          <w:sz w:val="24"/>
        </w:rPr>
        <w:t>：指基金</w:t>
      </w:r>
      <w:r>
        <w:rPr>
          <w:rFonts w:asciiTheme="minorEastAsia" w:hAnsiTheme="minorEastAsia" w:hint="eastAsia"/>
          <w:bCs/>
          <w:sz w:val="24"/>
        </w:rPr>
        <w:t>募集达到法律法规规定及</w:t>
      </w:r>
      <w:r>
        <w:rPr>
          <w:rFonts w:asciiTheme="minorEastAsia" w:hAnsiTheme="minorEastAsia" w:hint="eastAsia"/>
          <w:sz w:val="24"/>
        </w:rPr>
        <w:t>基金</w:t>
      </w:r>
      <w:r>
        <w:rPr>
          <w:rFonts w:asciiTheme="minorEastAsia" w:hAnsiTheme="minorEastAsia" w:hint="eastAsia"/>
          <w:bCs/>
          <w:sz w:val="24"/>
        </w:rPr>
        <w:t>合同规定的条件，</w:t>
      </w:r>
      <w:r>
        <w:rPr>
          <w:rFonts w:asciiTheme="minorEastAsia" w:hAnsiTheme="minorEastAsia" w:hint="eastAsia"/>
          <w:sz w:val="24"/>
        </w:rPr>
        <w:t>基金</w:t>
      </w:r>
      <w:r>
        <w:rPr>
          <w:rFonts w:asciiTheme="minorEastAsia" w:hAnsiTheme="minorEastAsia" w:hint="eastAsia"/>
          <w:bCs/>
          <w:sz w:val="24"/>
        </w:rPr>
        <w:t>管理人向中国证监会办理</w:t>
      </w:r>
      <w:r>
        <w:rPr>
          <w:rFonts w:asciiTheme="minorEastAsia" w:hAnsiTheme="minorEastAsia" w:hint="eastAsia"/>
          <w:sz w:val="24"/>
        </w:rPr>
        <w:t>基金</w:t>
      </w:r>
      <w:r>
        <w:rPr>
          <w:rFonts w:asciiTheme="minorEastAsia" w:hAnsiTheme="minorEastAsia" w:hint="eastAsia"/>
          <w:bCs/>
          <w:sz w:val="24"/>
        </w:rPr>
        <w:t>备案手续完毕，并获得中国证监会书面确认</w:t>
      </w:r>
      <w:r>
        <w:rPr>
          <w:rFonts w:asciiTheme="minorEastAsia" w:hAnsiTheme="minorEastAsia" w:hint="eastAsia"/>
          <w:sz w:val="24"/>
        </w:rPr>
        <w:t>的</w:t>
      </w:r>
      <w:r>
        <w:rPr>
          <w:rFonts w:asciiTheme="minorEastAsia" w:hAnsiTheme="minorEastAsia" w:hint="eastAsia"/>
          <w:bCs/>
          <w:sz w:val="24"/>
        </w:rPr>
        <w:t>日期</w:t>
      </w:r>
    </w:p>
    <w:p w14:paraId="23A67F6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33</w:t>
      </w:r>
      <w:r>
        <w:rPr>
          <w:rFonts w:asciiTheme="minorEastAsia" w:hAnsiTheme="minorEastAsia" w:hint="eastAsia"/>
          <w:bCs/>
          <w:sz w:val="24"/>
          <w:szCs w:val="24"/>
        </w:rPr>
        <w:t>、基金合同终止日：指基金合同规定的基金合同终止事由出现后，基金财产清算完毕，清算结果报中国证监会备案并予以公告的日期</w:t>
      </w:r>
    </w:p>
    <w:p w14:paraId="457353A3"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bCs/>
          <w:sz w:val="24"/>
        </w:rPr>
        <w:t>34</w:t>
      </w:r>
      <w:r>
        <w:rPr>
          <w:rFonts w:asciiTheme="minorEastAsia" w:hAnsiTheme="minorEastAsia" w:hint="eastAsia"/>
          <w:bCs/>
          <w:sz w:val="24"/>
        </w:rPr>
        <w:t>、基金募集期：指自基金份额发售之日起至发售结束之日止的期间，最长不得超过</w:t>
      </w:r>
      <w:r>
        <w:rPr>
          <w:rFonts w:asciiTheme="minorEastAsia" w:hAnsiTheme="minorEastAsia"/>
          <w:bCs/>
          <w:sz w:val="24"/>
        </w:rPr>
        <w:t>3</w:t>
      </w:r>
      <w:r>
        <w:rPr>
          <w:rFonts w:asciiTheme="minorEastAsia" w:hAnsiTheme="minorEastAsia" w:hint="eastAsia"/>
          <w:bCs/>
          <w:sz w:val="24"/>
        </w:rPr>
        <w:t>个月</w:t>
      </w:r>
    </w:p>
    <w:p w14:paraId="745C624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35</w:t>
      </w:r>
      <w:r>
        <w:rPr>
          <w:rFonts w:asciiTheme="minorEastAsia" w:hAnsiTheme="minorEastAsia" w:hint="eastAsia"/>
          <w:bCs/>
          <w:sz w:val="24"/>
          <w:szCs w:val="24"/>
        </w:rPr>
        <w:t>、存续期：指基金合同生效至终止之间的不定期期限</w:t>
      </w:r>
    </w:p>
    <w:p w14:paraId="1733951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36</w:t>
      </w:r>
      <w:r>
        <w:rPr>
          <w:rFonts w:asciiTheme="minorEastAsia" w:hAnsiTheme="minorEastAsia" w:hint="eastAsia"/>
          <w:bCs/>
          <w:sz w:val="24"/>
          <w:szCs w:val="24"/>
        </w:rPr>
        <w:t>、工作日：指上海证券交易所、深圳证券交易所的正常交易日</w:t>
      </w:r>
    </w:p>
    <w:p w14:paraId="30EA5B1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37</w:t>
      </w:r>
      <w:r>
        <w:rPr>
          <w:rFonts w:asciiTheme="minorEastAsia" w:hAnsiTheme="minorEastAsia" w:hint="eastAsia"/>
          <w:bCs/>
          <w:sz w:val="24"/>
          <w:szCs w:val="24"/>
        </w:rPr>
        <w:t>、T日：指销售机构在规定时间受理投资人申购、赎回或其他业务申请的开放日</w:t>
      </w:r>
    </w:p>
    <w:p w14:paraId="29B601E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38</w:t>
      </w:r>
      <w:r>
        <w:rPr>
          <w:rFonts w:asciiTheme="minorEastAsia" w:hAnsiTheme="minorEastAsia" w:hint="eastAsia"/>
          <w:bCs/>
          <w:sz w:val="24"/>
          <w:szCs w:val="24"/>
        </w:rPr>
        <w:t>、</w:t>
      </w:r>
      <w:proofErr w:type="spellStart"/>
      <w:r>
        <w:rPr>
          <w:rFonts w:asciiTheme="minorEastAsia" w:hAnsiTheme="minorEastAsia" w:hint="eastAsia"/>
          <w:bCs/>
          <w:sz w:val="24"/>
          <w:szCs w:val="24"/>
        </w:rPr>
        <w:t>T+n</w:t>
      </w:r>
      <w:proofErr w:type="spellEnd"/>
      <w:r>
        <w:rPr>
          <w:rFonts w:asciiTheme="minorEastAsia" w:hAnsiTheme="minorEastAsia" w:hint="eastAsia"/>
          <w:bCs/>
          <w:sz w:val="24"/>
          <w:szCs w:val="24"/>
        </w:rPr>
        <w:t>日：指自T日起第n</w:t>
      </w:r>
      <w:proofErr w:type="gramStart"/>
      <w:r>
        <w:rPr>
          <w:rFonts w:asciiTheme="minorEastAsia" w:hAnsiTheme="minorEastAsia" w:hint="eastAsia"/>
          <w:bCs/>
          <w:sz w:val="24"/>
          <w:szCs w:val="24"/>
        </w:rPr>
        <w:t>个</w:t>
      </w:r>
      <w:proofErr w:type="gramEnd"/>
      <w:r>
        <w:rPr>
          <w:rFonts w:asciiTheme="minorEastAsia" w:hAnsiTheme="minorEastAsia" w:hint="eastAsia"/>
          <w:bCs/>
          <w:sz w:val="24"/>
          <w:szCs w:val="24"/>
        </w:rPr>
        <w:t>工作日（不包含T日）</w:t>
      </w:r>
    </w:p>
    <w:p w14:paraId="46741F1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lastRenderedPageBreak/>
        <w:t>39</w:t>
      </w:r>
      <w:r>
        <w:rPr>
          <w:rFonts w:asciiTheme="minorEastAsia" w:hAnsiTheme="minorEastAsia" w:hint="eastAsia"/>
          <w:bCs/>
          <w:sz w:val="24"/>
          <w:szCs w:val="24"/>
        </w:rPr>
        <w:t>、开放日：指为投资人办理基金份额申购、赎回或其他业务的工作日</w:t>
      </w:r>
    </w:p>
    <w:p w14:paraId="6FD967D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40</w:t>
      </w:r>
      <w:r>
        <w:rPr>
          <w:rFonts w:asciiTheme="minorEastAsia" w:hAnsiTheme="minorEastAsia" w:hint="eastAsia"/>
          <w:bCs/>
          <w:sz w:val="24"/>
          <w:szCs w:val="24"/>
        </w:rPr>
        <w:t>、开放时间：指开放日基金接受申购、赎回或其他交易的时间段</w:t>
      </w:r>
    </w:p>
    <w:p w14:paraId="027226B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41</w:t>
      </w:r>
      <w:r>
        <w:rPr>
          <w:rFonts w:asciiTheme="minorEastAsia" w:hAnsiTheme="minorEastAsia" w:hint="eastAsia"/>
          <w:bCs/>
          <w:sz w:val="24"/>
          <w:szCs w:val="24"/>
        </w:rPr>
        <w:t>、《业务规则》：指《富荣基金管理有限公司开放式基金业务规则》，是规范基金管理人所管理的开放式证券投资基金登记方面的业务规则，由基金管理人和投资人共同遵守</w:t>
      </w:r>
    </w:p>
    <w:p w14:paraId="7044BC9B"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bCs/>
          <w:sz w:val="24"/>
        </w:rPr>
        <w:t>42</w:t>
      </w:r>
      <w:r>
        <w:rPr>
          <w:rFonts w:asciiTheme="minorEastAsia" w:hAnsiTheme="minorEastAsia" w:hint="eastAsia"/>
          <w:bCs/>
          <w:sz w:val="24"/>
        </w:rPr>
        <w:t>、认购：指在基金募集期内，投资人根据基金合同和招募说明书的规定申请购买基金份额的行为</w:t>
      </w:r>
    </w:p>
    <w:p w14:paraId="18047D00"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43</w:t>
      </w:r>
      <w:r>
        <w:rPr>
          <w:rFonts w:asciiTheme="minorEastAsia" w:hAnsiTheme="minorEastAsia" w:hint="eastAsia"/>
          <w:bCs/>
          <w:sz w:val="24"/>
          <w:szCs w:val="24"/>
        </w:rPr>
        <w:t>、申购：指基金合同生效后，投资人根据基金合同和招募说明书的规定申请购买基金份额的行为</w:t>
      </w:r>
    </w:p>
    <w:p w14:paraId="7F3C28C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44</w:t>
      </w:r>
      <w:r>
        <w:rPr>
          <w:rFonts w:asciiTheme="minorEastAsia" w:hAnsiTheme="minorEastAsia" w:hint="eastAsia"/>
          <w:bCs/>
          <w:sz w:val="24"/>
          <w:szCs w:val="24"/>
        </w:rPr>
        <w:t>、赎回：指基金合同生效后，基金份额持有人按基金合同和招募说明书规定的条件要求将基金份额兑换为现金的行为</w:t>
      </w:r>
    </w:p>
    <w:p w14:paraId="41F4B0C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45</w:t>
      </w:r>
      <w:r>
        <w:rPr>
          <w:rFonts w:asciiTheme="minorEastAsia" w:hAnsiTheme="minorEastAsia" w:hint="eastAsia"/>
          <w:bCs/>
          <w:sz w:val="24"/>
          <w:szCs w:val="24"/>
        </w:rPr>
        <w:t>、基金转换：指基金份额持有人按照本基金合同和基金管理人届时有效公告规定的条件，申请将其持有基金管理人管理的、某一基金的基金份额转换为基金管理人管理的其他</w:t>
      </w:r>
      <w:proofErr w:type="gramStart"/>
      <w:r>
        <w:rPr>
          <w:rFonts w:asciiTheme="minorEastAsia" w:hAnsiTheme="minorEastAsia" w:hint="eastAsia"/>
          <w:bCs/>
          <w:sz w:val="24"/>
          <w:szCs w:val="24"/>
        </w:rPr>
        <w:t>基金基金</w:t>
      </w:r>
      <w:proofErr w:type="gramEnd"/>
      <w:r>
        <w:rPr>
          <w:rFonts w:asciiTheme="minorEastAsia" w:hAnsiTheme="minorEastAsia" w:hint="eastAsia"/>
          <w:bCs/>
          <w:sz w:val="24"/>
          <w:szCs w:val="24"/>
        </w:rPr>
        <w:t>份额的行为</w:t>
      </w:r>
    </w:p>
    <w:p w14:paraId="632ED0E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46</w:t>
      </w:r>
      <w:r>
        <w:rPr>
          <w:rFonts w:asciiTheme="minorEastAsia" w:hAnsiTheme="minorEastAsia" w:hint="eastAsia"/>
          <w:bCs/>
          <w:sz w:val="24"/>
          <w:szCs w:val="24"/>
        </w:rPr>
        <w:t>、转托管：指基金份额持有人在本基金的不同销售机构之间实施的变更所持基金份额销售机构的操作</w:t>
      </w:r>
    </w:p>
    <w:p w14:paraId="16103AF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47</w:t>
      </w:r>
      <w:r>
        <w:rPr>
          <w:rFonts w:asciiTheme="minorEastAsia" w:hAnsiTheme="minorEastAsia" w:hint="eastAsia"/>
          <w:bCs/>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07B3709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48</w:t>
      </w:r>
      <w:r>
        <w:rPr>
          <w:rFonts w:asciiTheme="minorEastAsia" w:hAnsiTheme="minorEastAsia" w:hint="eastAsia"/>
          <w:bCs/>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bCs/>
          <w:sz w:val="24"/>
          <w:szCs w:val="24"/>
        </w:rPr>
        <w:t>10%</w:t>
      </w:r>
    </w:p>
    <w:p w14:paraId="09F3670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49</w:t>
      </w:r>
      <w:r>
        <w:rPr>
          <w:rFonts w:asciiTheme="minorEastAsia" w:hAnsiTheme="minorEastAsia" w:hint="eastAsia"/>
          <w:bCs/>
          <w:sz w:val="24"/>
          <w:szCs w:val="24"/>
        </w:rPr>
        <w:t>、元：指人民币元</w:t>
      </w:r>
    </w:p>
    <w:p w14:paraId="59C3B83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50</w:t>
      </w:r>
      <w:r>
        <w:rPr>
          <w:rFonts w:asciiTheme="minorEastAsia" w:hAnsiTheme="minorEastAsia" w:hint="eastAsia"/>
          <w:bCs/>
          <w:sz w:val="24"/>
          <w:szCs w:val="24"/>
        </w:rPr>
        <w:t>、基金收益：指基金投资所得红利、股息、债券利息、买卖证券价差、银行存款利息、已实现的其他合法收入及因运用基金财产带来的成本和费用的节约</w:t>
      </w:r>
    </w:p>
    <w:p w14:paraId="447F769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51</w:t>
      </w:r>
      <w:r>
        <w:rPr>
          <w:rFonts w:asciiTheme="minorEastAsia" w:hAnsiTheme="minorEastAsia" w:hint="eastAsia"/>
          <w:bCs/>
          <w:sz w:val="24"/>
          <w:szCs w:val="24"/>
        </w:rPr>
        <w:t>、销售服务费：指本基金用于持续销售和服务基金份额持有人的费用，该笔费用从C类份额的基金财产中计提，属于基金的营运费用</w:t>
      </w:r>
    </w:p>
    <w:p w14:paraId="68F6544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52</w:t>
      </w:r>
      <w:r>
        <w:rPr>
          <w:rFonts w:asciiTheme="minorEastAsia" w:hAnsiTheme="minorEastAsia" w:hint="eastAsia"/>
          <w:bCs/>
          <w:sz w:val="24"/>
          <w:szCs w:val="24"/>
        </w:rPr>
        <w:t>、基金份额的类别：指本基金根据销售服务费收取方式的不同，将基金份额分为不同的类别</w:t>
      </w:r>
    </w:p>
    <w:p w14:paraId="4D0D040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lastRenderedPageBreak/>
        <w:t>53</w:t>
      </w:r>
      <w:r>
        <w:rPr>
          <w:rFonts w:asciiTheme="minorEastAsia" w:hAnsiTheme="minorEastAsia" w:hint="eastAsia"/>
          <w:bCs/>
          <w:sz w:val="24"/>
          <w:szCs w:val="24"/>
        </w:rPr>
        <w:t>、A类基金份额：指在投资者认购、申购时收取前端认购、申购费用，在赎回时根据持有期限收取赎回费用，</w:t>
      </w:r>
      <w:r>
        <w:rPr>
          <w:rFonts w:asciiTheme="minorEastAsia" w:hAnsiTheme="minorEastAsia" w:hint="eastAsia"/>
          <w:sz w:val="24"/>
        </w:rPr>
        <w:t>而不从本类别基金资产中计</w:t>
      </w:r>
      <w:proofErr w:type="gramStart"/>
      <w:r>
        <w:rPr>
          <w:rFonts w:asciiTheme="minorEastAsia" w:hAnsiTheme="minorEastAsia" w:hint="eastAsia"/>
          <w:sz w:val="24"/>
        </w:rPr>
        <w:t>提销售</w:t>
      </w:r>
      <w:proofErr w:type="gramEnd"/>
      <w:r>
        <w:rPr>
          <w:rFonts w:asciiTheme="minorEastAsia" w:hAnsiTheme="minorEastAsia" w:hint="eastAsia"/>
          <w:sz w:val="24"/>
        </w:rPr>
        <w:t>服务费</w:t>
      </w:r>
      <w:r>
        <w:rPr>
          <w:rFonts w:asciiTheme="minorEastAsia" w:hAnsiTheme="minorEastAsia" w:hint="eastAsia"/>
          <w:bCs/>
          <w:sz w:val="24"/>
          <w:szCs w:val="24"/>
        </w:rPr>
        <w:t>的基金份额类别</w:t>
      </w:r>
    </w:p>
    <w:p w14:paraId="0761977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54</w:t>
      </w:r>
      <w:r>
        <w:rPr>
          <w:rFonts w:asciiTheme="minorEastAsia" w:hAnsiTheme="minorEastAsia" w:hint="eastAsia"/>
          <w:bCs/>
          <w:sz w:val="24"/>
          <w:szCs w:val="24"/>
        </w:rPr>
        <w:t>、C类基金份额：指不收取认购、申购费用，在赎回时根据持有期限收取赎回费用，且从本类别基金资产中计</w:t>
      </w:r>
      <w:proofErr w:type="gramStart"/>
      <w:r>
        <w:rPr>
          <w:rFonts w:asciiTheme="minorEastAsia" w:hAnsiTheme="minorEastAsia" w:hint="eastAsia"/>
          <w:bCs/>
          <w:sz w:val="24"/>
          <w:szCs w:val="24"/>
        </w:rPr>
        <w:t>提销售</w:t>
      </w:r>
      <w:proofErr w:type="gramEnd"/>
      <w:r>
        <w:rPr>
          <w:rFonts w:asciiTheme="minorEastAsia" w:hAnsiTheme="minorEastAsia" w:hint="eastAsia"/>
          <w:bCs/>
          <w:sz w:val="24"/>
          <w:szCs w:val="24"/>
        </w:rPr>
        <w:t>服务费的基金份额类别</w:t>
      </w:r>
    </w:p>
    <w:p w14:paraId="45FD0FF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55</w:t>
      </w:r>
      <w:r>
        <w:rPr>
          <w:rFonts w:asciiTheme="minorEastAsia" w:hAnsiTheme="minorEastAsia" w:hint="eastAsia"/>
          <w:bCs/>
          <w:sz w:val="24"/>
          <w:szCs w:val="24"/>
        </w:rPr>
        <w:t>、基金资产总值：指基金拥有的各类有价证券、银行存款本息、基金应收申购款及其他资产的价值总和</w:t>
      </w:r>
    </w:p>
    <w:p w14:paraId="185A5F1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56</w:t>
      </w:r>
      <w:r>
        <w:rPr>
          <w:rFonts w:asciiTheme="minorEastAsia" w:hAnsiTheme="minorEastAsia" w:hint="eastAsia"/>
          <w:bCs/>
          <w:sz w:val="24"/>
          <w:szCs w:val="24"/>
        </w:rPr>
        <w:t>、基金资产净值：指基金资产总值减去基金负债后的价值</w:t>
      </w:r>
    </w:p>
    <w:p w14:paraId="5DFF699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57</w:t>
      </w:r>
      <w:r>
        <w:rPr>
          <w:rFonts w:asciiTheme="minorEastAsia" w:hAnsiTheme="minorEastAsia" w:hint="eastAsia"/>
          <w:bCs/>
          <w:sz w:val="24"/>
          <w:szCs w:val="24"/>
        </w:rPr>
        <w:t>、基金份额净值：指计算日基金资产净值除以计算日基金份额总数</w:t>
      </w:r>
    </w:p>
    <w:p w14:paraId="2A83D84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58</w:t>
      </w:r>
      <w:r>
        <w:rPr>
          <w:rFonts w:asciiTheme="minorEastAsia" w:hAnsiTheme="minorEastAsia" w:hint="eastAsia"/>
          <w:bCs/>
          <w:sz w:val="24"/>
          <w:szCs w:val="24"/>
        </w:rPr>
        <w:t>、基金资产估值：指计算评估基金资产和负债的价值，以确定基金资产净值和基金份额净值的过程</w:t>
      </w:r>
    </w:p>
    <w:p w14:paraId="1F0DA5C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59</w:t>
      </w:r>
      <w:r>
        <w:rPr>
          <w:rFonts w:asciiTheme="minorEastAsia" w:hAnsiTheme="minorEastAsia" w:hint="eastAsia"/>
          <w:bCs/>
          <w:sz w:val="24"/>
          <w:szCs w:val="24"/>
        </w:rPr>
        <w:t>、流动性受限资产：是指由于法律法规、监管、合同或操作障碍等原因无法以合理价格予以变现的资产，包括但不限于到期日在10个交易日以上的逆回购与银行定期存款（</w:t>
      </w:r>
      <w:proofErr w:type="gramStart"/>
      <w:r>
        <w:rPr>
          <w:rFonts w:asciiTheme="minorEastAsia" w:hAnsiTheme="minorEastAsia" w:hint="eastAsia"/>
          <w:bCs/>
          <w:sz w:val="24"/>
          <w:szCs w:val="24"/>
        </w:rPr>
        <w:t>含协议</w:t>
      </w:r>
      <w:proofErr w:type="gramEnd"/>
      <w:r>
        <w:rPr>
          <w:rFonts w:asciiTheme="minorEastAsia" w:hAnsiTheme="minorEastAsia" w:hint="eastAsia"/>
          <w:bCs/>
          <w:sz w:val="24"/>
          <w:szCs w:val="24"/>
        </w:rPr>
        <w:t>约定有条件提前支取的银行存款）、停牌股票、流通受限的新股及非公开发行股票、资产支持证券、因发行人债务违约无法进行转让或交易的债券等</w:t>
      </w:r>
    </w:p>
    <w:p w14:paraId="699E097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60</w:t>
      </w:r>
      <w:r>
        <w:rPr>
          <w:rFonts w:asciiTheme="minorEastAsia" w:hAnsiTheme="minorEastAsia"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6EDE7804" w14:textId="77777777" w:rsidR="00D51FDF" w:rsidRDefault="007F75F6">
      <w:pPr>
        <w:spacing w:line="360" w:lineRule="auto"/>
        <w:ind w:firstLineChars="200" w:firstLine="460"/>
        <w:rPr>
          <w:rFonts w:asciiTheme="minorEastAsia" w:hAnsiTheme="minorEastAsia"/>
          <w:bCs/>
          <w:sz w:val="24"/>
          <w:szCs w:val="24"/>
        </w:rPr>
      </w:pPr>
      <w:r>
        <w:rPr>
          <w:rFonts w:asciiTheme="minorEastAsia" w:hAnsiTheme="minorEastAsia"/>
          <w:kern w:val="0"/>
          <w:sz w:val="23"/>
          <w:szCs w:val="23"/>
        </w:rPr>
        <w:t>61</w:t>
      </w:r>
      <w:r>
        <w:rPr>
          <w:rFonts w:asciiTheme="minorEastAsia" w:hAnsiTheme="minorEastAsia" w:hint="eastAsia"/>
          <w:bCs/>
          <w:sz w:val="24"/>
          <w:szCs w:val="24"/>
        </w:rPr>
        <w:t>、指定媒介：指中国证监会指定的用以进行信息披露的全国性报刊及指定互联网网站（包括基金管理人网站、基金托管人网站、中国证监会基金电子披露网站）等媒介</w:t>
      </w:r>
    </w:p>
    <w:p w14:paraId="67AF2477" w14:textId="77777777" w:rsidR="00D51FDF" w:rsidRDefault="007F75F6">
      <w:pPr>
        <w:spacing w:line="360" w:lineRule="auto"/>
        <w:ind w:firstLineChars="200" w:firstLine="480"/>
        <w:rPr>
          <w:rFonts w:asciiTheme="minorEastAsia" w:hAnsiTheme="minorEastAsia"/>
          <w:b/>
          <w:bCs/>
        </w:rPr>
        <w:sectPr w:rsidR="00D51FDF">
          <w:footerReference w:type="default" r:id="rId17"/>
          <w:pgSz w:w="11906" w:h="16838"/>
          <w:pgMar w:top="1440" w:right="1800" w:bottom="1440" w:left="1800" w:header="851" w:footer="992" w:gutter="0"/>
          <w:cols w:space="720"/>
          <w:docGrid w:type="lines" w:linePitch="312"/>
        </w:sectPr>
      </w:pPr>
      <w:r>
        <w:rPr>
          <w:rFonts w:asciiTheme="minorEastAsia" w:hAnsiTheme="minorEastAsia"/>
          <w:bCs/>
          <w:sz w:val="24"/>
          <w:szCs w:val="24"/>
        </w:rPr>
        <w:t>62</w:t>
      </w:r>
      <w:r>
        <w:rPr>
          <w:rFonts w:asciiTheme="minorEastAsia" w:hAnsiTheme="minorEastAsia" w:hint="eastAsia"/>
          <w:bCs/>
          <w:sz w:val="24"/>
          <w:szCs w:val="24"/>
        </w:rPr>
        <w:t>、不可抗力：指本基金合同当事人不能预见、不能避免且不能克服的客观事件</w:t>
      </w:r>
    </w:p>
    <w:p w14:paraId="4516E28A" w14:textId="77777777" w:rsidR="00D51FDF" w:rsidRDefault="007F75F6">
      <w:pPr>
        <w:pStyle w:val="1"/>
        <w:jc w:val="center"/>
        <w:rPr>
          <w:rFonts w:asciiTheme="minorEastAsia" w:eastAsiaTheme="minorEastAsia" w:hAnsiTheme="minorEastAsia"/>
          <w:sz w:val="30"/>
          <w:szCs w:val="30"/>
        </w:rPr>
      </w:pPr>
      <w:bookmarkStart w:id="85" w:name="_Toc2677404"/>
      <w:r>
        <w:rPr>
          <w:rFonts w:asciiTheme="minorEastAsia" w:eastAsiaTheme="minorEastAsia" w:hAnsiTheme="minorEastAsia" w:hint="eastAsia"/>
          <w:sz w:val="30"/>
          <w:szCs w:val="30"/>
        </w:rPr>
        <w:lastRenderedPageBreak/>
        <w:t>第三部分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基金管理人</w:t>
      </w:r>
      <w:bookmarkEnd w:id="67"/>
      <w:bookmarkEnd w:id="68"/>
      <w:bookmarkEnd w:id="85"/>
    </w:p>
    <w:p w14:paraId="19FDA4E6" w14:textId="77777777" w:rsidR="00D51FDF" w:rsidRDefault="007F75F6">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32ABBA16"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10EB01E"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w:t>
      </w:r>
      <w:r>
        <w:rPr>
          <w:rFonts w:asciiTheme="minorEastAsia" w:hAnsiTheme="minorEastAsia" w:cs="Times New Roman"/>
          <w:kern w:val="0"/>
          <w:sz w:val="24"/>
          <w:szCs w:val="24"/>
        </w:rPr>
        <w:t>171号南沙金融大厦11楼1101之一J20室</w:t>
      </w:r>
    </w:p>
    <w:p w14:paraId="2B87255F"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kern w:val="0"/>
          <w:sz w:val="24"/>
          <w:szCs w:val="24"/>
        </w:rPr>
        <w:t>24层</w:t>
      </w:r>
    </w:p>
    <w:p w14:paraId="7AB1895F"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07F00161"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w:t>
      </w:r>
      <w:r>
        <w:rPr>
          <w:rFonts w:asciiTheme="minorEastAsia" w:hAnsiTheme="minorEastAsia" w:cs="Times New Roman"/>
          <w:kern w:val="0"/>
          <w:sz w:val="24"/>
          <w:szCs w:val="24"/>
        </w:rPr>
        <w:t>2016年1月25日</w:t>
      </w:r>
    </w:p>
    <w:p w14:paraId="1D71ABD9"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w:t>
      </w:r>
      <w:r>
        <w:rPr>
          <w:rFonts w:asciiTheme="minorEastAsia" w:hAnsiTheme="minorEastAsia" w:cs="Times New Roman"/>
          <w:kern w:val="0"/>
          <w:sz w:val="24"/>
          <w:szCs w:val="24"/>
        </w:rPr>
        <w:t>2</w:t>
      </w:r>
      <w:r>
        <w:rPr>
          <w:rFonts w:asciiTheme="minorEastAsia" w:hAnsiTheme="minorEastAsia" w:cs="Times New Roman" w:hint="eastAsia"/>
          <w:kern w:val="0"/>
          <w:sz w:val="24"/>
          <w:szCs w:val="24"/>
        </w:rPr>
        <w:t>亿元人民币</w:t>
      </w:r>
    </w:p>
    <w:p w14:paraId="2CDA73DB"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539B7219"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0D75053F"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w:t>
      </w:r>
      <w:r>
        <w:rPr>
          <w:rFonts w:asciiTheme="minorEastAsia" w:hAnsiTheme="minorEastAsia" w:cs="Times New Roman"/>
          <w:kern w:val="0"/>
          <w:sz w:val="24"/>
          <w:szCs w:val="24"/>
        </w:rPr>
        <w:t>0755-84356636</w:t>
      </w:r>
    </w:p>
    <w:p w14:paraId="5D570565" w14:textId="77777777" w:rsidR="00D51FDF" w:rsidRDefault="007F75F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传</w:t>
      </w:r>
      <w:r>
        <w:rPr>
          <w:rFonts w:asciiTheme="minorEastAsia" w:hAnsiTheme="minorEastAsia" w:cs="Times New Roman"/>
          <w:kern w:val="0"/>
          <w:sz w:val="24"/>
          <w:szCs w:val="24"/>
        </w:rPr>
        <w:t xml:space="preserve">    </w:t>
      </w:r>
      <w:r>
        <w:rPr>
          <w:rFonts w:asciiTheme="minorEastAsia" w:hAnsiTheme="minorEastAsia" w:cs="Times New Roman" w:hint="eastAsia"/>
          <w:kern w:val="0"/>
          <w:sz w:val="24"/>
          <w:szCs w:val="24"/>
        </w:rPr>
        <w:t>真：</w:t>
      </w:r>
      <w:r>
        <w:rPr>
          <w:rFonts w:asciiTheme="minorEastAsia" w:hAnsiTheme="minorEastAsia" w:cs="Times New Roman"/>
          <w:kern w:val="0"/>
          <w:sz w:val="24"/>
          <w:szCs w:val="24"/>
        </w:rPr>
        <w:t>0755-83230787</w:t>
      </w:r>
    </w:p>
    <w:p w14:paraId="6E76E6C7" w14:textId="77777777" w:rsidR="00D51FDF" w:rsidRDefault="007F75F6">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股权结构：</w:t>
      </w:r>
      <w:r>
        <w:rPr>
          <w:rFonts w:asciiTheme="minorEastAsia" w:hAnsiTheme="minorEastAsia" w:cs="Arial"/>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51FDF" w14:paraId="6DA1F375"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6280607E" w14:textId="77777777" w:rsidR="00D51FDF" w:rsidRDefault="007F75F6">
            <w:pPr>
              <w:spacing w:line="360" w:lineRule="auto"/>
              <w:jc w:val="center"/>
              <w:rPr>
                <w:rFonts w:asciiTheme="minorEastAsia" w:hAnsiTheme="minorEastAsia" w:cs="Arial"/>
                <w:b/>
                <w:kern w:val="0"/>
                <w:szCs w:val="21"/>
              </w:rPr>
            </w:pPr>
            <w:r>
              <w:rPr>
                <w:rFonts w:asciiTheme="minorEastAsia" w:hAnsiTheme="minorEastAsia" w:cs="Arial" w:hint="eastAsia"/>
                <w:b/>
                <w:kern w:val="0"/>
                <w:szCs w:val="21"/>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7202B9E1" w14:textId="77777777" w:rsidR="00D51FDF" w:rsidRDefault="007F75F6">
            <w:pPr>
              <w:spacing w:line="360" w:lineRule="auto"/>
              <w:rPr>
                <w:rFonts w:asciiTheme="minorEastAsia" w:hAnsiTheme="minorEastAsia" w:cs="Arial"/>
                <w:b/>
                <w:kern w:val="0"/>
                <w:szCs w:val="21"/>
              </w:rPr>
            </w:pPr>
            <w:r>
              <w:rPr>
                <w:rFonts w:asciiTheme="minorEastAsia" w:hAnsiTheme="minorEastAsia" w:cs="Arial" w:hint="eastAsia"/>
                <w:b/>
                <w:kern w:val="0"/>
                <w:szCs w:val="21"/>
              </w:rPr>
              <w:t>出资比例</w:t>
            </w:r>
          </w:p>
        </w:tc>
      </w:tr>
      <w:tr w:rsidR="00D51FDF" w14:paraId="0D9519A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905C01E" w14:textId="77777777" w:rsidR="00D51FDF" w:rsidRDefault="007F75F6">
            <w:pPr>
              <w:spacing w:line="360" w:lineRule="auto"/>
              <w:rPr>
                <w:rFonts w:asciiTheme="minorEastAsia" w:hAnsiTheme="minorEastAsia" w:cs="Arial"/>
                <w:kern w:val="0"/>
                <w:szCs w:val="21"/>
              </w:rPr>
            </w:pPr>
            <w:r>
              <w:rPr>
                <w:rFonts w:asciiTheme="minorEastAsia" w:hAnsiTheme="minorEastAsia" w:cs="Arial" w:hint="eastAsia"/>
                <w:kern w:val="0"/>
                <w:szCs w:val="21"/>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6CA83F66" w14:textId="77777777" w:rsidR="00D51FDF" w:rsidRDefault="007F75F6">
            <w:pPr>
              <w:spacing w:line="360" w:lineRule="auto"/>
              <w:rPr>
                <w:rFonts w:asciiTheme="minorEastAsia" w:hAnsiTheme="minorEastAsia" w:cs="Arial"/>
                <w:kern w:val="0"/>
                <w:szCs w:val="21"/>
              </w:rPr>
            </w:pPr>
            <w:r>
              <w:rPr>
                <w:rFonts w:asciiTheme="minorEastAsia" w:hAnsiTheme="minorEastAsia" w:cs="Arial"/>
                <w:kern w:val="0"/>
                <w:szCs w:val="21"/>
              </w:rPr>
              <w:t>50%</w:t>
            </w:r>
          </w:p>
        </w:tc>
      </w:tr>
      <w:tr w:rsidR="00D51FDF" w14:paraId="7369607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C06D1CC" w14:textId="77777777" w:rsidR="00D51FDF" w:rsidRDefault="007F75F6">
            <w:pPr>
              <w:spacing w:line="360" w:lineRule="auto"/>
              <w:rPr>
                <w:rFonts w:asciiTheme="minorEastAsia" w:hAnsiTheme="minorEastAsia" w:cs="Arial"/>
                <w:kern w:val="0"/>
                <w:szCs w:val="21"/>
              </w:rPr>
            </w:pPr>
            <w:r>
              <w:rPr>
                <w:rFonts w:asciiTheme="minorEastAsia" w:hAnsiTheme="minorEastAsia" w:cs="Arial" w:hint="eastAsia"/>
                <w:kern w:val="0"/>
                <w:szCs w:val="21"/>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CAB51AF" w14:textId="77777777" w:rsidR="00D51FDF" w:rsidRDefault="007F75F6">
            <w:pPr>
              <w:spacing w:line="360" w:lineRule="auto"/>
              <w:rPr>
                <w:rFonts w:asciiTheme="minorEastAsia" w:hAnsiTheme="minorEastAsia" w:cs="Arial"/>
                <w:kern w:val="0"/>
                <w:szCs w:val="21"/>
              </w:rPr>
            </w:pPr>
            <w:r>
              <w:rPr>
                <w:rFonts w:asciiTheme="minorEastAsia" w:hAnsiTheme="minorEastAsia" w:cs="Arial"/>
                <w:kern w:val="0"/>
                <w:szCs w:val="21"/>
              </w:rPr>
              <w:t>45.1%</w:t>
            </w:r>
          </w:p>
        </w:tc>
      </w:tr>
      <w:tr w:rsidR="00D51FDF" w14:paraId="55F0174A"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CA7AB46" w14:textId="77777777" w:rsidR="00D51FDF" w:rsidRDefault="007F75F6">
            <w:pPr>
              <w:spacing w:line="360" w:lineRule="auto"/>
              <w:rPr>
                <w:rFonts w:asciiTheme="minorEastAsia" w:hAnsiTheme="minorEastAsia" w:cs="Arial"/>
                <w:kern w:val="0"/>
                <w:szCs w:val="21"/>
              </w:rPr>
            </w:pPr>
            <w:proofErr w:type="gramStart"/>
            <w:r>
              <w:rPr>
                <w:rFonts w:asciiTheme="minorEastAsia" w:hAnsiTheme="minorEastAsia" w:cs="Arial" w:hint="eastAsia"/>
                <w:kern w:val="0"/>
                <w:szCs w:val="21"/>
              </w:rPr>
              <w:t>湖南省典勤投资</w:t>
            </w:r>
            <w:proofErr w:type="gramEnd"/>
            <w:r>
              <w:rPr>
                <w:rFonts w:asciiTheme="minorEastAsia" w:hAnsiTheme="minorEastAsia" w:cs="Arial" w:hint="eastAsia"/>
                <w:kern w:val="0"/>
                <w:szCs w:val="21"/>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7626CAE" w14:textId="77777777" w:rsidR="00D51FDF" w:rsidRDefault="007F75F6">
            <w:pPr>
              <w:spacing w:line="360" w:lineRule="auto"/>
              <w:rPr>
                <w:rFonts w:asciiTheme="minorEastAsia" w:hAnsiTheme="minorEastAsia" w:cs="Arial"/>
                <w:kern w:val="0"/>
                <w:szCs w:val="21"/>
              </w:rPr>
            </w:pPr>
            <w:r>
              <w:rPr>
                <w:rFonts w:asciiTheme="minorEastAsia" w:hAnsiTheme="minorEastAsia" w:cs="Arial"/>
                <w:kern w:val="0"/>
                <w:szCs w:val="21"/>
              </w:rPr>
              <w:t>4.9%</w:t>
            </w:r>
          </w:p>
        </w:tc>
      </w:tr>
    </w:tbl>
    <w:p w14:paraId="76BA680B" w14:textId="77777777" w:rsidR="00D51FDF" w:rsidRDefault="00D51FDF">
      <w:pPr>
        <w:adjustRightInd w:val="0"/>
        <w:snapToGrid w:val="0"/>
        <w:spacing w:line="360" w:lineRule="auto"/>
        <w:ind w:firstLineChars="200" w:firstLine="480"/>
        <w:rPr>
          <w:rFonts w:asciiTheme="minorEastAsia" w:hAnsiTheme="minorEastAsia" w:cs="Arial"/>
          <w:kern w:val="0"/>
          <w:sz w:val="24"/>
          <w:szCs w:val="24"/>
        </w:rPr>
      </w:pPr>
    </w:p>
    <w:p w14:paraId="683658FE" w14:textId="77777777" w:rsidR="00D51FDF" w:rsidRDefault="007F75F6">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0800F0CD" w14:textId="77777777" w:rsidR="00D51FDF" w:rsidRDefault="007F75F6">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1、董事会成员</w:t>
      </w:r>
    </w:p>
    <w:p w14:paraId="744E382E" w14:textId="77777777"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77CE418E" w14:textId="3CC19525"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高峰先生，董事，</w:t>
      </w:r>
      <w:r w:rsidR="004035DC">
        <w:rPr>
          <w:rFonts w:ascii="宋体" w:hAnsi="宋体" w:hint="eastAsia"/>
          <w:color w:val="000000"/>
          <w:kern w:val="0"/>
          <w:sz w:val="24"/>
        </w:rPr>
        <w:t>总经理兼任</w:t>
      </w:r>
      <w:r w:rsidR="004035DC" w:rsidRPr="008B2E68">
        <w:rPr>
          <w:rFonts w:ascii="宋体" w:hAnsi="宋体" w:hint="eastAsia"/>
          <w:color w:val="000000"/>
          <w:kern w:val="0"/>
          <w:sz w:val="24"/>
        </w:rPr>
        <w:t>首席信息官</w:t>
      </w:r>
      <w:r w:rsidRPr="00BD1651">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sidRPr="00BD1651">
        <w:rPr>
          <w:rFonts w:asciiTheme="minorEastAsia" w:hAnsiTheme="minorEastAsia" w:cs="Arial" w:hint="eastAsia"/>
          <w:kern w:val="0"/>
          <w:sz w:val="24"/>
          <w:szCs w:val="24"/>
        </w:rPr>
        <w:t>盈基金</w:t>
      </w:r>
      <w:proofErr w:type="gramEnd"/>
      <w:r w:rsidRPr="00BD1651">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BD1651">
        <w:rPr>
          <w:rFonts w:asciiTheme="minorEastAsia" w:hAnsiTheme="minorEastAsia" w:cs="Arial" w:hint="eastAsia"/>
          <w:kern w:val="0"/>
          <w:sz w:val="24"/>
          <w:szCs w:val="24"/>
        </w:rPr>
        <w:t>盈基金</w:t>
      </w:r>
      <w:proofErr w:type="gramEnd"/>
      <w:r w:rsidRPr="00BD1651">
        <w:rPr>
          <w:rFonts w:asciiTheme="minorEastAsia" w:hAnsiTheme="minorEastAsia" w:cs="Arial" w:hint="eastAsia"/>
          <w:kern w:val="0"/>
          <w:sz w:val="24"/>
          <w:szCs w:val="24"/>
        </w:rPr>
        <w:t>管理有限公司总经理助理兼投资部总监、基金经理，北信瑞丰基金管理有限公司副总经理职务、红土创新基金</w:t>
      </w:r>
      <w:r w:rsidRPr="00BD1651">
        <w:rPr>
          <w:rFonts w:asciiTheme="minorEastAsia" w:hAnsiTheme="minorEastAsia" w:cs="Arial" w:hint="eastAsia"/>
          <w:kern w:val="0"/>
          <w:sz w:val="24"/>
          <w:szCs w:val="24"/>
        </w:rPr>
        <w:lastRenderedPageBreak/>
        <w:t>管理有限公司总经理职务；现任富荣基金管理有限公司总经理。</w:t>
      </w:r>
    </w:p>
    <w:p w14:paraId="3EB5E6BD" w14:textId="77777777"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6361A7C4" w14:textId="77777777"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BD1651">
        <w:rPr>
          <w:rFonts w:asciiTheme="minorEastAsia" w:hAnsiTheme="minorEastAsia" w:cs="Arial" w:hint="eastAsia"/>
          <w:kern w:val="0"/>
          <w:sz w:val="24"/>
          <w:szCs w:val="24"/>
        </w:rPr>
        <w:t>深圳融博融资租赁</w:t>
      </w:r>
      <w:proofErr w:type="gramEnd"/>
      <w:r w:rsidRPr="00BD1651">
        <w:rPr>
          <w:rFonts w:asciiTheme="minorEastAsia" w:hAnsiTheme="minorEastAsia" w:cs="Arial" w:hint="eastAsia"/>
          <w:kern w:val="0"/>
          <w:sz w:val="24"/>
          <w:szCs w:val="24"/>
        </w:rPr>
        <w:t>有限公司董事长兼总经理、深圳市天汇</w:t>
      </w:r>
      <w:proofErr w:type="gramStart"/>
      <w:r w:rsidRPr="00BD1651">
        <w:rPr>
          <w:rFonts w:asciiTheme="minorEastAsia" w:hAnsiTheme="minorEastAsia" w:cs="Arial" w:hint="eastAsia"/>
          <w:kern w:val="0"/>
          <w:sz w:val="24"/>
          <w:szCs w:val="24"/>
        </w:rPr>
        <w:t>鑫</w:t>
      </w:r>
      <w:proofErr w:type="gramEnd"/>
      <w:r w:rsidRPr="00BD1651">
        <w:rPr>
          <w:rFonts w:asciiTheme="minorEastAsia" w:hAnsiTheme="minorEastAsia" w:cs="Arial" w:hint="eastAsia"/>
          <w:kern w:val="0"/>
          <w:sz w:val="24"/>
          <w:szCs w:val="24"/>
        </w:rPr>
        <w:t>达担保有限公司总经理、</w:t>
      </w:r>
      <w:proofErr w:type="gramStart"/>
      <w:r w:rsidRPr="00BD1651">
        <w:rPr>
          <w:rFonts w:asciiTheme="minorEastAsia" w:hAnsiTheme="minorEastAsia" w:cs="Arial" w:hint="eastAsia"/>
          <w:kern w:val="0"/>
          <w:sz w:val="24"/>
          <w:szCs w:val="24"/>
        </w:rPr>
        <w:t>深圳市亿尔德</w:t>
      </w:r>
      <w:proofErr w:type="gramEnd"/>
      <w:r w:rsidRPr="00BD1651">
        <w:rPr>
          <w:rFonts w:asciiTheme="minorEastAsia" w:hAnsiTheme="minorEastAsia" w:cs="Arial" w:hint="eastAsia"/>
          <w:kern w:val="0"/>
          <w:sz w:val="24"/>
          <w:szCs w:val="24"/>
        </w:rPr>
        <w:t>投资有限公司法人、嘉年实业股份有限公司董事、富荣基金管理有限公司董事。</w:t>
      </w:r>
    </w:p>
    <w:p w14:paraId="346DF281" w14:textId="77777777"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余</w:t>
      </w:r>
      <w:proofErr w:type="gramStart"/>
      <w:r w:rsidRPr="00BD1651">
        <w:rPr>
          <w:rFonts w:asciiTheme="minorEastAsia" w:hAnsiTheme="minorEastAsia" w:cs="Arial" w:hint="eastAsia"/>
          <w:kern w:val="0"/>
          <w:sz w:val="24"/>
          <w:szCs w:val="24"/>
        </w:rPr>
        <w:t>关健</w:t>
      </w:r>
      <w:proofErr w:type="gramEnd"/>
      <w:r w:rsidRPr="00BD1651">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BD1651">
        <w:rPr>
          <w:rFonts w:asciiTheme="minorEastAsia" w:hAnsiTheme="minorEastAsia" w:cs="Arial" w:hint="eastAsia"/>
          <w:kern w:val="0"/>
          <w:sz w:val="24"/>
          <w:szCs w:val="24"/>
        </w:rPr>
        <w:t>邦</w:t>
      </w:r>
      <w:proofErr w:type="gramEnd"/>
      <w:r w:rsidRPr="00BD1651">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78FD12B4" w14:textId="77777777"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7C97AB38" w14:textId="73C004FB" w:rsidR="00D51FDF" w:rsidRDefault="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61907B9A" w14:textId="77777777" w:rsidR="00D51FDF" w:rsidRDefault="007F75F6">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2、监事会成员</w:t>
      </w:r>
    </w:p>
    <w:p w14:paraId="7EE2B150" w14:textId="77777777" w:rsidR="00D51FDF" w:rsidRDefault="007F75F6">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38B82C76" w14:textId="77777777" w:rsidR="00A05170" w:rsidRDefault="00A05170">
      <w:pPr>
        <w:spacing w:line="360" w:lineRule="auto"/>
        <w:ind w:firstLineChars="200" w:firstLine="480"/>
        <w:rPr>
          <w:rFonts w:asciiTheme="minorEastAsia" w:hAnsiTheme="minorEastAsia" w:cs="Arial"/>
          <w:kern w:val="0"/>
          <w:sz w:val="24"/>
          <w:szCs w:val="24"/>
        </w:rPr>
      </w:pPr>
      <w:r w:rsidRPr="00A05170">
        <w:rPr>
          <w:rFonts w:asciiTheme="minorEastAsia" w:hAnsiTheme="minorEastAsia" w:cs="Arial" w:hint="eastAsia"/>
          <w:kern w:val="0"/>
          <w:sz w:val="24"/>
          <w:szCs w:val="24"/>
        </w:rPr>
        <w:t>郑廉明先生，监事，硕士。原广发银行副行长（已退休），现任富荣基金管理有限公司监事。</w:t>
      </w:r>
    </w:p>
    <w:p w14:paraId="31D661BC" w14:textId="38629342" w:rsidR="00D51FDF" w:rsidRDefault="007F75F6">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魏丽红女士，职工监事，大专。现任富荣基金管理有限公司职工监事。</w:t>
      </w:r>
    </w:p>
    <w:p w14:paraId="08702B16" w14:textId="77777777" w:rsidR="00D51FDF" w:rsidRDefault="007F75F6">
      <w:pPr>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3、高级管理人员</w:t>
      </w:r>
    </w:p>
    <w:p w14:paraId="42493CF9" w14:textId="77777777"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w:t>
      </w:r>
      <w:r w:rsidRPr="00BD1651">
        <w:rPr>
          <w:rFonts w:asciiTheme="minorEastAsia" w:hAnsiTheme="minorEastAsia" w:cs="Arial" w:hint="eastAsia"/>
          <w:kern w:val="0"/>
          <w:sz w:val="24"/>
          <w:szCs w:val="24"/>
        </w:rPr>
        <w:lastRenderedPageBreak/>
        <w:t>行行长、广发银行沈阳直属支行行长助理、副行长、行长兼党委书记、广发银行沈阳分行行长兼党委书记、广发银行深圳分行行长兼党委书记。</w:t>
      </w:r>
    </w:p>
    <w:p w14:paraId="0EB4EB6F" w14:textId="312CC2CC"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高峰先生，总经理</w:t>
      </w:r>
      <w:r w:rsidR="00790E69">
        <w:rPr>
          <w:rFonts w:asciiTheme="minorEastAsia" w:hAnsiTheme="minorEastAsia" w:cs="Arial" w:hint="eastAsia"/>
          <w:kern w:val="0"/>
          <w:sz w:val="24"/>
          <w:szCs w:val="24"/>
        </w:rPr>
        <w:t>、</w:t>
      </w:r>
      <w:r w:rsidR="00790E69" w:rsidRPr="008B2E68">
        <w:rPr>
          <w:rFonts w:ascii="宋体" w:hAnsi="宋体" w:hint="eastAsia"/>
          <w:color w:val="000000"/>
          <w:kern w:val="0"/>
          <w:sz w:val="24"/>
        </w:rPr>
        <w:t>首席信息官</w:t>
      </w:r>
      <w:r w:rsidRPr="00BD1651">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sidRPr="00BD1651">
        <w:rPr>
          <w:rFonts w:asciiTheme="minorEastAsia" w:hAnsiTheme="minorEastAsia" w:cs="Arial" w:hint="eastAsia"/>
          <w:kern w:val="0"/>
          <w:sz w:val="24"/>
          <w:szCs w:val="24"/>
        </w:rPr>
        <w:t>盈基金</w:t>
      </w:r>
      <w:proofErr w:type="gramEnd"/>
      <w:r w:rsidRPr="00BD1651">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BD1651">
        <w:rPr>
          <w:rFonts w:asciiTheme="minorEastAsia" w:hAnsiTheme="minorEastAsia" w:cs="Arial" w:hint="eastAsia"/>
          <w:kern w:val="0"/>
          <w:sz w:val="24"/>
          <w:szCs w:val="24"/>
        </w:rPr>
        <w:t>盈基金</w:t>
      </w:r>
      <w:proofErr w:type="gramEnd"/>
      <w:r w:rsidRPr="00BD1651">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4DB8C608" w14:textId="77777777" w:rsidR="00BD1651" w:rsidRPr="00BD1651" w:rsidRDefault="00BD1651" w:rsidP="00BD1651">
      <w:pPr>
        <w:spacing w:line="360" w:lineRule="auto"/>
        <w:ind w:firstLineChars="200" w:firstLine="480"/>
        <w:rPr>
          <w:rFonts w:asciiTheme="minorEastAsia" w:hAnsiTheme="minorEastAsia" w:cs="Arial"/>
          <w:kern w:val="0"/>
          <w:sz w:val="24"/>
          <w:szCs w:val="24"/>
        </w:rPr>
      </w:pPr>
      <w:r w:rsidRPr="00BD1651">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1D3025D4" w14:textId="54166656" w:rsidR="00D51FDF" w:rsidRDefault="007F75F6">
      <w:pPr>
        <w:spacing w:line="360" w:lineRule="auto"/>
        <w:ind w:firstLineChars="200" w:firstLine="480"/>
        <w:rPr>
          <w:rFonts w:asciiTheme="minorEastAsia" w:hAnsiTheme="minorEastAsia"/>
          <w:color w:val="000000"/>
          <w:kern w:val="0"/>
          <w:sz w:val="24"/>
          <w:szCs w:val="24"/>
        </w:rPr>
      </w:pPr>
      <w:r>
        <w:rPr>
          <w:rFonts w:asciiTheme="minorEastAsia" w:hAnsiTheme="minorEastAsia"/>
          <w:color w:val="000000"/>
          <w:kern w:val="0"/>
          <w:sz w:val="24"/>
          <w:szCs w:val="24"/>
        </w:rPr>
        <w:t>4、本</w:t>
      </w:r>
      <w:proofErr w:type="gramStart"/>
      <w:r>
        <w:rPr>
          <w:rFonts w:asciiTheme="minorEastAsia" w:hAnsiTheme="minorEastAsia" w:hint="eastAsia"/>
          <w:color w:val="000000"/>
          <w:kern w:val="0"/>
          <w:sz w:val="24"/>
          <w:szCs w:val="24"/>
        </w:rPr>
        <w:t>基金基金</w:t>
      </w:r>
      <w:proofErr w:type="gramEnd"/>
      <w:r>
        <w:rPr>
          <w:rFonts w:asciiTheme="minorEastAsia" w:hAnsiTheme="minorEastAsia" w:hint="eastAsia"/>
          <w:color w:val="000000"/>
          <w:kern w:val="0"/>
          <w:sz w:val="24"/>
          <w:szCs w:val="24"/>
        </w:rPr>
        <w:t>经理</w:t>
      </w:r>
    </w:p>
    <w:p w14:paraId="25801516" w14:textId="522F4355" w:rsidR="00D51FDF" w:rsidRDefault="007E3643">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黄祥斌先生，</w:t>
      </w:r>
      <w:r w:rsidR="0057557F" w:rsidRPr="0057557F">
        <w:rPr>
          <w:rFonts w:asciiTheme="minorEastAsia" w:hAnsiTheme="minorEastAsia" w:hint="eastAsia"/>
          <w:color w:val="000000"/>
          <w:kern w:val="0"/>
          <w:sz w:val="24"/>
          <w:szCs w:val="24"/>
        </w:rPr>
        <w:t>武汉大学产业经济学硕士，拥有丰富的投</w:t>
      </w:r>
      <w:proofErr w:type="gramStart"/>
      <w:r w:rsidR="0057557F" w:rsidRPr="0057557F">
        <w:rPr>
          <w:rFonts w:asciiTheme="minorEastAsia" w:hAnsiTheme="minorEastAsia" w:hint="eastAsia"/>
          <w:color w:val="000000"/>
          <w:kern w:val="0"/>
          <w:sz w:val="24"/>
          <w:szCs w:val="24"/>
        </w:rPr>
        <w:t>研</w:t>
      </w:r>
      <w:proofErr w:type="gramEnd"/>
      <w:r w:rsidR="0057557F" w:rsidRPr="0057557F">
        <w:rPr>
          <w:rFonts w:asciiTheme="minorEastAsia" w:hAnsiTheme="minorEastAsia" w:hint="eastAsia"/>
          <w:color w:val="000000"/>
          <w:kern w:val="0"/>
          <w:sz w:val="24"/>
          <w:szCs w:val="24"/>
        </w:rPr>
        <w:t>经验，以均衡的投资风格见长。7年公</w:t>
      </w:r>
      <w:proofErr w:type="gramStart"/>
      <w:r w:rsidR="0057557F" w:rsidRPr="0057557F">
        <w:rPr>
          <w:rFonts w:asciiTheme="minorEastAsia" w:hAnsiTheme="minorEastAsia" w:hint="eastAsia"/>
          <w:color w:val="000000"/>
          <w:kern w:val="0"/>
          <w:sz w:val="24"/>
          <w:szCs w:val="24"/>
        </w:rPr>
        <w:t>募管理</w:t>
      </w:r>
      <w:proofErr w:type="gramEnd"/>
      <w:r w:rsidR="0057557F" w:rsidRPr="0057557F">
        <w:rPr>
          <w:rFonts w:asciiTheme="minorEastAsia" w:hAnsiTheme="minorEastAsia" w:hint="eastAsia"/>
          <w:color w:val="000000"/>
          <w:kern w:val="0"/>
          <w:sz w:val="24"/>
          <w:szCs w:val="24"/>
        </w:rPr>
        <w:t>经验，过往投资业绩优秀，管理产品曾获“一年期开放式混合型金牛基金”、“一年平衡混合型明星基金奖”。历任北信瑞丰基金权益投资二部总经理、公司投资决策委员会委员</w:t>
      </w:r>
      <w:r w:rsidR="00004732">
        <w:rPr>
          <w:rFonts w:asciiTheme="minorEastAsia" w:hAnsiTheme="minorEastAsia" w:hint="eastAsia"/>
          <w:color w:val="000000"/>
          <w:kern w:val="0"/>
          <w:sz w:val="24"/>
          <w:szCs w:val="24"/>
        </w:rPr>
        <w:t>，</w:t>
      </w:r>
      <w:r w:rsidR="0057557F" w:rsidRPr="0057557F">
        <w:rPr>
          <w:rFonts w:asciiTheme="minorEastAsia" w:hAnsiTheme="minorEastAsia" w:hint="eastAsia"/>
          <w:color w:val="000000"/>
          <w:kern w:val="0"/>
          <w:sz w:val="24"/>
          <w:szCs w:val="24"/>
        </w:rPr>
        <w:t>九泰</w:t>
      </w:r>
      <w:proofErr w:type="gramStart"/>
      <w:r w:rsidR="0057557F" w:rsidRPr="0057557F">
        <w:rPr>
          <w:rFonts w:asciiTheme="minorEastAsia" w:hAnsiTheme="minorEastAsia" w:hint="eastAsia"/>
          <w:color w:val="000000"/>
          <w:kern w:val="0"/>
          <w:sz w:val="24"/>
          <w:szCs w:val="24"/>
        </w:rPr>
        <w:t>基金基金</w:t>
      </w:r>
      <w:proofErr w:type="gramEnd"/>
      <w:r w:rsidR="0057557F" w:rsidRPr="0057557F">
        <w:rPr>
          <w:rFonts w:asciiTheme="minorEastAsia" w:hAnsiTheme="minorEastAsia" w:hint="eastAsia"/>
          <w:color w:val="000000"/>
          <w:kern w:val="0"/>
          <w:sz w:val="24"/>
          <w:szCs w:val="24"/>
        </w:rPr>
        <w:t>经理、权益投资部总监、投资决策委员会委员</w:t>
      </w:r>
      <w:r w:rsidR="00004732">
        <w:rPr>
          <w:rFonts w:asciiTheme="minorEastAsia" w:hAnsiTheme="minorEastAsia" w:hint="eastAsia"/>
          <w:color w:val="000000"/>
          <w:kern w:val="0"/>
          <w:sz w:val="24"/>
          <w:szCs w:val="24"/>
        </w:rPr>
        <w:t>，</w:t>
      </w:r>
      <w:r w:rsidR="0057557F" w:rsidRPr="0057557F">
        <w:rPr>
          <w:rFonts w:asciiTheme="minorEastAsia" w:hAnsiTheme="minorEastAsia" w:hint="eastAsia"/>
          <w:color w:val="000000"/>
          <w:kern w:val="0"/>
          <w:sz w:val="24"/>
          <w:szCs w:val="24"/>
        </w:rPr>
        <w:t>益民</w:t>
      </w:r>
      <w:proofErr w:type="gramStart"/>
      <w:r w:rsidR="0057557F" w:rsidRPr="0057557F">
        <w:rPr>
          <w:rFonts w:asciiTheme="minorEastAsia" w:hAnsiTheme="minorEastAsia" w:hint="eastAsia"/>
          <w:color w:val="000000"/>
          <w:kern w:val="0"/>
          <w:sz w:val="24"/>
          <w:szCs w:val="24"/>
        </w:rPr>
        <w:t>基金基金</w:t>
      </w:r>
      <w:proofErr w:type="gramEnd"/>
      <w:r w:rsidR="0057557F" w:rsidRPr="0057557F">
        <w:rPr>
          <w:rFonts w:asciiTheme="minorEastAsia" w:hAnsiTheme="minorEastAsia" w:hint="eastAsia"/>
          <w:color w:val="000000"/>
          <w:kern w:val="0"/>
          <w:sz w:val="24"/>
          <w:szCs w:val="24"/>
        </w:rPr>
        <w:t>经理、投资决策委员会委员</w:t>
      </w:r>
      <w:r w:rsidR="00004732">
        <w:rPr>
          <w:rFonts w:asciiTheme="minorEastAsia" w:hAnsiTheme="minorEastAsia" w:hint="eastAsia"/>
          <w:color w:val="000000"/>
          <w:kern w:val="0"/>
          <w:sz w:val="24"/>
          <w:szCs w:val="24"/>
        </w:rPr>
        <w:t>，</w:t>
      </w:r>
      <w:r w:rsidR="0057557F" w:rsidRPr="0057557F">
        <w:rPr>
          <w:rFonts w:asciiTheme="minorEastAsia" w:hAnsiTheme="minorEastAsia" w:hint="eastAsia"/>
          <w:color w:val="000000"/>
          <w:kern w:val="0"/>
          <w:sz w:val="24"/>
          <w:szCs w:val="24"/>
        </w:rPr>
        <w:t>信</w:t>
      </w:r>
      <w:proofErr w:type="gramStart"/>
      <w:r w:rsidR="0057557F" w:rsidRPr="0057557F">
        <w:rPr>
          <w:rFonts w:asciiTheme="minorEastAsia" w:hAnsiTheme="minorEastAsia" w:hint="eastAsia"/>
          <w:color w:val="000000"/>
          <w:kern w:val="0"/>
          <w:sz w:val="24"/>
          <w:szCs w:val="24"/>
        </w:rPr>
        <w:t>达证券</w:t>
      </w:r>
      <w:proofErr w:type="gramEnd"/>
      <w:r w:rsidR="0057557F" w:rsidRPr="0057557F">
        <w:rPr>
          <w:rFonts w:asciiTheme="minorEastAsia" w:hAnsiTheme="minorEastAsia" w:hint="eastAsia"/>
          <w:color w:val="000000"/>
          <w:kern w:val="0"/>
          <w:sz w:val="24"/>
          <w:szCs w:val="24"/>
        </w:rPr>
        <w:t>研究所首席策略分析师、资产管理部投资经理</w:t>
      </w:r>
      <w:r w:rsidR="0057557F">
        <w:rPr>
          <w:rFonts w:asciiTheme="minorEastAsia" w:hAnsiTheme="minorEastAsia" w:hint="eastAsia"/>
          <w:color w:val="000000"/>
          <w:kern w:val="0"/>
          <w:sz w:val="24"/>
          <w:szCs w:val="24"/>
        </w:rPr>
        <w:t>。现任富荣基金管理有限公司基金经理。</w:t>
      </w:r>
    </w:p>
    <w:p w14:paraId="3DB5A7F6" w14:textId="77777777" w:rsidR="00D51FDF" w:rsidRDefault="007F75F6">
      <w:pPr>
        <w:spacing w:line="360" w:lineRule="auto"/>
        <w:ind w:firstLineChars="200" w:firstLine="480"/>
        <w:rPr>
          <w:rFonts w:asciiTheme="minorEastAsia" w:hAnsiTheme="minorEastAsia"/>
          <w:color w:val="000000"/>
          <w:kern w:val="0"/>
          <w:sz w:val="24"/>
          <w:szCs w:val="24"/>
        </w:rPr>
      </w:pPr>
      <w:r>
        <w:rPr>
          <w:rFonts w:asciiTheme="minorEastAsia" w:hAnsiTheme="minorEastAsia"/>
          <w:color w:val="000000"/>
          <w:kern w:val="0"/>
          <w:sz w:val="24"/>
          <w:szCs w:val="24"/>
        </w:rPr>
        <w:t>5、投资决策委员会成员的姓名、职务</w:t>
      </w:r>
    </w:p>
    <w:p w14:paraId="5DE1DFC8" w14:textId="03F648BC" w:rsidR="007F75F6" w:rsidRPr="007F75F6" w:rsidRDefault="007F75F6" w:rsidP="007F75F6">
      <w:pPr>
        <w:spacing w:line="360" w:lineRule="auto"/>
        <w:ind w:firstLineChars="200" w:firstLine="480"/>
        <w:rPr>
          <w:rFonts w:asciiTheme="minorEastAsia" w:hAnsiTheme="minorEastAsia"/>
          <w:color w:val="000000"/>
          <w:kern w:val="0"/>
          <w:sz w:val="24"/>
          <w:szCs w:val="24"/>
        </w:rPr>
      </w:pPr>
      <w:r w:rsidRPr="007F75F6">
        <w:rPr>
          <w:rFonts w:asciiTheme="minorEastAsia" w:hAnsiTheme="minorEastAsia" w:hint="eastAsia"/>
          <w:color w:val="000000"/>
          <w:kern w:val="0"/>
          <w:sz w:val="24"/>
          <w:szCs w:val="24"/>
        </w:rPr>
        <w:t>高峰先生，投资决策委员会主任委员、总经理</w:t>
      </w:r>
      <w:r w:rsidR="00790E69">
        <w:rPr>
          <w:rFonts w:asciiTheme="minorEastAsia" w:hAnsiTheme="minorEastAsia" w:hint="eastAsia"/>
          <w:color w:val="000000"/>
          <w:kern w:val="0"/>
          <w:sz w:val="24"/>
          <w:szCs w:val="24"/>
        </w:rPr>
        <w:t>、</w:t>
      </w:r>
      <w:r w:rsidR="00790E69" w:rsidRPr="008B2E68">
        <w:rPr>
          <w:rFonts w:ascii="宋体" w:hAnsi="宋体" w:hint="eastAsia"/>
          <w:color w:val="000000"/>
          <w:kern w:val="0"/>
          <w:sz w:val="24"/>
        </w:rPr>
        <w:t>首席信息官</w:t>
      </w:r>
      <w:r w:rsidRPr="007F75F6">
        <w:rPr>
          <w:rFonts w:asciiTheme="minorEastAsia" w:hAnsiTheme="minorEastAsia" w:hint="eastAsia"/>
          <w:color w:val="000000"/>
          <w:kern w:val="0"/>
          <w:sz w:val="24"/>
          <w:szCs w:val="24"/>
        </w:rPr>
        <w:t>。</w:t>
      </w:r>
    </w:p>
    <w:p w14:paraId="3D52F424" w14:textId="77777777" w:rsidR="007F75F6" w:rsidRPr="007F75F6" w:rsidRDefault="007F75F6" w:rsidP="007F75F6">
      <w:pPr>
        <w:spacing w:line="360" w:lineRule="auto"/>
        <w:ind w:firstLineChars="200" w:firstLine="480"/>
        <w:rPr>
          <w:rFonts w:asciiTheme="minorEastAsia" w:hAnsiTheme="minorEastAsia"/>
          <w:color w:val="000000"/>
          <w:kern w:val="0"/>
          <w:sz w:val="24"/>
          <w:szCs w:val="24"/>
        </w:rPr>
      </w:pPr>
      <w:r w:rsidRPr="007F75F6">
        <w:rPr>
          <w:rFonts w:asciiTheme="minorEastAsia" w:hAnsiTheme="minorEastAsia" w:hint="eastAsia"/>
          <w:color w:val="000000"/>
          <w:kern w:val="0"/>
          <w:sz w:val="24"/>
          <w:szCs w:val="24"/>
        </w:rPr>
        <w:t>吕晓蓉女士，投资决策委员会委员、固定收益部总监、基金经理。</w:t>
      </w:r>
    </w:p>
    <w:p w14:paraId="326CE5EA" w14:textId="77777777" w:rsidR="007F75F6" w:rsidRPr="007F75F6" w:rsidRDefault="007F75F6" w:rsidP="007F75F6">
      <w:pPr>
        <w:spacing w:line="360" w:lineRule="auto"/>
        <w:ind w:firstLineChars="200" w:firstLine="480"/>
        <w:rPr>
          <w:rFonts w:asciiTheme="minorEastAsia" w:hAnsiTheme="minorEastAsia"/>
          <w:color w:val="000000"/>
          <w:kern w:val="0"/>
          <w:sz w:val="24"/>
          <w:szCs w:val="24"/>
        </w:rPr>
      </w:pPr>
      <w:r w:rsidRPr="007F75F6">
        <w:rPr>
          <w:rFonts w:asciiTheme="minorEastAsia" w:hAnsiTheme="minorEastAsia" w:hint="eastAsia"/>
          <w:color w:val="000000"/>
          <w:kern w:val="0"/>
          <w:sz w:val="24"/>
          <w:szCs w:val="24"/>
        </w:rPr>
        <w:t>邓宇翔先生，投资决策委员会委员、权益投资部总监、基金经理。</w:t>
      </w:r>
    </w:p>
    <w:p w14:paraId="16BD1DDF" w14:textId="77777777" w:rsidR="007F75F6" w:rsidRPr="007F75F6" w:rsidRDefault="007F75F6" w:rsidP="007F75F6">
      <w:pPr>
        <w:spacing w:line="360" w:lineRule="auto"/>
        <w:ind w:firstLineChars="200" w:firstLine="480"/>
        <w:rPr>
          <w:rFonts w:asciiTheme="minorEastAsia" w:hAnsiTheme="minorEastAsia"/>
          <w:color w:val="000000"/>
          <w:kern w:val="0"/>
          <w:sz w:val="24"/>
          <w:szCs w:val="24"/>
        </w:rPr>
      </w:pPr>
      <w:r w:rsidRPr="007F75F6">
        <w:rPr>
          <w:rFonts w:asciiTheme="minorEastAsia" w:hAnsiTheme="minorEastAsia" w:hint="eastAsia"/>
          <w:color w:val="000000"/>
          <w:kern w:val="0"/>
          <w:sz w:val="24"/>
          <w:szCs w:val="24"/>
        </w:rPr>
        <w:t>郎骋成先生，投资决策委员会委员、研究部总监、基金经理。</w:t>
      </w:r>
    </w:p>
    <w:p w14:paraId="702FC202" w14:textId="77777777" w:rsidR="007F75F6" w:rsidRPr="007F75F6" w:rsidRDefault="007F75F6" w:rsidP="007F75F6">
      <w:pPr>
        <w:spacing w:line="360" w:lineRule="auto"/>
        <w:ind w:firstLineChars="200" w:firstLine="480"/>
        <w:rPr>
          <w:rFonts w:asciiTheme="minorEastAsia" w:hAnsiTheme="minorEastAsia"/>
          <w:color w:val="000000"/>
          <w:kern w:val="0"/>
          <w:sz w:val="24"/>
          <w:szCs w:val="24"/>
        </w:rPr>
      </w:pPr>
      <w:r w:rsidRPr="007F75F6">
        <w:rPr>
          <w:rFonts w:asciiTheme="minorEastAsia" w:hAnsiTheme="minorEastAsia" w:hint="eastAsia"/>
          <w:color w:val="000000"/>
          <w:kern w:val="0"/>
          <w:sz w:val="24"/>
          <w:szCs w:val="24"/>
        </w:rPr>
        <w:t>邱紫华先生，投资决策委员会委员、投资决策委员会秘书、基金经理。</w:t>
      </w:r>
    </w:p>
    <w:p w14:paraId="7C148634" w14:textId="77777777" w:rsidR="00790E69" w:rsidRDefault="007F75F6">
      <w:pPr>
        <w:spacing w:line="360" w:lineRule="auto"/>
        <w:ind w:firstLineChars="200" w:firstLine="480"/>
        <w:rPr>
          <w:rFonts w:asciiTheme="minorEastAsia" w:hAnsiTheme="minorEastAsia"/>
          <w:color w:val="000000"/>
          <w:kern w:val="0"/>
          <w:sz w:val="24"/>
          <w:szCs w:val="24"/>
        </w:rPr>
      </w:pPr>
      <w:r w:rsidRPr="007F75F6">
        <w:rPr>
          <w:rFonts w:asciiTheme="minorEastAsia" w:hAnsiTheme="minorEastAsia" w:hint="eastAsia"/>
          <w:color w:val="000000"/>
          <w:kern w:val="0"/>
          <w:sz w:val="24"/>
          <w:szCs w:val="24"/>
        </w:rPr>
        <w:t>王丹女士，投资决策委员会委员、基金经理。</w:t>
      </w:r>
    </w:p>
    <w:p w14:paraId="5AB0939D" w14:textId="044F9505" w:rsidR="00D51FDF" w:rsidRDefault="007F75F6">
      <w:pPr>
        <w:spacing w:line="360" w:lineRule="auto"/>
        <w:ind w:firstLineChars="200" w:firstLine="480"/>
        <w:rPr>
          <w:rFonts w:asciiTheme="minorEastAsia" w:hAnsiTheme="minorEastAsia"/>
          <w:color w:val="000000"/>
          <w:kern w:val="0"/>
          <w:sz w:val="24"/>
          <w:szCs w:val="24"/>
        </w:rPr>
      </w:pPr>
      <w:r>
        <w:rPr>
          <w:rFonts w:asciiTheme="minorEastAsia" w:hAnsiTheme="minorEastAsia"/>
          <w:color w:val="000000"/>
          <w:kern w:val="0"/>
          <w:sz w:val="24"/>
          <w:szCs w:val="24"/>
        </w:rPr>
        <w:t>6、上述人员之间不存在近亲属关系。</w:t>
      </w:r>
    </w:p>
    <w:p w14:paraId="431BC2EE" w14:textId="77777777" w:rsidR="00D51FDF" w:rsidRDefault="00D51FDF">
      <w:pPr>
        <w:adjustRightInd w:val="0"/>
        <w:snapToGrid w:val="0"/>
        <w:spacing w:line="360" w:lineRule="auto"/>
        <w:ind w:firstLineChars="200" w:firstLine="480"/>
        <w:rPr>
          <w:rFonts w:asciiTheme="minorEastAsia" w:hAnsiTheme="minorEastAsia" w:cs="Arial"/>
          <w:sz w:val="24"/>
          <w:szCs w:val="24"/>
        </w:rPr>
      </w:pPr>
    </w:p>
    <w:p w14:paraId="1B11F696" w14:textId="77777777" w:rsidR="00D51FDF" w:rsidRDefault="007F75F6">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1B2D8EF8"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1、依法募集资金，办理或者委托经中国证监会认定的其他机构代为办理基金份额的发售、申购、赎回和登记事宜；</w:t>
      </w:r>
    </w:p>
    <w:p w14:paraId="3DD27598"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2、办理基金备案手续；</w:t>
      </w:r>
    </w:p>
    <w:p w14:paraId="4DF61638"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3、自《基金合同》生效之日起，以诚实信用、谨慎勤勉的原则管理和运用基金财产；</w:t>
      </w:r>
    </w:p>
    <w:p w14:paraId="74BF3F8D"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4、配备足够的具有专业资格的人员进行基金投资分析、决策，以专业化的经营方式管理和运作基金财产；</w:t>
      </w:r>
    </w:p>
    <w:p w14:paraId="67F602ED"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5、建立健全内部风险控制、监察与稽核、财务管理及人事管理等制度，保证所管理的基金财产和基金管理人的财产相互独立，对所管理的不同基金分别管理，分别记账，进行证券投资；</w:t>
      </w:r>
    </w:p>
    <w:p w14:paraId="63DB1DEE"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6、除依据《基金法》、《基金合同》及其他有关规定外，不得利用基金财产为自己及任何第三人</w:t>
      </w:r>
      <w:r>
        <w:rPr>
          <w:rFonts w:asciiTheme="minorEastAsia" w:hAnsiTheme="minorEastAsia" w:cs="Times New Roman" w:hint="eastAsia"/>
          <w:sz w:val="24"/>
          <w:szCs w:val="24"/>
        </w:rPr>
        <w:t>牟取利益，不得委托第三人运作基金财产；</w:t>
      </w:r>
    </w:p>
    <w:p w14:paraId="68181983"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7、依法接受基金托管人的监督；</w:t>
      </w:r>
    </w:p>
    <w:p w14:paraId="7F979F90"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8、采取适当合理的措施使计算基金份额认购、申购、赎回和注销价格的方法符合《基金合同》等法律文件的规定，按有关规定计算并公告</w:t>
      </w:r>
      <w:r>
        <w:rPr>
          <w:rFonts w:asciiTheme="minorEastAsia" w:hAnsiTheme="minorEastAsia" w:cs="Times New Roman" w:hint="eastAsia"/>
          <w:sz w:val="24"/>
          <w:szCs w:val="24"/>
        </w:rPr>
        <w:t>基金净值信息，确定基金份额申购、赎回对价，编制申购赎回清单；</w:t>
      </w:r>
    </w:p>
    <w:p w14:paraId="76D14382"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9、进行基金会计核算并编制基金财务会计报告；</w:t>
      </w:r>
    </w:p>
    <w:p w14:paraId="5517B727"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10、编制季度</w:t>
      </w:r>
      <w:r>
        <w:rPr>
          <w:rFonts w:asciiTheme="minorEastAsia" w:hAnsiTheme="minorEastAsia" w:cs="Times New Roman" w:hint="eastAsia"/>
          <w:sz w:val="24"/>
          <w:szCs w:val="24"/>
        </w:rPr>
        <w:t>报告、中期</w:t>
      </w:r>
      <w:r>
        <w:rPr>
          <w:rFonts w:asciiTheme="minorEastAsia" w:hAnsiTheme="minorEastAsia" w:cs="Times New Roman"/>
          <w:sz w:val="24"/>
          <w:szCs w:val="24"/>
        </w:rPr>
        <w:t>报告</w:t>
      </w:r>
      <w:r>
        <w:rPr>
          <w:rFonts w:asciiTheme="minorEastAsia" w:hAnsiTheme="minorEastAsia" w:cs="Times New Roman" w:hint="eastAsia"/>
          <w:sz w:val="24"/>
          <w:szCs w:val="24"/>
        </w:rPr>
        <w:t>和年度报告；</w:t>
      </w:r>
    </w:p>
    <w:p w14:paraId="09DA46C9"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11、严格按照《基金法》、《基金合同》及其他有关规定，履行信息披露及报告义务；</w:t>
      </w:r>
    </w:p>
    <w:p w14:paraId="15DA4AEA"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12、保守基金商业秘密，不泄露基金投资计划、投资意向等。除《基金法》、《基金合同》及其他有关规定另有规定外，在基金信息公开披露前应予保密，不向他人泄露；</w:t>
      </w:r>
    </w:p>
    <w:p w14:paraId="7278A7D4"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13、按《基金合同》的约定确定基金收益分配方案，及时向基金份额持有人分配基金收益；</w:t>
      </w:r>
    </w:p>
    <w:p w14:paraId="19CB7265"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14、按规定受理申购与赎回申请，及时、足额支付赎回款项；</w:t>
      </w:r>
    </w:p>
    <w:p w14:paraId="2CF04244"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15、依据《基金法》、《基金合同》及其他有关规定召集基金份额持有人大会或配合基金托管人、基金份额持有人依法召集基金份额持有人大会；</w:t>
      </w:r>
    </w:p>
    <w:p w14:paraId="182AFFAD"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16、按规定保存基金财产管理业务活动的会计账册、报表、记录和其他相关</w:t>
      </w:r>
      <w:r>
        <w:rPr>
          <w:rFonts w:asciiTheme="minorEastAsia" w:hAnsiTheme="minorEastAsia" w:cs="Times New Roman"/>
          <w:sz w:val="24"/>
          <w:szCs w:val="24"/>
        </w:rPr>
        <w:lastRenderedPageBreak/>
        <w:t>资料15年以上；</w:t>
      </w:r>
    </w:p>
    <w:p w14:paraId="449F4293"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17、确保需要向基金投资者提供的各项文件或资料在规定时间发出，并且保证投资者能够按照《基金合同》规定的时间和方式，随时查阅到与基金有关的公</w:t>
      </w:r>
      <w:r>
        <w:rPr>
          <w:rFonts w:asciiTheme="minorEastAsia" w:hAnsiTheme="minorEastAsia" w:cs="Times New Roman" w:hint="eastAsia"/>
          <w:sz w:val="24"/>
          <w:szCs w:val="24"/>
        </w:rPr>
        <w:t>开资料，并在支付合理成本的条件下得到有关资料的复印件；</w:t>
      </w:r>
    </w:p>
    <w:p w14:paraId="2CC9DA1E"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18、组织并参加基金财产清算小组，参与基金财产的保管、清理、估价、变现和分配；</w:t>
      </w:r>
    </w:p>
    <w:p w14:paraId="56C18D22"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19、面临解散、依法被撤销或者被依法宣告破产时，及时报告中国证监会并通知基金托管人；</w:t>
      </w:r>
    </w:p>
    <w:p w14:paraId="5A504231"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20、因违反《基金合同》导致基金财产的损失或损害基金份额持有人合法权益时，应当承担赔偿责任，其赔偿责任不因其退任而免除；</w:t>
      </w:r>
    </w:p>
    <w:p w14:paraId="540840C5"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21、监督基金托管人按法律法规和《基金合同》规定履行自己的义务，基金托管人违反《基金合同》造成基金财产损失时，基金管理人应为基金份额持有人利益向基金托管人追偿；</w:t>
      </w:r>
    </w:p>
    <w:p w14:paraId="5BA99FC7"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22、当基金管理人将其义务委托第三方处理时，应当对第三方处理有关基金事务的行为承担责任；</w:t>
      </w:r>
    </w:p>
    <w:p w14:paraId="156389CF"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23、以基金管理人名义，代表基金份额持有人利益行使诉讼权利或实施其他法律行为；</w:t>
      </w:r>
    </w:p>
    <w:p w14:paraId="26AA8EFC"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24、基金管理人在募集期间未能达到基金的备案条件，《基金合同》不能生效，基金管理人承担全部募集费用，将已募集资金加计银行同期存款利息在基金募集期结束后30日内退还基金认购人；</w:t>
      </w:r>
    </w:p>
    <w:p w14:paraId="783C29A4"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25、执行生效的基金份额持有人大会的决议；</w:t>
      </w:r>
    </w:p>
    <w:p w14:paraId="37167F73"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26、建立并保存基金份额持有人名册；</w:t>
      </w:r>
    </w:p>
    <w:p w14:paraId="752436D1"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27、法律法规及中国证监会规定的和《基金合同》约定的其他义务。</w:t>
      </w:r>
    </w:p>
    <w:p w14:paraId="0957DA2E" w14:textId="77777777" w:rsidR="00D51FDF" w:rsidRDefault="00D51FDF">
      <w:pPr>
        <w:autoSpaceDE w:val="0"/>
        <w:autoSpaceDN w:val="0"/>
        <w:adjustRightInd w:val="0"/>
        <w:spacing w:line="360" w:lineRule="auto"/>
        <w:ind w:firstLineChars="200" w:firstLine="480"/>
        <w:rPr>
          <w:rFonts w:asciiTheme="minorEastAsia" w:hAnsiTheme="minorEastAsia" w:cs="Times New Roman"/>
          <w:sz w:val="24"/>
          <w:szCs w:val="24"/>
        </w:rPr>
      </w:pPr>
    </w:p>
    <w:p w14:paraId="0A59B9B5" w14:textId="77777777" w:rsidR="00D51FDF" w:rsidRDefault="007F75F6">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2F360190"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1、基金管理人承诺不从事违反《中华人民共和国证券法》的行为，并承诺建立健全内部控制制度，采取有效措施，防止违反《中华人民共和国证券法》行为的发生； </w:t>
      </w:r>
    </w:p>
    <w:p w14:paraId="45E6BC9E"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2、基金管理人承诺不从事违反《基金法》的行为，并承诺建立健全内部风</w:t>
      </w:r>
      <w:r>
        <w:rPr>
          <w:rFonts w:asciiTheme="minorEastAsia" w:hAnsiTheme="minorEastAsia" w:cs="Times New Roman"/>
          <w:sz w:val="24"/>
          <w:szCs w:val="24"/>
        </w:rPr>
        <w:lastRenderedPageBreak/>
        <w:t>险控制制度，采取有效措施，防止下列行为的发生：</w:t>
      </w:r>
    </w:p>
    <w:p w14:paraId="3FDEC1EE"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1）将基金管理人固有财产或者他人财产混同于基金财产从事证券投资；</w:t>
      </w:r>
    </w:p>
    <w:p w14:paraId="5FC29AB4"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2）不公平地对待管理的不同基金财产；</w:t>
      </w:r>
    </w:p>
    <w:p w14:paraId="47B5E406"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3）利用基金财产或者职务之便为基金份额持有人以外的第三人牟取利益；</w:t>
      </w:r>
    </w:p>
    <w:p w14:paraId="27F9A4F4"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4）向基金份额持有人违规承诺收益或者承担损失；</w:t>
      </w:r>
    </w:p>
    <w:p w14:paraId="2F39F843"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5）侵占、挪用基金财产；</w:t>
      </w:r>
    </w:p>
    <w:p w14:paraId="5DF5F117"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6）泄露因职务便利获取的未公开信息、利用该信息从事或者明示、暗示他人从事相关的交易活动；</w:t>
      </w:r>
    </w:p>
    <w:p w14:paraId="3F2ED586"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7）玩忽职守，不按照规定履行职责；</w:t>
      </w:r>
    </w:p>
    <w:p w14:paraId="02C24B2D"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 xml:space="preserve">8）法律、行政法规和中国证监会规定禁止的其他行为。 </w:t>
      </w:r>
    </w:p>
    <w:p w14:paraId="72CABA7D"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3、基金管理人承诺严格遵守基金合同，并承诺建立健全内部控制制度，采取有效措施，防止违反基金合同行为的发生； </w:t>
      </w:r>
    </w:p>
    <w:p w14:paraId="66612FA4"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4、基金管理人承诺加强人员管理，强化职业操守，督促和约束员工遵守国家有关法律法规及行业规范，诚实信用、勤勉尽责；</w:t>
      </w:r>
    </w:p>
    <w:p w14:paraId="396D9C71"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5、基金管理人承诺不从事其他法规规定禁止从事的行为。 </w:t>
      </w:r>
    </w:p>
    <w:p w14:paraId="3D176A2D" w14:textId="77777777" w:rsidR="00D51FDF" w:rsidRDefault="00D51FDF">
      <w:pPr>
        <w:autoSpaceDE w:val="0"/>
        <w:autoSpaceDN w:val="0"/>
        <w:adjustRightInd w:val="0"/>
        <w:spacing w:line="360" w:lineRule="auto"/>
        <w:ind w:firstLineChars="200" w:firstLine="480"/>
        <w:rPr>
          <w:rFonts w:asciiTheme="minorEastAsia" w:hAnsiTheme="minorEastAsia" w:cs="Times New Roman"/>
          <w:sz w:val="24"/>
          <w:szCs w:val="24"/>
        </w:rPr>
      </w:pPr>
    </w:p>
    <w:p w14:paraId="465112FE" w14:textId="77777777" w:rsidR="00D51FDF" w:rsidRDefault="007F75F6">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2F528187"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1、依照有关法律法规和基金合同的规定，本着谨慎的原则为基金份额持有人谋取最大利益；</w:t>
      </w:r>
    </w:p>
    <w:p w14:paraId="0B3FD710"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2、不利用职务之便为自己、受雇人或任何第三者牟取利益； </w:t>
      </w:r>
    </w:p>
    <w:p w14:paraId="2B2A2B13"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3、不泄露在任职期间知悉的有关证券、基金的商业秘密，尚未依法公开的基金投资内容、基金投资计划等信息，或利用该信息从事或者明示、暗示他人从事相关的交易活动；</w:t>
      </w:r>
    </w:p>
    <w:p w14:paraId="0BC33C77" w14:textId="77777777" w:rsidR="00D51FDF" w:rsidRDefault="007F75F6">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4、不以任何形式为其他组织或个人进行证券交易。</w:t>
      </w:r>
    </w:p>
    <w:p w14:paraId="5BF35C6C" w14:textId="77777777" w:rsidR="00D51FDF" w:rsidRDefault="00D51FDF">
      <w:pPr>
        <w:autoSpaceDE w:val="0"/>
        <w:autoSpaceDN w:val="0"/>
        <w:adjustRightInd w:val="0"/>
        <w:spacing w:line="360" w:lineRule="auto"/>
        <w:ind w:firstLineChars="200" w:firstLine="480"/>
        <w:rPr>
          <w:rFonts w:asciiTheme="minorEastAsia" w:hAnsiTheme="minorEastAsia" w:cs="Times New Roman"/>
          <w:sz w:val="24"/>
          <w:szCs w:val="24"/>
        </w:rPr>
      </w:pPr>
    </w:p>
    <w:p w14:paraId="222D881B" w14:textId="77777777" w:rsidR="00D51FDF" w:rsidRDefault="007F75F6">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47CB4ABA"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6" w:name="_Toc352229750"/>
      <w:bookmarkStart w:id="87" w:name="_Toc416264540"/>
      <w:bookmarkStart w:id="88" w:name="_Toc410197818"/>
      <w:bookmarkStart w:id="89" w:name="_Toc263092312"/>
      <w:bookmarkEnd w:id="69"/>
      <w:bookmarkEnd w:id="70"/>
      <w:bookmarkEnd w:id="71"/>
      <w:r>
        <w:rPr>
          <w:rFonts w:asciiTheme="minorEastAsia" w:hAnsiTheme="minorEastAsia" w:cs="Arial"/>
          <w:sz w:val="24"/>
          <w:szCs w:val="24"/>
        </w:rPr>
        <w:t>1、风险控制目标</w:t>
      </w:r>
    </w:p>
    <w:p w14:paraId="5CFE9005"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1）在有效控制风险的前提下，实现基金份额持有人利益最大化；</w:t>
      </w:r>
    </w:p>
    <w:p w14:paraId="2CE7F07A"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2）确保国家有关法律法规、行业规章和公司各项规章制度的贯彻执行；</w:t>
      </w:r>
    </w:p>
    <w:p w14:paraId="590137EF"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3）建立符合现代企业制度要求的法人治理结构，形成科学合理的决策机</w:t>
      </w:r>
      <w:r>
        <w:rPr>
          <w:rFonts w:asciiTheme="minorEastAsia" w:hAnsiTheme="minorEastAsia" w:cs="Arial"/>
          <w:sz w:val="24"/>
          <w:szCs w:val="24"/>
        </w:rPr>
        <w:lastRenderedPageBreak/>
        <w:t>制、执行机制和监督机制；</w:t>
      </w:r>
    </w:p>
    <w:p w14:paraId="1ECBADD5"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4）将各种风险控制在合理的范围内，保障公司发展战略和经营目标的全面实施，维护基金份额持有人、公司及公司股东的合法权益；</w:t>
      </w:r>
    </w:p>
    <w:p w14:paraId="06D88E56"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5）建立行之有效的风险控制系统，保障业务稳健运行，减轻或规避各种风险对公司发展战略和经营目标的干扰。</w:t>
      </w:r>
    </w:p>
    <w:p w14:paraId="3CD9376F"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2、建立风险控制制度应遵循的原则</w:t>
      </w:r>
    </w:p>
    <w:p w14:paraId="74306E05"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1）全面性原则：风险控制制度应覆盖公司的各项业务、各个部门和各级人员，并渗透到决策、执行、监督、反馈等各个经营环节；</w:t>
      </w:r>
    </w:p>
    <w:p w14:paraId="00F9A7B6"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（2）审慎性原则：内部风险控制的核心是有效防范各种风险，公司组织体系的构成、内部管理制度的建立都要以防范风险、审慎经营为出发点；</w:t>
      </w:r>
    </w:p>
    <w:p w14:paraId="04A3A832"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157826B0"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3D70E677"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 xml:space="preserve"> （5）适时性原则：内部风险控制应随着公司经营战略、经营方针、经营理念等内部环境的变化和国家法律、法规、政策制度等外部环境的改变及时进行相应的修改和完善；</w:t>
      </w:r>
    </w:p>
    <w:p w14:paraId="2F464A77"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3、风险控制体系</w:t>
      </w:r>
    </w:p>
    <w:p w14:paraId="36A37E1D"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1）风险控制制度体系</w:t>
      </w:r>
    </w:p>
    <w:p w14:paraId="3929F1EE"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193317AC"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2）风险控制组织体系</w:t>
      </w:r>
    </w:p>
    <w:p w14:paraId="581FDDA7"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59872409"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307E5B57"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w:t>
      </w:r>
      <w:r>
        <w:rPr>
          <w:rFonts w:asciiTheme="minorEastAsia" w:hAnsiTheme="minorEastAsia" w:cs="Arial" w:hint="eastAsia"/>
          <w:sz w:val="24"/>
          <w:szCs w:val="24"/>
        </w:rPr>
        <w:lastRenderedPageBreak/>
        <w:t>行研究并提出处理意见；提议聘请或更换外部审计机构；对重大关联交易进行审计；指导经理层所设立的风险管理委员会的工作；董事会赋予的其他职责。</w:t>
      </w:r>
    </w:p>
    <w:p w14:paraId="7A82EBEC"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0BA1BC57"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第二层次：公司经营管理层包括风险管理委员会、监察稽核部及各职能部门对经营风险的预防和控制。</w:t>
      </w:r>
    </w:p>
    <w:p w14:paraId="56C315F8" w14:textId="77777777" w:rsidR="00D51FDF" w:rsidRDefault="007F75F6">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152EA60F"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39A5548F"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6A9B3E4"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4、关于授权、研究、投资、交易等方面的控制点</w:t>
      </w:r>
    </w:p>
    <w:p w14:paraId="0766DF50"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1）授权制度</w:t>
      </w:r>
    </w:p>
    <w:p w14:paraId="1091BD5B"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w:t>
      </w:r>
      <w:r>
        <w:rPr>
          <w:rFonts w:asciiTheme="minorEastAsia" w:hAnsiTheme="minorEastAsia" w:cs="Arial" w:hint="eastAsia"/>
          <w:sz w:val="24"/>
          <w:szCs w:val="24"/>
        </w:rPr>
        <w:lastRenderedPageBreak/>
        <w:t>式，授权书应当明确授权内容和时效；公司授权要适当，对已获授权的部门和人员应建立有效的评价和反馈机制，对已不适用的授权应及时修改或取消授权。</w:t>
      </w:r>
    </w:p>
    <w:p w14:paraId="421A15DD"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2）研究业务</w:t>
      </w:r>
    </w:p>
    <w:p w14:paraId="7DC595E6"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01497DC"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3）基金投资业务</w:t>
      </w:r>
    </w:p>
    <w:p w14:paraId="51129DC6"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523BA060"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4）交易业务</w:t>
      </w:r>
    </w:p>
    <w:p w14:paraId="54846ED9"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779D4ADA"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5）基金会计核算</w:t>
      </w:r>
    </w:p>
    <w:p w14:paraId="684D8D19"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022AD453"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6）信息披露</w:t>
      </w:r>
    </w:p>
    <w:p w14:paraId="40201845"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2A4FD7AD"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7）监察稽核</w:t>
      </w:r>
    </w:p>
    <w:p w14:paraId="5411D2B3"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ACD0879"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36CAF5EE"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sz w:val="24"/>
          <w:szCs w:val="24"/>
        </w:rPr>
        <w:t>5、风险管理和内部控制的措施</w:t>
      </w:r>
    </w:p>
    <w:p w14:paraId="23497B7D"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1）建立内控结构，完善内控制度：公司建立、健全了内控结构，高管人员具有明确的内控分工，确保各项业务活动有恰当的组织和授权，确保监察活动的独立进行，并得到高管人员的支持。</w:t>
      </w:r>
    </w:p>
    <w:p w14:paraId="55131D96"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5962DFA7"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3）建立、健全岗位责任制：建立、健全了岗位责任制，使每个员工都明确自己的任务、职责，并及时将各自工作领域中的风险隐患上报，以防范和减少风险。</w:t>
      </w:r>
    </w:p>
    <w:p w14:paraId="412AF38B"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27CDE839"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5）建立有效的内部监控系统：建立了足够、有效的内部监控系统，如计算机预警系统、投资监控系统，能对可能出现的各种风险进行全面和实时的监控。</w:t>
      </w:r>
    </w:p>
    <w:p w14:paraId="2152AC8C"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7BB24887" w14:textId="77777777" w:rsidR="00D51FDF" w:rsidRDefault="007F75F6">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w:t>
      </w:r>
      <w:r>
        <w:rPr>
          <w:rFonts w:asciiTheme="minorEastAsia" w:hAnsiTheme="minorEastAsia" w:cs="Arial"/>
          <w:sz w:val="24"/>
          <w:szCs w:val="24"/>
        </w:rPr>
        <w:t>7）提供足够的培训：制定了完整的培训计划，为所有员工提供足够和适当的培训，使员工明确其职责所在，控制风险。</w:t>
      </w:r>
    </w:p>
    <w:p w14:paraId="019562CD" w14:textId="77777777" w:rsidR="00D51FDF" w:rsidRDefault="007F75F6">
      <w:pPr>
        <w:widowControl/>
        <w:adjustRightInd w:val="0"/>
        <w:snapToGrid w:val="0"/>
        <w:spacing w:line="360" w:lineRule="auto"/>
        <w:ind w:firstLineChars="200" w:firstLine="480"/>
        <w:rPr>
          <w:rFonts w:asciiTheme="minorEastAsia" w:hAnsiTheme="minorEastAsia" w:cs="Arial"/>
          <w:b/>
          <w:bCs/>
          <w:kern w:val="0"/>
          <w:sz w:val="28"/>
          <w:szCs w:val="28"/>
        </w:rPr>
        <w:sectPr w:rsidR="00D51FDF">
          <w:pgSz w:w="11906" w:h="16838"/>
          <w:pgMar w:top="1440" w:right="1800" w:bottom="1440" w:left="1800" w:header="851" w:footer="992" w:gutter="0"/>
          <w:pgNumType w:chapStyle="1"/>
          <w:cols w:space="720"/>
          <w:docGrid w:type="lines" w:linePitch="312"/>
        </w:sectPr>
      </w:pPr>
      <w:r>
        <w:rPr>
          <w:rFonts w:asciiTheme="minorEastAsia" w:hAnsiTheme="minorEastAsia" w:cs="Arial"/>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90" w:name="_Toc238013745"/>
      <w:bookmarkStart w:id="91" w:name="_Toc238027832"/>
      <w:bookmarkEnd w:id="90"/>
      <w:bookmarkEnd w:id="91"/>
    </w:p>
    <w:p w14:paraId="5AFBFA68" w14:textId="77777777" w:rsidR="00D51FDF" w:rsidRDefault="007F75F6">
      <w:pPr>
        <w:pStyle w:val="1"/>
        <w:jc w:val="center"/>
        <w:rPr>
          <w:rFonts w:asciiTheme="minorEastAsia" w:eastAsiaTheme="minorEastAsia" w:hAnsiTheme="minorEastAsia"/>
          <w:sz w:val="30"/>
          <w:szCs w:val="30"/>
        </w:rPr>
      </w:pPr>
      <w:bookmarkStart w:id="92" w:name="_Toc2677405"/>
      <w:r>
        <w:rPr>
          <w:rFonts w:asciiTheme="minorEastAsia" w:eastAsiaTheme="minorEastAsia" w:hAnsiTheme="minorEastAsia" w:hint="eastAsia"/>
          <w:sz w:val="30"/>
          <w:szCs w:val="30"/>
        </w:rPr>
        <w:lastRenderedPageBreak/>
        <w:t>第四部分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基金托管人</w:t>
      </w:r>
      <w:bookmarkEnd w:id="92"/>
    </w:p>
    <w:p w14:paraId="0FC260DF" w14:textId="77777777" w:rsidR="00D51FDF" w:rsidRDefault="007F75F6">
      <w:pPr>
        <w:tabs>
          <w:tab w:val="left" w:pos="2160"/>
        </w:tabs>
        <w:adjustRightInd w:val="0"/>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一、基本情况</w:t>
      </w:r>
    </w:p>
    <w:p w14:paraId="1010ECE0"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名称：中国光大银行股份有限公司</w:t>
      </w:r>
    </w:p>
    <w:p w14:paraId="745C189A"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住所及办公地址：北京市西城区太平桥大街25 号、甲25 号中国光大中心</w:t>
      </w:r>
    </w:p>
    <w:p w14:paraId="0C28B3E0"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成立日期：</w:t>
      </w:r>
      <w:r>
        <w:rPr>
          <w:rFonts w:ascii="宋体" w:hAnsi="宋体" w:cs="宋体"/>
          <w:sz w:val="24"/>
          <w:szCs w:val="24"/>
        </w:rPr>
        <w:t>1992</w:t>
      </w:r>
      <w:r>
        <w:rPr>
          <w:rFonts w:ascii="宋体" w:hAnsi="宋体" w:cs="宋体" w:hint="eastAsia"/>
          <w:sz w:val="24"/>
          <w:szCs w:val="24"/>
        </w:rPr>
        <w:t>年6月</w:t>
      </w:r>
      <w:r>
        <w:rPr>
          <w:rFonts w:ascii="宋体" w:hAnsi="宋体" w:cs="宋体"/>
          <w:sz w:val="24"/>
          <w:szCs w:val="24"/>
        </w:rPr>
        <w:t>18</w:t>
      </w:r>
      <w:r>
        <w:rPr>
          <w:rFonts w:ascii="宋体" w:hAnsi="宋体" w:cs="宋体" w:hint="eastAsia"/>
          <w:sz w:val="24"/>
          <w:szCs w:val="24"/>
        </w:rPr>
        <w:t>日</w:t>
      </w:r>
    </w:p>
    <w:p w14:paraId="10894975"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批准设立机关和批准设立文号：国务院、国函[1992]7号</w:t>
      </w:r>
    </w:p>
    <w:p w14:paraId="7DD3C001"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组织形式：股份有限公司</w:t>
      </w:r>
    </w:p>
    <w:p w14:paraId="3F79D089"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注册资本：466.79095亿元人民币</w:t>
      </w:r>
    </w:p>
    <w:p w14:paraId="3F420072"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法定代表人：李晓鹏</w:t>
      </w:r>
    </w:p>
    <w:p w14:paraId="6217E5BC"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基金托管业务批准文号：中国证监会</w:t>
      </w:r>
      <w:proofErr w:type="gramStart"/>
      <w:r>
        <w:rPr>
          <w:rFonts w:ascii="宋体" w:hAnsi="宋体" w:cs="宋体" w:hint="eastAsia"/>
          <w:sz w:val="24"/>
          <w:szCs w:val="24"/>
        </w:rPr>
        <w:t>证监基字</w:t>
      </w:r>
      <w:proofErr w:type="gramEnd"/>
      <w:r>
        <w:rPr>
          <w:rFonts w:ascii="宋体" w:hAnsi="宋体" w:cs="宋体" w:hint="eastAsia"/>
          <w:sz w:val="24"/>
          <w:szCs w:val="24"/>
        </w:rPr>
        <w:t>【</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75</w:t>
      </w:r>
      <w:r>
        <w:rPr>
          <w:rFonts w:ascii="宋体" w:hAnsi="宋体" w:cs="宋体" w:hint="eastAsia"/>
          <w:sz w:val="24"/>
          <w:szCs w:val="24"/>
        </w:rPr>
        <w:t>号</w:t>
      </w:r>
    </w:p>
    <w:p w14:paraId="49D552B6"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资产托管部总经理：李守靖</w:t>
      </w:r>
    </w:p>
    <w:p w14:paraId="17D2DBCC"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电话：（</w:t>
      </w:r>
      <w:r>
        <w:rPr>
          <w:rFonts w:ascii="宋体" w:hAnsi="宋体" w:cs="宋体"/>
          <w:sz w:val="24"/>
          <w:szCs w:val="24"/>
        </w:rPr>
        <w:t>010</w:t>
      </w:r>
      <w:r>
        <w:rPr>
          <w:rFonts w:ascii="宋体" w:hAnsi="宋体" w:cs="宋体" w:hint="eastAsia"/>
          <w:sz w:val="24"/>
          <w:szCs w:val="24"/>
        </w:rPr>
        <w:t>）</w:t>
      </w:r>
      <w:r>
        <w:rPr>
          <w:rFonts w:ascii="宋体" w:hAnsi="宋体" w:cs="宋体"/>
          <w:sz w:val="24"/>
          <w:szCs w:val="24"/>
        </w:rPr>
        <w:t xml:space="preserve"> 63636363</w:t>
      </w:r>
    </w:p>
    <w:p w14:paraId="0F46E61F" w14:textId="77777777" w:rsidR="00B354CD" w:rsidRDefault="00B354CD" w:rsidP="00B354CD">
      <w:pPr>
        <w:spacing w:line="360" w:lineRule="auto"/>
        <w:ind w:firstLine="420"/>
        <w:rPr>
          <w:rFonts w:ascii="宋体" w:cs="宋体"/>
          <w:sz w:val="24"/>
          <w:szCs w:val="24"/>
        </w:rPr>
      </w:pPr>
      <w:r>
        <w:rPr>
          <w:rFonts w:ascii="宋体" w:hAnsi="宋体" w:cs="宋体" w:hint="eastAsia"/>
          <w:sz w:val="24"/>
          <w:szCs w:val="24"/>
        </w:rPr>
        <w:t>传真：（</w:t>
      </w:r>
      <w:r>
        <w:rPr>
          <w:rFonts w:ascii="宋体" w:hAnsi="宋体" w:cs="宋体"/>
          <w:sz w:val="24"/>
          <w:szCs w:val="24"/>
        </w:rPr>
        <w:t>010</w:t>
      </w:r>
      <w:r>
        <w:rPr>
          <w:rFonts w:ascii="宋体" w:hAnsi="宋体" w:cs="宋体" w:hint="eastAsia"/>
          <w:sz w:val="24"/>
          <w:szCs w:val="24"/>
        </w:rPr>
        <w:t>）</w:t>
      </w:r>
      <w:r>
        <w:rPr>
          <w:rFonts w:ascii="宋体" w:hAnsi="宋体" w:cs="宋体"/>
          <w:sz w:val="24"/>
          <w:szCs w:val="24"/>
        </w:rPr>
        <w:t xml:space="preserve"> 63639132</w:t>
      </w:r>
    </w:p>
    <w:p w14:paraId="103C6E83" w14:textId="47D25F68" w:rsidR="00D51FDF" w:rsidRDefault="00B354CD" w:rsidP="00B354CD">
      <w:pPr>
        <w:tabs>
          <w:tab w:val="left" w:pos="2160"/>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网址：</w:t>
      </w:r>
      <w:r>
        <w:rPr>
          <w:rFonts w:ascii="宋体" w:hAnsi="宋体" w:cs="宋体"/>
          <w:sz w:val="24"/>
          <w:szCs w:val="24"/>
        </w:rPr>
        <w:t>www.cebbank.com</w:t>
      </w:r>
    </w:p>
    <w:p w14:paraId="6CA2FC22" w14:textId="77777777" w:rsidR="00B354CD" w:rsidRPr="00B354CD" w:rsidRDefault="00B354CD" w:rsidP="00B354CD">
      <w:pPr>
        <w:tabs>
          <w:tab w:val="left" w:pos="2160"/>
        </w:tabs>
        <w:adjustRightInd w:val="0"/>
        <w:snapToGrid w:val="0"/>
        <w:spacing w:line="360" w:lineRule="auto"/>
        <w:ind w:firstLineChars="200" w:firstLine="480"/>
        <w:rPr>
          <w:rFonts w:asciiTheme="minorEastAsia" w:hAnsiTheme="minorEastAsia" w:cs="Times New Roman"/>
          <w:color w:val="000000"/>
          <w:sz w:val="24"/>
          <w:szCs w:val="24"/>
        </w:rPr>
      </w:pPr>
    </w:p>
    <w:p w14:paraId="7968601E" w14:textId="77777777" w:rsidR="00D51FDF" w:rsidRDefault="007F75F6">
      <w:pPr>
        <w:tabs>
          <w:tab w:val="left" w:pos="2160"/>
        </w:tabs>
        <w:adjustRightInd w:val="0"/>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二、</w:t>
      </w:r>
      <w:r>
        <w:rPr>
          <w:rFonts w:ascii="宋体" w:hAnsi="宋体" w:cs="宋体" w:hint="eastAsia"/>
          <w:b/>
          <w:bCs/>
          <w:color w:val="000000"/>
          <w:sz w:val="24"/>
          <w:szCs w:val="24"/>
        </w:rPr>
        <w:t>资产托管部部门</w:t>
      </w:r>
      <w:r>
        <w:rPr>
          <w:rFonts w:asciiTheme="minorEastAsia" w:hAnsiTheme="minorEastAsia" w:cs="宋体" w:hint="eastAsia"/>
          <w:b/>
          <w:bCs/>
          <w:color w:val="000000"/>
          <w:sz w:val="24"/>
          <w:szCs w:val="24"/>
        </w:rPr>
        <w:t>及主要人员情况</w:t>
      </w:r>
    </w:p>
    <w:p w14:paraId="02949EFB" w14:textId="77777777" w:rsidR="00B354CD" w:rsidRDefault="00B354CD" w:rsidP="00B354CD">
      <w:pPr>
        <w:spacing w:line="360" w:lineRule="auto"/>
        <w:ind w:firstLine="420"/>
        <w:rPr>
          <w:rFonts w:ascii="宋体" w:hAnsi="宋体" w:cs="宋体"/>
          <w:sz w:val="24"/>
          <w:szCs w:val="24"/>
        </w:rPr>
      </w:pPr>
      <w:bookmarkStart w:id="93" w:name="OLE_LINK6"/>
      <w:r>
        <w:rPr>
          <w:rFonts w:ascii="宋体" w:hAnsi="宋体" w:cs="宋体" w:hint="eastAsia"/>
          <w:sz w:val="24"/>
          <w:szCs w:val="24"/>
        </w:rPr>
        <w:t>法定代表人李晓鹏</w:t>
      </w:r>
      <w:r w:rsidRPr="00F93327">
        <w:rPr>
          <w:rFonts w:ascii="宋体" w:hAnsi="宋体" w:cs="宋体" w:hint="eastAsia"/>
          <w:sz w:val="24"/>
          <w:szCs w:val="24"/>
        </w:rPr>
        <w:t>先生，自2018年3月起任本行董事长、2017年12月起任本行党委书记。现任中国光大集团股份公司党委书记、董事长，兼任中共中国光大集团党校、光大大学名誉校长，中国光大集团有限公司董事长，中国国际商会副会长，香港中国企业协会名誉会长。曾任中国工商银行河南省分行党组成员、副行长，中国工商银行总行营业部总经理，中国工商银行四川省分行党委书记、行长，中国华融资</w:t>
      </w:r>
      <w:proofErr w:type="gramStart"/>
      <w:r w:rsidRPr="00F93327">
        <w:rPr>
          <w:rFonts w:ascii="宋体" w:hAnsi="宋体" w:cs="宋体" w:hint="eastAsia"/>
          <w:sz w:val="24"/>
          <w:szCs w:val="24"/>
        </w:rPr>
        <w:t>产管理</w:t>
      </w:r>
      <w:proofErr w:type="gramEnd"/>
      <w:r w:rsidRPr="00F93327">
        <w:rPr>
          <w:rFonts w:ascii="宋体" w:hAnsi="宋体" w:cs="宋体" w:hint="eastAsia"/>
          <w:sz w:val="24"/>
          <w:szCs w:val="24"/>
        </w:rPr>
        <w:t>公司党委委员、副总裁，中国工商银行党委委员、行长助理兼北京市分行党委书记、行长，中国工商银行党委委员、执行董事、副行长，中国投资有限责任公司党委副书记、监事长，招商局集团有限公司党委副书记、副董事长、总经理。曾兼任工银国际控股有限公司董事长、工银金融租赁有限公司董事长、</w:t>
      </w:r>
      <w:proofErr w:type="gramStart"/>
      <w:r w:rsidRPr="00F93327">
        <w:rPr>
          <w:rFonts w:ascii="宋体" w:hAnsi="宋体" w:cs="宋体" w:hint="eastAsia"/>
          <w:sz w:val="24"/>
          <w:szCs w:val="24"/>
        </w:rPr>
        <w:t>工银瑞信</w:t>
      </w:r>
      <w:proofErr w:type="gramEnd"/>
      <w:r w:rsidRPr="00F93327">
        <w:rPr>
          <w:rFonts w:ascii="宋体" w:hAnsi="宋体" w:cs="宋体" w:hint="eastAsia"/>
          <w:sz w:val="24"/>
          <w:szCs w:val="24"/>
        </w:rPr>
        <w:t>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毕业于武汉</w:t>
      </w:r>
      <w:r w:rsidRPr="00F93327">
        <w:rPr>
          <w:rFonts w:ascii="宋体" w:hAnsi="宋体" w:cs="宋体" w:hint="eastAsia"/>
          <w:sz w:val="24"/>
          <w:szCs w:val="24"/>
        </w:rPr>
        <w:lastRenderedPageBreak/>
        <w:t>大学金融学专业，获经济学博士学位，高级经济师。第十三届全国政协经济委员会委员</w:t>
      </w:r>
      <w:r>
        <w:rPr>
          <w:rFonts w:ascii="宋体" w:hAnsi="宋体" w:cs="宋体" w:hint="eastAsia"/>
          <w:sz w:val="24"/>
          <w:szCs w:val="24"/>
        </w:rPr>
        <w:t>。</w:t>
      </w:r>
    </w:p>
    <w:p w14:paraId="1AA3BA1C" w14:textId="77777777" w:rsidR="00B354CD" w:rsidRPr="00F93327" w:rsidRDefault="00B354CD" w:rsidP="00B354CD">
      <w:pPr>
        <w:tabs>
          <w:tab w:val="left" w:pos="2160"/>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行长</w:t>
      </w:r>
      <w:r w:rsidRPr="00002E0A">
        <w:rPr>
          <w:rFonts w:ascii="宋体" w:hAnsi="宋体" w:cs="宋体" w:hint="eastAsia"/>
          <w:sz w:val="24"/>
          <w:szCs w:val="24"/>
        </w:rPr>
        <w:t>付万军先生</w:t>
      </w:r>
      <w:r>
        <w:rPr>
          <w:rFonts w:ascii="宋体" w:hAnsi="宋体" w:cs="宋体" w:hint="eastAsia"/>
          <w:sz w:val="24"/>
          <w:szCs w:val="24"/>
        </w:rPr>
        <w:t>，</w:t>
      </w:r>
      <w:r w:rsidRPr="00002E0A">
        <w:rPr>
          <w:rFonts w:ascii="宋体" w:hAnsi="宋体" w:cs="宋体" w:hint="eastAsia"/>
          <w:sz w:val="24"/>
          <w:szCs w:val="24"/>
        </w:rPr>
        <w:t>自2021年6月起任本行行长，2021年4月起任本行党委副书记，2021年2月起任本行董事。现任中国光大集团股份公司党委委员、执行董事(候任)。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w:t>
      </w:r>
      <w:r>
        <w:rPr>
          <w:rFonts w:ascii="宋体" w:hAnsi="宋体" w:cs="宋体" w:hint="eastAsia"/>
          <w:sz w:val="24"/>
          <w:szCs w:val="24"/>
        </w:rPr>
        <w:t>；</w:t>
      </w:r>
      <w:r w:rsidRPr="00002E0A">
        <w:rPr>
          <w:rFonts w:ascii="宋体" w:hAnsi="宋体" w:cs="宋体" w:hint="eastAsia"/>
          <w:sz w:val="24"/>
          <w:szCs w:val="24"/>
        </w:rPr>
        <w:t>中国光大集团股份公司副总经理。获大连理工大学高级管理人员工商管理硕士学位，高级经济师。</w:t>
      </w:r>
    </w:p>
    <w:p w14:paraId="6C203F27" w14:textId="730A81CA" w:rsidR="00D51FDF" w:rsidRDefault="00B354CD">
      <w:pPr>
        <w:tabs>
          <w:tab w:val="left" w:pos="2160"/>
        </w:tabs>
        <w:adjustRightInd w:val="0"/>
        <w:snapToGrid w:val="0"/>
        <w:spacing w:line="360" w:lineRule="auto"/>
        <w:ind w:firstLineChars="200" w:firstLine="480"/>
        <w:rPr>
          <w:rFonts w:ascii="宋体" w:hAnsi="宋体" w:cs="宋体"/>
          <w:sz w:val="24"/>
          <w:szCs w:val="24"/>
          <w:lang w:val="zh-CN"/>
        </w:rPr>
      </w:pPr>
      <w:r>
        <w:rPr>
          <w:rFonts w:ascii="宋体" w:hAnsi="宋体" w:cs="宋体" w:hint="eastAsia"/>
          <w:sz w:val="24"/>
          <w:szCs w:val="24"/>
        </w:rPr>
        <w:t>李守靖</w:t>
      </w:r>
      <w:r>
        <w:rPr>
          <w:rFonts w:ascii="宋体" w:hAnsi="宋体" w:cs="宋体" w:hint="eastAsia"/>
          <w:sz w:val="24"/>
          <w:szCs w:val="24"/>
          <w:lang w:val="zh-CN"/>
        </w:rPr>
        <w:t>先生，曾任中国光大银行海口分行部门总经理，行长助理，副行长；中国光大银行南宁分行副行长（主持工作）、行长。现任中国光大银行</w:t>
      </w:r>
      <w:r>
        <w:rPr>
          <w:rFonts w:ascii="宋体" w:hAnsi="宋体" w:cs="宋体" w:hint="eastAsia"/>
          <w:sz w:val="24"/>
          <w:szCs w:val="24"/>
        </w:rPr>
        <w:t>资产托管</w:t>
      </w:r>
      <w:r>
        <w:rPr>
          <w:rFonts w:ascii="宋体" w:hAnsi="宋体" w:cs="宋体" w:hint="eastAsia"/>
          <w:sz w:val="24"/>
          <w:szCs w:val="24"/>
          <w:lang w:val="zh-CN"/>
        </w:rPr>
        <w:t>部总经理。</w:t>
      </w:r>
      <w:bookmarkEnd w:id="93"/>
    </w:p>
    <w:p w14:paraId="75222847" w14:textId="77777777" w:rsidR="00B354CD" w:rsidRDefault="00B354CD">
      <w:pPr>
        <w:tabs>
          <w:tab w:val="left" w:pos="2160"/>
        </w:tabs>
        <w:adjustRightInd w:val="0"/>
        <w:snapToGrid w:val="0"/>
        <w:spacing w:line="360" w:lineRule="auto"/>
        <w:ind w:firstLineChars="200" w:firstLine="480"/>
        <w:rPr>
          <w:rFonts w:asciiTheme="minorEastAsia" w:hAnsiTheme="minorEastAsia" w:cs="Times New Roman"/>
          <w:color w:val="000000"/>
          <w:sz w:val="24"/>
          <w:szCs w:val="24"/>
        </w:rPr>
      </w:pPr>
    </w:p>
    <w:p w14:paraId="2C23B0BB" w14:textId="77777777" w:rsidR="00D51FDF" w:rsidRDefault="007F75F6">
      <w:pPr>
        <w:tabs>
          <w:tab w:val="left" w:pos="2160"/>
        </w:tabs>
        <w:adjustRightInd w:val="0"/>
        <w:snapToGrid w:val="0"/>
        <w:spacing w:line="360" w:lineRule="auto"/>
        <w:rPr>
          <w:rFonts w:asciiTheme="minorEastAsia" w:hAnsiTheme="minorEastAsia" w:cs="宋体"/>
          <w:b/>
          <w:bCs/>
          <w:color w:val="000000"/>
          <w:sz w:val="24"/>
          <w:szCs w:val="24"/>
        </w:rPr>
      </w:pPr>
      <w:r>
        <w:rPr>
          <w:rFonts w:asciiTheme="minorEastAsia" w:hAnsiTheme="minorEastAsia" w:cs="Times New Roman"/>
          <w:color w:val="000000"/>
          <w:sz w:val="24"/>
          <w:szCs w:val="24"/>
        </w:rPr>
        <w:t xml:space="preserve">    </w:t>
      </w:r>
      <w:r>
        <w:rPr>
          <w:rFonts w:asciiTheme="minorEastAsia" w:hAnsiTheme="minorEastAsia" w:cs="宋体" w:hint="eastAsia"/>
          <w:b/>
          <w:bCs/>
          <w:color w:val="000000"/>
          <w:sz w:val="24"/>
          <w:szCs w:val="24"/>
        </w:rPr>
        <w:t>三、证券投资基金托管情况</w:t>
      </w:r>
    </w:p>
    <w:p w14:paraId="3D7031B4" w14:textId="77777777" w:rsidR="00B354CD" w:rsidRDefault="00B354CD" w:rsidP="00B354CD">
      <w:pPr>
        <w:spacing w:line="360" w:lineRule="auto"/>
        <w:ind w:firstLine="420"/>
        <w:rPr>
          <w:rFonts w:ascii="宋体" w:hAnsi="宋体" w:cs="宋体"/>
          <w:sz w:val="24"/>
          <w:szCs w:val="24"/>
          <w:lang w:val="zh-CN"/>
        </w:rPr>
      </w:pPr>
      <w:bookmarkStart w:id="94" w:name="OLE_LINK3"/>
      <w:r>
        <w:rPr>
          <w:rFonts w:ascii="宋体" w:hAnsi="宋体" w:cs="宋体" w:hint="eastAsia"/>
          <w:sz w:val="24"/>
          <w:szCs w:val="24"/>
          <w:lang w:val="zh-CN"/>
        </w:rPr>
        <w:t>截至20</w:t>
      </w:r>
      <w:r>
        <w:rPr>
          <w:rFonts w:ascii="宋体" w:hAnsi="宋体" w:cs="宋体" w:hint="eastAsia"/>
          <w:sz w:val="24"/>
          <w:szCs w:val="24"/>
        </w:rPr>
        <w:t>21</w:t>
      </w:r>
      <w:r>
        <w:rPr>
          <w:rFonts w:ascii="宋体" w:hAnsi="宋体" w:cs="宋体" w:hint="eastAsia"/>
          <w:sz w:val="24"/>
          <w:szCs w:val="24"/>
          <w:lang w:val="zh-CN"/>
        </w:rPr>
        <w:t>年</w:t>
      </w:r>
      <w:r>
        <w:rPr>
          <w:rFonts w:ascii="宋体" w:hAnsi="宋体" w:cs="宋体" w:hint="eastAsia"/>
          <w:sz w:val="24"/>
          <w:szCs w:val="24"/>
        </w:rPr>
        <w:t>6</w:t>
      </w:r>
      <w:r>
        <w:rPr>
          <w:rFonts w:ascii="宋体" w:hAnsi="宋体" w:cs="宋体" w:hint="eastAsia"/>
          <w:sz w:val="24"/>
          <w:szCs w:val="24"/>
          <w:lang w:val="zh-CN"/>
        </w:rPr>
        <w:t>月30日，中国光大银行股份有限公司托管公开募集证券投资基金</w:t>
      </w:r>
      <w:r>
        <w:rPr>
          <w:rFonts w:ascii="宋体" w:hAnsi="宋体" w:cs="Arial" w:hint="eastAsia"/>
          <w:kern w:val="0"/>
          <w:sz w:val="24"/>
          <w:szCs w:val="24"/>
        </w:rPr>
        <w:t>共232</w:t>
      </w:r>
      <w:r>
        <w:rPr>
          <w:rFonts w:ascii="宋体" w:hAnsi="宋体" w:cs="宋体" w:hint="eastAsia"/>
          <w:sz w:val="24"/>
          <w:szCs w:val="24"/>
          <w:lang w:val="zh-CN"/>
        </w:rPr>
        <w:t>只，托管基金资产规模</w:t>
      </w:r>
      <w:r>
        <w:rPr>
          <w:rFonts w:ascii="宋体" w:hAnsi="宋体" w:cs="宋体" w:hint="eastAsia"/>
          <w:sz w:val="24"/>
          <w:szCs w:val="24"/>
        </w:rPr>
        <w:t>5206.12</w:t>
      </w:r>
      <w:r>
        <w:rPr>
          <w:rFonts w:ascii="宋体" w:hAnsi="宋体" w:cs="宋体" w:hint="eastAsia"/>
          <w:sz w:val="24"/>
          <w:szCs w:val="24"/>
          <w:lang w:val="zh-CN"/>
        </w:rPr>
        <w:t>亿元。同时，开展了证券公司资产管理计划、专户理财、职业年金、企业年金、</w:t>
      </w:r>
      <w:r>
        <w:rPr>
          <w:rFonts w:ascii="宋体" w:hAnsi="宋体" w:cs="宋体"/>
          <w:sz w:val="24"/>
          <w:szCs w:val="24"/>
          <w:lang w:val="zh-CN"/>
        </w:rPr>
        <w:t>QDII、银行理财、保险债权投资计划等资产的托管及信托公司资金信托计划、产业投资基金、股权基金等产品的保管业务。</w:t>
      </w:r>
    </w:p>
    <w:bookmarkEnd w:id="94"/>
    <w:p w14:paraId="5B0CF0DC" w14:textId="77777777" w:rsidR="00D51FDF" w:rsidRDefault="00D51FDF">
      <w:pPr>
        <w:spacing w:line="360" w:lineRule="auto"/>
        <w:ind w:firstLine="420"/>
        <w:rPr>
          <w:rFonts w:asciiTheme="minorEastAsia" w:hAnsiTheme="minorEastAsia" w:cs="宋体"/>
          <w:sz w:val="24"/>
          <w:szCs w:val="24"/>
          <w:lang w:val="zh-CN"/>
        </w:rPr>
      </w:pPr>
    </w:p>
    <w:p w14:paraId="1A81098E" w14:textId="77777777" w:rsidR="00D51FDF" w:rsidRDefault="007F75F6">
      <w:pPr>
        <w:tabs>
          <w:tab w:val="left" w:pos="2160"/>
        </w:tabs>
        <w:adjustRightInd w:val="0"/>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四、托管业务的内部控制制度</w:t>
      </w:r>
    </w:p>
    <w:p w14:paraId="0691B716" w14:textId="77777777" w:rsidR="00B354CD" w:rsidRDefault="00B354CD" w:rsidP="00B354CD">
      <w:pPr>
        <w:spacing w:line="360" w:lineRule="auto"/>
        <w:ind w:firstLine="420"/>
        <w:rPr>
          <w:rFonts w:ascii="宋体" w:hAnsi="宋体" w:cs="宋体"/>
          <w:sz w:val="24"/>
          <w:szCs w:val="24"/>
          <w:lang w:val="zh-CN"/>
        </w:rPr>
      </w:pPr>
      <w:bookmarkStart w:id="95" w:name="OLE_LINK4"/>
      <w:r>
        <w:rPr>
          <w:rFonts w:ascii="宋体" w:hAnsi="宋体" w:cs="宋体" w:hint="eastAsia"/>
          <w:sz w:val="24"/>
          <w:szCs w:val="24"/>
          <w:lang w:val="zh-CN"/>
        </w:rPr>
        <w:t>1、内部控制目标</w:t>
      </w:r>
    </w:p>
    <w:p w14:paraId="1F298329"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16999044"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2、内部控制的原则</w:t>
      </w:r>
    </w:p>
    <w:p w14:paraId="1C404869"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（1）全面性原则。内部控制必须渗透到基金托管业务的各个操作环节，覆盖所有的岗位，不留任何死角。</w:t>
      </w:r>
    </w:p>
    <w:p w14:paraId="6926B776"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（2）预防性原则。树立“预防为主”的管理理念，从风险发生的源头加强</w:t>
      </w:r>
      <w:r>
        <w:rPr>
          <w:rFonts w:ascii="宋体" w:hAnsi="宋体" w:cs="宋体" w:hint="eastAsia"/>
          <w:sz w:val="24"/>
          <w:szCs w:val="24"/>
          <w:lang w:val="zh-CN"/>
        </w:rPr>
        <w:lastRenderedPageBreak/>
        <w:t>内部控制，防患于未然，尽量避免业务操作中各种问题的产生。</w:t>
      </w:r>
    </w:p>
    <w:p w14:paraId="0D592979"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（3）及时性原则。建立健全各项规章制度，采取有效措施加强内部控制。发现问题，及时处理，堵塞漏洞。</w:t>
      </w:r>
    </w:p>
    <w:p w14:paraId="3098C73F"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（4）独立性原则。基金托管业务内部控制机构独立于基金托管业务执行机构，业务操作人员和内控人员分开，以保证内控机构的工作不受干扰。</w:t>
      </w:r>
    </w:p>
    <w:p w14:paraId="70208FE1"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3、内部控制组织结构</w:t>
      </w:r>
    </w:p>
    <w:p w14:paraId="2C3C9C55"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w:t>
      </w:r>
      <w:r>
        <w:rPr>
          <w:rFonts w:ascii="宋体" w:hAnsi="宋体" w:cs="宋体" w:hint="eastAsia"/>
          <w:sz w:val="24"/>
          <w:szCs w:val="24"/>
        </w:rPr>
        <w:t>资产托管</w:t>
      </w:r>
      <w:r>
        <w:rPr>
          <w:rFonts w:ascii="宋体" w:hAnsi="宋体" w:cs="宋体" w:hint="eastAsia"/>
          <w:sz w:val="24"/>
          <w:szCs w:val="24"/>
          <w:lang w:val="zh-CN"/>
        </w:rPr>
        <w:t>部建立了严密的内控督察体系，设立了投资监督与内控管理处，负责证券投资基金托管业务的</w:t>
      </w:r>
      <w:r>
        <w:rPr>
          <w:rFonts w:ascii="宋体" w:hAnsi="宋体" w:cs="宋体" w:hint="eastAsia"/>
          <w:sz w:val="24"/>
          <w:szCs w:val="24"/>
        </w:rPr>
        <w:t>内控</w:t>
      </w:r>
      <w:r>
        <w:rPr>
          <w:rFonts w:ascii="宋体" w:hAnsi="宋体" w:cs="宋体" w:hint="eastAsia"/>
          <w:sz w:val="24"/>
          <w:szCs w:val="24"/>
          <w:lang w:val="zh-CN"/>
        </w:rPr>
        <w:t>管理。</w:t>
      </w:r>
    </w:p>
    <w:p w14:paraId="2C462A71"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4、内部控制制度</w:t>
      </w:r>
    </w:p>
    <w:p w14:paraId="1AD7086B"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中国光大银行股份有限公司</w:t>
      </w:r>
      <w:r>
        <w:rPr>
          <w:rFonts w:ascii="宋体" w:hAnsi="宋体" w:cs="宋体" w:hint="eastAsia"/>
          <w:sz w:val="24"/>
          <w:szCs w:val="24"/>
        </w:rPr>
        <w:t>资产托管</w:t>
      </w:r>
      <w:r>
        <w:rPr>
          <w:rFonts w:ascii="宋体" w:hAnsi="宋体" w:cs="宋体" w:hint="eastAsia"/>
          <w:sz w:val="24"/>
          <w:szCs w:val="24"/>
          <w:lang w:val="zh-CN"/>
        </w:rPr>
        <w:t>部自成立以来严格遵照《基金法》、《中华人民共和国商业银行法》、《信息披露管理办法》、《运作办法》、《销售办法》等法律、法规的要求，并根据相关法律法规制订、完善了《中国光大银行证券投资基金托管业务内部控制规定》、《中国光大银行</w:t>
      </w:r>
      <w:r>
        <w:rPr>
          <w:rFonts w:ascii="宋体" w:hAnsi="宋体" w:cs="宋体" w:hint="eastAsia"/>
          <w:sz w:val="24"/>
          <w:szCs w:val="24"/>
        </w:rPr>
        <w:t>资产托管</w:t>
      </w:r>
      <w:r>
        <w:rPr>
          <w:rFonts w:ascii="宋体" w:hAnsi="宋体" w:cs="宋体" w:hint="eastAsia"/>
          <w:sz w:val="24"/>
          <w:szCs w:val="24"/>
          <w:lang w:val="zh-CN"/>
        </w:rPr>
        <w:t>部保密规定》等十余项规章制度和实施细则，将风险控制落实到每一个工作环节。中国光大银行</w:t>
      </w:r>
      <w:r>
        <w:rPr>
          <w:rFonts w:ascii="宋体" w:hAnsi="宋体" w:cs="宋体" w:hint="eastAsia"/>
          <w:sz w:val="24"/>
          <w:szCs w:val="24"/>
        </w:rPr>
        <w:t>资产托管</w:t>
      </w:r>
      <w:r>
        <w:rPr>
          <w:rFonts w:ascii="宋体" w:hAnsi="宋体" w:cs="宋体" w:hint="eastAsia"/>
          <w:sz w:val="24"/>
          <w:szCs w:val="24"/>
          <w:lang w:val="zh-CN"/>
        </w:rPr>
        <w:t>部以控制和防范基金托管业务风险为主线，在重要岗位（基金清算、基金核算、</w:t>
      </w:r>
      <w:r>
        <w:rPr>
          <w:rFonts w:ascii="宋体" w:hAnsi="宋体" w:cs="宋体" w:hint="eastAsia"/>
          <w:sz w:val="24"/>
          <w:szCs w:val="24"/>
        </w:rPr>
        <w:t>投资监督</w:t>
      </w:r>
      <w:r>
        <w:rPr>
          <w:rFonts w:ascii="宋体" w:hAnsi="宋体" w:cs="宋体" w:hint="eastAsia"/>
          <w:sz w:val="24"/>
          <w:szCs w:val="24"/>
          <w:lang w:val="zh-CN"/>
        </w:rPr>
        <w:t>）还建立了安全保密区，安装了录像监视系统和录音监听系统，以保障基金信息的安全。</w:t>
      </w:r>
    </w:p>
    <w:bookmarkEnd w:id="95"/>
    <w:p w14:paraId="32BC8EF6" w14:textId="0E810461" w:rsidR="00D51FDF" w:rsidRDefault="00D51FDF">
      <w:pPr>
        <w:spacing w:line="360" w:lineRule="auto"/>
        <w:ind w:firstLine="420"/>
        <w:rPr>
          <w:rFonts w:asciiTheme="minorEastAsia" w:hAnsiTheme="minorEastAsia" w:cs="宋体"/>
          <w:sz w:val="24"/>
          <w:szCs w:val="24"/>
          <w:lang w:val="zh-CN"/>
        </w:rPr>
      </w:pPr>
    </w:p>
    <w:p w14:paraId="06C53109" w14:textId="77777777" w:rsidR="00D51FDF" w:rsidRDefault="007F75F6">
      <w:pPr>
        <w:tabs>
          <w:tab w:val="left" w:pos="2160"/>
        </w:tabs>
        <w:adjustRightInd w:val="0"/>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五、托管人对管理人运作基金进行监督的方法和程序</w:t>
      </w:r>
    </w:p>
    <w:p w14:paraId="0A1881BE" w14:textId="77777777" w:rsidR="00B354CD" w:rsidRDefault="00B354CD" w:rsidP="00B354CD">
      <w:pPr>
        <w:spacing w:line="360" w:lineRule="auto"/>
        <w:ind w:firstLine="420"/>
        <w:rPr>
          <w:rFonts w:ascii="宋体" w:hAnsi="宋体" w:cs="宋体"/>
          <w:sz w:val="24"/>
          <w:szCs w:val="24"/>
          <w:lang w:val="zh-CN"/>
        </w:rPr>
      </w:pPr>
      <w:bookmarkStart w:id="96" w:name="OLE_LINK5"/>
      <w:bookmarkStart w:id="97" w:name="OLE_LINK7"/>
      <w:r>
        <w:rPr>
          <w:rFonts w:ascii="宋体" w:hAnsi="宋体" w:cs="宋体" w:hint="eastAsia"/>
          <w:sz w:val="24"/>
          <w:szCs w:val="24"/>
          <w:lang w:val="zh-CN"/>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Pr>
          <w:rFonts w:ascii="宋体" w:hAnsi="宋体" w:cs="宋体" w:hint="eastAsia"/>
          <w:sz w:val="24"/>
          <w:szCs w:val="24"/>
          <w:lang w:val="zh-CN"/>
        </w:rPr>
        <w:t>规</w:t>
      </w:r>
      <w:proofErr w:type="gramEnd"/>
      <w:r>
        <w:rPr>
          <w:rFonts w:ascii="宋体" w:hAnsi="宋体" w:cs="宋体" w:hint="eastAsia"/>
          <w:sz w:val="24"/>
          <w:szCs w:val="24"/>
          <w:lang w:val="zh-CN"/>
        </w:rPr>
        <w:t>性进行监督和核查。</w:t>
      </w:r>
    </w:p>
    <w:p w14:paraId="69360CDE" w14:textId="77777777" w:rsidR="00B354CD" w:rsidRDefault="00B354CD" w:rsidP="00B354CD">
      <w:pPr>
        <w:spacing w:line="360" w:lineRule="auto"/>
        <w:ind w:firstLine="420"/>
        <w:rPr>
          <w:rFonts w:ascii="宋体" w:hAnsi="宋体" w:cs="宋体"/>
          <w:sz w:val="24"/>
          <w:szCs w:val="24"/>
          <w:lang w:val="zh-CN"/>
        </w:rPr>
      </w:pPr>
      <w:r>
        <w:rPr>
          <w:rFonts w:ascii="宋体" w:hAnsi="宋体" w:cs="宋体" w:hint="eastAsia"/>
          <w:sz w:val="24"/>
          <w:szCs w:val="24"/>
          <w:lang w:val="zh-CN"/>
        </w:rPr>
        <w:t>基金托管人发现基金管理人的违反法律、法规和基金合同等规定的行为，及</w:t>
      </w:r>
      <w:r>
        <w:rPr>
          <w:rFonts w:ascii="宋体" w:hAnsi="宋体" w:cs="宋体" w:hint="eastAsia"/>
          <w:sz w:val="24"/>
          <w:szCs w:val="24"/>
          <w:lang w:val="zh-CN"/>
        </w:rPr>
        <w:lastRenderedPageBreak/>
        <w:t>时以</w:t>
      </w:r>
      <w:r>
        <w:rPr>
          <w:rFonts w:ascii="宋体" w:hAnsi="宋体" w:cs="宋体" w:hint="eastAsia"/>
          <w:sz w:val="24"/>
          <w:szCs w:val="24"/>
        </w:rPr>
        <w:t>邮件、电话或书面等</w:t>
      </w:r>
      <w:r>
        <w:rPr>
          <w:rFonts w:ascii="宋体" w:hAnsi="宋体" w:cs="宋体" w:hint="eastAsia"/>
          <w:sz w:val="24"/>
          <w:szCs w:val="24"/>
          <w:lang w:val="zh-CN"/>
        </w:rPr>
        <w:t>形式通知基金管理人限期纠正，基金管理人收到通知后应及时核对确认并以书面形式对基金托管人发出回函。在限期内，基金托管人有权随时对通知事项进行复查。基金管理人对基金托管人通知的违规事项未能在限期内纠正的，基金托管人应报告中国证监会。</w:t>
      </w:r>
      <w:bookmarkEnd w:id="96"/>
      <w:bookmarkEnd w:id="97"/>
    </w:p>
    <w:p w14:paraId="7CDDC598" w14:textId="207A2CE1" w:rsidR="00D51FDF" w:rsidRDefault="007F75F6">
      <w:pPr>
        <w:widowControl/>
        <w:spacing w:line="360" w:lineRule="auto"/>
        <w:ind w:firstLine="420"/>
        <w:jc w:val="left"/>
        <w:rPr>
          <w:rFonts w:asciiTheme="minorEastAsia" w:hAnsiTheme="minorEastAsia" w:cs="Arial"/>
          <w:bCs/>
          <w:color w:val="000000"/>
          <w:kern w:val="0"/>
          <w:sz w:val="24"/>
          <w:szCs w:val="24"/>
        </w:rPr>
      </w:pPr>
      <w:r>
        <w:rPr>
          <w:rFonts w:asciiTheme="minorEastAsia" w:hAnsiTheme="minorEastAsia" w:cs="Arial"/>
          <w:b/>
          <w:bCs/>
          <w:sz w:val="24"/>
          <w:szCs w:val="24"/>
        </w:rPr>
        <w:br w:type="page"/>
      </w:r>
    </w:p>
    <w:p w14:paraId="62F25965" w14:textId="77777777" w:rsidR="00D51FDF" w:rsidRDefault="007F75F6">
      <w:pPr>
        <w:pStyle w:val="1"/>
        <w:jc w:val="center"/>
        <w:rPr>
          <w:rFonts w:asciiTheme="minorEastAsia" w:eastAsiaTheme="minorEastAsia" w:hAnsiTheme="minorEastAsia"/>
          <w:sz w:val="30"/>
          <w:szCs w:val="30"/>
        </w:rPr>
      </w:pPr>
      <w:bookmarkStart w:id="98" w:name="_Toc416264541"/>
      <w:bookmarkStart w:id="99" w:name="_Toc263092313"/>
      <w:bookmarkStart w:id="100" w:name="_Toc214873594"/>
      <w:bookmarkStart w:id="101" w:name="_Toc2677406"/>
      <w:bookmarkStart w:id="102" w:name="_Toc98560352"/>
      <w:bookmarkStart w:id="103" w:name="_Toc123051452"/>
      <w:bookmarkStart w:id="104" w:name="_Toc610"/>
      <w:bookmarkStart w:id="105" w:name="_Toc7920"/>
      <w:bookmarkStart w:id="106" w:name="_Toc141703886"/>
      <w:bookmarkStart w:id="107" w:name="_Toc123112234"/>
      <w:bookmarkStart w:id="108" w:name="_Toc20733"/>
      <w:bookmarkStart w:id="109" w:name="_Toc352229752"/>
      <w:bookmarkStart w:id="110" w:name="_Toc352229751"/>
      <w:bookmarkStart w:id="111" w:name="_Toc123102453"/>
      <w:bookmarkStart w:id="112" w:name="_Toc1427"/>
      <w:bookmarkStart w:id="113" w:name="_Toc23822"/>
      <w:bookmarkStart w:id="114" w:name="_Toc139991736"/>
      <w:bookmarkStart w:id="115" w:name="_Toc79392606"/>
      <w:bookmarkStart w:id="116" w:name="_Toc48649707"/>
      <w:bookmarkStart w:id="117" w:name="_Toc11081"/>
      <w:bookmarkStart w:id="118" w:name="_Toc17244"/>
      <w:bookmarkStart w:id="119" w:name="_Toc23261"/>
      <w:bookmarkStart w:id="120" w:name="_Toc4003"/>
      <w:bookmarkStart w:id="121" w:name="_Toc1270"/>
      <w:bookmarkStart w:id="122" w:name="_Toc10463"/>
      <w:bookmarkEnd w:id="72"/>
      <w:bookmarkEnd w:id="73"/>
      <w:bookmarkEnd w:id="74"/>
      <w:bookmarkEnd w:id="75"/>
      <w:bookmarkEnd w:id="76"/>
      <w:bookmarkEnd w:id="77"/>
      <w:bookmarkEnd w:id="78"/>
      <w:bookmarkEnd w:id="79"/>
      <w:bookmarkEnd w:id="80"/>
      <w:bookmarkEnd w:id="81"/>
      <w:bookmarkEnd w:id="82"/>
      <w:bookmarkEnd w:id="83"/>
      <w:bookmarkEnd w:id="84"/>
      <w:bookmarkEnd w:id="86"/>
      <w:bookmarkEnd w:id="87"/>
      <w:bookmarkEnd w:id="88"/>
      <w:bookmarkEnd w:id="89"/>
      <w:r>
        <w:rPr>
          <w:rFonts w:asciiTheme="minorEastAsia" w:eastAsiaTheme="minorEastAsia" w:hAnsiTheme="minorEastAsia" w:hint="eastAsia"/>
          <w:sz w:val="30"/>
          <w:szCs w:val="30"/>
        </w:rPr>
        <w:lastRenderedPageBreak/>
        <w:t>第五部分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相关服务机构</w:t>
      </w:r>
      <w:bookmarkEnd w:id="98"/>
      <w:bookmarkEnd w:id="99"/>
      <w:bookmarkEnd w:id="100"/>
      <w:bookmarkEnd w:id="101"/>
    </w:p>
    <w:p w14:paraId="065C573B" w14:textId="77777777" w:rsidR="00D51FDF" w:rsidRDefault="007F75F6">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1F8B1640" w14:textId="77777777" w:rsidR="00D51FDF" w:rsidRDefault="007F75F6">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1、直销机构：富荣基金管理有限公司直销中心</w:t>
      </w:r>
    </w:p>
    <w:p w14:paraId="35E16859" w14:textId="77777777" w:rsidR="00D51FDF" w:rsidRDefault="007F75F6">
      <w:pPr>
        <w:tabs>
          <w:tab w:val="left" w:pos="540"/>
        </w:tabs>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注册地址：广州市南沙区海滨路</w:t>
      </w:r>
      <w:r>
        <w:rPr>
          <w:rFonts w:asciiTheme="minorEastAsia" w:hAnsiTheme="minorEastAsia" w:cs="Arial"/>
          <w:sz w:val="24"/>
          <w:szCs w:val="24"/>
        </w:rPr>
        <w:t xml:space="preserve">171号南沙金融大厦11楼1101之一J20室 </w:t>
      </w:r>
    </w:p>
    <w:p w14:paraId="236CE2AB" w14:textId="77777777" w:rsidR="00D51FDF" w:rsidRDefault="007F75F6">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w:t>
      </w:r>
    </w:p>
    <w:p w14:paraId="234086C6" w14:textId="77777777" w:rsidR="00D51FDF" w:rsidRDefault="007F75F6">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sz w:val="24"/>
          <w:szCs w:val="24"/>
        </w:rPr>
        <w:t xml:space="preserve"> </w:t>
      </w:r>
      <w:r>
        <w:rPr>
          <w:rFonts w:asciiTheme="minorEastAsia" w:hAnsiTheme="minorEastAsia" w:cs="Arial" w:hint="eastAsia"/>
          <w:sz w:val="24"/>
          <w:szCs w:val="24"/>
        </w:rPr>
        <w:t>杨小舟</w:t>
      </w:r>
    </w:p>
    <w:p w14:paraId="7D7F2CCC" w14:textId="77777777" w:rsidR="00D51FDF" w:rsidRDefault="007F75F6">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w:t>
      </w:r>
      <w:r>
        <w:rPr>
          <w:rFonts w:asciiTheme="minorEastAsia" w:hAnsiTheme="minorEastAsia" w:cs="Arial"/>
          <w:sz w:val="24"/>
          <w:szCs w:val="24"/>
        </w:rPr>
        <w:t>0755-84356629</w:t>
      </w:r>
    </w:p>
    <w:p w14:paraId="12E68A45" w14:textId="77777777" w:rsidR="00D51FDF" w:rsidRDefault="007F75F6">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w:t>
      </w:r>
      <w:r>
        <w:rPr>
          <w:rFonts w:asciiTheme="minorEastAsia" w:hAnsiTheme="minorEastAsia" w:cs="Arial"/>
          <w:sz w:val="24"/>
          <w:szCs w:val="24"/>
        </w:rPr>
        <w:t>0755-83230902</w:t>
      </w:r>
    </w:p>
    <w:p w14:paraId="31532BCB" w14:textId="77777777" w:rsidR="00D51FDF" w:rsidRDefault="007F75F6">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w:t>
      </w:r>
      <w:r>
        <w:rPr>
          <w:rFonts w:asciiTheme="minorEastAsia" w:hAnsiTheme="minorEastAsia" w:cs="Arial"/>
          <w:sz w:val="24"/>
          <w:szCs w:val="24"/>
        </w:rPr>
        <w:t>4006855600</w:t>
      </w:r>
    </w:p>
    <w:p w14:paraId="5EC3E376" w14:textId="77777777" w:rsidR="00D51FDF" w:rsidRDefault="007F75F6">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t>
      </w:r>
      <w:r>
        <w:rPr>
          <w:rFonts w:asciiTheme="minorEastAsia" w:hAnsiTheme="minorEastAsia" w:cs="Arial"/>
          <w:sz w:val="24"/>
          <w:szCs w:val="24"/>
        </w:rPr>
        <w:t>www.furamc.com.cn</w:t>
      </w:r>
    </w:p>
    <w:p w14:paraId="1BFA021B" w14:textId="77777777" w:rsidR="00D51FDF" w:rsidRDefault="007F75F6">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其他销售机构：</w:t>
      </w:r>
    </w:p>
    <w:p w14:paraId="612F9049" w14:textId="77777777" w:rsidR="00D51FDF" w:rsidRDefault="00D51FDF">
      <w:pPr>
        <w:tabs>
          <w:tab w:val="left" w:pos="540"/>
        </w:tabs>
        <w:adjustRightInd w:val="0"/>
        <w:snapToGrid w:val="0"/>
        <w:spacing w:line="360" w:lineRule="auto"/>
        <w:rPr>
          <w:rFonts w:asciiTheme="minorEastAsia" w:hAnsiTheme="minorEastAsia" w:cs="Arial"/>
          <w:sz w:val="24"/>
          <w:szCs w:val="24"/>
        </w:rPr>
      </w:pPr>
    </w:p>
    <w:tbl>
      <w:tblPr>
        <w:tblStyle w:val="af8"/>
        <w:tblW w:w="8789" w:type="dxa"/>
        <w:tblInd w:w="108" w:type="dxa"/>
        <w:tblLayout w:type="fixed"/>
        <w:tblLook w:val="04A0" w:firstRow="1" w:lastRow="0" w:firstColumn="1" w:lastColumn="0" w:noHBand="0" w:noVBand="1"/>
      </w:tblPr>
      <w:tblGrid>
        <w:gridCol w:w="6"/>
        <w:gridCol w:w="842"/>
        <w:gridCol w:w="3216"/>
        <w:gridCol w:w="4614"/>
        <w:gridCol w:w="111"/>
      </w:tblGrid>
      <w:tr w:rsidR="00D51FDF" w14:paraId="2A64F894" w14:textId="77777777" w:rsidTr="00EE54B8">
        <w:trPr>
          <w:gridAfter w:val="1"/>
          <w:wAfter w:w="113" w:type="dxa"/>
          <w:trHeight w:val="510"/>
        </w:trPr>
        <w:tc>
          <w:tcPr>
            <w:tcW w:w="851" w:type="dxa"/>
            <w:gridSpan w:val="2"/>
          </w:tcPr>
          <w:p w14:paraId="78BF2F7C" w14:textId="77777777" w:rsidR="00D51FDF" w:rsidRDefault="007F75F6">
            <w:pPr>
              <w:spacing w:line="360" w:lineRule="auto"/>
              <w:jc w:val="center"/>
              <w:rPr>
                <w:rFonts w:asciiTheme="minorEastAsia" w:hAnsiTheme="minorEastAsia" w:cs="Times New Roman"/>
                <w:color w:val="000000"/>
                <w:kern w:val="0"/>
                <w:sz w:val="24"/>
                <w:szCs w:val="20"/>
              </w:rPr>
            </w:pPr>
            <w:r>
              <w:rPr>
                <w:rFonts w:asciiTheme="minorEastAsia" w:eastAsia="宋体" w:hAnsiTheme="minorEastAsia" w:cs="Times New Roman" w:hint="eastAsia"/>
                <w:b/>
                <w:color w:val="000000"/>
                <w:kern w:val="0"/>
                <w:sz w:val="24"/>
                <w:szCs w:val="20"/>
              </w:rPr>
              <w:t>序号</w:t>
            </w:r>
          </w:p>
        </w:tc>
        <w:tc>
          <w:tcPr>
            <w:tcW w:w="3260" w:type="dxa"/>
          </w:tcPr>
          <w:p w14:paraId="598DA89F" w14:textId="77777777" w:rsidR="00D51FDF" w:rsidRDefault="007F75F6">
            <w:pPr>
              <w:spacing w:line="360" w:lineRule="auto"/>
              <w:jc w:val="left"/>
              <w:rPr>
                <w:rFonts w:asciiTheme="minorEastAsia" w:hAnsiTheme="minorEastAsia" w:cs="Times New Roman"/>
                <w:color w:val="000000"/>
                <w:kern w:val="0"/>
                <w:sz w:val="24"/>
                <w:szCs w:val="20"/>
              </w:rPr>
            </w:pPr>
            <w:r>
              <w:rPr>
                <w:rFonts w:asciiTheme="minorEastAsia" w:eastAsia="宋体" w:hAnsiTheme="minorEastAsia" w:cs="Times New Roman" w:hint="eastAsia"/>
                <w:b/>
                <w:color w:val="000000"/>
                <w:kern w:val="0"/>
                <w:sz w:val="24"/>
                <w:szCs w:val="20"/>
              </w:rPr>
              <w:t>代销机构名称</w:t>
            </w:r>
          </w:p>
        </w:tc>
        <w:tc>
          <w:tcPr>
            <w:tcW w:w="4678" w:type="dxa"/>
          </w:tcPr>
          <w:p w14:paraId="2A8AD047" w14:textId="77777777" w:rsidR="00D51FDF" w:rsidRDefault="007F75F6">
            <w:pPr>
              <w:spacing w:line="360" w:lineRule="auto"/>
              <w:jc w:val="left"/>
              <w:rPr>
                <w:rFonts w:asciiTheme="minorEastAsia" w:hAnsiTheme="minorEastAsia" w:cs="Times New Roman"/>
                <w:color w:val="000000"/>
                <w:kern w:val="0"/>
                <w:sz w:val="24"/>
                <w:szCs w:val="20"/>
              </w:rPr>
            </w:pPr>
            <w:r>
              <w:rPr>
                <w:rFonts w:asciiTheme="minorEastAsia" w:eastAsia="宋体" w:hAnsiTheme="minorEastAsia" w:cs="Times New Roman" w:hint="eastAsia"/>
                <w:b/>
                <w:color w:val="000000"/>
                <w:kern w:val="0"/>
                <w:sz w:val="24"/>
                <w:szCs w:val="20"/>
              </w:rPr>
              <w:t>代销机构信息</w:t>
            </w:r>
          </w:p>
        </w:tc>
      </w:tr>
      <w:tr w:rsidR="00C610D3" w:rsidRPr="002E1FE0" w14:paraId="73B5AB5A" w14:textId="77777777" w:rsidTr="00EE54B8">
        <w:trPr>
          <w:gridBefore w:val="1"/>
          <w:trHeight w:val="510"/>
        </w:trPr>
        <w:tc>
          <w:tcPr>
            <w:tcW w:w="851" w:type="dxa"/>
          </w:tcPr>
          <w:p w14:paraId="0B8F99EE"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1</w:t>
            </w:r>
          </w:p>
        </w:tc>
        <w:tc>
          <w:tcPr>
            <w:tcW w:w="3260" w:type="dxa"/>
          </w:tcPr>
          <w:p w14:paraId="1F11024D" w14:textId="77777777" w:rsidR="00C610D3" w:rsidRPr="002E1FE0" w:rsidRDefault="00C610D3" w:rsidP="00EE54B8">
            <w:pPr>
              <w:spacing w:line="276" w:lineRule="auto"/>
              <w:rPr>
                <w:rFonts w:ascii="宋体" w:hAnsi="宋体" w:cs="Calibri"/>
                <w:color w:val="000000"/>
                <w:szCs w:val="21"/>
              </w:rPr>
            </w:pPr>
            <w:r>
              <w:rPr>
                <w:rFonts w:ascii="宋体" w:hAnsi="宋体" w:cs="Calibri" w:hint="eastAsia"/>
                <w:color w:val="000000"/>
                <w:szCs w:val="21"/>
              </w:rPr>
              <w:t>国泰君安证券股份有限公司</w:t>
            </w:r>
          </w:p>
        </w:tc>
        <w:tc>
          <w:tcPr>
            <w:tcW w:w="4678" w:type="dxa"/>
            <w:gridSpan w:val="2"/>
          </w:tcPr>
          <w:p w14:paraId="6A91F858" w14:textId="77777777" w:rsidR="00C610D3" w:rsidRDefault="00C610D3" w:rsidP="00EE54B8">
            <w:pPr>
              <w:snapToGrid w:val="0"/>
              <w:spacing w:line="276" w:lineRule="auto"/>
              <w:rPr>
                <w:rFonts w:ascii="宋体" w:hAnsi="宋体" w:cs="Calibri"/>
                <w:color w:val="000000"/>
                <w:szCs w:val="21"/>
              </w:rPr>
            </w:pPr>
            <w:r w:rsidRPr="00EA291B">
              <w:rPr>
                <w:rFonts w:ascii="宋体" w:hAnsi="宋体" w:cs="Calibri" w:hint="eastAsia"/>
                <w:color w:val="000000"/>
                <w:szCs w:val="21"/>
              </w:rPr>
              <w:t>注册(办公)地址：</w:t>
            </w:r>
            <w:r>
              <w:rPr>
                <w:rFonts w:ascii="宋体" w:hAnsi="宋体" w:cs="Calibri" w:hint="eastAsia"/>
                <w:color w:val="000000"/>
                <w:szCs w:val="21"/>
              </w:rPr>
              <w:t>上海市浦东</w:t>
            </w:r>
            <w:proofErr w:type="gramStart"/>
            <w:r>
              <w:rPr>
                <w:rFonts w:ascii="宋体" w:hAnsi="宋体" w:cs="Calibri" w:hint="eastAsia"/>
                <w:color w:val="000000"/>
                <w:szCs w:val="21"/>
              </w:rPr>
              <w:t>新区银</w:t>
            </w:r>
            <w:proofErr w:type="gramEnd"/>
            <w:r>
              <w:rPr>
                <w:rFonts w:ascii="宋体" w:hAnsi="宋体" w:cs="Calibri" w:hint="eastAsia"/>
                <w:color w:val="000000"/>
                <w:szCs w:val="21"/>
              </w:rPr>
              <w:t>城中路168号上海银行大厦29楼/上海市静安区南京西路768号国泰君安大厦</w:t>
            </w:r>
          </w:p>
          <w:p w14:paraId="7CF146E5" w14:textId="77777777" w:rsidR="00C610D3" w:rsidRPr="00EA291B" w:rsidRDefault="00C610D3" w:rsidP="00EE54B8">
            <w:pPr>
              <w:snapToGrid w:val="0"/>
              <w:spacing w:line="276" w:lineRule="auto"/>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95521/4008888666</w:t>
            </w:r>
          </w:p>
          <w:p w14:paraId="4F39B3DB" w14:textId="77777777" w:rsidR="00C610D3" w:rsidRPr="002E1FE0" w:rsidRDefault="00C610D3" w:rsidP="00EE54B8">
            <w:pPr>
              <w:snapToGrid w:val="0"/>
              <w:spacing w:line="276" w:lineRule="auto"/>
              <w:rPr>
                <w:rFonts w:ascii="宋体" w:hAnsi="宋体" w:cs="Calibri"/>
                <w:color w:val="000000"/>
                <w:szCs w:val="21"/>
              </w:rPr>
            </w:pPr>
            <w:r w:rsidRPr="00EA291B">
              <w:rPr>
                <w:rFonts w:ascii="宋体" w:hAnsi="宋体" w:cs="Calibri" w:hint="eastAsia"/>
                <w:color w:val="000000"/>
                <w:szCs w:val="21"/>
              </w:rPr>
              <w:t>网址：</w:t>
            </w:r>
            <w:r w:rsidRPr="00E04934">
              <w:rPr>
                <w:rFonts w:ascii="宋体" w:hAnsi="宋体" w:cs="Calibri"/>
                <w:color w:val="000000"/>
                <w:szCs w:val="21"/>
              </w:rPr>
              <w:t>www.gtja.com</w:t>
            </w:r>
          </w:p>
        </w:tc>
      </w:tr>
      <w:tr w:rsidR="00C610D3" w:rsidRPr="004A4F3F" w14:paraId="3B709978" w14:textId="77777777" w:rsidTr="00EE54B8">
        <w:trPr>
          <w:gridBefore w:val="1"/>
          <w:trHeight w:val="510"/>
        </w:trPr>
        <w:tc>
          <w:tcPr>
            <w:tcW w:w="851" w:type="dxa"/>
          </w:tcPr>
          <w:p w14:paraId="1B7B90E3"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w:t>
            </w:r>
          </w:p>
        </w:tc>
        <w:tc>
          <w:tcPr>
            <w:tcW w:w="3260" w:type="dxa"/>
          </w:tcPr>
          <w:p w14:paraId="6E720B3C"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中</w:t>
            </w:r>
            <w:proofErr w:type="gramStart"/>
            <w:r w:rsidRPr="008076EE">
              <w:rPr>
                <w:rFonts w:ascii="宋体" w:hAnsi="宋体" w:cs="Calibri" w:hint="eastAsia"/>
                <w:color w:val="000000"/>
                <w:szCs w:val="21"/>
              </w:rPr>
              <w:t>信建投证券</w:t>
            </w:r>
            <w:proofErr w:type="gramEnd"/>
            <w:r w:rsidRPr="008076EE">
              <w:rPr>
                <w:rFonts w:ascii="宋体" w:hAnsi="宋体" w:cs="Calibri" w:hint="eastAsia"/>
                <w:color w:val="000000"/>
                <w:szCs w:val="21"/>
              </w:rPr>
              <w:t>股份有限公司</w:t>
            </w:r>
          </w:p>
        </w:tc>
        <w:tc>
          <w:tcPr>
            <w:tcW w:w="4678" w:type="dxa"/>
            <w:gridSpan w:val="2"/>
          </w:tcPr>
          <w:p w14:paraId="2825F489"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注册（办公）地址：北京市朝阳区安立路</w:t>
            </w:r>
            <w:r w:rsidRPr="008076EE">
              <w:rPr>
                <w:rFonts w:ascii="宋体" w:hAnsi="宋体" w:cs="Calibri"/>
                <w:color w:val="000000"/>
                <w:szCs w:val="21"/>
              </w:rPr>
              <w:t>66号4号楼</w:t>
            </w:r>
          </w:p>
          <w:p w14:paraId="5322E96F"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4008888108/95587</w:t>
            </w:r>
          </w:p>
          <w:p w14:paraId="7D6233F8" w14:textId="77777777" w:rsidR="00C610D3" w:rsidRPr="004A4F3F"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www.csc108.com</w:t>
            </w:r>
          </w:p>
        </w:tc>
      </w:tr>
      <w:tr w:rsidR="00C610D3" w:rsidRPr="008076EE" w14:paraId="13CD6F74" w14:textId="77777777" w:rsidTr="00EE54B8">
        <w:trPr>
          <w:gridBefore w:val="1"/>
          <w:trHeight w:val="510"/>
        </w:trPr>
        <w:tc>
          <w:tcPr>
            <w:tcW w:w="851" w:type="dxa"/>
          </w:tcPr>
          <w:p w14:paraId="69BC6B7B"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w:t>
            </w:r>
          </w:p>
        </w:tc>
        <w:tc>
          <w:tcPr>
            <w:tcW w:w="3260" w:type="dxa"/>
          </w:tcPr>
          <w:p w14:paraId="7C74342F"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安信证券股份有限公司</w:t>
            </w:r>
          </w:p>
        </w:tc>
        <w:tc>
          <w:tcPr>
            <w:tcW w:w="4678" w:type="dxa"/>
            <w:gridSpan w:val="2"/>
          </w:tcPr>
          <w:p w14:paraId="1102DB80"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注册（办公）地址：深圳市福田区金田路</w:t>
            </w:r>
            <w:r w:rsidRPr="008076EE">
              <w:rPr>
                <w:rFonts w:ascii="宋体" w:hAnsi="宋体" w:cs="Calibri"/>
                <w:color w:val="000000"/>
                <w:szCs w:val="21"/>
              </w:rPr>
              <w:t>4018号安联大厦35层、28层A02单元</w:t>
            </w:r>
          </w:p>
          <w:p w14:paraId="35AB6AAF"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:4008001001</w:t>
            </w:r>
          </w:p>
          <w:p w14:paraId="0C28835C"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www.essence.com.cn</w:t>
            </w:r>
          </w:p>
          <w:p w14:paraId="0944145A" w14:textId="77777777" w:rsidR="00C610D3" w:rsidRPr="008076EE" w:rsidRDefault="00C610D3" w:rsidP="00EE54B8">
            <w:pPr>
              <w:snapToGrid w:val="0"/>
              <w:spacing w:line="276" w:lineRule="auto"/>
              <w:rPr>
                <w:rFonts w:ascii="宋体" w:hAnsi="宋体" w:cs="Calibri"/>
                <w:color w:val="000000"/>
                <w:szCs w:val="21"/>
              </w:rPr>
            </w:pPr>
          </w:p>
        </w:tc>
      </w:tr>
      <w:tr w:rsidR="00C610D3" w:rsidRPr="000E0CF1" w14:paraId="184E40B4" w14:textId="77777777" w:rsidTr="00EE54B8">
        <w:trPr>
          <w:gridBefore w:val="1"/>
          <w:trHeight w:val="510"/>
        </w:trPr>
        <w:tc>
          <w:tcPr>
            <w:tcW w:w="851" w:type="dxa"/>
          </w:tcPr>
          <w:p w14:paraId="4B3975CE"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w:t>
            </w:r>
          </w:p>
        </w:tc>
        <w:tc>
          <w:tcPr>
            <w:tcW w:w="3260" w:type="dxa"/>
          </w:tcPr>
          <w:p w14:paraId="7669304E"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华鑫证券有限责任公司</w:t>
            </w:r>
          </w:p>
        </w:tc>
        <w:tc>
          <w:tcPr>
            <w:tcW w:w="4678" w:type="dxa"/>
            <w:gridSpan w:val="2"/>
          </w:tcPr>
          <w:p w14:paraId="3C6F23B0"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注册(办公)地址：深圳市福田区金田路4018号安联大厦28层A01、B01（b）单元</w:t>
            </w:r>
          </w:p>
          <w:p w14:paraId="0EB8DA74"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客户服务电话：95323</w:t>
            </w:r>
          </w:p>
          <w:p w14:paraId="64A13A81"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网址：www.cfsc.com.cn</w:t>
            </w:r>
          </w:p>
        </w:tc>
      </w:tr>
      <w:tr w:rsidR="00C610D3" w:rsidRPr="000E0CF1" w14:paraId="2D8D99D3" w14:textId="77777777" w:rsidTr="00EE54B8">
        <w:trPr>
          <w:gridBefore w:val="1"/>
          <w:trHeight w:val="510"/>
        </w:trPr>
        <w:tc>
          <w:tcPr>
            <w:tcW w:w="851" w:type="dxa"/>
          </w:tcPr>
          <w:p w14:paraId="0D150B11"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5</w:t>
            </w:r>
          </w:p>
        </w:tc>
        <w:tc>
          <w:tcPr>
            <w:tcW w:w="3260" w:type="dxa"/>
          </w:tcPr>
          <w:p w14:paraId="7B563E33"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长城证券股份有限公司</w:t>
            </w:r>
          </w:p>
        </w:tc>
        <w:tc>
          <w:tcPr>
            <w:tcW w:w="4678" w:type="dxa"/>
            <w:gridSpan w:val="2"/>
          </w:tcPr>
          <w:p w14:paraId="369D1F1E"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注册(办公)地址：深圳市福田区深南大道6008号特区报业16-17楼</w:t>
            </w:r>
            <w:r w:rsidRPr="000E0CF1" w:rsidDel="00667353">
              <w:rPr>
                <w:rFonts w:ascii="宋体" w:hAnsi="宋体" w:cs="Calibri" w:hint="eastAsia"/>
                <w:color w:val="000000"/>
                <w:szCs w:val="21"/>
              </w:rPr>
              <w:t xml:space="preserve"> </w:t>
            </w:r>
          </w:p>
          <w:p w14:paraId="44BF8DA7"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客户服务电话：95514/400 6666 888</w:t>
            </w:r>
          </w:p>
          <w:p w14:paraId="03AA0BA6"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www.cgws.com</w:t>
            </w:r>
          </w:p>
        </w:tc>
      </w:tr>
      <w:tr w:rsidR="00C610D3" w:rsidRPr="000E0CF1" w14:paraId="796F6C4B" w14:textId="77777777" w:rsidTr="00EE54B8">
        <w:trPr>
          <w:gridBefore w:val="1"/>
          <w:trHeight w:val="510"/>
        </w:trPr>
        <w:tc>
          <w:tcPr>
            <w:tcW w:w="851" w:type="dxa"/>
          </w:tcPr>
          <w:p w14:paraId="2C53082C"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lastRenderedPageBreak/>
              <w:t>6</w:t>
            </w:r>
          </w:p>
        </w:tc>
        <w:tc>
          <w:tcPr>
            <w:tcW w:w="3260" w:type="dxa"/>
          </w:tcPr>
          <w:p w14:paraId="086D55A2"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五</w:t>
            </w:r>
            <w:proofErr w:type="gramStart"/>
            <w:r w:rsidRPr="000E0CF1">
              <w:rPr>
                <w:rFonts w:ascii="宋体" w:hAnsi="宋体" w:cs="Calibri" w:hint="eastAsia"/>
                <w:color w:val="000000"/>
                <w:szCs w:val="21"/>
              </w:rPr>
              <w:t>矿证券</w:t>
            </w:r>
            <w:proofErr w:type="gramEnd"/>
            <w:r w:rsidRPr="000E0CF1">
              <w:rPr>
                <w:rFonts w:ascii="宋体" w:hAnsi="宋体" w:cs="Calibri" w:hint="eastAsia"/>
                <w:color w:val="000000"/>
                <w:szCs w:val="21"/>
              </w:rPr>
              <w:t>有限公司</w:t>
            </w:r>
          </w:p>
        </w:tc>
        <w:tc>
          <w:tcPr>
            <w:tcW w:w="4678" w:type="dxa"/>
            <w:gridSpan w:val="2"/>
          </w:tcPr>
          <w:p w14:paraId="657ACC91" w14:textId="77777777" w:rsidR="00C610D3" w:rsidRPr="00D17CF8" w:rsidRDefault="00C610D3" w:rsidP="00EE54B8">
            <w:pPr>
              <w:widowControl/>
              <w:snapToGrid w:val="0"/>
              <w:spacing w:line="276" w:lineRule="auto"/>
              <w:rPr>
                <w:rFonts w:ascii="宋体" w:hAnsi="宋体" w:cs="Calibri"/>
                <w:color w:val="000000"/>
                <w:szCs w:val="21"/>
              </w:rPr>
            </w:pPr>
            <w:r w:rsidRPr="00D17CF8">
              <w:rPr>
                <w:rFonts w:ascii="宋体" w:hAnsi="宋体" w:cs="Calibri" w:hint="eastAsia"/>
                <w:color w:val="000000"/>
                <w:szCs w:val="21"/>
              </w:rPr>
              <w:t>办公地址： 深圳市南山区滨海大道与后海滨路交汇处滨海大道3165号五</w:t>
            </w:r>
            <w:proofErr w:type="gramStart"/>
            <w:r w:rsidRPr="00D17CF8">
              <w:rPr>
                <w:rFonts w:ascii="宋体" w:hAnsi="宋体" w:cs="Calibri" w:hint="eastAsia"/>
                <w:color w:val="000000"/>
                <w:szCs w:val="21"/>
              </w:rPr>
              <w:t>矿金融</w:t>
            </w:r>
            <w:proofErr w:type="gramEnd"/>
            <w:r w:rsidRPr="00D17CF8">
              <w:rPr>
                <w:rFonts w:ascii="宋体" w:hAnsi="宋体" w:cs="Calibri" w:hint="eastAsia"/>
                <w:color w:val="000000"/>
                <w:szCs w:val="21"/>
              </w:rPr>
              <w:t>大厦（18-25层）</w:t>
            </w:r>
          </w:p>
          <w:p w14:paraId="3306B0AA" w14:textId="77777777" w:rsidR="00C610D3" w:rsidRPr="00D17CF8" w:rsidRDefault="00C610D3" w:rsidP="00EE54B8">
            <w:pPr>
              <w:widowControl/>
              <w:snapToGrid w:val="0"/>
              <w:spacing w:line="276" w:lineRule="auto"/>
              <w:rPr>
                <w:rFonts w:ascii="宋体" w:hAnsi="宋体" w:cs="Calibri"/>
                <w:color w:val="000000"/>
                <w:szCs w:val="21"/>
              </w:rPr>
            </w:pPr>
            <w:r w:rsidRPr="00D17CF8">
              <w:rPr>
                <w:rFonts w:ascii="宋体" w:hAnsi="宋体" w:cs="Calibri" w:hint="eastAsia"/>
                <w:color w:val="000000"/>
                <w:szCs w:val="21"/>
              </w:rPr>
              <w:t>客户服务电话：4001840028</w:t>
            </w:r>
          </w:p>
          <w:p w14:paraId="22B4495E" w14:textId="77777777" w:rsidR="00C610D3" w:rsidRPr="000E0CF1" w:rsidRDefault="00C610D3" w:rsidP="00EE54B8">
            <w:pPr>
              <w:snapToGrid w:val="0"/>
              <w:spacing w:line="276" w:lineRule="auto"/>
              <w:rPr>
                <w:rFonts w:ascii="宋体" w:hAnsi="宋体" w:cs="Calibri"/>
                <w:color w:val="000000"/>
                <w:szCs w:val="21"/>
              </w:rPr>
            </w:pPr>
            <w:r w:rsidRPr="00D17CF8">
              <w:rPr>
                <w:rFonts w:ascii="宋体" w:hAnsi="宋体" w:cs="Calibri" w:hint="eastAsia"/>
                <w:color w:val="000000"/>
                <w:szCs w:val="21"/>
              </w:rPr>
              <w:t>网址：www.wkzq.com.cn</w:t>
            </w:r>
          </w:p>
        </w:tc>
      </w:tr>
      <w:tr w:rsidR="00C610D3" w:rsidRPr="00A40A5E" w14:paraId="420EA1C6" w14:textId="77777777" w:rsidTr="00EE54B8">
        <w:trPr>
          <w:gridBefore w:val="1"/>
          <w:trHeight w:val="510"/>
        </w:trPr>
        <w:tc>
          <w:tcPr>
            <w:tcW w:w="851" w:type="dxa"/>
          </w:tcPr>
          <w:p w14:paraId="429A6E95"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7</w:t>
            </w:r>
          </w:p>
        </w:tc>
        <w:tc>
          <w:tcPr>
            <w:tcW w:w="3260" w:type="dxa"/>
          </w:tcPr>
          <w:p w14:paraId="3991355A"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678" w:type="dxa"/>
            <w:gridSpan w:val="2"/>
          </w:tcPr>
          <w:p w14:paraId="12B894C4"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4E2FD93A"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客户服务电话：95357</w:t>
            </w:r>
          </w:p>
          <w:p w14:paraId="1CAD5E7D"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C610D3" w:rsidRPr="00C52A47" w14:paraId="68181CFA" w14:textId="77777777" w:rsidTr="00EE54B8">
        <w:trPr>
          <w:gridBefore w:val="1"/>
          <w:trHeight w:val="510"/>
        </w:trPr>
        <w:tc>
          <w:tcPr>
            <w:tcW w:w="851" w:type="dxa"/>
          </w:tcPr>
          <w:p w14:paraId="466103E4"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8</w:t>
            </w:r>
          </w:p>
        </w:tc>
        <w:tc>
          <w:tcPr>
            <w:tcW w:w="3260" w:type="dxa"/>
          </w:tcPr>
          <w:p w14:paraId="12DF2F4D" w14:textId="77777777" w:rsidR="00C610D3" w:rsidRPr="00C52A47" w:rsidRDefault="00C610D3" w:rsidP="00EE54B8">
            <w:pPr>
              <w:spacing w:line="276" w:lineRule="auto"/>
              <w:rPr>
                <w:rFonts w:asciiTheme="minorEastAsia" w:hAnsiTheme="minorEastAsia" w:cs="Arial"/>
              </w:rPr>
            </w:pPr>
            <w:r>
              <w:rPr>
                <w:rFonts w:asciiTheme="minorEastAsia" w:hAnsiTheme="minorEastAsia" w:cs="Arial" w:hint="eastAsia"/>
              </w:rPr>
              <w:t>光大证券股份有限公司</w:t>
            </w:r>
          </w:p>
        </w:tc>
        <w:tc>
          <w:tcPr>
            <w:tcW w:w="4678" w:type="dxa"/>
            <w:gridSpan w:val="2"/>
          </w:tcPr>
          <w:p w14:paraId="17265EEA"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3613E47D" w14:textId="77777777" w:rsidR="00C610D3"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客户服务电话：95525</w:t>
            </w:r>
          </w:p>
          <w:p w14:paraId="34317311" w14:textId="77777777" w:rsidR="00C610D3" w:rsidRPr="00C52A47" w:rsidRDefault="00C610D3" w:rsidP="00EE54B8">
            <w:pPr>
              <w:spacing w:line="276" w:lineRule="auto"/>
              <w:rPr>
                <w:rFonts w:asciiTheme="minorEastAsia" w:hAnsiTheme="minorEastAsia" w:cs="Arial"/>
              </w:rPr>
            </w:pPr>
            <w:r w:rsidRPr="008076EE">
              <w:rPr>
                <w:rFonts w:ascii="宋体" w:hAnsi="宋体" w:cs="Calibri" w:hint="eastAsia"/>
                <w:color w:val="000000"/>
                <w:szCs w:val="21"/>
              </w:rPr>
              <w:t>网址：www.ebscn.com</w:t>
            </w:r>
          </w:p>
        </w:tc>
      </w:tr>
      <w:tr w:rsidR="00C610D3" w:rsidRPr="005E0F43" w14:paraId="5F4D7797" w14:textId="77777777" w:rsidTr="00EE54B8">
        <w:trPr>
          <w:gridBefore w:val="1"/>
          <w:trHeight w:val="510"/>
        </w:trPr>
        <w:tc>
          <w:tcPr>
            <w:tcW w:w="851" w:type="dxa"/>
          </w:tcPr>
          <w:p w14:paraId="001C9FCE"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9</w:t>
            </w:r>
          </w:p>
        </w:tc>
        <w:tc>
          <w:tcPr>
            <w:tcW w:w="3260" w:type="dxa"/>
          </w:tcPr>
          <w:p w14:paraId="652B5469" w14:textId="77777777" w:rsidR="00C610D3" w:rsidRPr="00A40A5E"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招商证券股份有限公司</w:t>
            </w:r>
          </w:p>
        </w:tc>
        <w:tc>
          <w:tcPr>
            <w:tcW w:w="4678" w:type="dxa"/>
            <w:gridSpan w:val="2"/>
          </w:tcPr>
          <w:p w14:paraId="4A52314A" w14:textId="77777777" w:rsidR="00C610D3" w:rsidRDefault="00C610D3" w:rsidP="00EE54B8">
            <w:pPr>
              <w:snapToGrid w:val="0"/>
              <w:spacing w:line="276" w:lineRule="auto"/>
              <w:rPr>
                <w:rFonts w:ascii="宋体" w:hAnsi="宋体" w:cs="Calibri"/>
                <w:color w:val="000000"/>
                <w:szCs w:val="21"/>
              </w:rPr>
            </w:pPr>
            <w:r w:rsidRPr="005E0F43">
              <w:rPr>
                <w:rFonts w:ascii="宋体" w:hAnsi="宋体" w:cs="Calibri" w:hint="eastAsia"/>
                <w:color w:val="000000"/>
                <w:szCs w:val="21"/>
              </w:rPr>
              <w:t>注册</w:t>
            </w:r>
            <w:r w:rsidRPr="005E0F43">
              <w:rPr>
                <w:rFonts w:ascii="宋体" w:hAnsi="宋体" w:cs="Calibri"/>
                <w:color w:val="000000"/>
                <w:szCs w:val="21"/>
              </w:rPr>
              <w:t xml:space="preserve">地址: </w:t>
            </w:r>
            <w:r w:rsidRPr="005E0F43">
              <w:rPr>
                <w:rFonts w:ascii="宋体" w:hAnsi="宋体" w:cs="Calibri" w:hint="eastAsia"/>
                <w:color w:val="000000"/>
                <w:szCs w:val="21"/>
              </w:rPr>
              <w:t>深圳市福田区福田街道福华一路111号</w:t>
            </w:r>
          </w:p>
          <w:p w14:paraId="4E39B062" w14:textId="77777777" w:rsidR="00C610D3" w:rsidRPr="005E0F43" w:rsidRDefault="00C610D3" w:rsidP="00EE54B8">
            <w:pPr>
              <w:snapToGrid w:val="0"/>
              <w:spacing w:line="276" w:lineRule="auto"/>
              <w:rPr>
                <w:rFonts w:ascii="宋体" w:hAnsi="宋体" w:cs="Calibri"/>
                <w:color w:val="000000"/>
                <w:szCs w:val="21"/>
              </w:rPr>
            </w:pPr>
            <w:r w:rsidRPr="005E0F43">
              <w:rPr>
                <w:rFonts w:ascii="宋体" w:hAnsi="宋体" w:cs="Calibri" w:hint="eastAsia"/>
                <w:color w:val="000000"/>
                <w:szCs w:val="21"/>
              </w:rPr>
              <w:t>客户服务电话：95565、4008888111</w:t>
            </w:r>
          </w:p>
          <w:p w14:paraId="16308AE7" w14:textId="77777777" w:rsidR="00C610D3" w:rsidRPr="005E0F43" w:rsidRDefault="00C610D3" w:rsidP="00EE54B8">
            <w:pPr>
              <w:snapToGrid w:val="0"/>
              <w:spacing w:line="276" w:lineRule="auto"/>
              <w:rPr>
                <w:rFonts w:ascii="宋体" w:hAnsi="宋体" w:cs="Calibri"/>
                <w:color w:val="000000"/>
                <w:szCs w:val="21"/>
              </w:rPr>
            </w:pPr>
            <w:r w:rsidRPr="005E0F43">
              <w:rPr>
                <w:rFonts w:ascii="宋体" w:hAnsi="宋体" w:cs="Calibri" w:hint="eastAsia"/>
                <w:color w:val="000000"/>
                <w:szCs w:val="21"/>
              </w:rPr>
              <w:t>网址：www.newone.com.cn</w:t>
            </w:r>
          </w:p>
        </w:tc>
      </w:tr>
      <w:tr w:rsidR="00C610D3" w:rsidRPr="000E0CF1" w14:paraId="442865C2" w14:textId="77777777" w:rsidTr="00EE54B8">
        <w:trPr>
          <w:gridBefore w:val="1"/>
          <w:trHeight w:val="510"/>
        </w:trPr>
        <w:tc>
          <w:tcPr>
            <w:tcW w:w="851" w:type="dxa"/>
          </w:tcPr>
          <w:p w14:paraId="39F1B41F"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10</w:t>
            </w:r>
          </w:p>
        </w:tc>
        <w:tc>
          <w:tcPr>
            <w:tcW w:w="3260" w:type="dxa"/>
          </w:tcPr>
          <w:p w14:paraId="0897E20E"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上海基</w:t>
            </w:r>
            <w:proofErr w:type="gramStart"/>
            <w:r w:rsidRPr="000E0CF1">
              <w:rPr>
                <w:rFonts w:ascii="宋体" w:hAnsi="宋体" w:cs="Calibri" w:hint="eastAsia"/>
                <w:color w:val="000000"/>
                <w:szCs w:val="21"/>
              </w:rPr>
              <w:t>煜</w:t>
            </w:r>
            <w:proofErr w:type="gramEnd"/>
            <w:r w:rsidRPr="000E0CF1">
              <w:rPr>
                <w:rFonts w:ascii="宋体" w:hAnsi="宋体" w:cs="Calibri" w:hint="eastAsia"/>
                <w:color w:val="000000"/>
                <w:szCs w:val="21"/>
              </w:rPr>
              <w:t>基金销售有限公司</w:t>
            </w:r>
          </w:p>
        </w:tc>
        <w:tc>
          <w:tcPr>
            <w:tcW w:w="4678" w:type="dxa"/>
            <w:gridSpan w:val="2"/>
          </w:tcPr>
          <w:p w14:paraId="45C7EFED"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办公地址：上海市崇明县长兴镇潘园公路</w:t>
            </w:r>
            <w:r w:rsidRPr="000E0CF1">
              <w:rPr>
                <w:rFonts w:ascii="宋体" w:hAnsi="宋体" w:cs="Calibri"/>
                <w:color w:val="000000"/>
                <w:szCs w:val="21"/>
              </w:rPr>
              <w:t>1800号2号楼6153室</w:t>
            </w:r>
          </w:p>
          <w:p w14:paraId="224C43D2"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客服电话：</w:t>
            </w:r>
            <w:r w:rsidRPr="000E0CF1">
              <w:rPr>
                <w:rFonts w:ascii="宋体" w:hAnsi="宋体" w:cs="Calibri"/>
                <w:color w:val="000000"/>
                <w:szCs w:val="21"/>
              </w:rPr>
              <w:t>400-820-5369</w:t>
            </w:r>
          </w:p>
          <w:p w14:paraId="62D29844"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公司网址：</w:t>
            </w:r>
            <w:r>
              <w:fldChar w:fldCharType="begin"/>
            </w:r>
            <w:r>
              <w:instrText xml:space="preserve"> HYPERLINK "http://www.jiyufund.com.cn/" \t "_blank" </w:instrText>
            </w:r>
            <w:r>
              <w:fldChar w:fldCharType="separate"/>
            </w:r>
            <w:r w:rsidRPr="000E0CF1">
              <w:rPr>
                <w:rFonts w:ascii="宋体" w:hAnsi="宋体" w:cs="Calibri"/>
                <w:szCs w:val="21"/>
              </w:rPr>
              <w:t>www.jiyufund.com.cn</w:t>
            </w:r>
            <w:r>
              <w:rPr>
                <w:rFonts w:ascii="宋体" w:hAnsi="宋体" w:cs="Calibri"/>
                <w:szCs w:val="21"/>
              </w:rPr>
              <w:fldChar w:fldCharType="end"/>
            </w:r>
          </w:p>
        </w:tc>
      </w:tr>
      <w:tr w:rsidR="00C610D3" w:rsidRPr="00C52A47" w14:paraId="5822406A" w14:textId="77777777" w:rsidTr="00EE54B8">
        <w:trPr>
          <w:gridBefore w:val="1"/>
          <w:trHeight w:val="510"/>
        </w:trPr>
        <w:tc>
          <w:tcPr>
            <w:tcW w:w="851" w:type="dxa"/>
          </w:tcPr>
          <w:p w14:paraId="5CD4A362"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11</w:t>
            </w:r>
          </w:p>
        </w:tc>
        <w:tc>
          <w:tcPr>
            <w:tcW w:w="3260" w:type="dxa"/>
          </w:tcPr>
          <w:p w14:paraId="648CD39F" w14:textId="77777777" w:rsidR="00C610D3" w:rsidRPr="00C52A47" w:rsidRDefault="00C610D3" w:rsidP="00EE54B8">
            <w:pPr>
              <w:spacing w:line="276" w:lineRule="auto"/>
              <w:rPr>
                <w:rFonts w:asciiTheme="minorEastAsia" w:hAnsiTheme="minorEastAsia" w:cs="Arial"/>
              </w:rPr>
            </w:pPr>
            <w:r>
              <w:rPr>
                <w:rFonts w:asciiTheme="minorEastAsia" w:hAnsiTheme="minorEastAsia" w:cs="Arial" w:hint="eastAsia"/>
              </w:rPr>
              <w:t>奕丰金融销售有限公司</w:t>
            </w:r>
          </w:p>
        </w:tc>
        <w:tc>
          <w:tcPr>
            <w:tcW w:w="4678" w:type="dxa"/>
            <w:gridSpan w:val="2"/>
          </w:tcPr>
          <w:p w14:paraId="099F5F9E"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4223F69B"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78B879B6" w14:textId="77777777" w:rsidR="00C610D3" w:rsidRPr="00C52A47" w:rsidRDefault="00C610D3" w:rsidP="00EE54B8">
            <w:pPr>
              <w:spacing w:line="276" w:lineRule="auto"/>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C610D3" w:rsidRPr="000E0CF1" w14:paraId="29272A8E" w14:textId="77777777" w:rsidTr="00EE54B8">
        <w:trPr>
          <w:gridBefore w:val="1"/>
          <w:trHeight w:val="510"/>
        </w:trPr>
        <w:tc>
          <w:tcPr>
            <w:tcW w:w="851" w:type="dxa"/>
          </w:tcPr>
          <w:p w14:paraId="350E01BE"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12</w:t>
            </w:r>
          </w:p>
        </w:tc>
        <w:tc>
          <w:tcPr>
            <w:tcW w:w="3260" w:type="dxa"/>
          </w:tcPr>
          <w:p w14:paraId="7565AAB1"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上海好买基金销售有限公司</w:t>
            </w:r>
          </w:p>
        </w:tc>
        <w:tc>
          <w:tcPr>
            <w:tcW w:w="4678" w:type="dxa"/>
            <w:gridSpan w:val="2"/>
          </w:tcPr>
          <w:p w14:paraId="58522BE1"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办公地址：上海市浦东新区浦东南路</w:t>
            </w:r>
            <w:r w:rsidRPr="000E0CF1">
              <w:rPr>
                <w:rFonts w:ascii="宋体" w:hAnsi="宋体" w:cs="Calibri"/>
                <w:color w:val="000000"/>
                <w:szCs w:val="21"/>
              </w:rPr>
              <w:t>1118号鄂尔多斯大厦9楼</w:t>
            </w:r>
          </w:p>
          <w:p w14:paraId="636A4003"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客服电话：</w:t>
            </w:r>
            <w:r w:rsidRPr="000E0CF1">
              <w:rPr>
                <w:rFonts w:ascii="宋体" w:hAnsi="宋体" w:cs="Calibri"/>
                <w:color w:val="000000"/>
                <w:szCs w:val="21"/>
              </w:rPr>
              <w:t>400-700-9665</w:t>
            </w:r>
          </w:p>
          <w:p w14:paraId="7E2694CB"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公司网址：</w:t>
            </w:r>
            <w:r w:rsidRPr="000E0CF1">
              <w:rPr>
                <w:rFonts w:ascii="宋体" w:hAnsi="宋体" w:cs="Calibri"/>
                <w:color w:val="000000"/>
                <w:szCs w:val="21"/>
              </w:rPr>
              <w:t>www.ehowbuy.com</w:t>
            </w:r>
          </w:p>
        </w:tc>
      </w:tr>
      <w:tr w:rsidR="00C610D3" w:rsidRPr="008076EE" w14:paraId="3F6B5EC3" w14:textId="77777777" w:rsidTr="00EE54B8">
        <w:trPr>
          <w:gridBefore w:val="1"/>
          <w:trHeight w:val="510"/>
        </w:trPr>
        <w:tc>
          <w:tcPr>
            <w:tcW w:w="851" w:type="dxa"/>
          </w:tcPr>
          <w:p w14:paraId="5E985856"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13</w:t>
            </w:r>
          </w:p>
        </w:tc>
        <w:tc>
          <w:tcPr>
            <w:tcW w:w="3260" w:type="dxa"/>
          </w:tcPr>
          <w:p w14:paraId="1581B16A" w14:textId="77777777" w:rsidR="00C610D3" w:rsidRPr="008076EE"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678" w:type="dxa"/>
            <w:gridSpan w:val="2"/>
          </w:tcPr>
          <w:p w14:paraId="2B7FDEA4"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14:paraId="638CF6B8"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31E1D313"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C610D3" w:rsidRPr="00A40A5E" w14:paraId="545D7626" w14:textId="77777777" w:rsidTr="00EE54B8">
        <w:trPr>
          <w:gridBefore w:val="1"/>
          <w:trHeight w:val="510"/>
        </w:trPr>
        <w:tc>
          <w:tcPr>
            <w:tcW w:w="851" w:type="dxa"/>
          </w:tcPr>
          <w:p w14:paraId="151F3709"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14</w:t>
            </w:r>
          </w:p>
        </w:tc>
        <w:tc>
          <w:tcPr>
            <w:tcW w:w="3260" w:type="dxa"/>
          </w:tcPr>
          <w:p w14:paraId="698EFFBA"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4678" w:type="dxa"/>
            <w:gridSpan w:val="2"/>
          </w:tcPr>
          <w:p w14:paraId="2DF569E6"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3AEC628A"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198D14A3"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C610D3" w:rsidRPr="008076EE" w14:paraId="1ADFFB6A" w14:textId="77777777" w:rsidTr="00EE54B8">
        <w:trPr>
          <w:gridBefore w:val="1"/>
          <w:trHeight w:val="510"/>
        </w:trPr>
        <w:tc>
          <w:tcPr>
            <w:tcW w:w="851" w:type="dxa"/>
          </w:tcPr>
          <w:p w14:paraId="208A6DD8"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color w:val="000000"/>
                <w:szCs w:val="21"/>
              </w:rPr>
              <w:t>1</w:t>
            </w:r>
            <w:r>
              <w:rPr>
                <w:rFonts w:ascii="宋体" w:hAnsi="宋体" w:cs="Calibri" w:hint="eastAsia"/>
                <w:color w:val="000000"/>
                <w:szCs w:val="21"/>
              </w:rPr>
              <w:t>5</w:t>
            </w:r>
          </w:p>
        </w:tc>
        <w:tc>
          <w:tcPr>
            <w:tcW w:w="3260" w:type="dxa"/>
          </w:tcPr>
          <w:p w14:paraId="79A4A95E"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北京</w:t>
            </w:r>
            <w:proofErr w:type="gramStart"/>
            <w:r w:rsidRPr="008076EE">
              <w:rPr>
                <w:rFonts w:ascii="宋体" w:hAnsi="宋体" w:cs="Calibri" w:hint="eastAsia"/>
                <w:color w:val="000000"/>
                <w:szCs w:val="21"/>
              </w:rPr>
              <w:t>钱景基金</w:t>
            </w:r>
            <w:proofErr w:type="gramEnd"/>
            <w:r w:rsidRPr="008076EE">
              <w:rPr>
                <w:rFonts w:ascii="宋体" w:hAnsi="宋体" w:cs="Calibri" w:hint="eastAsia"/>
                <w:color w:val="000000"/>
                <w:szCs w:val="21"/>
              </w:rPr>
              <w:t>销售有限公司</w:t>
            </w:r>
          </w:p>
        </w:tc>
        <w:tc>
          <w:tcPr>
            <w:tcW w:w="4678" w:type="dxa"/>
            <w:gridSpan w:val="2"/>
          </w:tcPr>
          <w:p w14:paraId="3D027A4D"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办公地址：北京市海淀区丹棱街</w:t>
            </w:r>
            <w:r w:rsidRPr="008076EE">
              <w:rPr>
                <w:rFonts w:ascii="宋体" w:hAnsi="宋体" w:cs="Calibri"/>
                <w:color w:val="000000"/>
                <w:szCs w:val="21"/>
              </w:rPr>
              <w:t>6号1幢9层1008-1012</w:t>
            </w:r>
          </w:p>
          <w:p w14:paraId="231ABF41"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4008936885</w:t>
            </w:r>
          </w:p>
          <w:p w14:paraId="5427EDF0"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www.qianjing.com</w:t>
            </w:r>
          </w:p>
        </w:tc>
      </w:tr>
      <w:tr w:rsidR="00C610D3" w:rsidRPr="000E0CF1" w14:paraId="6E47C521" w14:textId="77777777" w:rsidTr="00EE54B8">
        <w:trPr>
          <w:gridBefore w:val="1"/>
          <w:trHeight w:val="510"/>
        </w:trPr>
        <w:tc>
          <w:tcPr>
            <w:tcW w:w="851" w:type="dxa"/>
          </w:tcPr>
          <w:p w14:paraId="1DBCC237"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1</w:t>
            </w:r>
            <w:r>
              <w:rPr>
                <w:rFonts w:ascii="宋体" w:hAnsi="宋体" w:cs="Calibri" w:hint="eastAsia"/>
                <w:color w:val="000000"/>
                <w:szCs w:val="21"/>
              </w:rPr>
              <w:t>6</w:t>
            </w:r>
          </w:p>
        </w:tc>
        <w:tc>
          <w:tcPr>
            <w:tcW w:w="3260" w:type="dxa"/>
          </w:tcPr>
          <w:p w14:paraId="6D736E00"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蚂蚁（杭州）基金销售有限公司</w:t>
            </w:r>
          </w:p>
        </w:tc>
        <w:tc>
          <w:tcPr>
            <w:tcW w:w="4678" w:type="dxa"/>
            <w:gridSpan w:val="2"/>
          </w:tcPr>
          <w:p w14:paraId="004FF4C8" w14:textId="77777777" w:rsidR="00C610D3" w:rsidRPr="000E0CF1" w:rsidRDefault="00C610D3" w:rsidP="00EE54B8">
            <w:pPr>
              <w:tabs>
                <w:tab w:val="left" w:pos="540"/>
              </w:tabs>
              <w:adjustRightInd w:val="0"/>
              <w:snapToGrid w:val="0"/>
              <w:spacing w:line="276" w:lineRule="auto"/>
              <w:rPr>
                <w:rFonts w:ascii="宋体" w:hAnsi="宋体" w:cs="Calibri"/>
                <w:color w:val="000000"/>
                <w:szCs w:val="21"/>
              </w:rPr>
            </w:pPr>
            <w:r w:rsidRPr="000E0CF1">
              <w:rPr>
                <w:rFonts w:ascii="宋体" w:hAnsi="宋体" w:cs="Calibri" w:hint="eastAsia"/>
                <w:color w:val="000000"/>
                <w:szCs w:val="21"/>
              </w:rPr>
              <w:t>办公地址：浙江省杭州市西湖</w:t>
            </w:r>
            <w:proofErr w:type="gramStart"/>
            <w:r w:rsidRPr="000E0CF1">
              <w:rPr>
                <w:rFonts w:ascii="宋体" w:hAnsi="宋体" w:cs="Calibri" w:hint="eastAsia"/>
                <w:color w:val="000000"/>
                <w:szCs w:val="21"/>
              </w:rPr>
              <w:t>区万塘路</w:t>
            </w:r>
            <w:proofErr w:type="gramEnd"/>
            <w:r w:rsidRPr="000E0CF1">
              <w:rPr>
                <w:rFonts w:ascii="宋体" w:hAnsi="宋体" w:cs="Calibri" w:hint="eastAsia"/>
                <w:color w:val="000000"/>
                <w:szCs w:val="21"/>
              </w:rPr>
              <w:t xml:space="preserve">18号黄龙时代广场B座6F </w:t>
            </w:r>
          </w:p>
          <w:p w14:paraId="166E5D06" w14:textId="77777777" w:rsidR="00C610D3" w:rsidRPr="000E0CF1" w:rsidRDefault="00C610D3" w:rsidP="00EE54B8">
            <w:pPr>
              <w:tabs>
                <w:tab w:val="left" w:pos="540"/>
              </w:tabs>
              <w:adjustRightInd w:val="0"/>
              <w:snapToGrid w:val="0"/>
              <w:spacing w:line="276" w:lineRule="auto"/>
              <w:rPr>
                <w:rFonts w:ascii="宋体" w:hAnsi="宋体" w:cs="Calibri"/>
                <w:color w:val="000000"/>
                <w:szCs w:val="21"/>
              </w:rPr>
            </w:pPr>
            <w:r w:rsidRPr="000E0CF1">
              <w:rPr>
                <w:rFonts w:ascii="宋体" w:hAnsi="宋体" w:cs="Calibri" w:hint="eastAsia"/>
                <w:color w:val="000000"/>
                <w:szCs w:val="21"/>
              </w:rPr>
              <w:t>客户服务电话：4000-766-123</w:t>
            </w:r>
          </w:p>
          <w:p w14:paraId="22F363C8"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网址：www.fund123.cn</w:t>
            </w:r>
          </w:p>
        </w:tc>
      </w:tr>
      <w:tr w:rsidR="00C610D3" w:rsidRPr="000E0CF1" w14:paraId="7EC994BE" w14:textId="77777777" w:rsidTr="00EE54B8">
        <w:trPr>
          <w:gridBefore w:val="1"/>
          <w:trHeight w:val="510"/>
        </w:trPr>
        <w:tc>
          <w:tcPr>
            <w:tcW w:w="851" w:type="dxa"/>
          </w:tcPr>
          <w:p w14:paraId="52626E5C"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lastRenderedPageBreak/>
              <w:t>1</w:t>
            </w:r>
            <w:r>
              <w:rPr>
                <w:rFonts w:ascii="宋体" w:hAnsi="宋体" w:cs="Calibri" w:hint="eastAsia"/>
                <w:color w:val="000000"/>
                <w:szCs w:val="21"/>
              </w:rPr>
              <w:t>7</w:t>
            </w:r>
          </w:p>
        </w:tc>
        <w:tc>
          <w:tcPr>
            <w:tcW w:w="3260" w:type="dxa"/>
          </w:tcPr>
          <w:p w14:paraId="2530A481"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浙江同花</w:t>
            </w:r>
            <w:proofErr w:type="gramStart"/>
            <w:r w:rsidRPr="000E0CF1">
              <w:rPr>
                <w:rFonts w:ascii="宋体" w:hAnsi="宋体" w:cs="Calibri" w:hint="eastAsia"/>
                <w:color w:val="000000"/>
                <w:szCs w:val="21"/>
              </w:rPr>
              <w:t>顺基金</w:t>
            </w:r>
            <w:proofErr w:type="gramEnd"/>
            <w:r w:rsidRPr="000E0CF1">
              <w:rPr>
                <w:rFonts w:ascii="宋体" w:hAnsi="宋体" w:cs="Calibri" w:hint="eastAsia"/>
                <w:color w:val="000000"/>
                <w:szCs w:val="21"/>
              </w:rPr>
              <w:t>销售有限公司</w:t>
            </w:r>
          </w:p>
        </w:tc>
        <w:tc>
          <w:tcPr>
            <w:tcW w:w="4678" w:type="dxa"/>
            <w:gridSpan w:val="2"/>
          </w:tcPr>
          <w:p w14:paraId="56239D9D"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办公地址：浙江省杭州市</w:t>
            </w:r>
            <w:proofErr w:type="gramStart"/>
            <w:r w:rsidRPr="000E0CF1">
              <w:rPr>
                <w:rFonts w:ascii="宋体" w:hAnsi="宋体" w:cs="Calibri" w:hint="eastAsia"/>
                <w:color w:val="000000"/>
                <w:szCs w:val="21"/>
              </w:rPr>
              <w:t>翠柏路</w:t>
            </w:r>
            <w:proofErr w:type="gramEnd"/>
            <w:r w:rsidRPr="000E0CF1">
              <w:rPr>
                <w:rFonts w:ascii="宋体" w:hAnsi="宋体" w:cs="Calibri" w:hint="eastAsia"/>
                <w:color w:val="000000"/>
                <w:szCs w:val="21"/>
              </w:rPr>
              <w:t>7号杭州电子商务产业园2楼</w:t>
            </w:r>
          </w:p>
          <w:p w14:paraId="2F626515"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客服电话：</w:t>
            </w:r>
            <w:r w:rsidRPr="000E0CF1">
              <w:rPr>
                <w:rFonts w:ascii="宋体" w:hAnsi="宋体" w:cs="Calibri"/>
                <w:color w:val="000000"/>
                <w:szCs w:val="21"/>
              </w:rPr>
              <w:t>4008-773-772  0571-88920897</w:t>
            </w:r>
          </w:p>
          <w:p w14:paraId="6CCC9052"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www.5ifund.com</w:t>
            </w:r>
          </w:p>
        </w:tc>
      </w:tr>
      <w:tr w:rsidR="00C610D3" w:rsidRPr="000E0CF1" w14:paraId="6AF201A9" w14:textId="77777777" w:rsidTr="00EE54B8">
        <w:trPr>
          <w:gridBefore w:val="1"/>
          <w:trHeight w:val="510"/>
        </w:trPr>
        <w:tc>
          <w:tcPr>
            <w:tcW w:w="851" w:type="dxa"/>
          </w:tcPr>
          <w:p w14:paraId="165C4013"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18</w:t>
            </w:r>
          </w:p>
        </w:tc>
        <w:tc>
          <w:tcPr>
            <w:tcW w:w="3260" w:type="dxa"/>
          </w:tcPr>
          <w:p w14:paraId="6C12E6E6"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上海陆金</w:t>
            </w:r>
            <w:proofErr w:type="gramStart"/>
            <w:r w:rsidRPr="000E0CF1">
              <w:rPr>
                <w:rFonts w:ascii="宋体" w:hAnsi="宋体" w:cs="Calibri" w:hint="eastAsia"/>
                <w:color w:val="000000"/>
                <w:szCs w:val="21"/>
              </w:rPr>
              <w:t>所基金</w:t>
            </w:r>
            <w:proofErr w:type="gramEnd"/>
            <w:r w:rsidRPr="000E0CF1">
              <w:rPr>
                <w:rFonts w:ascii="宋体" w:hAnsi="宋体" w:cs="Calibri" w:hint="eastAsia"/>
                <w:color w:val="000000"/>
                <w:szCs w:val="21"/>
              </w:rPr>
              <w:t>销售有限公司</w:t>
            </w:r>
          </w:p>
        </w:tc>
        <w:tc>
          <w:tcPr>
            <w:tcW w:w="4678" w:type="dxa"/>
            <w:gridSpan w:val="2"/>
          </w:tcPr>
          <w:p w14:paraId="2C310921"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办公地址：中国（上海）自由贸易试验区陆家嘴环路</w:t>
            </w:r>
            <w:r>
              <w:rPr>
                <w:rFonts w:ascii="宋体" w:hAnsi="宋体" w:cs="Calibri"/>
                <w:color w:val="000000"/>
                <w:szCs w:val="21"/>
              </w:rPr>
              <w:t>1</w:t>
            </w:r>
            <w:r w:rsidRPr="000E0CF1">
              <w:rPr>
                <w:rFonts w:ascii="宋体" w:hAnsi="宋体" w:cs="Calibri"/>
                <w:color w:val="000000"/>
                <w:szCs w:val="21"/>
              </w:rPr>
              <w:t>33号14楼09单元</w:t>
            </w:r>
          </w:p>
          <w:p w14:paraId="70380F53" w14:textId="77777777" w:rsidR="00C610D3" w:rsidRPr="000E0CF1" w:rsidRDefault="00C610D3" w:rsidP="00EE54B8">
            <w:pPr>
              <w:snapToGrid w:val="0"/>
              <w:spacing w:line="276" w:lineRule="auto"/>
              <w:ind w:firstLine="420"/>
              <w:rPr>
                <w:rFonts w:ascii="宋体" w:hAnsi="宋体" w:cs="Calibri"/>
                <w:color w:val="000000"/>
                <w:szCs w:val="21"/>
              </w:rPr>
            </w:pPr>
            <w:r w:rsidRPr="000E0CF1">
              <w:rPr>
                <w:rFonts w:ascii="宋体" w:hAnsi="宋体" w:cs="Calibri" w:hint="eastAsia"/>
                <w:color w:val="000000"/>
                <w:szCs w:val="21"/>
              </w:rPr>
              <w:t>客服电话：</w:t>
            </w:r>
            <w:r w:rsidRPr="000E0CF1">
              <w:rPr>
                <w:rFonts w:ascii="宋体" w:hAnsi="宋体" w:cs="Calibri"/>
                <w:color w:val="000000"/>
                <w:szCs w:val="21"/>
              </w:rPr>
              <w:t>4008219031</w:t>
            </w:r>
          </w:p>
          <w:p w14:paraId="31B0E946"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公司网址：</w:t>
            </w:r>
            <w:r w:rsidRPr="000E0CF1">
              <w:rPr>
                <w:rFonts w:ascii="宋体" w:hAnsi="宋体" w:cs="Calibri"/>
                <w:color w:val="000000"/>
                <w:szCs w:val="21"/>
              </w:rPr>
              <w:t>www.lufunds.com</w:t>
            </w:r>
          </w:p>
        </w:tc>
      </w:tr>
      <w:tr w:rsidR="00C610D3" w:rsidRPr="000E0CF1" w14:paraId="715D74D7" w14:textId="77777777" w:rsidTr="00EE54B8">
        <w:trPr>
          <w:gridBefore w:val="1"/>
          <w:trHeight w:val="510"/>
        </w:trPr>
        <w:tc>
          <w:tcPr>
            <w:tcW w:w="851" w:type="dxa"/>
          </w:tcPr>
          <w:p w14:paraId="6136AB6D"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19</w:t>
            </w:r>
          </w:p>
        </w:tc>
        <w:tc>
          <w:tcPr>
            <w:tcW w:w="3260" w:type="dxa"/>
          </w:tcPr>
          <w:p w14:paraId="095B5855"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上海联泰资产管理有限公司</w:t>
            </w:r>
          </w:p>
        </w:tc>
        <w:tc>
          <w:tcPr>
            <w:tcW w:w="4678" w:type="dxa"/>
            <w:gridSpan w:val="2"/>
          </w:tcPr>
          <w:p w14:paraId="10585F4B" w14:textId="77777777" w:rsidR="00C610D3" w:rsidRPr="000E0CF1" w:rsidRDefault="00C610D3" w:rsidP="00EE54B8">
            <w:pPr>
              <w:snapToGrid w:val="0"/>
              <w:spacing w:line="276" w:lineRule="auto"/>
              <w:ind w:firstLine="420"/>
              <w:rPr>
                <w:rFonts w:ascii="宋体" w:hAnsi="宋体" w:cs="Calibri"/>
                <w:color w:val="000000"/>
                <w:szCs w:val="21"/>
              </w:rPr>
            </w:pPr>
            <w:r w:rsidRPr="000E0CF1">
              <w:rPr>
                <w:rFonts w:ascii="宋体" w:hAnsi="宋体" w:cs="Calibri" w:hint="eastAsia"/>
                <w:color w:val="000000"/>
                <w:szCs w:val="21"/>
              </w:rPr>
              <w:t>办公地址：中国（上海）自由贸易试验区富特北路</w:t>
            </w:r>
            <w:r w:rsidRPr="000E0CF1">
              <w:rPr>
                <w:rFonts w:ascii="宋体" w:hAnsi="宋体" w:cs="Calibri"/>
                <w:color w:val="000000"/>
                <w:szCs w:val="21"/>
              </w:rPr>
              <w:t>277号3层310室</w:t>
            </w:r>
          </w:p>
          <w:p w14:paraId="294C6C61" w14:textId="77777777" w:rsidR="00C610D3" w:rsidRPr="000E0CF1" w:rsidRDefault="00C610D3" w:rsidP="00EE54B8">
            <w:pPr>
              <w:snapToGrid w:val="0"/>
              <w:spacing w:line="276" w:lineRule="auto"/>
              <w:ind w:firstLine="420"/>
              <w:rPr>
                <w:rFonts w:ascii="宋体" w:hAnsi="宋体" w:cs="Calibri"/>
                <w:color w:val="000000"/>
                <w:szCs w:val="21"/>
              </w:rPr>
            </w:pPr>
            <w:r w:rsidRPr="000E0CF1">
              <w:rPr>
                <w:rFonts w:ascii="宋体" w:hAnsi="宋体" w:cs="Calibri" w:hint="eastAsia"/>
                <w:color w:val="000000"/>
                <w:szCs w:val="21"/>
              </w:rPr>
              <w:t>客服电话：</w:t>
            </w:r>
            <w:r w:rsidRPr="000E0CF1">
              <w:rPr>
                <w:rFonts w:ascii="宋体" w:hAnsi="宋体" w:cs="Calibri"/>
                <w:color w:val="000000"/>
                <w:szCs w:val="21"/>
              </w:rPr>
              <w:t>4000466788</w:t>
            </w:r>
          </w:p>
          <w:p w14:paraId="73E69E8D"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公司网址：</w:t>
            </w:r>
            <w:r w:rsidRPr="000E0CF1">
              <w:rPr>
                <w:rFonts w:ascii="宋体" w:hAnsi="宋体" w:cs="Calibri"/>
                <w:color w:val="000000"/>
                <w:szCs w:val="21"/>
              </w:rPr>
              <w:t xml:space="preserve"> www.66zichan.com</w:t>
            </w:r>
          </w:p>
        </w:tc>
      </w:tr>
      <w:tr w:rsidR="00C610D3" w:rsidRPr="000E0CF1" w14:paraId="068BC5DD" w14:textId="77777777" w:rsidTr="00EE54B8">
        <w:trPr>
          <w:gridBefore w:val="1"/>
          <w:trHeight w:val="510"/>
        </w:trPr>
        <w:tc>
          <w:tcPr>
            <w:tcW w:w="851" w:type="dxa"/>
          </w:tcPr>
          <w:p w14:paraId="2958526B"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20</w:t>
            </w:r>
          </w:p>
        </w:tc>
        <w:tc>
          <w:tcPr>
            <w:tcW w:w="3260" w:type="dxa"/>
          </w:tcPr>
          <w:p w14:paraId="3C5EA584"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上海天天基金销售有限公司</w:t>
            </w:r>
          </w:p>
        </w:tc>
        <w:tc>
          <w:tcPr>
            <w:tcW w:w="4678" w:type="dxa"/>
            <w:gridSpan w:val="2"/>
          </w:tcPr>
          <w:p w14:paraId="1600A035"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办公地址：上海市徐汇区龙田路</w:t>
            </w:r>
            <w:r w:rsidRPr="000E0CF1">
              <w:rPr>
                <w:rFonts w:ascii="宋体" w:hAnsi="宋体" w:cs="Calibri"/>
                <w:color w:val="000000"/>
                <w:szCs w:val="21"/>
              </w:rPr>
              <w:t>190号2号楼二层</w:t>
            </w:r>
          </w:p>
          <w:p w14:paraId="310ED045"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客服电话：</w:t>
            </w:r>
            <w:r w:rsidRPr="000E0CF1">
              <w:rPr>
                <w:rFonts w:ascii="宋体" w:hAnsi="宋体" w:cs="Calibri"/>
                <w:color w:val="000000"/>
                <w:szCs w:val="21"/>
              </w:rPr>
              <w:t>4001818188</w:t>
            </w:r>
          </w:p>
          <w:p w14:paraId="2058B7B1"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公司网址：</w:t>
            </w:r>
            <w:r w:rsidRPr="000E0CF1">
              <w:rPr>
                <w:rFonts w:ascii="宋体" w:hAnsi="宋体" w:cs="Calibri"/>
                <w:color w:val="000000"/>
                <w:szCs w:val="21"/>
              </w:rPr>
              <w:t xml:space="preserve"> fund.eastmoney.com</w:t>
            </w:r>
          </w:p>
        </w:tc>
      </w:tr>
      <w:tr w:rsidR="00C610D3" w:rsidRPr="008076EE" w14:paraId="703782E5" w14:textId="77777777" w:rsidTr="00EE54B8">
        <w:trPr>
          <w:gridBefore w:val="1"/>
          <w:trHeight w:val="510"/>
        </w:trPr>
        <w:tc>
          <w:tcPr>
            <w:tcW w:w="851" w:type="dxa"/>
          </w:tcPr>
          <w:p w14:paraId="3B326A7B"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21</w:t>
            </w:r>
          </w:p>
        </w:tc>
        <w:tc>
          <w:tcPr>
            <w:tcW w:w="3260" w:type="dxa"/>
          </w:tcPr>
          <w:p w14:paraId="182BB732"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上海长</w:t>
            </w:r>
            <w:proofErr w:type="gramStart"/>
            <w:r w:rsidRPr="008076EE">
              <w:rPr>
                <w:rFonts w:ascii="宋体" w:hAnsi="宋体" w:cs="Calibri" w:hint="eastAsia"/>
                <w:color w:val="000000"/>
                <w:szCs w:val="21"/>
              </w:rPr>
              <w:t>量基金</w:t>
            </w:r>
            <w:proofErr w:type="gramEnd"/>
            <w:r w:rsidRPr="008076EE">
              <w:rPr>
                <w:rFonts w:ascii="宋体" w:hAnsi="宋体" w:cs="Calibri" w:hint="eastAsia"/>
                <w:color w:val="000000"/>
                <w:szCs w:val="21"/>
              </w:rPr>
              <w:t>销售投资顾问有限公司</w:t>
            </w:r>
          </w:p>
        </w:tc>
        <w:tc>
          <w:tcPr>
            <w:tcW w:w="4678" w:type="dxa"/>
            <w:gridSpan w:val="2"/>
          </w:tcPr>
          <w:p w14:paraId="601FA9B7"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办公地址：上海市浦东新区东方路</w:t>
            </w:r>
            <w:r w:rsidRPr="008076EE">
              <w:rPr>
                <w:rFonts w:ascii="宋体" w:hAnsi="宋体" w:cs="Calibri"/>
                <w:color w:val="000000"/>
                <w:szCs w:val="21"/>
              </w:rPr>
              <w:t>1267</w:t>
            </w:r>
            <w:r w:rsidRPr="008076EE">
              <w:rPr>
                <w:rFonts w:ascii="宋体" w:hAnsi="宋体" w:cs="Calibri" w:hint="eastAsia"/>
                <w:color w:val="000000"/>
                <w:szCs w:val="21"/>
              </w:rPr>
              <w:t>号</w:t>
            </w:r>
            <w:r w:rsidRPr="008076EE">
              <w:rPr>
                <w:rFonts w:ascii="宋体" w:hAnsi="宋体" w:cs="Calibri"/>
                <w:color w:val="000000"/>
                <w:szCs w:val="21"/>
              </w:rPr>
              <w:t>11</w:t>
            </w:r>
            <w:r w:rsidRPr="008076EE">
              <w:rPr>
                <w:rFonts w:ascii="宋体" w:hAnsi="宋体" w:cs="Calibri" w:hint="eastAsia"/>
                <w:color w:val="000000"/>
                <w:szCs w:val="21"/>
              </w:rPr>
              <w:t>层</w:t>
            </w:r>
          </w:p>
          <w:p w14:paraId="39BEC64B"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400-820-2899</w:t>
            </w:r>
          </w:p>
          <w:p w14:paraId="66CA0BE7" w14:textId="77777777" w:rsidR="00C610D3" w:rsidRPr="008076EE" w:rsidRDefault="00C610D3" w:rsidP="00EE54B8">
            <w:pPr>
              <w:snapToGrid w:val="0"/>
              <w:spacing w:line="276" w:lineRule="auto"/>
              <w:rPr>
                <w:rFonts w:ascii="宋体" w:hAnsi="宋体" w:cs="Calibri"/>
                <w:color w:val="000000"/>
                <w:szCs w:val="21"/>
              </w:rPr>
            </w:pPr>
            <w:r w:rsidRPr="008076EE">
              <w:rPr>
                <w:rFonts w:ascii="宋体" w:hAnsi="宋体" w:cs="Calibri" w:hint="eastAsia"/>
                <w:color w:val="000000"/>
                <w:szCs w:val="21"/>
              </w:rPr>
              <w:t>公司网站：</w:t>
            </w:r>
            <w:r w:rsidRPr="008076EE">
              <w:rPr>
                <w:rFonts w:ascii="宋体" w:hAnsi="宋体" w:cs="Calibri"/>
                <w:color w:val="000000"/>
                <w:szCs w:val="21"/>
              </w:rPr>
              <w:t xml:space="preserve"> www.erichfund.com</w:t>
            </w:r>
          </w:p>
        </w:tc>
      </w:tr>
      <w:tr w:rsidR="00C610D3" w:rsidRPr="000E0CF1" w14:paraId="5FA9BA15" w14:textId="77777777" w:rsidTr="00EE54B8">
        <w:trPr>
          <w:gridBefore w:val="1"/>
          <w:trHeight w:val="510"/>
        </w:trPr>
        <w:tc>
          <w:tcPr>
            <w:tcW w:w="851" w:type="dxa"/>
          </w:tcPr>
          <w:p w14:paraId="1CA56D33"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22</w:t>
            </w:r>
          </w:p>
        </w:tc>
        <w:tc>
          <w:tcPr>
            <w:tcW w:w="3260" w:type="dxa"/>
          </w:tcPr>
          <w:p w14:paraId="115B077C"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珠海盈米财富管理有限公司</w:t>
            </w:r>
          </w:p>
        </w:tc>
        <w:tc>
          <w:tcPr>
            <w:tcW w:w="4678" w:type="dxa"/>
            <w:gridSpan w:val="2"/>
          </w:tcPr>
          <w:p w14:paraId="6C3ADE3C" w14:textId="77777777" w:rsidR="00C610D3" w:rsidRPr="000E0CF1" w:rsidRDefault="00C610D3" w:rsidP="00EE54B8">
            <w:pPr>
              <w:snapToGrid w:val="0"/>
              <w:spacing w:line="276" w:lineRule="auto"/>
              <w:ind w:firstLine="420"/>
              <w:rPr>
                <w:rFonts w:ascii="宋体" w:hAnsi="宋体" w:cs="Calibri"/>
                <w:color w:val="000000"/>
                <w:szCs w:val="21"/>
              </w:rPr>
            </w:pPr>
            <w:r w:rsidRPr="000E0CF1">
              <w:rPr>
                <w:rFonts w:ascii="宋体" w:hAnsi="宋体" w:cs="Calibri" w:hint="eastAsia"/>
                <w:color w:val="000000"/>
                <w:szCs w:val="21"/>
              </w:rPr>
              <w:t>办公地址：珠海市横琴新区宝华路</w:t>
            </w:r>
            <w:r w:rsidRPr="000E0CF1">
              <w:rPr>
                <w:rFonts w:ascii="宋体" w:hAnsi="宋体" w:cs="Calibri"/>
                <w:color w:val="000000"/>
                <w:szCs w:val="21"/>
              </w:rPr>
              <w:t xml:space="preserve">6号105室-3491 </w:t>
            </w:r>
          </w:p>
          <w:p w14:paraId="296C9ADC" w14:textId="77777777" w:rsidR="00C610D3" w:rsidRPr="000E0CF1" w:rsidRDefault="00C610D3" w:rsidP="00EE54B8">
            <w:pPr>
              <w:snapToGrid w:val="0"/>
              <w:spacing w:line="276" w:lineRule="auto"/>
              <w:ind w:firstLine="420"/>
              <w:rPr>
                <w:rFonts w:ascii="宋体" w:hAnsi="宋体" w:cs="Calibri"/>
                <w:color w:val="000000"/>
                <w:szCs w:val="21"/>
              </w:rPr>
            </w:pPr>
            <w:r w:rsidRPr="000E0CF1">
              <w:rPr>
                <w:rFonts w:ascii="宋体" w:hAnsi="宋体" w:cs="Calibri" w:hint="eastAsia"/>
                <w:color w:val="000000"/>
                <w:szCs w:val="21"/>
              </w:rPr>
              <w:t>客服电话：</w:t>
            </w:r>
            <w:r w:rsidRPr="000E0CF1">
              <w:rPr>
                <w:rFonts w:ascii="宋体" w:hAnsi="宋体" w:cs="Calibri"/>
                <w:color w:val="000000"/>
                <w:szCs w:val="21"/>
              </w:rPr>
              <w:t>020-89629066</w:t>
            </w:r>
          </w:p>
          <w:p w14:paraId="467DB586"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公司网址：</w:t>
            </w:r>
            <w:r w:rsidRPr="000E0CF1">
              <w:rPr>
                <w:rFonts w:ascii="宋体" w:hAnsi="宋体" w:cs="Calibri"/>
                <w:color w:val="000000"/>
                <w:szCs w:val="21"/>
              </w:rPr>
              <w:t>www.yingmi.cn</w:t>
            </w:r>
          </w:p>
        </w:tc>
      </w:tr>
      <w:tr w:rsidR="00C610D3" w:rsidRPr="000E0CF1" w14:paraId="5BFD6A2E" w14:textId="77777777" w:rsidTr="00EE54B8">
        <w:trPr>
          <w:gridBefore w:val="1"/>
        </w:trPr>
        <w:tc>
          <w:tcPr>
            <w:tcW w:w="851" w:type="dxa"/>
          </w:tcPr>
          <w:p w14:paraId="0D54A0C2"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23</w:t>
            </w:r>
          </w:p>
        </w:tc>
        <w:tc>
          <w:tcPr>
            <w:tcW w:w="3260" w:type="dxa"/>
          </w:tcPr>
          <w:p w14:paraId="02A7DFE3"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民</w:t>
            </w:r>
            <w:proofErr w:type="gramStart"/>
            <w:r w:rsidRPr="000E0CF1">
              <w:rPr>
                <w:rFonts w:ascii="宋体" w:hAnsi="宋体" w:cs="Calibri" w:hint="eastAsia"/>
                <w:color w:val="000000"/>
                <w:szCs w:val="21"/>
              </w:rPr>
              <w:t>商基金</w:t>
            </w:r>
            <w:proofErr w:type="gramEnd"/>
            <w:r w:rsidRPr="000E0CF1">
              <w:rPr>
                <w:rFonts w:ascii="宋体" w:hAnsi="宋体" w:cs="Calibri" w:hint="eastAsia"/>
                <w:color w:val="000000"/>
                <w:szCs w:val="21"/>
              </w:rPr>
              <w:t>销售（上海）有限公司</w:t>
            </w:r>
          </w:p>
        </w:tc>
        <w:tc>
          <w:tcPr>
            <w:tcW w:w="4678" w:type="dxa"/>
            <w:gridSpan w:val="2"/>
          </w:tcPr>
          <w:p w14:paraId="7D44BDC9"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注册</w:t>
            </w:r>
            <w:r w:rsidRPr="000E0CF1">
              <w:rPr>
                <w:rFonts w:ascii="宋体" w:hAnsi="宋体" w:cs="Calibri"/>
                <w:color w:val="000000"/>
                <w:szCs w:val="21"/>
              </w:rPr>
              <w:t>(</w:t>
            </w:r>
            <w:r w:rsidRPr="000E0CF1">
              <w:rPr>
                <w:rFonts w:ascii="宋体" w:hAnsi="宋体" w:cs="Calibri" w:hint="eastAsia"/>
                <w:color w:val="000000"/>
                <w:szCs w:val="21"/>
              </w:rPr>
              <w:t>办公</w:t>
            </w:r>
            <w:r w:rsidRPr="000E0CF1">
              <w:rPr>
                <w:rFonts w:ascii="宋体" w:hAnsi="宋体" w:cs="Calibri"/>
                <w:color w:val="000000"/>
                <w:szCs w:val="21"/>
              </w:rPr>
              <w:t>)</w:t>
            </w:r>
            <w:r w:rsidRPr="000E0CF1">
              <w:rPr>
                <w:rFonts w:ascii="宋体" w:hAnsi="宋体" w:cs="Calibri" w:hint="eastAsia"/>
                <w:color w:val="000000"/>
                <w:szCs w:val="21"/>
              </w:rPr>
              <w:t>地址：上海黄浦区北京东路</w:t>
            </w:r>
            <w:r w:rsidRPr="000E0CF1">
              <w:rPr>
                <w:rFonts w:ascii="宋体" w:hAnsi="宋体" w:cs="Calibri"/>
                <w:color w:val="000000"/>
                <w:szCs w:val="21"/>
              </w:rPr>
              <w:t>666</w:t>
            </w:r>
            <w:r w:rsidRPr="000E0CF1">
              <w:rPr>
                <w:rFonts w:ascii="宋体" w:hAnsi="宋体" w:cs="Calibri" w:hint="eastAsia"/>
                <w:color w:val="000000"/>
                <w:szCs w:val="21"/>
              </w:rPr>
              <w:t>号</w:t>
            </w:r>
            <w:r w:rsidRPr="000E0CF1">
              <w:rPr>
                <w:rFonts w:ascii="宋体" w:hAnsi="宋体" w:cs="Calibri"/>
                <w:color w:val="000000"/>
                <w:szCs w:val="21"/>
              </w:rPr>
              <w:t>H</w:t>
            </w:r>
            <w:r w:rsidRPr="000E0CF1">
              <w:rPr>
                <w:rFonts w:ascii="宋体" w:hAnsi="宋体" w:cs="Calibri" w:hint="eastAsia"/>
                <w:color w:val="000000"/>
                <w:szCs w:val="21"/>
              </w:rPr>
              <w:t>区（东座）</w:t>
            </w:r>
            <w:r w:rsidRPr="000E0CF1">
              <w:rPr>
                <w:rFonts w:ascii="宋体" w:hAnsi="宋体" w:cs="Calibri"/>
                <w:color w:val="000000"/>
                <w:szCs w:val="21"/>
              </w:rPr>
              <w:t>6</w:t>
            </w:r>
            <w:r w:rsidRPr="000E0CF1">
              <w:rPr>
                <w:rFonts w:ascii="宋体" w:hAnsi="宋体" w:cs="Calibri" w:hint="eastAsia"/>
                <w:color w:val="000000"/>
                <w:szCs w:val="21"/>
              </w:rPr>
              <w:t>楼</w:t>
            </w:r>
            <w:r w:rsidRPr="000E0CF1">
              <w:rPr>
                <w:rFonts w:ascii="宋体" w:hAnsi="宋体" w:cs="Calibri"/>
                <w:color w:val="000000"/>
                <w:szCs w:val="21"/>
              </w:rPr>
              <w:t>A31</w:t>
            </w:r>
            <w:r w:rsidRPr="000E0CF1">
              <w:rPr>
                <w:rFonts w:ascii="宋体" w:hAnsi="宋体" w:cs="Calibri" w:hint="eastAsia"/>
                <w:color w:val="000000"/>
                <w:szCs w:val="21"/>
              </w:rPr>
              <w:t>室</w:t>
            </w:r>
            <w:r w:rsidRPr="000E0CF1">
              <w:rPr>
                <w:rFonts w:ascii="宋体" w:hAnsi="宋体" w:cs="Calibri"/>
                <w:color w:val="000000"/>
                <w:szCs w:val="21"/>
              </w:rPr>
              <w:t xml:space="preserve"> </w:t>
            </w:r>
          </w:p>
          <w:p w14:paraId="5131BC4F"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客户服务电话：</w:t>
            </w:r>
            <w:r w:rsidRPr="000E0CF1">
              <w:rPr>
                <w:rFonts w:ascii="宋体" w:hAnsi="宋体" w:cs="Calibri"/>
                <w:color w:val="000000"/>
                <w:szCs w:val="21"/>
              </w:rPr>
              <w:t>021-50206003</w:t>
            </w:r>
          </w:p>
          <w:p w14:paraId="7C121004"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 xml:space="preserve">http://www.msftec.com </w:t>
            </w:r>
          </w:p>
        </w:tc>
      </w:tr>
      <w:tr w:rsidR="00C610D3" w:rsidRPr="00B85155" w14:paraId="4010A08C" w14:textId="77777777" w:rsidTr="00EE54B8">
        <w:trPr>
          <w:gridBefore w:val="1"/>
        </w:trPr>
        <w:tc>
          <w:tcPr>
            <w:tcW w:w="851" w:type="dxa"/>
          </w:tcPr>
          <w:p w14:paraId="23DF42F3"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25</w:t>
            </w:r>
          </w:p>
        </w:tc>
        <w:tc>
          <w:tcPr>
            <w:tcW w:w="3260" w:type="dxa"/>
          </w:tcPr>
          <w:p w14:paraId="47182EC2" w14:textId="77777777" w:rsidR="00C610D3" w:rsidRPr="00A40A5E" w:rsidRDefault="00C610D3" w:rsidP="00EE54B8">
            <w:pPr>
              <w:snapToGrid w:val="0"/>
              <w:spacing w:line="276" w:lineRule="auto"/>
              <w:rPr>
                <w:rFonts w:ascii="宋体" w:hAnsi="宋体" w:cs="Calibri"/>
                <w:color w:val="000000"/>
                <w:szCs w:val="21"/>
              </w:rPr>
            </w:pPr>
            <w:proofErr w:type="gramStart"/>
            <w:r w:rsidRPr="00A40A5E">
              <w:rPr>
                <w:rFonts w:ascii="宋体" w:hAnsi="宋体" w:cs="Calibri" w:hint="eastAsia"/>
                <w:color w:val="000000"/>
                <w:szCs w:val="21"/>
              </w:rPr>
              <w:t>北京植信基金</w:t>
            </w:r>
            <w:proofErr w:type="gramEnd"/>
            <w:r w:rsidRPr="00A40A5E">
              <w:rPr>
                <w:rFonts w:ascii="宋体" w:hAnsi="宋体" w:cs="Calibri" w:hint="eastAsia"/>
                <w:color w:val="000000"/>
                <w:szCs w:val="21"/>
              </w:rPr>
              <w:t>销售有限公司</w:t>
            </w:r>
          </w:p>
        </w:tc>
        <w:tc>
          <w:tcPr>
            <w:tcW w:w="4678" w:type="dxa"/>
            <w:gridSpan w:val="2"/>
          </w:tcPr>
          <w:p w14:paraId="05C69116"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注册(办公)地址：北京市密云区兴盛南路8号院2号楼106室-67</w:t>
            </w:r>
          </w:p>
          <w:p w14:paraId="2DB8ACD8"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4006-802-123</w:t>
            </w:r>
          </w:p>
          <w:p w14:paraId="20CBA89F" w14:textId="77777777" w:rsidR="00C610D3" w:rsidRPr="00B85155"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"http://www.zhixin-inv.com" </w:instrText>
            </w:r>
            <w:r>
              <w:fldChar w:fldCharType="separate"/>
            </w:r>
            <w:r w:rsidRPr="00A40A5E">
              <w:rPr>
                <w:rStyle w:val="afa"/>
                <w:rFonts w:ascii="宋体" w:hAnsi="宋体" w:cs="Calibri" w:hint="eastAsia"/>
                <w:szCs w:val="21"/>
              </w:rPr>
              <w:t>www.zhixin-inv.com</w:t>
            </w:r>
            <w:r>
              <w:rPr>
                <w:rStyle w:val="afa"/>
                <w:rFonts w:ascii="宋体" w:hAnsi="宋体" w:cs="Calibri"/>
                <w:szCs w:val="21"/>
              </w:rPr>
              <w:fldChar w:fldCharType="end"/>
            </w:r>
          </w:p>
        </w:tc>
      </w:tr>
      <w:tr w:rsidR="00C610D3" w:rsidRPr="00A40A5E" w14:paraId="668642A4" w14:textId="77777777" w:rsidTr="00EE54B8">
        <w:trPr>
          <w:gridBefore w:val="1"/>
        </w:trPr>
        <w:tc>
          <w:tcPr>
            <w:tcW w:w="851" w:type="dxa"/>
          </w:tcPr>
          <w:p w14:paraId="58EBEAF5"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26</w:t>
            </w:r>
          </w:p>
        </w:tc>
        <w:tc>
          <w:tcPr>
            <w:tcW w:w="3260" w:type="dxa"/>
          </w:tcPr>
          <w:p w14:paraId="6DA19982"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北京汇成基金销售有限公司</w:t>
            </w:r>
          </w:p>
        </w:tc>
        <w:tc>
          <w:tcPr>
            <w:tcW w:w="4678" w:type="dxa"/>
            <w:gridSpan w:val="2"/>
          </w:tcPr>
          <w:p w14:paraId="6B8B0EA1"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注册(办公)地址：</w:t>
            </w:r>
            <w:r w:rsidRPr="00F003AE">
              <w:rPr>
                <w:rFonts w:ascii="宋体" w:hAnsi="宋体" w:cs="Calibri" w:hint="eastAsia"/>
                <w:bCs/>
                <w:color w:val="000000"/>
                <w:szCs w:val="21"/>
              </w:rPr>
              <w:t>北京市西城区宣武门外大街甲1号</w:t>
            </w:r>
            <w:proofErr w:type="gramStart"/>
            <w:r w:rsidRPr="00F003AE">
              <w:rPr>
                <w:rFonts w:ascii="宋体" w:hAnsi="宋体" w:cs="Calibri" w:hint="eastAsia"/>
                <w:bCs/>
                <w:color w:val="000000"/>
                <w:szCs w:val="21"/>
              </w:rPr>
              <w:t>环球财讯中心</w:t>
            </w:r>
            <w:proofErr w:type="gramEnd"/>
            <w:r w:rsidRPr="00F003AE">
              <w:rPr>
                <w:rFonts w:ascii="宋体" w:hAnsi="宋体" w:cs="Calibri" w:hint="eastAsia"/>
                <w:bCs/>
                <w:color w:val="000000"/>
                <w:szCs w:val="21"/>
              </w:rPr>
              <w:t>D座401</w:t>
            </w:r>
          </w:p>
          <w:p w14:paraId="50BD20D0"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400-619-9059</w:t>
            </w:r>
          </w:p>
          <w:p w14:paraId="02A09BD1"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www.hcjijin.com</w:t>
            </w:r>
          </w:p>
        </w:tc>
      </w:tr>
      <w:tr w:rsidR="00C610D3" w:rsidRPr="000E0CF1" w14:paraId="41B457FB" w14:textId="77777777" w:rsidTr="00EE54B8">
        <w:trPr>
          <w:gridBefore w:val="1"/>
        </w:trPr>
        <w:tc>
          <w:tcPr>
            <w:tcW w:w="851" w:type="dxa"/>
          </w:tcPr>
          <w:p w14:paraId="47B783BE"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2</w:t>
            </w:r>
            <w:r>
              <w:rPr>
                <w:rFonts w:ascii="宋体" w:hAnsi="宋体" w:cs="Calibri" w:hint="eastAsia"/>
                <w:color w:val="000000"/>
                <w:szCs w:val="21"/>
              </w:rPr>
              <w:t>7</w:t>
            </w:r>
          </w:p>
        </w:tc>
        <w:tc>
          <w:tcPr>
            <w:tcW w:w="3260" w:type="dxa"/>
          </w:tcPr>
          <w:p w14:paraId="6645EBA9"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大连</w:t>
            </w:r>
            <w:proofErr w:type="gramStart"/>
            <w:r w:rsidRPr="000E0CF1">
              <w:rPr>
                <w:rFonts w:ascii="宋体" w:hAnsi="宋体" w:cs="Calibri" w:hint="eastAsia"/>
                <w:color w:val="000000"/>
                <w:szCs w:val="21"/>
              </w:rPr>
              <w:t>网金基金</w:t>
            </w:r>
            <w:proofErr w:type="gramEnd"/>
            <w:r w:rsidRPr="000E0CF1">
              <w:rPr>
                <w:rFonts w:ascii="宋体" w:hAnsi="宋体" w:cs="Calibri" w:hint="eastAsia"/>
                <w:color w:val="000000"/>
                <w:szCs w:val="21"/>
              </w:rPr>
              <w:t>销售有限公司</w:t>
            </w:r>
          </w:p>
        </w:tc>
        <w:tc>
          <w:tcPr>
            <w:tcW w:w="4678" w:type="dxa"/>
            <w:gridSpan w:val="2"/>
          </w:tcPr>
          <w:p w14:paraId="236E91DB"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注册</w:t>
            </w:r>
            <w:r w:rsidRPr="000E0CF1">
              <w:rPr>
                <w:rFonts w:ascii="宋体" w:hAnsi="宋体" w:cs="Calibri"/>
                <w:color w:val="000000"/>
                <w:szCs w:val="21"/>
              </w:rPr>
              <w:t>(</w:t>
            </w:r>
            <w:r w:rsidRPr="000E0CF1">
              <w:rPr>
                <w:rFonts w:ascii="宋体" w:hAnsi="宋体" w:cs="Calibri" w:hint="eastAsia"/>
                <w:color w:val="000000"/>
                <w:szCs w:val="21"/>
              </w:rPr>
              <w:t>办公</w:t>
            </w:r>
            <w:r w:rsidRPr="000E0CF1">
              <w:rPr>
                <w:rFonts w:ascii="宋体" w:hAnsi="宋体" w:cs="Calibri"/>
                <w:color w:val="000000"/>
                <w:szCs w:val="21"/>
              </w:rPr>
              <w:t>)</w:t>
            </w:r>
            <w:r w:rsidRPr="000E0CF1">
              <w:rPr>
                <w:rFonts w:ascii="宋体" w:hAnsi="宋体" w:cs="Calibri" w:hint="eastAsia"/>
                <w:color w:val="000000"/>
                <w:szCs w:val="21"/>
              </w:rPr>
              <w:t>地址：大连市沙河口区体坛路</w:t>
            </w:r>
            <w:r w:rsidRPr="000E0CF1">
              <w:rPr>
                <w:rFonts w:ascii="宋体" w:hAnsi="宋体" w:cs="Calibri"/>
                <w:color w:val="000000"/>
                <w:szCs w:val="21"/>
              </w:rPr>
              <w:t>22</w:t>
            </w:r>
            <w:r w:rsidRPr="000E0CF1">
              <w:rPr>
                <w:rFonts w:ascii="宋体" w:hAnsi="宋体" w:cs="Calibri" w:hint="eastAsia"/>
                <w:color w:val="000000"/>
                <w:szCs w:val="21"/>
              </w:rPr>
              <w:t>号诺德大厦</w:t>
            </w:r>
            <w:r w:rsidRPr="000E0CF1">
              <w:rPr>
                <w:rFonts w:ascii="宋体" w:hAnsi="宋体" w:cs="Calibri"/>
                <w:color w:val="000000"/>
                <w:szCs w:val="21"/>
              </w:rPr>
              <w:t>2</w:t>
            </w:r>
            <w:r w:rsidRPr="000E0CF1">
              <w:rPr>
                <w:rFonts w:ascii="宋体" w:hAnsi="宋体" w:cs="Calibri" w:hint="eastAsia"/>
                <w:color w:val="000000"/>
                <w:szCs w:val="21"/>
              </w:rPr>
              <w:t>层</w:t>
            </w:r>
          </w:p>
          <w:p w14:paraId="63DE41C4"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客户服务电话：</w:t>
            </w:r>
            <w:r w:rsidRPr="000E0CF1">
              <w:rPr>
                <w:rFonts w:ascii="宋体" w:hAnsi="宋体" w:cs="Calibri"/>
                <w:color w:val="000000"/>
                <w:szCs w:val="21"/>
              </w:rPr>
              <w:t>4000-899-100</w:t>
            </w:r>
          </w:p>
          <w:p w14:paraId="608DF9C8"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 xml:space="preserve"> http://www.yibaijin.com/</w:t>
            </w:r>
          </w:p>
        </w:tc>
      </w:tr>
      <w:tr w:rsidR="00C610D3" w:rsidRPr="000E0CF1" w14:paraId="2F5555A1" w14:textId="77777777" w:rsidTr="00EE54B8">
        <w:trPr>
          <w:gridBefore w:val="1"/>
        </w:trPr>
        <w:tc>
          <w:tcPr>
            <w:tcW w:w="851" w:type="dxa"/>
          </w:tcPr>
          <w:p w14:paraId="3EA0085B"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28</w:t>
            </w:r>
          </w:p>
        </w:tc>
        <w:tc>
          <w:tcPr>
            <w:tcW w:w="3260" w:type="dxa"/>
          </w:tcPr>
          <w:p w14:paraId="1C6D7289"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北京蛋卷基金销售有限公司</w:t>
            </w:r>
          </w:p>
        </w:tc>
        <w:tc>
          <w:tcPr>
            <w:tcW w:w="4678" w:type="dxa"/>
            <w:gridSpan w:val="2"/>
          </w:tcPr>
          <w:p w14:paraId="2DCFC5B1"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注册(办公)地址：北京市朝阳区阜通东大街1号院6号楼2单元21层222507</w:t>
            </w:r>
          </w:p>
          <w:p w14:paraId="16DFDB90"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客户服务电话：</w:t>
            </w:r>
            <w:r w:rsidRPr="000E0CF1">
              <w:rPr>
                <w:rFonts w:ascii="宋体" w:hAnsi="宋体" w:cs="Calibri"/>
                <w:color w:val="000000"/>
                <w:szCs w:val="21"/>
              </w:rPr>
              <w:t>400-159-9288</w:t>
            </w:r>
          </w:p>
          <w:p w14:paraId="24F6E8FF"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https://danjuanapp.com/</w:t>
            </w:r>
          </w:p>
        </w:tc>
      </w:tr>
      <w:tr w:rsidR="00C610D3" w:rsidRPr="000E0CF1" w14:paraId="10A5967F" w14:textId="77777777" w:rsidTr="00EE54B8">
        <w:trPr>
          <w:gridBefore w:val="1"/>
        </w:trPr>
        <w:tc>
          <w:tcPr>
            <w:tcW w:w="851" w:type="dxa"/>
          </w:tcPr>
          <w:p w14:paraId="77C2D6E7"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29</w:t>
            </w:r>
          </w:p>
        </w:tc>
        <w:tc>
          <w:tcPr>
            <w:tcW w:w="3260" w:type="dxa"/>
          </w:tcPr>
          <w:p w14:paraId="08BB5ED2"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北京</w:t>
            </w:r>
            <w:proofErr w:type="gramStart"/>
            <w:r w:rsidRPr="000E0CF1">
              <w:rPr>
                <w:rFonts w:ascii="宋体" w:hAnsi="宋体" w:cs="Calibri" w:hint="eastAsia"/>
                <w:color w:val="000000"/>
                <w:szCs w:val="21"/>
              </w:rPr>
              <w:t>恒</w:t>
            </w:r>
            <w:proofErr w:type="gramEnd"/>
            <w:r w:rsidRPr="000E0CF1">
              <w:rPr>
                <w:rFonts w:ascii="宋体" w:hAnsi="宋体" w:cs="Calibri" w:hint="eastAsia"/>
                <w:color w:val="000000"/>
                <w:szCs w:val="21"/>
              </w:rPr>
              <w:t>天明</w:t>
            </w:r>
            <w:proofErr w:type="gramStart"/>
            <w:r w:rsidRPr="000E0CF1">
              <w:rPr>
                <w:rFonts w:ascii="宋体" w:hAnsi="宋体" w:cs="Calibri" w:hint="eastAsia"/>
                <w:color w:val="000000"/>
                <w:szCs w:val="21"/>
              </w:rPr>
              <w:t>泽基金</w:t>
            </w:r>
            <w:proofErr w:type="gramEnd"/>
            <w:r w:rsidRPr="000E0CF1">
              <w:rPr>
                <w:rFonts w:ascii="宋体" w:hAnsi="宋体" w:cs="Calibri" w:hint="eastAsia"/>
                <w:color w:val="000000"/>
                <w:szCs w:val="21"/>
              </w:rPr>
              <w:t>销售有限公司</w:t>
            </w:r>
          </w:p>
        </w:tc>
        <w:tc>
          <w:tcPr>
            <w:tcW w:w="4678" w:type="dxa"/>
            <w:gridSpan w:val="2"/>
          </w:tcPr>
          <w:p w14:paraId="17315E5B"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办公</w:t>
            </w:r>
            <w:proofErr w:type="gramStart"/>
            <w:r w:rsidRPr="000E0CF1">
              <w:rPr>
                <w:rFonts w:ascii="宋体" w:hAnsi="宋体" w:cs="Calibri" w:hint="eastAsia"/>
                <w:color w:val="000000"/>
                <w:szCs w:val="21"/>
              </w:rPr>
              <w:t>地址地址</w:t>
            </w:r>
            <w:proofErr w:type="gramEnd"/>
            <w:r w:rsidRPr="000E0CF1">
              <w:rPr>
                <w:rFonts w:ascii="宋体" w:hAnsi="宋体" w:cs="Calibri" w:hint="eastAsia"/>
                <w:color w:val="000000"/>
                <w:szCs w:val="21"/>
              </w:rPr>
              <w:t>：北京市朝阳区东三环北路甲</w:t>
            </w:r>
            <w:r w:rsidRPr="000E0CF1">
              <w:rPr>
                <w:rFonts w:ascii="宋体" w:hAnsi="宋体" w:cs="Calibri" w:hint="eastAsia"/>
                <w:color w:val="000000"/>
                <w:szCs w:val="21"/>
              </w:rPr>
              <w:lastRenderedPageBreak/>
              <w:t>19号SOHO</w:t>
            </w:r>
            <w:proofErr w:type="gramStart"/>
            <w:r w:rsidRPr="000E0CF1">
              <w:rPr>
                <w:rFonts w:ascii="宋体" w:hAnsi="宋体" w:cs="Calibri" w:hint="eastAsia"/>
                <w:color w:val="000000"/>
                <w:szCs w:val="21"/>
              </w:rPr>
              <w:t>嘉盛中心</w:t>
            </w:r>
            <w:proofErr w:type="gramEnd"/>
            <w:r w:rsidRPr="000E0CF1">
              <w:rPr>
                <w:rFonts w:ascii="宋体" w:hAnsi="宋体" w:cs="Calibri" w:hint="eastAsia"/>
                <w:color w:val="000000"/>
                <w:szCs w:val="21"/>
              </w:rPr>
              <w:t>30层3006-3015室</w:t>
            </w:r>
          </w:p>
          <w:p w14:paraId="5BFD8826"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客户服务电话：4008980618</w:t>
            </w:r>
          </w:p>
          <w:p w14:paraId="285CF166"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网址：www.chtwm.com</w:t>
            </w:r>
          </w:p>
        </w:tc>
      </w:tr>
      <w:tr w:rsidR="00C610D3" w:rsidRPr="000E0CF1" w14:paraId="4C69D140" w14:textId="77777777" w:rsidTr="00EE54B8">
        <w:trPr>
          <w:gridBefore w:val="1"/>
        </w:trPr>
        <w:tc>
          <w:tcPr>
            <w:tcW w:w="851" w:type="dxa"/>
          </w:tcPr>
          <w:p w14:paraId="3B8B41B5"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lastRenderedPageBreak/>
              <w:t>30</w:t>
            </w:r>
          </w:p>
        </w:tc>
        <w:tc>
          <w:tcPr>
            <w:tcW w:w="3260" w:type="dxa"/>
          </w:tcPr>
          <w:p w14:paraId="68647FBD"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深圳前海</w:t>
            </w:r>
            <w:proofErr w:type="gramStart"/>
            <w:r w:rsidRPr="000E0CF1">
              <w:rPr>
                <w:rFonts w:ascii="宋体" w:hAnsi="宋体" w:cs="Calibri" w:hint="eastAsia"/>
                <w:color w:val="000000"/>
                <w:szCs w:val="21"/>
              </w:rPr>
              <w:t>财厚基金</w:t>
            </w:r>
            <w:proofErr w:type="gramEnd"/>
            <w:r w:rsidRPr="000E0CF1">
              <w:rPr>
                <w:rFonts w:ascii="宋体" w:hAnsi="宋体" w:cs="Calibri" w:hint="eastAsia"/>
                <w:color w:val="000000"/>
                <w:szCs w:val="21"/>
              </w:rPr>
              <w:t>销售有限公司</w:t>
            </w:r>
          </w:p>
        </w:tc>
        <w:tc>
          <w:tcPr>
            <w:tcW w:w="4678" w:type="dxa"/>
            <w:gridSpan w:val="2"/>
          </w:tcPr>
          <w:p w14:paraId="72855E55"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办公地址：广东省深圳市南山区高新南十道 深圳湾科技</w:t>
            </w:r>
            <w:proofErr w:type="gramStart"/>
            <w:r w:rsidRPr="000E0CF1">
              <w:rPr>
                <w:rFonts w:ascii="宋体" w:hAnsi="宋体" w:cs="Calibri" w:hint="eastAsia"/>
                <w:color w:val="000000"/>
                <w:szCs w:val="21"/>
              </w:rPr>
              <w:t>生态园三区</w:t>
            </w:r>
            <w:proofErr w:type="gramEnd"/>
            <w:r w:rsidRPr="000E0CF1">
              <w:rPr>
                <w:rFonts w:ascii="宋体" w:hAnsi="宋体" w:cs="Calibri" w:hint="eastAsia"/>
                <w:color w:val="000000"/>
                <w:szCs w:val="21"/>
              </w:rPr>
              <w:t>11栋A座3608室</w:t>
            </w:r>
          </w:p>
          <w:p w14:paraId="0180D992"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客户服务电话：400-128-6800</w:t>
            </w:r>
          </w:p>
          <w:p w14:paraId="47275EBA"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caiho.cn</w:t>
            </w:r>
          </w:p>
        </w:tc>
      </w:tr>
      <w:tr w:rsidR="00C610D3" w:rsidRPr="000E0CF1" w14:paraId="4C0848FE" w14:textId="77777777" w:rsidTr="00EE54B8">
        <w:trPr>
          <w:gridBefore w:val="1"/>
        </w:trPr>
        <w:tc>
          <w:tcPr>
            <w:tcW w:w="851" w:type="dxa"/>
          </w:tcPr>
          <w:p w14:paraId="128D54BA"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31</w:t>
            </w:r>
          </w:p>
        </w:tc>
        <w:tc>
          <w:tcPr>
            <w:tcW w:w="3260" w:type="dxa"/>
          </w:tcPr>
          <w:p w14:paraId="52F81A31"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上海挖财基金销售有限公司</w:t>
            </w:r>
          </w:p>
        </w:tc>
        <w:tc>
          <w:tcPr>
            <w:tcW w:w="4678" w:type="dxa"/>
            <w:gridSpan w:val="2"/>
          </w:tcPr>
          <w:p w14:paraId="1311B39A"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注册(办公)地址：中国（上海）自由贸易试验区扬高南路</w:t>
            </w:r>
            <w:r w:rsidRPr="000E0CF1">
              <w:rPr>
                <w:rFonts w:ascii="宋体" w:hAnsi="宋体" w:cs="Calibri"/>
                <w:color w:val="000000"/>
                <w:szCs w:val="21"/>
              </w:rPr>
              <w:t>799</w:t>
            </w:r>
            <w:r w:rsidRPr="000E0CF1">
              <w:rPr>
                <w:rFonts w:ascii="宋体" w:hAnsi="宋体" w:cs="Calibri" w:hint="eastAsia"/>
                <w:color w:val="000000"/>
                <w:szCs w:val="21"/>
              </w:rPr>
              <w:t>号</w:t>
            </w:r>
            <w:r w:rsidRPr="000E0CF1">
              <w:rPr>
                <w:rFonts w:ascii="宋体" w:hAnsi="宋体" w:cs="Calibri"/>
                <w:color w:val="000000"/>
                <w:szCs w:val="21"/>
              </w:rPr>
              <w:t>5</w:t>
            </w:r>
            <w:r w:rsidRPr="000E0CF1">
              <w:rPr>
                <w:rFonts w:ascii="宋体" w:hAnsi="宋体" w:cs="Calibri" w:hint="eastAsia"/>
                <w:color w:val="000000"/>
                <w:szCs w:val="21"/>
              </w:rPr>
              <w:t>楼</w:t>
            </w:r>
            <w:r w:rsidRPr="000E0CF1">
              <w:rPr>
                <w:rFonts w:ascii="宋体" w:hAnsi="宋体" w:cs="Calibri"/>
                <w:color w:val="000000"/>
                <w:szCs w:val="21"/>
              </w:rPr>
              <w:t>01</w:t>
            </w:r>
            <w:r w:rsidRPr="000E0CF1">
              <w:rPr>
                <w:rFonts w:ascii="宋体" w:hAnsi="宋体" w:cs="Calibri" w:hint="eastAsia"/>
                <w:color w:val="000000"/>
                <w:szCs w:val="21"/>
              </w:rPr>
              <w:t>、</w:t>
            </w:r>
            <w:r w:rsidRPr="000E0CF1">
              <w:rPr>
                <w:rFonts w:ascii="宋体" w:hAnsi="宋体" w:cs="Calibri"/>
                <w:color w:val="000000"/>
                <w:szCs w:val="21"/>
              </w:rPr>
              <w:t>02</w:t>
            </w:r>
            <w:r w:rsidRPr="000E0CF1">
              <w:rPr>
                <w:rFonts w:ascii="宋体" w:hAnsi="宋体" w:cs="Calibri" w:hint="eastAsia"/>
                <w:color w:val="000000"/>
                <w:szCs w:val="21"/>
              </w:rPr>
              <w:t>、</w:t>
            </w:r>
            <w:r w:rsidRPr="000E0CF1">
              <w:rPr>
                <w:rFonts w:ascii="宋体" w:hAnsi="宋体" w:cs="Calibri"/>
                <w:color w:val="000000"/>
                <w:szCs w:val="21"/>
              </w:rPr>
              <w:t>03</w:t>
            </w:r>
            <w:r w:rsidRPr="000E0CF1">
              <w:rPr>
                <w:rFonts w:ascii="宋体" w:hAnsi="宋体" w:cs="Calibri" w:hint="eastAsia"/>
                <w:color w:val="000000"/>
                <w:szCs w:val="21"/>
              </w:rPr>
              <w:t>室</w:t>
            </w:r>
          </w:p>
          <w:p w14:paraId="2923E0B5"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客户服务电话：</w:t>
            </w:r>
            <w:r w:rsidRPr="000E0CF1">
              <w:rPr>
                <w:rFonts w:ascii="宋体" w:hAnsi="宋体" w:cs="Calibri"/>
                <w:color w:val="000000"/>
                <w:szCs w:val="21"/>
              </w:rPr>
              <w:t>400-711-8718</w:t>
            </w:r>
          </w:p>
          <w:p w14:paraId="60703759"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 </w:t>
            </w:r>
            <w:hyperlink r:id="rId18" w:history="1">
              <w:r w:rsidRPr="000E0CF1">
                <w:rPr>
                  <w:rFonts w:ascii="宋体" w:hAnsi="宋体" w:cs="Calibri"/>
                  <w:color w:val="000000"/>
                  <w:szCs w:val="21"/>
                </w:rPr>
                <w:t>www.wacaijijin.com</w:t>
              </w:r>
            </w:hyperlink>
          </w:p>
        </w:tc>
      </w:tr>
      <w:tr w:rsidR="00C610D3" w:rsidRPr="000E0CF1" w14:paraId="1723CCF7" w14:textId="77777777" w:rsidTr="00EE54B8">
        <w:trPr>
          <w:gridBefore w:val="1"/>
        </w:trPr>
        <w:tc>
          <w:tcPr>
            <w:tcW w:w="851" w:type="dxa"/>
          </w:tcPr>
          <w:p w14:paraId="74E5152E"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32</w:t>
            </w:r>
          </w:p>
        </w:tc>
        <w:tc>
          <w:tcPr>
            <w:tcW w:w="3260" w:type="dxa"/>
          </w:tcPr>
          <w:p w14:paraId="136A8EE8"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诺亚正</w:t>
            </w:r>
            <w:proofErr w:type="gramStart"/>
            <w:r w:rsidRPr="000E0CF1">
              <w:rPr>
                <w:rFonts w:ascii="宋体" w:hAnsi="宋体" w:cs="Calibri" w:hint="eastAsia"/>
                <w:color w:val="000000"/>
                <w:szCs w:val="21"/>
              </w:rPr>
              <w:t>行基金</w:t>
            </w:r>
            <w:proofErr w:type="gramEnd"/>
            <w:r w:rsidRPr="000E0CF1">
              <w:rPr>
                <w:rFonts w:ascii="宋体" w:hAnsi="宋体" w:cs="Calibri" w:hint="eastAsia"/>
                <w:color w:val="000000"/>
                <w:szCs w:val="21"/>
              </w:rPr>
              <w:t>销售有限公司</w:t>
            </w:r>
          </w:p>
        </w:tc>
        <w:tc>
          <w:tcPr>
            <w:tcW w:w="4678" w:type="dxa"/>
            <w:gridSpan w:val="2"/>
          </w:tcPr>
          <w:p w14:paraId="79F9243B"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注册(办公)地址：上海市杨浦区长阳路1687号2号楼</w:t>
            </w:r>
          </w:p>
          <w:p w14:paraId="65EFF659"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客户服务电话：</w:t>
            </w:r>
            <w:r w:rsidRPr="000E0CF1">
              <w:rPr>
                <w:rFonts w:ascii="宋体" w:hAnsi="宋体" w:cs="Calibri"/>
                <w:color w:val="000000"/>
                <w:szCs w:val="21"/>
              </w:rPr>
              <w:t>4008-215-399</w:t>
            </w:r>
          </w:p>
          <w:p w14:paraId="41CAAB8B"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www.noah-fund.com</w:t>
            </w:r>
          </w:p>
        </w:tc>
      </w:tr>
      <w:tr w:rsidR="00C610D3" w:rsidRPr="000E0CF1" w14:paraId="5373F49D" w14:textId="77777777" w:rsidTr="00EE54B8">
        <w:trPr>
          <w:gridBefore w:val="1"/>
        </w:trPr>
        <w:tc>
          <w:tcPr>
            <w:tcW w:w="851" w:type="dxa"/>
          </w:tcPr>
          <w:p w14:paraId="537ACE8F"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33</w:t>
            </w:r>
          </w:p>
        </w:tc>
        <w:tc>
          <w:tcPr>
            <w:tcW w:w="3260" w:type="dxa"/>
          </w:tcPr>
          <w:p w14:paraId="295331F2" w14:textId="77777777" w:rsidR="00C610D3" w:rsidRPr="000E0CF1" w:rsidRDefault="00C610D3" w:rsidP="00EE54B8">
            <w:pPr>
              <w:snapToGrid w:val="0"/>
              <w:spacing w:line="276" w:lineRule="auto"/>
              <w:rPr>
                <w:rFonts w:ascii="宋体" w:hAnsi="宋体" w:cs="Calibri"/>
                <w:color w:val="000000"/>
                <w:szCs w:val="21"/>
              </w:rPr>
            </w:pPr>
            <w:r w:rsidRPr="000E0CF1">
              <w:rPr>
                <w:rFonts w:ascii="宋体" w:hAnsi="宋体" w:cs="Calibri" w:hint="eastAsia"/>
                <w:color w:val="000000"/>
                <w:szCs w:val="21"/>
              </w:rPr>
              <w:t>上海</w:t>
            </w:r>
            <w:proofErr w:type="gramStart"/>
            <w:r w:rsidRPr="000E0CF1">
              <w:rPr>
                <w:rFonts w:ascii="宋体" w:hAnsi="宋体" w:cs="Calibri" w:hint="eastAsia"/>
                <w:color w:val="000000"/>
                <w:szCs w:val="21"/>
              </w:rPr>
              <w:t>凯</w:t>
            </w:r>
            <w:proofErr w:type="gramEnd"/>
            <w:r w:rsidRPr="000E0CF1">
              <w:rPr>
                <w:rFonts w:ascii="宋体" w:hAnsi="宋体" w:cs="Calibri" w:hint="eastAsia"/>
                <w:color w:val="000000"/>
                <w:szCs w:val="21"/>
              </w:rPr>
              <w:t>石财富基金销售有限公司</w:t>
            </w:r>
          </w:p>
        </w:tc>
        <w:tc>
          <w:tcPr>
            <w:tcW w:w="4678" w:type="dxa"/>
            <w:gridSpan w:val="2"/>
          </w:tcPr>
          <w:p w14:paraId="77AFDD43"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注册(办公)地址：上海市黄浦区西藏南路765号602-115室</w:t>
            </w:r>
            <w:r w:rsidRPr="000E0CF1" w:rsidDel="00BA2C2B">
              <w:rPr>
                <w:rFonts w:ascii="宋体" w:hAnsi="宋体" w:cs="Calibri" w:hint="eastAsia"/>
                <w:color w:val="000000"/>
                <w:szCs w:val="21"/>
              </w:rPr>
              <w:t xml:space="preserve"> </w:t>
            </w:r>
          </w:p>
          <w:p w14:paraId="30C85711" w14:textId="77777777" w:rsidR="00C610D3" w:rsidRPr="000E0CF1" w:rsidRDefault="00C610D3" w:rsidP="00EE54B8">
            <w:pPr>
              <w:widowControl/>
              <w:snapToGrid w:val="0"/>
              <w:spacing w:line="276" w:lineRule="auto"/>
              <w:ind w:firstLine="480"/>
              <w:rPr>
                <w:rFonts w:ascii="宋体" w:hAnsi="宋体" w:cs="Calibri"/>
                <w:color w:val="000000"/>
                <w:szCs w:val="21"/>
              </w:rPr>
            </w:pPr>
            <w:r w:rsidRPr="000E0CF1">
              <w:rPr>
                <w:rFonts w:ascii="宋体" w:hAnsi="宋体" w:cs="Calibri" w:hint="eastAsia"/>
                <w:color w:val="000000"/>
                <w:szCs w:val="21"/>
              </w:rPr>
              <w:t>客户服务电话：4</w:t>
            </w:r>
            <w:r w:rsidRPr="000E0CF1">
              <w:rPr>
                <w:rFonts w:ascii="宋体" w:hAnsi="宋体" w:cs="Calibri"/>
                <w:color w:val="000000"/>
                <w:szCs w:val="21"/>
              </w:rPr>
              <w:t>00-643-3389</w:t>
            </w:r>
          </w:p>
          <w:p w14:paraId="10C0E73E" w14:textId="77777777" w:rsidR="00C610D3" w:rsidRPr="000E0CF1" w:rsidRDefault="00C610D3" w:rsidP="00EE54B8">
            <w:pPr>
              <w:widowControl/>
              <w:snapToGrid w:val="0"/>
              <w:spacing w:line="276" w:lineRule="auto"/>
              <w:rPr>
                <w:rFonts w:ascii="宋体" w:hAnsi="宋体" w:cs="Calibri"/>
                <w:color w:val="000000"/>
                <w:szCs w:val="21"/>
              </w:rPr>
            </w:pPr>
            <w:r w:rsidRPr="000E0CF1">
              <w:rPr>
                <w:rFonts w:ascii="宋体" w:hAnsi="宋体" w:cs="Calibri" w:hint="eastAsia"/>
                <w:color w:val="000000"/>
                <w:szCs w:val="21"/>
              </w:rPr>
              <w:t>网址：</w:t>
            </w:r>
            <w:r w:rsidRPr="000E0CF1">
              <w:rPr>
                <w:rFonts w:ascii="宋体" w:hAnsi="宋体" w:cs="Calibri"/>
                <w:color w:val="000000"/>
                <w:szCs w:val="21"/>
              </w:rPr>
              <w:t>www.vstonewealth.com</w:t>
            </w:r>
          </w:p>
        </w:tc>
      </w:tr>
      <w:tr w:rsidR="00C610D3" w:rsidRPr="00A40A5E" w14:paraId="12052131" w14:textId="77777777" w:rsidTr="00EE54B8">
        <w:trPr>
          <w:gridBefore w:val="1"/>
        </w:trPr>
        <w:tc>
          <w:tcPr>
            <w:tcW w:w="851" w:type="dxa"/>
          </w:tcPr>
          <w:p w14:paraId="227C02A1"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34</w:t>
            </w:r>
          </w:p>
        </w:tc>
        <w:tc>
          <w:tcPr>
            <w:tcW w:w="3260" w:type="dxa"/>
          </w:tcPr>
          <w:p w14:paraId="0A7D9AEE"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北京</w:t>
            </w:r>
            <w:proofErr w:type="gramStart"/>
            <w:r w:rsidRPr="00A40A5E">
              <w:rPr>
                <w:rFonts w:ascii="宋体" w:hAnsi="宋体" w:cs="Calibri" w:hint="eastAsia"/>
                <w:color w:val="000000"/>
                <w:szCs w:val="21"/>
              </w:rPr>
              <w:t>唐鼎耀</w:t>
            </w:r>
            <w:proofErr w:type="gramEnd"/>
            <w:r w:rsidRPr="00A40A5E">
              <w:rPr>
                <w:rFonts w:ascii="宋体" w:hAnsi="宋体" w:cs="Calibri" w:hint="eastAsia"/>
                <w:color w:val="000000"/>
                <w:szCs w:val="21"/>
              </w:rPr>
              <w:t>华基金销售有限公司</w:t>
            </w:r>
          </w:p>
        </w:tc>
        <w:tc>
          <w:tcPr>
            <w:tcW w:w="4678" w:type="dxa"/>
            <w:gridSpan w:val="2"/>
          </w:tcPr>
          <w:p w14:paraId="0FAD5808"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注册(办公)地址：</w:t>
            </w:r>
            <w:r w:rsidRPr="00A40A5E" w:rsidDel="00BA2C2B">
              <w:rPr>
                <w:rFonts w:ascii="宋体" w:hAnsi="宋体" w:cs="Calibri" w:hint="eastAsia"/>
                <w:color w:val="000000"/>
                <w:szCs w:val="21"/>
              </w:rPr>
              <w:t xml:space="preserve"> </w:t>
            </w:r>
            <w:r w:rsidRPr="00A40A5E">
              <w:rPr>
                <w:rFonts w:ascii="宋体" w:hAnsi="宋体" w:cs="Calibri" w:hint="eastAsia"/>
                <w:color w:val="000000"/>
                <w:szCs w:val="21"/>
              </w:rPr>
              <w:t>北京市延庆县延庆经济开发区</w:t>
            </w:r>
            <w:proofErr w:type="gramStart"/>
            <w:r w:rsidRPr="00A40A5E">
              <w:rPr>
                <w:rFonts w:ascii="宋体" w:hAnsi="宋体" w:cs="Calibri" w:hint="eastAsia"/>
                <w:color w:val="000000"/>
                <w:szCs w:val="21"/>
              </w:rPr>
              <w:t>百泉街10号</w:t>
            </w:r>
            <w:proofErr w:type="gramEnd"/>
            <w:r w:rsidRPr="00A40A5E">
              <w:rPr>
                <w:rFonts w:ascii="宋体" w:hAnsi="宋体" w:cs="Calibri" w:hint="eastAsia"/>
                <w:color w:val="000000"/>
                <w:szCs w:val="21"/>
              </w:rPr>
              <w:t>2栋236室</w:t>
            </w:r>
          </w:p>
          <w:p w14:paraId="0816EDE5"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400-819-9868</w:t>
            </w:r>
          </w:p>
          <w:p w14:paraId="72B12C80"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t>
            </w:r>
            <w:r w:rsidRPr="00A40A5E" w:rsidDel="00BA2C2B">
              <w:rPr>
                <w:rFonts w:ascii="宋体" w:hAnsi="宋体" w:cs="Calibri"/>
                <w:color w:val="000000"/>
                <w:szCs w:val="21"/>
              </w:rPr>
              <w:t xml:space="preserve"> </w:t>
            </w:r>
            <w:r w:rsidRPr="00A40A5E">
              <w:rPr>
                <w:rFonts w:ascii="宋体" w:hAnsi="宋体" w:cs="Calibri"/>
                <w:color w:val="000000"/>
                <w:szCs w:val="21"/>
              </w:rPr>
              <w:t>http://www.tdyhfund.com/Index</w:t>
            </w:r>
          </w:p>
        </w:tc>
      </w:tr>
      <w:tr w:rsidR="00C610D3" w:rsidRPr="00A40A5E" w14:paraId="1F858A1A" w14:textId="77777777" w:rsidTr="00EE54B8">
        <w:trPr>
          <w:gridBefore w:val="1"/>
        </w:trPr>
        <w:tc>
          <w:tcPr>
            <w:tcW w:w="851" w:type="dxa"/>
          </w:tcPr>
          <w:p w14:paraId="69D6FD7C"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35</w:t>
            </w:r>
          </w:p>
        </w:tc>
        <w:tc>
          <w:tcPr>
            <w:tcW w:w="3260" w:type="dxa"/>
          </w:tcPr>
          <w:p w14:paraId="77C77016"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678" w:type="dxa"/>
            <w:gridSpan w:val="2"/>
          </w:tcPr>
          <w:p w14:paraId="3923E75D"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316FBFDD"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27205C66"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C610D3" w:rsidRPr="00A40A5E" w14:paraId="37C3E298" w14:textId="77777777" w:rsidTr="00EE54B8">
        <w:trPr>
          <w:gridBefore w:val="1"/>
        </w:trPr>
        <w:tc>
          <w:tcPr>
            <w:tcW w:w="851" w:type="dxa"/>
          </w:tcPr>
          <w:p w14:paraId="610FC123"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36</w:t>
            </w:r>
          </w:p>
        </w:tc>
        <w:tc>
          <w:tcPr>
            <w:tcW w:w="3260" w:type="dxa"/>
          </w:tcPr>
          <w:p w14:paraId="347156AC"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678" w:type="dxa"/>
            <w:gridSpan w:val="2"/>
          </w:tcPr>
          <w:p w14:paraId="7B16E118"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37C6430A"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客户服务电话：025-66996699</w:t>
            </w:r>
          </w:p>
          <w:p w14:paraId="4C06B112"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"http://www.snjijin" </w:instrText>
            </w:r>
            <w:r>
              <w:fldChar w:fldCharType="separate"/>
            </w:r>
            <w:r w:rsidRPr="00A40A5E">
              <w:rPr>
                <w:rStyle w:val="afa"/>
                <w:rFonts w:ascii="宋体" w:hAnsi="宋体" w:cs="Calibri"/>
                <w:szCs w:val="21"/>
              </w:rPr>
              <w:t>www.snjijin</w:t>
            </w:r>
            <w:r>
              <w:rPr>
                <w:rStyle w:val="afa"/>
                <w:rFonts w:ascii="宋体" w:hAnsi="宋体" w:cs="Calibri"/>
                <w:szCs w:val="21"/>
              </w:rPr>
              <w:fldChar w:fldCharType="end"/>
            </w:r>
            <w:r w:rsidRPr="00A40A5E">
              <w:rPr>
                <w:rFonts w:ascii="宋体" w:hAnsi="宋体" w:cs="Calibri" w:hint="eastAsia"/>
                <w:color w:val="000000"/>
                <w:szCs w:val="21"/>
              </w:rPr>
              <w:t>.com</w:t>
            </w:r>
          </w:p>
        </w:tc>
      </w:tr>
      <w:tr w:rsidR="00C610D3" w:rsidRPr="00A40A5E" w14:paraId="1CEF65B8" w14:textId="77777777" w:rsidTr="00EE54B8">
        <w:trPr>
          <w:gridBefore w:val="1"/>
        </w:trPr>
        <w:tc>
          <w:tcPr>
            <w:tcW w:w="851" w:type="dxa"/>
          </w:tcPr>
          <w:p w14:paraId="70D8C000"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37</w:t>
            </w:r>
          </w:p>
        </w:tc>
        <w:tc>
          <w:tcPr>
            <w:tcW w:w="3260" w:type="dxa"/>
          </w:tcPr>
          <w:p w14:paraId="464AB796"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678" w:type="dxa"/>
            <w:gridSpan w:val="2"/>
          </w:tcPr>
          <w:p w14:paraId="3B71CB6F"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17964847"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客户服务电话：4008-909-998</w:t>
            </w:r>
          </w:p>
          <w:p w14:paraId="7B5F954B"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网址：www.jnlc.com</w:t>
            </w:r>
          </w:p>
        </w:tc>
      </w:tr>
      <w:tr w:rsidR="00C610D3" w:rsidRPr="00A40A5E" w14:paraId="548C8075" w14:textId="77777777" w:rsidTr="00EE54B8">
        <w:trPr>
          <w:gridBefore w:val="1"/>
        </w:trPr>
        <w:tc>
          <w:tcPr>
            <w:tcW w:w="851" w:type="dxa"/>
          </w:tcPr>
          <w:p w14:paraId="271E06E8"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38</w:t>
            </w:r>
          </w:p>
        </w:tc>
        <w:tc>
          <w:tcPr>
            <w:tcW w:w="3260" w:type="dxa"/>
          </w:tcPr>
          <w:p w14:paraId="45FBBB90"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678" w:type="dxa"/>
            <w:gridSpan w:val="2"/>
          </w:tcPr>
          <w:p w14:paraId="65574F83"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61924A60"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443C3365"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网址：www.huilinbd.com</w:t>
            </w:r>
          </w:p>
        </w:tc>
      </w:tr>
      <w:tr w:rsidR="00C610D3" w:rsidRPr="00A40A5E" w14:paraId="17BF9A32" w14:textId="77777777" w:rsidTr="00EE54B8">
        <w:trPr>
          <w:gridBefore w:val="1"/>
        </w:trPr>
        <w:tc>
          <w:tcPr>
            <w:tcW w:w="851" w:type="dxa"/>
          </w:tcPr>
          <w:p w14:paraId="2D28EF62"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39</w:t>
            </w:r>
          </w:p>
        </w:tc>
        <w:tc>
          <w:tcPr>
            <w:tcW w:w="3260" w:type="dxa"/>
          </w:tcPr>
          <w:p w14:paraId="16744524" w14:textId="77777777" w:rsidR="00C610D3" w:rsidRPr="00A40A5E" w:rsidRDefault="00C610D3" w:rsidP="00EE54B8">
            <w:pPr>
              <w:snapToGrid w:val="0"/>
              <w:spacing w:line="276"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4678" w:type="dxa"/>
            <w:gridSpan w:val="2"/>
          </w:tcPr>
          <w:p w14:paraId="058D34F2"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1534EA9A"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2A18E2C0"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C610D3" w:rsidRPr="00A40A5E" w14:paraId="7F19C129" w14:textId="77777777" w:rsidTr="00EE54B8">
        <w:trPr>
          <w:gridBefore w:val="1"/>
        </w:trPr>
        <w:tc>
          <w:tcPr>
            <w:tcW w:w="851" w:type="dxa"/>
          </w:tcPr>
          <w:p w14:paraId="2C8B3DB7"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40</w:t>
            </w:r>
          </w:p>
        </w:tc>
        <w:tc>
          <w:tcPr>
            <w:tcW w:w="3260" w:type="dxa"/>
          </w:tcPr>
          <w:p w14:paraId="74CB6F3E" w14:textId="77777777" w:rsidR="00C610D3" w:rsidRPr="00A40A5E" w:rsidRDefault="00C610D3" w:rsidP="00EE54B8">
            <w:pPr>
              <w:snapToGrid w:val="0"/>
              <w:spacing w:line="276"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4678" w:type="dxa"/>
            <w:gridSpan w:val="2"/>
          </w:tcPr>
          <w:p w14:paraId="3B778E97"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74A61470"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226B07DF"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lastRenderedPageBreak/>
              <w:t>网址：</w:t>
            </w:r>
            <w:r w:rsidRPr="00A40A5E">
              <w:rPr>
                <w:rFonts w:ascii="宋体" w:hAnsi="宋体" w:cs="Calibri"/>
                <w:color w:val="000000"/>
                <w:szCs w:val="21"/>
              </w:rPr>
              <w:t>http://www.yixinfund.com/</w:t>
            </w:r>
          </w:p>
        </w:tc>
      </w:tr>
      <w:tr w:rsidR="00C610D3" w:rsidRPr="00A40A5E" w14:paraId="13DCE4DF" w14:textId="77777777" w:rsidTr="00EE54B8">
        <w:trPr>
          <w:gridBefore w:val="1"/>
        </w:trPr>
        <w:tc>
          <w:tcPr>
            <w:tcW w:w="851" w:type="dxa"/>
          </w:tcPr>
          <w:p w14:paraId="1A144938" w14:textId="77777777" w:rsidR="00C610D3" w:rsidRPr="000E0CF1"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lastRenderedPageBreak/>
              <w:t>41</w:t>
            </w:r>
          </w:p>
        </w:tc>
        <w:tc>
          <w:tcPr>
            <w:tcW w:w="3260" w:type="dxa"/>
          </w:tcPr>
          <w:p w14:paraId="17499E9F"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678" w:type="dxa"/>
            <w:gridSpan w:val="2"/>
          </w:tcPr>
          <w:p w14:paraId="7E56F2DB"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68AFA521"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客户服务电话：400-699-7719</w:t>
            </w:r>
          </w:p>
          <w:p w14:paraId="355EE0A5" w14:textId="77777777" w:rsidR="00C610D3" w:rsidRPr="00A40A5E" w:rsidRDefault="00C610D3" w:rsidP="00EE54B8">
            <w:pPr>
              <w:snapToGrid w:val="0"/>
              <w:spacing w:line="276" w:lineRule="auto"/>
              <w:rPr>
                <w:rFonts w:ascii="宋体" w:hAnsi="宋体" w:cs="Calibri"/>
                <w:color w:val="000000"/>
                <w:szCs w:val="21"/>
              </w:rPr>
            </w:pPr>
            <w:r w:rsidRPr="00A40A5E">
              <w:rPr>
                <w:rFonts w:ascii="宋体" w:hAnsi="宋体" w:cs="Calibri" w:hint="eastAsia"/>
                <w:color w:val="000000"/>
                <w:szCs w:val="21"/>
              </w:rPr>
              <w:t>网址：www.xiquefund.com</w:t>
            </w:r>
          </w:p>
        </w:tc>
      </w:tr>
      <w:tr w:rsidR="00C610D3" w:rsidRPr="0037390A" w14:paraId="7C3FF809" w14:textId="77777777" w:rsidTr="00EE54B8">
        <w:trPr>
          <w:gridBefore w:val="1"/>
        </w:trPr>
        <w:tc>
          <w:tcPr>
            <w:tcW w:w="851" w:type="dxa"/>
          </w:tcPr>
          <w:p w14:paraId="1C450B11"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42</w:t>
            </w:r>
          </w:p>
        </w:tc>
        <w:tc>
          <w:tcPr>
            <w:tcW w:w="3260" w:type="dxa"/>
          </w:tcPr>
          <w:p w14:paraId="1FC64CAA" w14:textId="77777777" w:rsidR="00C610D3" w:rsidRPr="004E284A" w:rsidRDefault="00C610D3" w:rsidP="00EE54B8">
            <w:pPr>
              <w:spacing w:line="276" w:lineRule="auto"/>
              <w:rPr>
                <w:rFonts w:ascii="宋体" w:hAnsi="宋体"/>
                <w:color w:val="000000"/>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4678" w:type="dxa"/>
            <w:gridSpan w:val="2"/>
          </w:tcPr>
          <w:p w14:paraId="1577E629" w14:textId="77777777" w:rsidR="00C610D3" w:rsidRDefault="00C610D3" w:rsidP="00EE54B8">
            <w:pPr>
              <w:spacing w:line="276"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33C5628D" w14:textId="77777777" w:rsidR="00C610D3" w:rsidRDefault="00C610D3" w:rsidP="00EE54B8">
            <w:pPr>
              <w:spacing w:line="276"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366282C8" w14:textId="77777777" w:rsidR="00C610D3" w:rsidRPr="0037390A" w:rsidRDefault="00C610D3" w:rsidP="00EE54B8">
            <w:pPr>
              <w:spacing w:line="276" w:lineRule="auto"/>
              <w:rPr>
                <w:rFonts w:ascii="宋体" w:hAnsi="宋体"/>
                <w:color w:val="000000"/>
              </w:rPr>
            </w:pPr>
            <w:r>
              <w:rPr>
                <w:rFonts w:ascii="宋体" w:hAnsi="宋体" w:cs="Calibri" w:hint="eastAsia"/>
                <w:color w:val="000000"/>
                <w:szCs w:val="21"/>
              </w:rPr>
              <w:t>网址：</w:t>
            </w:r>
            <w:r w:rsidRPr="009F3D98">
              <w:rPr>
                <w:rFonts w:ascii="宋体" w:hAnsi="宋体" w:cs="Calibri"/>
                <w:color w:val="000000"/>
                <w:szCs w:val="21"/>
              </w:rPr>
              <w:t>www. hgccpb.com</w:t>
            </w:r>
          </w:p>
        </w:tc>
      </w:tr>
      <w:tr w:rsidR="00C610D3" w:rsidRPr="0037390A" w14:paraId="4FB65DD9" w14:textId="77777777" w:rsidTr="00EE54B8">
        <w:trPr>
          <w:gridBefore w:val="1"/>
        </w:trPr>
        <w:tc>
          <w:tcPr>
            <w:tcW w:w="851" w:type="dxa"/>
          </w:tcPr>
          <w:p w14:paraId="3D1B791D"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43</w:t>
            </w:r>
          </w:p>
        </w:tc>
        <w:tc>
          <w:tcPr>
            <w:tcW w:w="3260" w:type="dxa"/>
          </w:tcPr>
          <w:p w14:paraId="62023383" w14:textId="77777777" w:rsidR="00C610D3" w:rsidRPr="004E284A" w:rsidRDefault="00C610D3" w:rsidP="00EE54B8">
            <w:pPr>
              <w:spacing w:line="276" w:lineRule="auto"/>
              <w:rPr>
                <w:rFonts w:ascii="宋体" w:hAnsi="宋体"/>
                <w:color w:val="000000"/>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4678" w:type="dxa"/>
            <w:gridSpan w:val="2"/>
          </w:tcPr>
          <w:p w14:paraId="097F0A9A" w14:textId="77777777" w:rsidR="00C610D3" w:rsidRDefault="00C610D3" w:rsidP="00EE54B8">
            <w:pPr>
              <w:spacing w:line="276"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69C65989" w14:textId="77777777" w:rsidR="00C610D3" w:rsidRDefault="00C610D3" w:rsidP="00EE54B8">
            <w:pPr>
              <w:spacing w:line="276"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7965C152" w14:textId="77777777" w:rsidR="00C610D3" w:rsidRPr="0037390A" w:rsidRDefault="00C610D3" w:rsidP="00EE54B8">
            <w:pPr>
              <w:spacing w:line="276"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C610D3" w:rsidRPr="0037390A" w14:paraId="32CA271D" w14:textId="77777777" w:rsidTr="00EE54B8">
        <w:trPr>
          <w:gridBefore w:val="1"/>
        </w:trPr>
        <w:tc>
          <w:tcPr>
            <w:tcW w:w="851" w:type="dxa"/>
          </w:tcPr>
          <w:p w14:paraId="223B3FCD"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44</w:t>
            </w:r>
          </w:p>
        </w:tc>
        <w:tc>
          <w:tcPr>
            <w:tcW w:w="3260" w:type="dxa"/>
          </w:tcPr>
          <w:p w14:paraId="560B5983" w14:textId="77777777" w:rsidR="00C610D3" w:rsidRPr="004E284A" w:rsidRDefault="00C610D3" w:rsidP="00EE54B8">
            <w:pPr>
              <w:spacing w:line="276" w:lineRule="auto"/>
              <w:rPr>
                <w:rFonts w:ascii="宋体" w:hAnsi="宋体"/>
                <w:color w:val="000000"/>
              </w:rPr>
            </w:pPr>
            <w:r w:rsidRPr="00051DCE">
              <w:rPr>
                <w:rFonts w:ascii="宋体" w:hAnsi="宋体" w:cs="Calibri" w:hint="eastAsia"/>
                <w:bCs/>
                <w:color w:val="000000"/>
                <w:szCs w:val="21"/>
              </w:rPr>
              <w:t>财</w:t>
            </w:r>
            <w:proofErr w:type="gramStart"/>
            <w:r w:rsidRPr="00051DCE">
              <w:rPr>
                <w:rFonts w:ascii="宋体" w:hAnsi="宋体" w:cs="Calibri" w:hint="eastAsia"/>
                <w:bCs/>
                <w:color w:val="000000"/>
                <w:szCs w:val="21"/>
              </w:rPr>
              <w:t>咨</w:t>
            </w:r>
            <w:proofErr w:type="gramEnd"/>
            <w:r w:rsidRPr="00051DCE">
              <w:rPr>
                <w:rFonts w:ascii="宋体" w:hAnsi="宋体" w:cs="Calibri" w:hint="eastAsia"/>
                <w:bCs/>
                <w:color w:val="000000"/>
                <w:szCs w:val="21"/>
              </w:rPr>
              <w:t>道信息技术有限公司</w:t>
            </w:r>
          </w:p>
        </w:tc>
        <w:tc>
          <w:tcPr>
            <w:tcW w:w="4678" w:type="dxa"/>
            <w:gridSpan w:val="2"/>
          </w:tcPr>
          <w:p w14:paraId="0C75DFB8" w14:textId="77777777" w:rsidR="00C610D3" w:rsidRDefault="00C610D3" w:rsidP="00EE54B8">
            <w:pPr>
              <w:widowControl/>
              <w:spacing w:line="276" w:lineRule="auto"/>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w:t>
            </w:r>
            <w:proofErr w:type="gramStart"/>
            <w:r w:rsidRPr="00051DCE">
              <w:rPr>
                <w:rFonts w:ascii="宋体" w:hAnsi="宋体" w:cs="Calibri"/>
                <w:color w:val="000000"/>
                <w:szCs w:val="21"/>
              </w:rPr>
              <w:t>浑</w:t>
            </w:r>
            <w:proofErr w:type="gramEnd"/>
            <w:r w:rsidRPr="00051DCE">
              <w:rPr>
                <w:rFonts w:ascii="宋体" w:hAnsi="宋体" w:cs="Calibri"/>
                <w:color w:val="000000"/>
                <w:szCs w:val="21"/>
              </w:rPr>
              <w:t>南区白塔二南街18-2号B座601</w:t>
            </w:r>
          </w:p>
          <w:p w14:paraId="21144341" w14:textId="77777777" w:rsidR="00C610D3" w:rsidRPr="0016118C" w:rsidRDefault="00C610D3" w:rsidP="00EE54B8">
            <w:pPr>
              <w:widowControl/>
              <w:spacing w:line="276" w:lineRule="auto"/>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2164CAF0" w14:textId="77777777" w:rsidR="00C610D3" w:rsidRPr="0037390A" w:rsidRDefault="00C610D3" w:rsidP="00EE54B8">
            <w:pPr>
              <w:spacing w:line="276" w:lineRule="auto"/>
              <w:rPr>
                <w:rFonts w:ascii="宋体" w:hAnsi="宋体"/>
                <w:color w:val="000000"/>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C610D3" w:rsidRPr="0037390A" w14:paraId="0FC75B60" w14:textId="77777777" w:rsidTr="00EE54B8">
        <w:trPr>
          <w:gridBefore w:val="1"/>
        </w:trPr>
        <w:tc>
          <w:tcPr>
            <w:tcW w:w="851" w:type="dxa"/>
          </w:tcPr>
          <w:p w14:paraId="104B59C8"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45</w:t>
            </w:r>
          </w:p>
        </w:tc>
        <w:tc>
          <w:tcPr>
            <w:tcW w:w="3260" w:type="dxa"/>
          </w:tcPr>
          <w:p w14:paraId="35C003C1" w14:textId="77777777" w:rsidR="00C610D3" w:rsidRPr="004E284A" w:rsidRDefault="00C610D3" w:rsidP="00EE54B8">
            <w:pPr>
              <w:spacing w:line="276" w:lineRule="auto"/>
              <w:rPr>
                <w:rFonts w:ascii="宋体" w:hAnsi="宋体"/>
                <w:color w:val="000000"/>
              </w:rPr>
            </w:pPr>
            <w:r w:rsidRPr="00051DCE">
              <w:rPr>
                <w:rFonts w:ascii="宋体" w:hAnsi="宋体" w:cs="Calibri" w:hint="eastAsia"/>
                <w:bCs/>
                <w:color w:val="000000"/>
                <w:szCs w:val="21"/>
              </w:rPr>
              <w:t>北京度小满基金销售有限公司</w:t>
            </w:r>
          </w:p>
        </w:tc>
        <w:tc>
          <w:tcPr>
            <w:tcW w:w="4678" w:type="dxa"/>
            <w:gridSpan w:val="2"/>
          </w:tcPr>
          <w:p w14:paraId="225CE280" w14:textId="77777777" w:rsidR="00C610D3" w:rsidRDefault="00C610D3" w:rsidP="00EE54B8">
            <w:pPr>
              <w:spacing w:line="276" w:lineRule="auto"/>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606A04BE" w14:textId="77777777" w:rsidR="00C610D3" w:rsidRPr="0016623B" w:rsidRDefault="00C610D3" w:rsidP="00EE54B8">
            <w:pPr>
              <w:widowControl/>
              <w:spacing w:line="276" w:lineRule="auto"/>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5E44C85C" w14:textId="77777777" w:rsidR="00C610D3" w:rsidRPr="0037390A" w:rsidRDefault="00C610D3" w:rsidP="00EE54B8">
            <w:pPr>
              <w:spacing w:line="276" w:lineRule="auto"/>
              <w:rPr>
                <w:rFonts w:ascii="宋体" w:hAnsi="宋体"/>
                <w:color w:val="000000"/>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C610D3" w:rsidRPr="0037390A" w14:paraId="6DF29CE3" w14:textId="77777777" w:rsidTr="00EE54B8">
        <w:trPr>
          <w:gridBefore w:val="1"/>
        </w:trPr>
        <w:tc>
          <w:tcPr>
            <w:tcW w:w="851" w:type="dxa"/>
          </w:tcPr>
          <w:p w14:paraId="6E091F34"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46</w:t>
            </w:r>
          </w:p>
        </w:tc>
        <w:tc>
          <w:tcPr>
            <w:tcW w:w="3260" w:type="dxa"/>
          </w:tcPr>
          <w:p w14:paraId="6EFF09F8" w14:textId="77777777" w:rsidR="00C610D3" w:rsidRPr="004E284A" w:rsidRDefault="00C610D3" w:rsidP="00EE54B8">
            <w:pPr>
              <w:spacing w:line="276" w:lineRule="auto"/>
              <w:rPr>
                <w:rFonts w:ascii="宋体" w:hAnsi="宋体"/>
                <w:color w:val="000000"/>
              </w:rPr>
            </w:pPr>
            <w:r w:rsidRPr="00051DCE">
              <w:rPr>
                <w:rFonts w:ascii="宋体" w:hAnsi="宋体" w:cs="Calibri" w:hint="eastAsia"/>
                <w:bCs/>
                <w:color w:val="000000"/>
                <w:szCs w:val="21"/>
              </w:rPr>
              <w:t>通华财富（上海）基金销售有限公司</w:t>
            </w:r>
          </w:p>
        </w:tc>
        <w:tc>
          <w:tcPr>
            <w:tcW w:w="4678" w:type="dxa"/>
            <w:gridSpan w:val="2"/>
          </w:tcPr>
          <w:p w14:paraId="492E6781" w14:textId="77777777" w:rsidR="00C610D3" w:rsidRPr="00051DCE" w:rsidRDefault="00C610D3" w:rsidP="00EE54B8">
            <w:pPr>
              <w:spacing w:line="276" w:lineRule="auto"/>
              <w:rPr>
                <w:rFonts w:ascii="宋体" w:hAnsi="宋体"/>
                <w:color w:val="000000"/>
              </w:rPr>
            </w:pPr>
            <w:r>
              <w:rPr>
                <w:rFonts w:ascii="宋体" w:hAnsi="宋体" w:hint="eastAsia"/>
                <w:color w:val="000000"/>
              </w:rPr>
              <w:t>注册地址</w:t>
            </w:r>
            <w:r w:rsidRPr="00051DCE">
              <w:rPr>
                <w:rFonts w:ascii="宋体" w:hAnsi="宋体" w:hint="eastAsia"/>
                <w:color w:val="000000"/>
              </w:rPr>
              <w:t>：上海市虹口区同丰路667弄107号201室</w:t>
            </w:r>
          </w:p>
          <w:p w14:paraId="144595CF" w14:textId="77777777" w:rsidR="00C610D3" w:rsidRPr="00051DCE" w:rsidRDefault="00C610D3" w:rsidP="00EE54B8">
            <w:pPr>
              <w:spacing w:line="276" w:lineRule="auto"/>
              <w:rPr>
                <w:rFonts w:ascii="宋体" w:hAnsi="宋体"/>
                <w:color w:val="000000"/>
              </w:rPr>
            </w:pPr>
            <w:r w:rsidRPr="00051DCE">
              <w:rPr>
                <w:rFonts w:ascii="宋体" w:hAnsi="宋体" w:hint="eastAsia"/>
                <w:color w:val="000000"/>
              </w:rPr>
              <w:t>客户服务电话：</w:t>
            </w:r>
            <w:r w:rsidRPr="00051DCE">
              <w:rPr>
                <w:rFonts w:ascii="宋体" w:hAnsi="宋体"/>
                <w:color w:val="000000"/>
              </w:rPr>
              <w:t>400-101-9301</w:t>
            </w:r>
          </w:p>
          <w:p w14:paraId="4C90E6C9" w14:textId="77777777" w:rsidR="00C610D3" w:rsidRPr="0037390A" w:rsidRDefault="00C610D3" w:rsidP="00EE54B8">
            <w:pPr>
              <w:spacing w:line="276" w:lineRule="auto"/>
              <w:rPr>
                <w:rFonts w:ascii="宋体" w:hAnsi="宋体"/>
                <w:color w:val="000000"/>
              </w:rPr>
            </w:pPr>
            <w:r w:rsidRPr="00051DCE">
              <w:rPr>
                <w:rFonts w:ascii="宋体" w:hAnsi="宋体" w:hint="eastAsia"/>
                <w:color w:val="000000"/>
              </w:rPr>
              <w:t>网址：</w:t>
            </w:r>
            <w:r w:rsidRPr="00051DCE">
              <w:rPr>
                <w:rFonts w:ascii="宋体" w:hAnsi="宋体"/>
                <w:color w:val="000000"/>
              </w:rPr>
              <w:t>www.tonghuafund.com</w:t>
            </w:r>
          </w:p>
        </w:tc>
      </w:tr>
      <w:tr w:rsidR="00C610D3" w:rsidRPr="0012741C" w14:paraId="3035A124" w14:textId="77777777" w:rsidTr="00EE54B8">
        <w:trPr>
          <w:gridBefore w:val="1"/>
        </w:trPr>
        <w:tc>
          <w:tcPr>
            <w:tcW w:w="851" w:type="dxa"/>
          </w:tcPr>
          <w:p w14:paraId="0F799193"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47</w:t>
            </w:r>
          </w:p>
        </w:tc>
        <w:tc>
          <w:tcPr>
            <w:tcW w:w="3260" w:type="dxa"/>
          </w:tcPr>
          <w:p w14:paraId="45D27777" w14:textId="77777777" w:rsidR="00C610D3" w:rsidRPr="004E284A" w:rsidRDefault="00C610D3" w:rsidP="00EE54B8">
            <w:pPr>
              <w:spacing w:line="276" w:lineRule="auto"/>
              <w:rPr>
                <w:rFonts w:ascii="宋体" w:hAnsi="宋体"/>
                <w:color w:val="000000"/>
              </w:rPr>
            </w:pPr>
            <w:r w:rsidRPr="0012741C">
              <w:rPr>
                <w:rFonts w:ascii="宋体" w:hAnsi="宋体" w:hint="eastAsia"/>
                <w:color w:val="000000"/>
              </w:rPr>
              <w:t>上海万得基金销售有限公司</w:t>
            </w:r>
          </w:p>
        </w:tc>
        <w:tc>
          <w:tcPr>
            <w:tcW w:w="4678" w:type="dxa"/>
            <w:gridSpan w:val="2"/>
          </w:tcPr>
          <w:p w14:paraId="363DD983" w14:textId="77777777" w:rsidR="00C610D3" w:rsidRDefault="00C610D3" w:rsidP="00EE54B8">
            <w:pPr>
              <w:spacing w:line="276" w:lineRule="auto"/>
              <w:rPr>
                <w:rFonts w:ascii="宋体" w:hAnsi="宋体"/>
                <w:color w:val="000000"/>
              </w:rPr>
            </w:pPr>
            <w:r>
              <w:rPr>
                <w:rFonts w:ascii="宋体" w:hAnsi="宋体" w:hint="eastAsia"/>
                <w:color w:val="000000"/>
              </w:rPr>
              <w:t>注册地址</w:t>
            </w:r>
            <w:r w:rsidRPr="00051DCE">
              <w:rPr>
                <w:rFonts w:ascii="宋体" w:hAnsi="宋体" w:hint="eastAsia"/>
                <w:color w:val="000000"/>
              </w:rPr>
              <w:t>：</w:t>
            </w:r>
            <w:r w:rsidRPr="0012741C">
              <w:rPr>
                <w:rFonts w:ascii="宋体" w:hAnsi="宋体" w:hint="eastAsia"/>
                <w:color w:val="000000"/>
              </w:rPr>
              <w:t>上海市浦东新区浦明路1500号万得大厦11楼</w:t>
            </w:r>
          </w:p>
          <w:p w14:paraId="7DCE42CA" w14:textId="77777777" w:rsidR="00C610D3" w:rsidRPr="0012741C" w:rsidRDefault="00C610D3" w:rsidP="00EE54B8">
            <w:pPr>
              <w:spacing w:line="276" w:lineRule="auto"/>
              <w:rPr>
                <w:rFonts w:ascii="宋体" w:hAnsi="宋体"/>
                <w:color w:val="000000"/>
              </w:rPr>
            </w:pPr>
            <w:r w:rsidRPr="0012741C">
              <w:rPr>
                <w:rFonts w:ascii="宋体" w:hAnsi="宋体" w:hint="eastAsia"/>
                <w:color w:val="000000"/>
              </w:rPr>
              <w:t>客户服务电话：400-799-1888</w:t>
            </w:r>
          </w:p>
          <w:p w14:paraId="6CE5352B" w14:textId="77777777" w:rsidR="00C610D3" w:rsidRPr="0012741C" w:rsidRDefault="00C610D3" w:rsidP="00EE54B8">
            <w:pPr>
              <w:spacing w:line="276" w:lineRule="auto"/>
              <w:rPr>
                <w:rFonts w:ascii="宋体" w:hAnsi="宋体"/>
                <w:color w:val="000000"/>
              </w:rPr>
            </w:pPr>
            <w:r w:rsidRPr="0012741C">
              <w:rPr>
                <w:rFonts w:ascii="宋体" w:hAnsi="宋体" w:hint="eastAsia"/>
                <w:color w:val="000000"/>
              </w:rPr>
              <w:t>网址：www.520fund.com.cn</w:t>
            </w:r>
          </w:p>
        </w:tc>
      </w:tr>
      <w:tr w:rsidR="00C610D3" w:rsidRPr="0037390A" w14:paraId="5F410D4E" w14:textId="77777777" w:rsidTr="00EE54B8">
        <w:trPr>
          <w:gridBefore w:val="1"/>
        </w:trPr>
        <w:tc>
          <w:tcPr>
            <w:tcW w:w="851" w:type="dxa"/>
          </w:tcPr>
          <w:p w14:paraId="1473B8EC"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48</w:t>
            </w:r>
          </w:p>
        </w:tc>
        <w:tc>
          <w:tcPr>
            <w:tcW w:w="3260" w:type="dxa"/>
          </w:tcPr>
          <w:p w14:paraId="3689FD38" w14:textId="77777777" w:rsidR="00C610D3" w:rsidRPr="004E284A" w:rsidRDefault="00C610D3" w:rsidP="00EE54B8">
            <w:pPr>
              <w:spacing w:line="276" w:lineRule="auto"/>
              <w:rPr>
                <w:rFonts w:ascii="宋体" w:hAnsi="宋体"/>
                <w:color w:val="000000"/>
              </w:rPr>
            </w:pPr>
            <w:r>
              <w:rPr>
                <w:rFonts w:ascii="宋体" w:hAnsi="宋体" w:cs="Calibri" w:hint="eastAsia"/>
                <w:bCs/>
                <w:color w:val="000000"/>
                <w:szCs w:val="21"/>
              </w:rPr>
              <w:t>华瑞保险销售有限公司</w:t>
            </w:r>
          </w:p>
        </w:tc>
        <w:tc>
          <w:tcPr>
            <w:tcW w:w="4678" w:type="dxa"/>
            <w:gridSpan w:val="2"/>
          </w:tcPr>
          <w:p w14:paraId="66C40BC2" w14:textId="77777777" w:rsidR="00C610D3" w:rsidRDefault="00C610D3" w:rsidP="00EE54B8">
            <w:pPr>
              <w:spacing w:line="276" w:lineRule="auto"/>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w:t>
            </w:r>
            <w:proofErr w:type="gramStart"/>
            <w:r w:rsidRPr="0037390A">
              <w:rPr>
                <w:rFonts w:ascii="宋体" w:hAnsi="宋体" w:hint="eastAsia"/>
                <w:color w:val="000000"/>
              </w:rPr>
              <w:t>镇众仁路</w:t>
            </w:r>
            <w:proofErr w:type="gramEnd"/>
            <w:r w:rsidRPr="0037390A">
              <w:rPr>
                <w:rFonts w:ascii="宋体" w:hAnsi="宋体" w:hint="eastAsia"/>
                <w:color w:val="000000"/>
              </w:rPr>
              <w:t>399号</w:t>
            </w:r>
            <w:proofErr w:type="gramStart"/>
            <w:r w:rsidRPr="0037390A">
              <w:rPr>
                <w:rFonts w:ascii="宋体" w:hAnsi="宋体" w:hint="eastAsia"/>
                <w:color w:val="000000"/>
              </w:rPr>
              <w:t>运通星财富</w:t>
            </w:r>
            <w:proofErr w:type="gramEnd"/>
            <w:r w:rsidRPr="0037390A">
              <w:rPr>
                <w:rFonts w:ascii="宋体" w:hAnsi="宋体" w:hint="eastAsia"/>
                <w:color w:val="000000"/>
              </w:rPr>
              <w:t>广场1号楼B座13、14层</w:t>
            </w:r>
          </w:p>
          <w:p w14:paraId="0A03F715" w14:textId="77777777" w:rsidR="00C610D3" w:rsidRPr="0037390A" w:rsidRDefault="00C610D3" w:rsidP="00EE54B8">
            <w:pPr>
              <w:spacing w:line="276" w:lineRule="auto"/>
              <w:rPr>
                <w:rFonts w:ascii="宋体" w:hAnsi="宋体"/>
                <w:color w:val="000000"/>
              </w:rPr>
            </w:pPr>
            <w:r w:rsidRPr="0037390A">
              <w:rPr>
                <w:rFonts w:ascii="宋体" w:hAnsi="宋体" w:hint="eastAsia"/>
                <w:color w:val="000000"/>
              </w:rPr>
              <w:t>客户服务电话：952303</w:t>
            </w:r>
          </w:p>
          <w:p w14:paraId="552A9FCB" w14:textId="77777777" w:rsidR="00C610D3" w:rsidRPr="0037390A" w:rsidRDefault="00C610D3" w:rsidP="00EE54B8">
            <w:pPr>
              <w:spacing w:line="276" w:lineRule="auto"/>
              <w:rPr>
                <w:rFonts w:ascii="宋体" w:hAnsi="宋体"/>
                <w:color w:val="000000"/>
              </w:rPr>
            </w:pPr>
            <w:r w:rsidRPr="0037390A">
              <w:rPr>
                <w:rFonts w:ascii="宋体" w:hAnsi="宋体" w:hint="eastAsia"/>
                <w:color w:val="000000"/>
              </w:rPr>
              <w:t>网址：w</w:t>
            </w:r>
            <w:r w:rsidRPr="0037390A">
              <w:rPr>
                <w:rFonts w:ascii="宋体" w:hAnsi="宋体"/>
                <w:color w:val="000000"/>
              </w:rPr>
              <w:t>ww.huaruisales.com</w:t>
            </w:r>
          </w:p>
        </w:tc>
      </w:tr>
      <w:tr w:rsidR="00C610D3" w:rsidRPr="00F20D14" w14:paraId="1835C85E" w14:textId="77777777" w:rsidTr="00EE54B8">
        <w:trPr>
          <w:gridBefore w:val="1"/>
        </w:trPr>
        <w:tc>
          <w:tcPr>
            <w:tcW w:w="851" w:type="dxa"/>
          </w:tcPr>
          <w:p w14:paraId="5DA84C04"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49</w:t>
            </w:r>
          </w:p>
        </w:tc>
        <w:tc>
          <w:tcPr>
            <w:tcW w:w="3260" w:type="dxa"/>
          </w:tcPr>
          <w:p w14:paraId="1C7917C3" w14:textId="77777777" w:rsidR="00C610D3" w:rsidRDefault="00C610D3" w:rsidP="00EE54B8">
            <w:pPr>
              <w:spacing w:line="276" w:lineRule="auto"/>
              <w:rPr>
                <w:rFonts w:ascii="宋体" w:hAnsi="宋体" w:cs="Calibri"/>
                <w:bCs/>
                <w:color w:val="000000"/>
                <w:szCs w:val="21"/>
              </w:rPr>
            </w:pPr>
            <w:r w:rsidRPr="00F20D14">
              <w:rPr>
                <w:rFonts w:ascii="宋体" w:hAnsi="宋体" w:cs="Calibri" w:hint="eastAsia"/>
                <w:bCs/>
                <w:color w:val="000000"/>
                <w:szCs w:val="21"/>
              </w:rPr>
              <w:t>阳光人寿保险股份有限公司</w:t>
            </w:r>
          </w:p>
        </w:tc>
        <w:tc>
          <w:tcPr>
            <w:tcW w:w="4678" w:type="dxa"/>
            <w:gridSpan w:val="2"/>
          </w:tcPr>
          <w:p w14:paraId="6C91534D" w14:textId="77777777" w:rsidR="00C610D3" w:rsidRDefault="00C610D3" w:rsidP="00EE54B8">
            <w:pPr>
              <w:spacing w:line="276" w:lineRule="auto"/>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1E35AB68" w14:textId="77777777" w:rsidR="00C610D3" w:rsidRPr="000E1DB5" w:rsidRDefault="00C610D3" w:rsidP="00EE54B8">
            <w:pPr>
              <w:widowControl/>
              <w:spacing w:line="276" w:lineRule="auto"/>
              <w:rPr>
                <w:rFonts w:ascii="宋体" w:hAnsi="宋体" w:cs="Calibri"/>
                <w:color w:val="000000"/>
                <w:szCs w:val="21"/>
              </w:rPr>
            </w:pPr>
            <w:r w:rsidRPr="000E1DB5">
              <w:rPr>
                <w:rFonts w:ascii="宋体" w:hAnsi="宋体" w:cs="Calibri" w:hint="eastAsia"/>
                <w:color w:val="000000"/>
                <w:szCs w:val="21"/>
              </w:rPr>
              <w:t>客户服务电话：95510</w:t>
            </w:r>
          </w:p>
          <w:p w14:paraId="0BFD8722" w14:textId="77777777" w:rsidR="00C610D3" w:rsidRPr="00F20D14" w:rsidRDefault="00C610D3" w:rsidP="00EE54B8">
            <w:pPr>
              <w:widowControl/>
              <w:spacing w:line="276" w:lineRule="auto"/>
              <w:rPr>
                <w:rFonts w:ascii="宋体" w:hAnsi="宋体" w:cs="Calibri"/>
                <w:color w:val="000000"/>
                <w:szCs w:val="21"/>
              </w:rPr>
            </w:pPr>
            <w:r w:rsidRPr="000E1DB5">
              <w:rPr>
                <w:rFonts w:ascii="宋体" w:hAnsi="宋体" w:cs="Calibri" w:hint="eastAsia"/>
                <w:color w:val="000000"/>
                <w:szCs w:val="21"/>
              </w:rPr>
              <w:t>网址：fund.sinosig.com</w:t>
            </w:r>
          </w:p>
        </w:tc>
      </w:tr>
      <w:tr w:rsidR="00C610D3" w:rsidRPr="000E1DB5" w14:paraId="09206524" w14:textId="77777777" w:rsidTr="00EE54B8">
        <w:trPr>
          <w:gridBefore w:val="1"/>
        </w:trPr>
        <w:tc>
          <w:tcPr>
            <w:tcW w:w="851" w:type="dxa"/>
          </w:tcPr>
          <w:p w14:paraId="62548DA5" w14:textId="77777777" w:rsidR="00C610D3" w:rsidRDefault="00C610D3" w:rsidP="00EE54B8">
            <w:pPr>
              <w:snapToGrid w:val="0"/>
              <w:spacing w:line="276" w:lineRule="auto"/>
              <w:rPr>
                <w:rFonts w:ascii="宋体" w:hAnsi="宋体" w:cs="Calibri"/>
                <w:color w:val="000000"/>
                <w:szCs w:val="21"/>
              </w:rPr>
            </w:pPr>
            <w:r>
              <w:rPr>
                <w:rFonts w:ascii="宋体" w:hAnsi="宋体" w:cs="Calibri" w:hint="eastAsia"/>
                <w:color w:val="000000"/>
                <w:szCs w:val="21"/>
              </w:rPr>
              <w:t>50</w:t>
            </w:r>
          </w:p>
        </w:tc>
        <w:tc>
          <w:tcPr>
            <w:tcW w:w="3260" w:type="dxa"/>
          </w:tcPr>
          <w:p w14:paraId="60CAE86D" w14:textId="77777777" w:rsidR="00C610D3" w:rsidRPr="00F20D14" w:rsidRDefault="00C610D3" w:rsidP="00EE54B8">
            <w:pPr>
              <w:spacing w:line="276" w:lineRule="auto"/>
              <w:rPr>
                <w:rFonts w:ascii="宋体" w:hAnsi="宋体" w:cs="Calibri"/>
                <w:bCs/>
                <w:color w:val="000000"/>
                <w:szCs w:val="21"/>
              </w:rPr>
            </w:pPr>
            <w:r w:rsidRPr="00051DCE">
              <w:rPr>
                <w:rFonts w:ascii="宋体" w:hAnsi="宋体" w:cs="Calibri" w:hint="eastAsia"/>
                <w:bCs/>
                <w:color w:val="000000"/>
                <w:szCs w:val="21"/>
              </w:rPr>
              <w:t>中国人寿股份有限公司</w:t>
            </w:r>
          </w:p>
        </w:tc>
        <w:tc>
          <w:tcPr>
            <w:tcW w:w="4678" w:type="dxa"/>
            <w:gridSpan w:val="2"/>
          </w:tcPr>
          <w:p w14:paraId="6343969B" w14:textId="77777777" w:rsidR="00C610D3" w:rsidRDefault="00C610D3" w:rsidP="00EE54B8">
            <w:pPr>
              <w:spacing w:line="276" w:lineRule="auto"/>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32F59F90" w14:textId="77777777" w:rsidR="00C610D3" w:rsidRPr="00051DCE" w:rsidRDefault="00C610D3" w:rsidP="00EE54B8">
            <w:pPr>
              <w:spacing w:line="276" w:lineRule="auto"/>
              <w:rPr>
                <w:rFonts w:ascii="宋体" w:hAnsi="宋体" w:cs="Calibri"/>
                <w:color w:val="000000"/>
                <w:szCs w:val="21"/>
              </w:rPr>
            </w:pPr>
            <w:r w:rsidRPr="00051DCE">
              <w:rPr>
                <w:rFonts w:ascii="宋体" w:hAnsi="宋体" w:cs="Calibri" w:hint="eastAsia"/>
                <w:color w:val="000000"/>
                <w:szCs w:val="21"/>
              </w:rPr>
              <w:t>客户服务电话：95519</w:t>
            </w:r>
          </w:p>
          <w:p w14:paraId="13F71655" w14:textId="77777777" w:rsidR="00C610D3" w:rsidRPr="000E1DB5" w:rsidRDefault="00C610D3" w:rsidP="00EE54B8">
            <w:pPr>
              <w:spacing w:line="276" w:lineRule="auto"/>
              <w:rPr>
                <w:rFonts w:ascii="宋体" w:hAnsi="宋体" w:cs="Calibri"/>
                <w:color w:val="000000"/>
                <w:szCs w:val="21"/>
              </w:rPr>
            </w:pPr>
            <w:r w:rsidRPr="00051DCE">
              <w:rPr>
                <w:rFonts w:ascii="宋体" w:hAnsi="宋体" w:cs="Calibri" w:hint="eastAsia"/>
                <w:color w:val="000000"/>
                <w:szCs w:val="21"/>
              </w:rPr>
              <w:lastRenderedPageBreak/>
              <w:t>网址：www.e-chinalife.com</w:t>
            </w:r>
          </w:p>
        </w:tc>
      </w:tr>
    </w:tbl>
    <w:p w14:paraId="5E0CA5D6" w14:textId="77777777" w:rsidR="00D51FDF" w:rsidRDefault="00D51FDF">
      <w:pPr>
        <w:tabs>
          <w:tab w:val="left" w:pos="540"/>
        </w:tabs>
        <w:adjustRightInd w:val="0"/>
        <w:snapToGrid w:val="0"/>
        <w:spacing w:line="360" w:lineRule="auto"/>
        <w:rPr>
          <w:rFonts w:asciiTheme="minorEastAsia" w:hAnsiTheme="minorEastAsia" w:cs="Arial"/>
          <w:sz w:val="24"/>
          <w:szCs w:val="24"/>
        </w:rPr>
      </w:pPr>
    </w:p>
    <w:p w14:paraId="2642E0EE" w14:textId="77777777" w:rsidR="00D51FDF" w:rsidRDefault="007F75F6">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6EBBCA4C" w14:textId="77777777" w:rsidR="00D51FDF" w:rsidRDefault="007F75F6">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名称：富荣基金管理有限公司</w:t>
      </w:r>
      <w:r>
        <w:rPr>
          <w:rFonts w:asciiTheme="minorEastAsia" w:hAnsiTheme="minorEastAsia" w:cs="Arial"/>
          <w:color w:val="000000"/>
          <w:kern w:val="0"/>
          <w:sz w:val="24"/>
          <w:szCs w:val="24"/>
        </w:rPr>
        <w:t xml:space="preserve"> </w:t>
      </w:r>
    </w:p>
    <w:p w14:paraId="354CBC86" w14:textId="77777777" w:rsidR="00D51FDF" w:rsidRDefault="007F75F6">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住所：广东省广州市南沙区海滨路</w:t>
      </w:r>
      <w:r>
        <w:rPr>
          <w:rFonts w:asciiTheme="minorEastAsia" w:hAnsiTheme="minorEastAsia" w:cs="Arial"/>
          <w:color w:val="000000"/>
          <w:kern w:val="0"/>
          <w:sz w:val="24"/>
          <w:szCs w:val="24"/>
        </w:rPr>
        <w:t>171号南沙金融大厦11楼1101之一J20</w:t>
      </w:r>
      <w:r>
        <w:rPr>
          <w:rFonts w:asciiTheme="minorEastAsia" w:hAnsiTheme="minorEastAsia" w:cs="Arial" w:hint="eastAsia"/>
          <w:color w:val="000000"/>
          <w:kern w:val="0"/>
          <w:sz w:val="24"/>
          <w:szCs w:val="24"/>
        </w:rPr>
        <w:t>室</w:t>
      </w:r>
      <w:r>
        <w:rPr>
          <w:rFonts w:asciiTheme="minorEastAsia" w:hAnsiTheme="minorEastAsia" w:cs="Arial"/>
          <w:color w:val="000000"/>
          <w:kern w:val="0"/>
          <w:sz w:val="24"/>
          <w:szCs w:val="24"/>
        </w:rPr>
        <w:t xml:space="preserve"> </w:t>
      </w:r>
    </w:p>
    <w:p w14:paraId="5BE91E58" w14:textId="77777777" w:rsidR="00D51FDF" w:rsidRDefault="007F75F6">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办公地址：广东省深圳市福田区八卦四路52号安吉</w:t>
      </w:r>
      <w:proofErr w:type="gramStart"/>
      <w:r>
        <w:rPr>
          <w:rFonts w:asciiTheme="minorEastAsia" w:hAnsiTheme="minorEastAsia" w:cs="Arial" w:hint="eastAsia"/>
          <w:color w:val="000000"/>
          <w:kern w:val="0"/>
          <w:sz w:val="24"/>
          <w:szCs w:val="24"/>
        </w:rPr>
        <w:t>尔大厦</w:t>
      </w:r>
      <w:proofErr w:type="gramEnd"/>
      <w:r>
        <w:rPr>
          <w:rFonts w:asciiTheme="minorEastAsia" w:hAnsiTheme="minorEastAsia" w:cs="Arial" w:hint="eastAsia"/>
          <w:color w:val="000000"/>
          <w:kern w:val="0"/>
          <w:sz w:val="24"/>
          <w:szCs w:val="24"/>
        </w:rPr>
        <w:t>24层</w:t>
      </w:r>
      <w:r>
        <w:rPr>
          <w:rFonts w:asciiTheme="minorEastAsia" w:hAnsiTheme="minorEastAsia" w:cs="Arial"/>
          <w:color w:val="000000"/>
          <w:kern w:val="0"/>
          <w:sz w:val="24"/>
          <w:szCs w:val="24"/>
        </w:rPr>
        <w:t xml:space="preserve"> </w:t>
      </w:r>
    </w:p>
    <w:p w14:paraId="193E029E" w14:textId="77777777" w:rsidR="00D51FDF" w:rsidRDefault="007F75F6">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法定代表人：杨小舟</w:t>
      </w:r>
      <w:r>
        <w:rPr>
          <w:rFonts w:asciiTheme="minorEastAsia" w:hAnsiTheme="minorEastAsia" w:cs="Arial"/>
          <w:color w:val="000000"/>
          <w:kern w:val="0"/>
          <w:sz w:val="24"/>
          <w:szCs w:val="24"/>
        </w:rPr>
        <w:t xml:space="preserve"> </w:t>
      </w:r>
    </w:p>
    <w:p w14:paraId="7AF72968" w14:textId="77777777" w:rsidR="00D51FDF" w:rsidRDefault="007F75F6">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76FC7BF4" w14:textId="77777777" w:rsidR="00D51FDF" w:rsidRDefault="007F75F6">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w:t>
      </w:r>
      <w:r>
        <w:rPr>
          <w:rFonts w:asciiTheme="minorEastAsia" w:hAnsiTheme="minorEastAsia" w:cs="Arial"/>
          <w:color w:val="000000"/>
          <w:kern w:val="0"/>
          <w:sz w:val="24"/>
          <w:szCs w:val="24"/>
        </w:rPr>
        <w:t xml:space="preserve"> 0755-84356604</w:t>
      </w:r>
    </w:p>
    <w:p w14:paraId="4F2C4589" w14:textId="77777777" w:rsidR="00D51FDF" w:rsidRDefault="007F75F6">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w:t>
      </w:r>
      <w:r>
        <w:rPr>
          <w:rFonts w:asciiTheme="minorEastAsia" w:hAnsiTheme="minorEastAsia" w:cs="Arial"/>
          <w:color w:val="000000"/>
          <w:kern w:val="0"/>
          <w:sz w:val="24"/>
          <w:szCs w:val="24"/>
        </w:rPr>
        <w:t xml:space="preserve"> 0755-83230787</w:t>
      </w:r>
    </w:p>
    <w:p w14:paraId="70748962" w14:textId="77777777" w:rsidR="00D51FDF" w:rsidRDefault="00D51FDF">
      <w:pPr>
        <w:adjustRightInd w:val="0"/>
        <w:snapToGrid w:val="0"/>
        <w:spacing w:line="360" w:lineRule="auto"/>
        <w:ind w:firstLineChars="200" w:firstLine="480"/>
        <w:rPr>
          <w:rFonts w:asciiTheme="minorEastAsia" w:hAnsiTheme="minorEastAsia" w:cs="Arial"/>
          <w:color w:val="000000"/>
          <w:kern w:val="0"/>
          <w:sz w:val="24"/>
          <w:szCs w:val="24"/>
        </w:rPr>
      </w:pPr>
    </w:p>
    <w:p w14:paraId="41C77507" w14:textId="77777777" w:rsidR="00D51FDF" w:rsidRDefault="007F75F6">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1BE17446" w14:textId="77777777" w:rsidR="00D51FDF" w:rsidRDefault="007F75F6">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33365608" w14:textId="77777777" w:rsidR="00D51FDF" w:rsidRDefault="007F75F6">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w:t>
      </w:r>
      <w:r>
        <w:rPr>
          <w:rFonts w:asciiTheme="minorEastAsia" w:hAnsiTheme="minorEastAsia" w:cs="Arial"/>
          <w:kern w:val="0"/>
          <w:sz w:val="24"/>
          <w:szCs w:val="24"/>
        </w:rPr>
        <w:t>68号时代金融中心19楼</w:t>
      </w:r>
    </w:p>
    <w:p w14:paraId="468F3803" w14:textId="77777777" w:rsidR="00D51FDF" w:rsidRDefault="007F75F6">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w:t>
      </w:r>
      <w:r>
        <w:rPr>
          <w:rFonts w:asciiTheme="minorEastAsia" w:hAnsiTheme="minorEastAsia" w:cs="Arial"/>
          <w:kern w:val="0"/>
          <w:sz w:val="24"/>
          <w:szCs w:val="24"/>
        </w:rPr>
        <w:t>68号时代金融中心19楼</w:t>
      </w:r>
    </w:p>
    <w:p w14:paraId="7F64B363" w14:textId="77777777" w:rsidR="00D51FDF" w:rsidRDefault="007F75F6">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5542D72C" w14:textId="77777777" w:rsidR="00D51FDF" w:rsidRDefault="007F75F6">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021-31358666</w:t>
      </w:r>
    </w:p>
    <w:p w14:paraId="004596B8" w14:textId="77777777" w:rsidR="00D51FDF" w:rsidRDefault="007F75F6">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021-31358600</w:t>
      </w:r>
    </w:p>
    <w:p w14:paraId="08B3BB42" w14:textId="77777777" w:rsidR="00D51FDF" w:rsidRDefault="007F75F6">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72237F1C"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w:t>
      </w:r>
      <w:r>
        <w:rPr>
          <w:rFonts w:asciiTheme="minorEastAsia" w:hAnsiTheme="minorEastAsia" w:cs="Arial"/>
          <w:kern w:val="0"/>
          <w:sz w:val="24"/>
          <w:szCs w:val="24"/>
        </w:rPr>
        <w:t xml:space="preserve"> </w:t>
      </w:r>
      <w:r>
        <w:rPr>
          <w:rFonts w:asciiTheme="minorEastAsia" w:hAnsiTheme="minorEastAsia" w:cs="Arial" w:hint="eastAsia"/>
          <w:kern w:val="0"/>
          <w:sz w:val="24"/>
          <w:szCs w:val="24"/>
        </w:rPr>
        <w:t>陆奇</w:t>
      </w:r>
    </w:p>
    <w:p w14:paraId="56D03CDD" w14:textId="77777777" w:rsidR="00D51FDF" w:rsidRDefault="00D51FDF">
      <w:pPr>
        <w:adjustRightInd w:val="0"/>
        <w:snapToGrid w:val="0"/>
        <w:spacing w:line="360" w:lineRule="auto"/>
        <w:ind w:firstLineChars="200" w:firstLine="480"/>
        <w:rPr>
          <w:rFonts w:asciiTheme="minorEastAsia" w:hAnsiTheme="minorEastAsia" w:cs="Arial"/>
          <w:kern w:val="0"/>
          <w:sz w:val="24"/>
          <w:szCs w:val="24"/>
        </w:rPr>
      </w:pPr>
    </w:p>
    <w:p w14:paraId="0DBBC3FA" w14:textId="77777777" w:rsidR="00D51FDF" w:rsidRDefault="007F75F6">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775A118D"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55605637"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w:t>
      </w:r>
      <w:r>
        <w:rPr>
          <w:rFonts w:asciiTheme="minorEastAsia" w:hAnsiTheme="minorEastAsia" w:cs="Arial"/>
          <w:kern w:val="0"/>
          <w:sz w:val="24"/>
          <w:szCs w:val="24"/>
        </w:rPr>
        <w:t>1号东方广场安永大楼16层</w:t>
      </w:r>
    </w:p>
    <w:p w14:paraId="6BD86FE4"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w:t>
      </w:r>
      <w:r>
        <w:rPr>
          <w:rFonts w:asciiTheme="minorEastAsia" w:hAnsiTheme="minorEastAsia" w:cs="Arial"/>
          <w:kern w:val="0"/>
          <w:sz w:val="24"/>
          <w:szCs w:val="24"/>
        </w:rPr>
        <w:t>1号东方广场安永大楼16层</w:t>
      </w:r>
    </w:p>
    <w:p w14:paraId="69497DF4"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4371EADB"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w:t>
      </w:r>
      <w:r>
        <w:rPr>
          <w:rFonts w:asciiTheme="minorEastAsia" w:hAnsiTheme="minorEastAsia" w:cs="Arial"/>
          <w:kern w:val="0"/>
          <w:sz w:val="24"/>
          <w:szCs w:val="24"/>
        </w:rPr>
        <w:t>+86 10 58153000</w:t>
      </w:r>
    </w:p>
    <w:p w14:paraId="044BBF02"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w:t>
      </w:r>
      <w:r>
        <w:rPr>
          <w:rFonts w:asciiTheme="minorEastAsia" w:hAnsiTheme="minorEastAsia" w:cs="Arial"/>
          <w:kern w:val="0"/>
          <w:sz w:val="24"/>
          <w:szCs w:val="24"/>
        </w:rPr>
        <w:t>+86 10 85188298</w:t>
      </w:r>
    </w:p>
    <w:p w14:paraId="68EB7555"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签字注册会计师：吴翠蓉、高鹤</w:t>
      </w:r>
    </w:p>
    <w:p w14:paraId="2C013444"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联系人：吴翠蓉</w:t>
      </w:r>
    </w:p>
    <w:p w14:paraId="453EEE3E" w14:textId="77777777" w:rsidR="00D51FDF" w:rsidRDefault="00D51FDF">
      <w:pPr>
        <w:keepNext/>
        <w:keepLines/>
        <w:autoSpaceDE w:val="0"/>
        <w:autoSpaceDN w:val="0"/>
        <w:adjustRightInd w:val="0"/>
        <w:snapToGrid w:val="0"/>
        <w:spacing w:line="360" w:lineRule="auto"/>
        <w:ind w:firstLineChars="150" w:firstLine="422"/>
        <w:jc w:val="center"/>
        <w:textAlignment w:val="baseline"/>
        <w:outlineLvl w:val="0"/>
        <w:rPr>
          <w:rFonts w:asciiTheme="minorEastAsia" w:hAnsiTheme="minorEastAsia" w:cs="Arial"/>
          <w:b/>
          <w:bCs/>
          <w:kern w:val="0"/>
          <w:sz w:val="28"/>
          <w:szCs w:val="28"/>
        </w:rPr>
        <w:sectPr w:rsidR="00D51FDF">
          <w:pgSz w:w="11906" w:h="16838"/>
          <w:pgMar w:top="1440" w:right="1800" w:bottom="1440" w:left="1800" w:header="851" w:footer="992" w:gutter="0"/>
          <w:pgNumType w:chapStyle="1"/>
          <w:cols w:space="720"/>
          <w:docGrid w:type="lines" w:linePitch="312"/>
        </w:sectPr>
      </w:pPr>
      <w:bookmarkStart w:id="123" w:name="_Toc263092314"/>
      <w:bookmarkStart w:id="124" w:name="_Toc416264542"/>
      <w:bookmarkStart w:id="125" w:name="_Toc31644"/>
      <w:bookmarkStart w:id="126" w:name="_Toc16859"/>
      <w:bookmarkStart w:id="127" w:name="_Toc12245"/>
      <w:bookmarkStart w:id="128" w:name="_Toc31653"/>
      <w:bookmarkStart w:id="129" w:name="_Toc123112235"/>
      <w:bookmarkStart w:id="130" w:name="_Toc31235"/>
      <w:bookmarkStart w:id="131" w:name="_Toc123051453"/>
      <w:bookmarkStart w:id="132" w:name="_Toc139991737"/>
      <w:bookmarkStart w:id="133" w:name="_Toc15143"/>
      <w:bookmarkStart w:id="134" w:name="_Toc98560353"/>
      <w:bookmarkStart w:id="135" w:name="_Toc14835"/>
      <w:bookmarkStart w:id="136" w:name="_Toc3601"/>
      <w:bookmarkStart w:id="137" w:name="_Toc352229753"/>
      <w:bookmarkStart w:id="138" w:name="_Toc123102454"/>
      <w:bookmarkStart w:id="139" w:name="_Toc141703887"/>
      <w:bookmarkStart w:id="140" w:name="_Toc29251"/>
      <w:bookmarkStart w:id="141" w:name="_Toc6405"/>
      <w:bookmarkStart w:id="142" w:name="_Toc2620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A469CB0" w14:textId="77777777" w:rsidR="00D51FDF" w:rsidRDefault="007F75F6">
      <w:pPr>
        <w:pStyle w:val="1"/>
        <w:jc w:val="center"/>
        <w:rPr>
          <w:rFonts w:asciiTheme="minorEastAsia" w:eastAsiaTheme="minorEastAsia" w:hAnsiTheme="minorEastAsia"/>
          <w:sz w:val="30"/>
          <w:szCs w:val="30"/>
        </w:rPr>
      </w:pPr>
      <w:bookmarkStart w:id="143" w:name="_Toc2677407"/>
      <w:r>
        <w:rPr>
          <w:rFonts w:asciiTheme="minorEastAsia" w:eastAsiaTheme="minorEastAsia" w:hAnsiTheme="minorEastAsia" w:hint="eastAsia"/>
          <w:sz w:val="30"/>
          <w:szCs w:val="30"/>
        </w:rPr>
        <w:lastRenderedPageBreak/>
        <w:t>第六部分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基金的募集</w:t>
      </w:r>
      <w:bookmarkEnd w:id="123"/>
      <w:bookmarkEnd w:id="124"/>
      <w:bookmarkEnd w:id="143"/>
    </w:p>
    <w:p w14:paraId="21F5CF73" w14:textId="77777777" w:rsidR="00D51FDF" w:rsidRDefault="007F75F6">
      <w:pPr>
        <w:spacing w:line="360" w:lineRule="auto"/>
        <w:ind w:firstLine="420"/>
        <w:rPr>
          <w:rFonts w:asciiTheme="minorEastAsia" w:hAnsiTheme="minorEastAsia"/>
          <w:sz w:val="24"/>
          <w:szCs w:val="24"/>
        </w:rPr>
      </w:pPr>
      <w:r>
        <w:rPr>
          <w:rFonts w:asciiTheme="minorEastAsia" w:hAnsiTheme="minorEastAsia" w:hint="eastAsia"/>
          <w:sz w:val="24"/>
          <w:szCs w:val="24"/>
        </w:rPr>
        <w:t>基金管理人按照《基金法》、《运作办法》、《销售办法》、基金合同及其他有关规定募集本基金，并于</w:t>
      </w:r>
      <w:r>
        <w:rPr>
          <w:rFonts w:asciiTheme="minorEastAsia" w:hAnsiTheme="minorEastAsia"/>
          <w:sz w:val="24"/>
          <w:szCs w:val="24"/>
        </w:rPr>
        <w:t>2017年【12】月【28】日经中国证监会证监许可[2017]2431号文准予注册募集。本基金于2018年6月25日起通过各销售机构向社会公开募集，截至2018年8月7日，基金募集工作已顺利结束。</w:t>
      </w:r>
    </w:p>
    <w:p w14:paraId="6E243B80" w14:textId="77777777" w:rsidR="00D51FDF" w:rsidRDefault="007F75F6">
      <w:pPr>
        <w:widowControl/>
        <w:jc w:val="left"/>
        <w:rPr>
          <w:rFonts w:asciiTheme="minorEastAsia" w:hAnsiTheme="minorEastAsia"/>
          <w:sz w:val="24"/>
          <w:szCs w:val="24"/>
        </w:rPr>
      </w:pPr>
      <w:r>
        <w:rPr>
          <w:rFonts w:asciiTheme="minorEastAsia" w:hAnsiTheme="minorEastAsia"/>
          <w:sz w:val="24"/>
          <w:szCs w:val="24"/>
        </w:rPr>
        <w:br w:type="page"/>
      </w:r>
    </w:p>
    <w:p w14:paraId="7F0B9DB3" w14:textId="77777777" w:rsidR="00D51FDF" w:rsidRDefault="007F75F6">
      <w:pPr>
        <w:pStyle w:val="1"/>
        <w:jc w:val="center"/>
        <w:rPr>
          <w:rFonts w:asciiTheme="minorEastAsia" w:eastAsiaTheme="minorEastAsia" w:hAnsiTheme="minorEastAsia"/>
          <w:sz w:val="30"/>
          <w:szCs w:val="30"/>
        </w:rPr>
      </w:pPr>
      <w:bookmarkStart w:id="144" w:name="_Toc263092315"/>
      <w:bookmarkStart w:id="145" w:name="_Toc214873596"/>
      <w:bookmarkStart w:id="146" w:name="_Toc2677408"/>
      <w:bookmarkStart w:id="147" w:name="_Toc416264543"/>
      <w:bookmarkStart w:id="148" w:name="_Toc352229754"/>
      <w:bookmarkStart w:id="149" w:name="_Toc20768"/>
      <w:bookmarkStart w:id="150" w:name="_Toc141703888"/>
      <w:bookmarkStart w:id="151" w:name="_Toc18567"/>
      <w:bookmarkStart w:id="152" w:name="_Toc11030"/>
      <w:bookmarkStart w:id="153" w:name="_Toc7058"/>
      <w:bookmarkStart w:id="154" w:name="_Toc123102455"/>
      <w:bookmarkStart w:id="155" w:name="_Toc79392583"/>
      <w:bookmarkStart w:id="156" w:name="_Toc3771"/>
      <w:bookmarkStart w:id="157" w:name="_Toc3321"/>
      <w:bookmarkStart w:id="158" w:name="_Toc6447"/>
      <w:bookmarkStart w:id="159" w:name="_Toc9706"/>
      <w:bookmarkStart w:id="160" w:name="_Toc139991738"/>
      <w:bookmarkStart w:id="161" w:name="_Toc98560354"/>
      <w:bookmarkStart w:id="162" w:name="_Toc10650"/>
      <w:bookmarkStart w:id="163" w:name="_Toc123051454"/>
      <w:bookmarkStart w:id="164" w:name="_Toc123112236"/>
      <w:bookmarkStart w:id="165" w:name="_Toc4559"/>
      <w:bookmarkStart w:id="166" w:name="_Toc2578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asciiTheme="minorEastAsia" w:eastAsiaTheme="minorEastAsia" w:hAnsiTheme="minorEastAsia" w:hint="eastAsia"/>
          <w:sz w:val="30"/>
          <w:szCs w:val="30"/>
        </w:rPr>
        <w:lastRenderedPageBreak/>
        <w:t>第七部分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w:t>
      </w:r>
      <w:bookmarkEnd w:id="144"/>
      <w:bookmarkEnd w:id="145"/>
      <w:r>
        <w:rPr>
          <w:rFonts w:asciiTheme="minorEastAsia" w:eastAsiaTheme="minorEastAsia" w:hAnsiTheme="minorEastAsia" w:hint="eastAsia"/>
          <w:sz w:val="30"/>
          <w:szCs w:val="30"/>
        </w:rPr>
        <w:t>合同的生效</w:t>
      </w:r>
      <w:bookmarkEnd w:id="146"/>
      <w:bookmarkEnd w:id="147"/>
    </w:p>
    <w:p w14:paraId="7BADD42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根据《基金法》、《运作办法》以及基金合同、招募说明书、基金份额发售公告的有关规定，本基金募集结果符合有关条件，本基金管理人于</w:t>
      </w:r>
      <w:r>
        <w:rPr>
          <w:rFonts w:asciiTheme="minorEastAsia" w:hAnsiTheme="minorEastAsia"/>
          <w:bCs/>
          <w:sz w:val="24"/>
          <w:szCs w:val="24"/>
        </w:rPr>
        <w:t>2018</w:t>
      </w:r>
      <w:r>
        <w:rPr>
          <w:rFonts w:asciiTheme="minorEastAsia" w:hAnsiTheme="minorEastAsia" w:hint="eastAsia"/>
          <w:bCs/>
          <w:sz w:val="24"/>
          <w:szCs w:val="24"/>
        </w:rPr>
        <w:t>年8月</w:t>
      </w:r>
      <w:r>
        <w:rPr>
          <w:rFonts w:asciiTheme="minorEastAsia" w:hAnsiTheme="minorEastAsia"/>
          <w:bCs/>
          <w:sz w:val="24"/>
          <w:szCs w:val="24"/>
        </w:rPr>
        <w:t>10</w:t>
      </w:r>
      <w:r>
        <w:rPr>
          <w:rFonts w:asciiTheme="minorEastAsia" w:hAnsiTheme="minorEastAsia" w:hint="eastAsia"/>
          <w:bCs/>
          <w:sz w:val="24"/>
          <w:szCs w:val="24"/>
        </w:rPr>
        <w:t>日向中国证监会办理完毕基金备案手续并已获书面确认，基金合同自该日期正式生效。自基金合同生效之日起，本基金管理人正式开始管理本基金。</w:t>
      </w:r>
    </w:p>
    <w:p w14:paraId="56B0232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基金合同生效满三年之日（指自然日），</w:t>
      </w:r>
      <w:proofErr w:type="gramStart"/>
      <w:r>
        <w:rPr>
          <w:rFonts w:asciiTheme="minorEastAsia" w:hAnsiTheme="minorEastAsia" w:hint="eastAsia"/>
          <w:bCs/>
          <w:sz w:val="24"/>
          <w:szCs w:val="24"/>
        </w:rPr>
        <w:t>若基金</w:t>
      </w:r>
      <w:proofErr w:type="gramEnd"/>
      <w:r>
        <w:rPr>
          <w:rFonts w:asciiTheme="minorEastAsia" w:hAnsiTheme="minorEastAsia" w:hint="eastAsia"/>
          <w:bCs/>
          <w:sz w:val="24"/>
          <w:szCs w:val="24"/>
        </w:rPr>
        <w:t>规模低于2亿元的，基金合同应当终止，并不得通过召开基金份额持有人大会延续基金合同期限。</w:t>
      </w:r>
    </w:p>
    <w:p w14:paraId="3E4139F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 xml:space="preserve"> 《基金合同》生效三年后继续存续的，连续二十个工作日出现基金份额持有人数量</w:t>
      </w:r>
      <w:proofErr w:type="gramStart"/>
      <w:r>
        <w:rPr>
          <w:rFonts w:asciiTheme="minorEastAsia" w:hAnsiTheme="minorEastAsia" w:hint="eastAsia"/>
          <w:bCs/>
          <w:sz w:val="24"/>
          <w:szCs w:val="24"/>
        </w:rPr>
        <w:t>不满二百</w:t>
      </w:r>
      <w:proofErr w:type="gramEnd"/>
      <w:r>
        <w:rPr>
          <w:rFonts w:asciiTheme="minorEastAsia" w:hAnsiTheme="minorEastAsia" w:hint="eastAsia"/>
          <w:bCs/>
          <w:sz w:val="24"/>
          <w:szCs w:val="24"/>
        </w:rPr>
        <w:t>人或者基金资产净值低于五千万元情形的，基金管理人应当在定期报告中予以披露；连续六十个工作日出现前述情形的，本基金应当按照基金合同的约定程序进行清算后终止，且无需召开基金份额持有人大会。</w:t>
      </w:r>
    </w:p>
    <w:p w14:paraId="6759149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法律法规另有规定时，从其规定。</w:t>
      </w:r>
    </w:p>
    <w:p w14:paraId="5F78B61B" w14:textId="77777777" w:rsidR="00D51FDF" w:rsidRDefault="007F75F6">
      <w:pPr>
        <w:widowControl/>
        <w:jc w:val="left"/>
        <w:rPr>
          <w:rFonts w:asciiTheme="minorEastAsia" w:hAnsiTheme="minorEastAsia" w:cs="Times New Roman"/>
          <w:szCs w:val="20"/>
        </w:rPr>
      </w:pPr>
      <w:r>
        <w:rPr>
          <w:rFonts w:asciiTheme="minorEastAsia" w:hAnsiTheme="minorEastAsia" w:cs="Times New Roman"/>
          <w:szCs w:val="20"/>
        </w:rPr>
        <w:br w:type="page"/>
      </w:r>
    </w:p>
    <w:p w14:paraId="34EF194E" w14:textId="77777777" w:rsidR="00D51FDF" w:rsidRDefault="007F75F6">
      <w:pPr>
        <w:pStyle w:val="1"/>
        <w:jc w:val="center"/>
        <w:rPr>
          <w:rFonts w:asciiTheme="minorEastAsia" w:eastAsiaTheme="minorEastAsia" w:hAnsiTheme="minorEastAsia" w:cs="Arial"/>
          <w:bCs/>
          <w:sz w:val="30"/>
          <w:szCs w:val="30"/>
        </w:rPr>
      </w:pPr>
      <w:bookmarkStart w:id="167" w:name="_Toc416264544"/>
      <w:bookmarkStart w:id="168" w:name="_Toc263092316"/>
      <w:bookmarkStart w:id="169" w:name="_Toc214873597"/>
      <w:bookmarkStart w:id="170" w:name="_Toc147463118"/>
      <w:bookmarkStart w:id="171" w:name="_Toc21073391"/>
      <w:bookmarkStart w:id="172" w:name="_Toc12357171"/>
      <w:bookmarkStart w:id="173" w:name="_Toc2677409"/>
      <w:bookmarkStart w:id="174" w:name="_Toc18206"/>
      <w:bookmarkStart w:id="175" w:name="_Toc10398"/>
      <w:bookmarkStart w:id="176" w:name="_Toc725"/>
      <w:bookmarkStart w:id="177" w:name="_Toc98560355"/>
      <w:bookmarkStart w:id="178" w:name="_Toc3572"/>
      <w:bookmarkStart w:id="179" w:name="_Toc3963"/>
      <w:bookmarkStart w:id="180" w:name="_Toc123051455"/>
      <w:bookmarkStart w:id="181" w:name="_Toc31821"/>
      <w:bookmarkStart w:id="182" w:name="_Toc18769"/>
      <w:bookmarkStart w:id="183" w:name="_Toc123102456"/>
      <w:bookmarkStart w:id="184" w:name="_Toc141703889"/>
      <w:bookmarkStart w:id="185" w:name="_Toc1745"/>
      <w:bookmarkStart w:id="186" w:name="_Toc21735"/>
      <w:bookmarkStart w:id="187" w:name="_Toc139991739"/>
      <w:bookmarkStart w:id="188" w:name="_Toc3080"/>
      <w:bookmarkStart w:id="189" w:name="_Toc16164"/>
      <w:bookmarkStart w:id="190" w:name="_Toc123112237"/>
      <w:bookmarkStart w:id="191" w:name="_Toc35222975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Theme="minorEastAsia" w:eastAsiaTheme="minorEastAsia" w:hAnsiTheme="minorEastAsia" w:hint="eastAsia"/>
          <w:sz w:val="30"/>
          <w:szCs w:val="30"/>
        </w:rPr>
        <w:lastRenderedPageBreak/>
        <w:t>第八部分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基金份额的申购与赎回</w:t>
      </w:r>
      <w:bookmarkEnd w:id="167"/>
      <w:bookmarkEnd w:id="168"/>
      <w:bookmarkEnd w:id="169"/>
      <w:bookmarkEnd w:id="170"/>
      <w:bookmarkEnd w:id="171"/>
      <w:bookmarkEnd w:id="172"/>
      <w:bookmarkEnd w:id="173"/>
    </w:p>
    <w:p w14:paraId="53AA839A" w14:textId="77777777" w:rsidR="00D51FDF" w:rsidRDefault="007F75F6">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4F87829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1CAA8872" w14:textId="77777777" w:rsidR="00D51FDF" w:rsidRDefault="00D51FDF">
      <w:pPr>
        <w:spacing w:line="360" w:lineRule="auto"/>
        <w:ind w:firstLineChars="200" w:firstLine="480"/>
        <w:rPr>
          <w:rFonts w:asciiTheme="minorEastAsia" w:hAnsiTheme="minorEastAsia"/>
          <w:bCs/>
          <w:sz w:val="24"/>
          <w:szCs w:val="24"/>
        </w:rPr>
      </w:pPr>
    </w:p>
    <w:p w14:paraId="554134DC" w14:textId="77777777" w:rsidR="00D51FDF" w:rsidRDefault="007F75F6">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4195C5A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、开放日及开放时间</w:t>
      </w:r>
    </w:p>
    <w:p w14:paraId="29CC301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195DEAC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43058B6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、申购、赎回开始日及业务办理时间</w:t>
      </w:r>
    </w:p>
    <w:p w14:paraId="46C18220"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本基金已于2018年11月9日开始办理申购、赎回业务。</w:t>
      </w:r>
    </w:p>
    <w:p w14:paraId="08A9D6B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hint="eastAsia"/>
          <w:bCs/>
          <w:sz w:val="24"/>
          <w:szCs w:val="24"/>
        </w:rPr>
        <w:t>且登记</w:t>
      </w:r>
      <w:proofErr w:type="gramEnd"/>
      <w:r>
        <w:rPr>
          <w:rFonts w:asciiTheme="minorEastAsia" w:hAnsiTheme="minorEastAsia" w:hint="eastAsia"/>
          <w:bCs/>
          <w:sz w:val="24"/>
          <w:szCs w:val="24"/>
        </w:rPr>
        <w:t>机构确认接受的，其基金份额申购、赎回价格为下一开放日该类别基金份额申购、赎回的价格。</w:t>
      </w:r>
    </w:p>
    <w:p w14:paraId="769E5908" w14:textId="77777777" w:rsidR="00D51FDF" w:rsidRDefault="00D51FDF">
      <w:pPr>
        <w:spacing w:line="360" w:lineRule="auto"/>
        <w:ind w:firstLineChars="200" w:firstLine="480"/>
        <w:rPr>
          <w:rFonts w:asciiTheme="minorEastAsia" w:hAnsiTheme="minorEastAsia"/>
          <w:bCs/>
          <w:sz w:val="24"/>
          <w:szCs w:val="24"/>
        </w:rPr>
      </w:pPr>
    </w:p>
    <w:p w14:paraId="33CA771A" w14:textId="77777777" w:rsidR="00D51FDF" w:rsidRDefault="007F75F6">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7947E93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、“未知价”原则，即申购、赎回价格以申请当日收市后计算的某一类别基金份额净值为基准进行计算；</w:t>
      </w:r>
    </w:p>
    <w:p w14:paraId="56CA31A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、“金额申购、份额赎回”原则，即申购以金额申请，赎回以份额申请；</w:t>
      </w:r>
    </w:p>
    <w:p w14:paraId="25E0A64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w:t>
      </w:r>
      <w:r>
        <w:rPr>
          <w:rFonts w:asciiTheme="minorEastAsia" w:hAnsiTheme="minorEastAsia" w:hint="eastAsia"/>
          <w:bCs/>
          <w:sz w:val="24"/>
          <w:szCs w:val="24"/>
        </w:rPr>
        <w:t>、当日的申购与赎回申请可以在基金管理人规定的时间以内撤销；</w:t>
      </w:r>
    </w:p>
    <w:p w14:paraId="3657788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、赎回遵循“先进先出”原则，即按照投资人认购、申购的先后次序进行顺序赎回；</w:t>
      </w:r>
    </w:p>
    <w:p w14:paraId="54B806F2"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szCs w:val="24"/>
        </w:rPr>
        <w:lastRenderedPageBreak/>
        <w:t>5、投资者办理申购、赎回等业务时应提交的文件和办理手续、办理时间、处理规则等在遵守基金合同和招募说明书规定的前提下，以各销售</w:t>
      </w:r>
      <w:r>
        <w:rPr>
          <w:rFonts w:asciiTheme="minorEastAsia" w:hAnsiTheme="minorEastAsia" w:hint="eastAsia"/>
          <w:bCs/>
          <w:sz w:val="24"/>
        </w:rPr>
        <w:t>机构的具体规定为准。</w:t>
      </w:r>
    </w:p>
    <w:p w14:paraId="32EF505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基金管理人可在法律法规允许的情况下，对上述原则进行调整。基金管理人必须在新规则开始实施前依照《信息披露办法》的有关规定在指定媒介上公告。</w:t>
      </w:r>
    </w:p>
    <w:p w14:paraId="21E954E6" w14:textId="77777777" w:rsidR="00D51FDF" w:rsidRDefault="00D51FDF">
      <w:pPr>
        <w:spacing w:line="360" w:lineRule="auto"/>
        <w:ind w:firstLineChars="200" w:firstLine="480"/>
        <w:rPr>
          <w:rFonts w:asciiTheme="minorEastAsia" w:hAnsiTheme="minorEastAsia"/>
          <w:bCs/>
          <w:sz w:val="24"/>
          <w:szCs w:val="24"/>
        </w:rPr>
      </w:pPr>
    </w:p>
    <w:p w14:paraId="0F6ABFBE" w14:textId="77777777" w:rsidR="00D51FDF" w:rsidRDefault="007F75F6">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0D4A9AB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、申购和赎回的申请方式</w:t>
      </w:r>
    </w:p>
    <w:p w14:paraId="021F1FC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投资人必须根据销售机构规定的程序，在开放日的具体业务办理时间内提出申购或赎回的申请。</w:t>
      </w:r>
    </w:p>
    <w:p w14:paraId="7F12C3F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、申购和赎回的款项支付</w:t>
      </w:r>
    </w:p>
    <w:p w14:paraId="0DF5078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lang w:val="zh-CN"/>
        </w:rPr>
        <w:t>投资人申购基金份额时，必须全额交付申购款项，投资人在规定时间前全额交付申购款项，申购成立；登记机构确认基金份额时，申购生效。</w:t>
      </w:r>
    </w:p>
    <w:p w14:paraId="0C2E3EA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基金份额持有人递交赎回申请，赎回成立；登记机构确认赎回时，赎回生效。</w:t>
      </w:r>
      <w:r>
        <w:rPr>
          <w:rFonts w:asciiTheme="minorEastAsia" w:hAnsiTheme="minorEastAsia"/>
          <w:bCs/>
          <w:sz w:val="24"/>
          <w:szCs w:val="24"/>
        </w:rPr>
        <w:t>投资人赎回申请成功后，基金管理人将在T＋7日</w:t>
      </w:r>
      <w:r>
        <w:rPr>
          <w:rFonts w:asciiTheme="minorEastAsia" w:hAnsiTheme="minorEastAsia" w:hint="eastAsia"/>
          <w:bCs/>
          <w:sz w:val="24"/>
          <w:szCs w:val="24"/>
        </w:rPr>
        <w:t>（</w:t>
      </w:r>
      <w:r>
        <w:rPr>
          <w:rFonts w:asciiTheme="minorEastAsia" w:hAnsiTheme="minorEastAsia"/>
          <w:bCs/>
          <w:sz w:val="24"/>
          <w:szCs w:val="24"/>
        </w:rPr>
        <w:t>包括该日</w:t>
      </w:r>
      <w:r>
        <w:rPr>
          <w:rFonts w:asciiTheme="minorEastAsia" w:hAnsiTheme="minorEastAsia" w:hint="eastAsia"/>
          <w:bCs/>
          <w:sz w:val="24"/>
          <w:szCs w:val="24"/>
        </w:rPr>
        <w:t>）</w:t>
      </w:r>
      <w:r>
        <w:rPr>
          <w:rFonts w:asciiTheme="minorEastAsia" w:hAnsiTheme="minorEastAsia"/>
          <w:bCs/>
          <w:sz w:val="24"/>
          <w:szCs w:val="24"/>
        </w:rPr>
        <w:t>内支付赎回款项。</w:t>
      </w:r>
      <w:r>
        <w:rPr>
          <w:rFonts w:asciiTheme="minorEastAsia" w:hAnsiTheme="minorEastAsia"/>
          <w:sz w:val="24"/>
          <w:szCs w:val="24"/>
        </w:rPr>
        <w:t>遇交易所或交易市场数据传输延迟、通讯系统故障、银行数据交换系统故障或其它</w:t>
      </w:r>
      <w:proofErr w:type="gramStart"/>
      <w:r>
        <w:rPr>
          <w:rFonts w:asciiTheme="minorEastAsia" w:hAnsiTheme="minorEastAsia"/>
          <w:sz w:val="24"/>
          <w:szCs w:val="24"/>
        </w:rPr>
        <w:t>非基金</w:t>
      </w:r>
      <w:proofErr w:type="gramEnd"/>
      <w:r>
        <w:rPr>
          <w:rFonts w:asciiTheme="minorEastAsia" w:hAnsiTheme="minorEastAsia"/>
          <w:sz w:val="24"/>
          <w:szCs w:val="24"/>
        </w:rPr>
        <w:t>管理人及基金托管人所能控制的因素影响业务处理流程，则</w:t>
      </w:r>
      <w:proofErr w:type="gramStart"/>
      <w:r>
        <w:rPr>
          <w:rFonts w:asciiTheme="minorEastAsia" w:hAnsiTheme="minorEastAsia"/>
          <w:sz w:val="24"/>
          <w:szCs w:val="24"/>
        </w:rPr>
        <w:t>赎回款</w:t>
      </w:r>
      <w:proofErr w:type="gramEnd"/>
      <w:r>
        <w:rPr>
          <w:rFonts w:asciiTheme="minorEastAsia" w:hAnsiTheme="minorEastAsia"/>
          <w:sz w:val="24"/>
          <w:szCs w:val="24"/>
        </w:rPr>
        <w:t>顺延至上述因素消除后的下一个工作日划出。</w:t>
      </w:r>
      <w:r>
        <w:rPr>
          <w:rFonts w:asciiTheme="minorEastAsia" w:hAnsiTheme="minorEastAsia"/>
          <w:bCs/>
          <w:sz w:val="24"/>
          <w:szCs w:val="24"/>
        </w:rPr>
        <w:t>在发生巨额赎回</w:t>
      </w:r>
      <w:r>
        <w:rPr>
          <w:rFonts w:asciiTheme="minorEastAsia" w:hAnsiTheme="minorEastAsia" w:hint="eastAsia"/>
          <w:bCs/>
          <w:sz w:val="24"/>
          <w:szCs w:val="24"/>
        </w:rPr>
        <w:t>或延缓支付赎回款项的情形</w:t>
      </w:r>
      <w:r>
        <w:rPr>
          <w:rFonts w:asciiTheme="minorEastAsia" w:hAnsiTheme="minorEastAsia"/>
          <w:bCs/>
          <w:sz w:val="24"/>
          <w:szCs w:val="24"/>
        </w:rPr>
        <w:t>时，款项的支付办法参照本基金合同有关条款处理。</w:t>
      </w:r>
    </w:p>
    <w:p w14:paraId="65255AA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w:t>
      </w:r>
      <w:r>
        <w:rPr>
          <w:rFonts w:asciiTheme="minorEastAsia" w:hAnsiTheme="minorEastAsia" w:hint="eastAsia"/>
          <w:bCs/>
          <w:sz w:val="24"/>
          <w:szCs w:val="24"/>
        </w:rPr>
        <w:t>、申购和赎回申请的确认</w:t>
      </w:r>
    </w:p>
    <w:p w14:paraId="6513093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基金管理人应以交易时间结束前受理有效申购和赎回申请的当天作为申购或赎回申请日（T日），在正常情况下，本基金登记机构在T+</w:t>
      </w:r>
      <w:r>
        <w:rPr>
          <w:rFonts w:asciiTheme="minorEastAsia" w:hAnsiTheme="minorEastAsia"/>
          <w:bCs/>
          <w:sz w:val="24"/>
          <w:szCs w:val="24"/>
        </w:rPr>
        <w:t>1</w:t>
      </w:r>
      <w:r>
        <w:rPr>
          <w:rFonts w:asciiTheme="minorEastAsia" w:hAnsiTheme="minorEastAsia" w:hint="eastAsia"/>
          <w:bCs/>
          <w:sz w:val="24"/>
          <w:szCs w:val="24"/>
        </w:rPr>
        <w:t>日内对该交易的有效性进行确认。T日提交的有效申请，投资人应在T+</w:t>
      </w:r>
      <w:r>
        <w:rPr>
          <w:rFonts w:asciiTheme="minorEastAsia" w:hAnsiTheme="minorEastAsia"/>
          <w:bCs/>
          <w:sz w:val="24"/>
          <w:szCs w:val="24"/>
        </w:rPr>
        <w:t>2</w:t>
      </w:r>
      <w:r>
        <w:rPr>
          <w:rFonts w:asciiTheme="minorEastAsia" w:hAnsiTheme="minorEastAsia" w:hint="eastAsia"/>
          <w:bCs/>
          <w:sz w:val="24"/>
          <w:szCs w:val="24"/>
        </w:rPr>
        <w:t>日后（包括该日）及时到销售网点柜台或以销售机构规定的其他方式查询申请的确认情况。若申购不成功，则申购款项退还给投资人。</w:t>
      </w:r>
    </w:p>
    <w:p w14:paraId="265643D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bCs/>
          <w:sz w:val="24"/>
          <w:szCs w:val="24"/>
        </w:rPr>
        <w:t>基金销售机构对申购、赎回申请的受理并不代表申请一定成功，而仅代表销售机构确实接收到申请。申购、赎回申请的确认以登记机构的确认结果为准。对于</w:t>
      </w:r>
      <w:r>
        <w:rPr>
          <w:rFonts w:asciiTheme="minorEastAsia" w:hAnsiTheme="minorEastAsia" w:hint="eastAsia"/>
          <w:sz w:val="24"/>
          <w:szCs w:val="24"/>
        </w:rPr>
        <w:t>申请</w:t>
      </w:r>
      <w:r>
        <w:rPr>
          <w:rFonts w:asciiTheme="minorEastAsia" w:hAnsiTheme="minorEastAsia" w:hint="eastAsia"/>
          <w:bCs/>
          <w:sz w:val="24"/>
          <w:szCs w:val="24"/>
        </w:rPr>
        <w:t>的</w:t>
      </w:r>
      <w:r>
        <w:rPr>
          <w:rFonts w:asciiTheme="minorEastAsia" w:hAnsiTheme="minorEastAsia" w:hint="eastAsia"/>
          <w:sz w:val="24"/>
          <w:szCs w:val="24"/>
        </w:rPr>
        <w:t>确认</w:t>
      </w:r>
      <w:r>
        <w:rPr>
          <w:rFonts w:asciiTheme="minorEastAsia" w:hAnsiTheme="minorEastAsia" w:hint="eastAsia"/>
          <w:bCs/>
          <w:sz w:val="24"/>
          <w:szCs w:val="24"/>
        </w:rPr>
        <w:t>情况，投资者应及时查询</w:t>
      </w:r>
      <w:r>
        <w:rPr>
          <w:rFonts w:asciiTheme="minorEastAsia" w:hAnsiTheme="minorEastAsia" w:hint="eastAsia"/>
          <w:sz w:val="24"/>
          <w:szCs w:val="24"/>
        </w:rPr>
        <w:t>。</w:t>
      </w:r>
    </w:p>
    <w:p w14:paraId="5674C740"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基金管理人可以在法律法规和基金合同允许的范围内，对上述业务办理时间</w:t>
      </w:r>
      <w:r>
        <w:rPr>
          <w:rFonts w:asciiTheme="minorEastAsia" w:hAnsiTheme="minorEastAsia" w:hint="eastAsia"/>
          <w:bCs/>
          <w:sz w:val="24"/>
        </w:rPr>
        <w:lastRenderedPageBreak/>
        <w:t>进行调整，并在调整实施前依照《信息披露办法》的有关规定在指定媒介上公告。</w:t>
      </w:r>
    </w:p>
    <w:p w14:paraId="590CB4AB" w14:textId="77777777" w:rsidR="00D51FDF" w:rsidRDefault="00D51FDF">
      <w:pPr>
        <w:spacing w:line="360" w:lineRule="auto"/>
        <w:ind w:firstLineChars="200" w:firstLine="480"/>
        <w:rPr>
          <w:rFonts w:asciiTheme="minorEastAsia" w:hAnsiTheme="minorEastAsia"/>
          <w:bCs/>
          <w:sz w:val="24"/>
          <w:szCs w:val="24"/>
        </w:rPr>
      </w:pPr>
    </w:p>
    <w:p w14:paraId="577BFCD4" w14:textId="77777777" w:rsidR="00D51FDF" w:rsidRDefault="007F75F6">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4A9F42C2" w14:textId="77777777" w:rsidR="00D51FDF" w:rsidRDefault="007F75F6">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 1.00 元，追加申购单笔最低金额为人民币 1.00 元。投资人申购 C 类基金份额，首次单笔最低申购金额为人民币 1.00元，追加申购单笔最低金额为人民币 1.00元。各销售机构在不低于上述规定的前提下， 可根据自己的情况调整首次最低申购金额和追加最低申购金额和追加最低申购金额限制，具体以销售机构公布的为准。</w:t>
      </w:r>
    </w:p>
    <w:p w14:paraId="5AD0DBF9" w14:textId="0EA5B925" w:rsidR="00D51FDF" w:rsidRDefault="007F75F6">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w:t>
      </w:r>
      <w:r w:rsidR="000C4F1C">
        <w:rPr>
          <w:rFonts w:asciiTheme="minorEastAsia" w:hAnsiTheme="minorEastAsia" w:cs="Arial"/>
          <w:sz w:val="24"/>
          <w:szCs w:val="24"/>
        </w:rPr>
        <w:t>1</w:t>
      </w:r>
      <w:r>
        <w:rPr>
          <w:rFonts w:asciiTheme="minorEastAsia" w:hAnsiTheme="minorEastAsia" w:cs="Arial" w:hint="eastAsia"/>
          <w:sz w:val="24"/>
          <w:szCs w:val="24"/>
        </w:rPr>
        <w:t xml:space="preserve">份，若某笔赎回导致单个交易账户的某一类别基金份额余额少于 </w:t>
      </w:r>
      <w:r w:rsidR="000C4F1C">
        <w:rPr>
          <w:rFonts w:asciiTheme="minorEastAsia" w:hAnsiTheme="minorEastAsia" w:cs="Arial"/>
          <w:sz w:val="24"/>
          <w:szCs w:val="24"/>
        </w:rPr>
        <w:t>1</w:t>
      </w:r>
      <w:r>
        <w:rPr>
          <w:rFonts w:asciiTheme="minorEastAsia" w:hAnsiTheme="minorEastAsia" w:cs="Arial" w:hint="eastAsia"/>
          <w:sz w:val="24"/>
          <w:szCs w:val="24"/>
        </w:rPr>
        <w:t>份时，该类份额余额部分基金份额必须一同赎回。</w:t>
      </w:r>
    </w:p>
    <w:p w14:paraId="1993D4F2" w14:textId="77777777" w:rsidR="00D51FDF" w:rsidRDefault="007F75F6">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3、基金管理人可以规定单个投资者累计持有的某一类别基金份额数量限制，具体规定见定期更新的招募说明书或相关公告。</w:t>
      </w:r>
    </w:p>
    <w:p w14:paraId="575D1A8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规定请参见相关公告。</w:t>
      </w:r>
    </w:p>
    <w:p w14:paraId="29D0C73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5、基金管理人可在法律法规允许的情况下，调整上述规定申购金额和赎回份额等数量限制。基金管理人必须在调整实施前依照《信息披露办法》的有关规定在指定媒介上公告并报中国证监会备案。</w:t>
      </w:r>
    </w:p>
    <w:p w14:paraId="4976D4E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6、基金管理人有权决定基金份额持有人持有本基金的最高限额和本基金的总规模限额，但最迟应在新的限额实施前依照《信息披露办法》的有关规定在指定媒介上公告。</w:t>
      </w:r>
    </w:p>
    <w:p w14:paraId="6ED298E7" w14:textId="77777777" w:rsidR="00D51FDF" w:rsidRDefault="00D51FDF">
      <w:pPr>
        <w:spacing w:line="360" w:lineRule="auto"/>
        <w:ind w:firstLineChars="200" w:firstLine="480"/>
        <w:rPr>
          <w:rFonts w:asciiTheme="minorEastAsia" w:hAnsiTheme="minorEastAsia"/>
          <w:bCs/>
          <w:sz w:val="24"/>
          <w:szCs w:val="24"/>
        </w:rPr>
      </w:pPr>
    </w:p>
    <w:p w14:paraId="2040C0D8" w14:textId="77777777" w:rsidR="00D51FDF" w:rsidRDefault="007F75F6">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6F32D9BC" w14:textId="77777777" w:rsidR="00D51FDF" w:rsidRDefault="007F75F6">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0CD7F524" w14:textId="77777777" w:rsidR="00D51FDF" w:rsidRDefault="007F75F6">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53E412A9" w14:textId="77777777" w:rsidR="00D51FDF" w:rsidRDefault="00D51FDF">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D51FDF" w14:paraId="506E656D" w14:textId="77777777">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tcPr>
          <w:p w14:paraId="6FACBA27" w14:textId="77777777" w:rsidR="00D51FDF" w:rsidRDefault="007F75F6">
            <w:pPr>
              <w:widowControl/>
              <w:spacing w:line="264" w:lineRule="auto"/>
              <w:jc w:val="center"/>
              <w:rPr>
                <w:rFonts w:asciiTheme="minorEastAsia" w:hAnsiTheme="minorEastAsia" w:cs="Arial"/>
                <w:bCs/>
                <w:kern w:val="0"/>
                <w:szCs w:val="24"/>
              </w:rPr>
            </w:pPr>
            <w:r>
              <w:rPr>
                <w:rFonts w:asciiTheme="minorEastAsia" w:hAnsiTheme="minorEastAsia" w:cs="Arial"/>
                <w:b/>
                <w:bCs/>
                <w:kern w:val="0"/>
                <w:szCs w:val="24"/>
              </w:rPr>
              <w:t>A类基金份额</w:t>
            </w:r>
          </w:p>
        </w:tc>
      </w:tr>
      <w:tr w:rsidR="00D51FDF" w14:paraId="605643F6"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3635D8CB" w14:textId="77777777" w:rsidR="00D51FDF" w:rsidRDefault="007F75F6">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lastRenderedPageBreak/>
              <w:t>申购金额（</w:t>
            </w:r>
            <w:r>
              <w:rPr>
                <w:rFonts w:asciiTheme="minorEastAsia" w:hAnsiTheme="minorEastAsia" w:cs="Arial"/>
                <w:bCs/>
                <w:kern w:val="0"/>
                <w:sz w:val="24"/>
                <w:szCs w:val="24"/>
              </w:rPr>
              <w:t>M）</w:t>
            </w:r>
          </w:p>
        </w:tc>
        <w:tc>
          <w:tcPr>
            <w:tcW w:w="2599" w:type="pct"/>
            <w:tcBorders>
              <w:top w:val="single" w:sz="4" w:space="0" w:color="auto"/>
              <w:left w:val="single" w:sz="4" w:space="0" w:color="auto"/>
              <w:bottom w:val="single" w:sz="4" w:space="0" w:color="auto"/>
              <w:right w:val="single" w:sz="4" w:space="0" w:color="auto"/>
            </w:tcBorders>
          </w:tcPr>
          <w:p w14:paraId="4ACAC78D" w14:textId="77777777" w:rsidR="00D51FDF" w:rsidRDefault="007F75F6">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hint="eastAsia"/>
                <w:bCs/>
                <w:kern w:val="0"/>
                <w:szCs w:val="24"/>
              </w:rPr>
              <w:t>申购费率</w:t>
            </w:r>
          </w:p>
        </w:tc>
      </w:tr>
      <w:tr w:rsidR="00D51FDF" w14:paraId="4170543C"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687A291A" w14:textId="77777777" w:rsidR="00D51FDF" w:rsidRDefault="007F75F6">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3187CA80" w14:textId="77777777" w:rsidR="00D51FDF" w:rsidRDefault="007F75F6">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w:t>
            </w:r>
          </w:p>
        </w:tc>
      </w:tr>
      <w:tr w:rsidR="00D51FDF" w14:paraId="5D37DB7B"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0D5C636F" w14:textId="77777777" w:rsidR="00D51FDF" w:rsidRDefault="007F75F6">
            <w:pPr>
              <w:widowControl/>
              <w:spacing w:line="336" w:lineRule="auto"/>
              <w:ind w:firstLineChars="200" w:firstLine="480"/>
              <w:jc w:val="center"/>
              <w:rPr>
                <w:rFonts w:asciiTheme="minorEastAsia" w:hAnsiTheme="minorEastAsia" w:cs="Arial"/>
                <w:kern w:val="0"/>
                <w:sz w:val="24"/>
                <w:szCs w:val="24"/>
              </w:rPr>
            </w:pPr>
            <w:r>
              <w:rPr>
                <w:rFonts w:asciiTheme="minorEastAsia" w:hAnsiTheme="minorEastAsia" w:cs="Arial"/>
                <w:kern w:val="0"/>
                <w:sz w:val="24"/>
                <w:szCs w:val="24"/>
              </w:rPr>
              <w:t>100万元≤M＜200万元</w:t>
            </w:r>
          </w:p>
        </w:tc>
        <w:tc>
          <w:tcPr>
            <w:tcW w:w="2599" w:type="pct"/>
            <w:tcBorders>
              <w:top w:val="single" w:sz="4" w:space="0" w:color="auto"/>
              <w:left w:val="single" w:sz="4" w:space="0" w:color="auto"/>
              <w:bottom w:val="single" w:sz="4" w:space="0" w:color="auto"/>
              <w:right w:val="single" w:sz="4" w:space="0" w:color="auto"/>
            </w:tcBorders>
          </w:tcPr>
          <w:p w14:paraId="2C5F4070" w14:textId="77777777" w:rsidR="00D51FDF" w:rsidRDefault="007F75F6">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0.80%</w:t>
            </w:r>
          </w:p>
        </w:tc>
      </w:tr>
      <w:tr w:rsidR="00D51FDF" w14:paraId="247DAD2E"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42EBF2DF" w14:textId="77777777" w:rsidR="00D51FDF" w:rsidRDefault="007F75F6">
            <w:pPr>
              <w:widowControl/>
              <w:spacing w:line="336" w:lineRule="auto"/>
              <w:ind w:firstLineChars="200" w:firstLine="480"/>
              <w:jc w:val="center"/>
              <w:rPr>
                <w:rFonts w:asciiTheme="minorEastAsia" w:hAnsiTheme="minorEastAsia" w:cs="Arial"/>
                <w:kern w:val="0"/>
                <w:sz w:val="24"/>
                <w:szCs w:val="24"/>
              </w:rPr>
            </w:pPr>
            <w:r>
              <w:rPr>
                <w:rFonts w:asciiTheme="minorEastAsia" w:hAnsiTheme="minorEastAsia" w:cs="Arial"/>
                <w:kern w:val="0"/>
                <w:sz w:val="24"/>
                <w:szCs w:val="24"/>
              </w:rPr>
              <w:t>200万元≤M＜500万元</w:t>
            </w:r>
          </w:p>
        </w:tc>
        <w:tc>
          <w:tcPr>
            <w:tcW w:w="2599" w:type="pct"/>
            <w:tcBorders>
              <w:top w:val="single" w:sz="4" w:space="0" w:color="auto"/>
              <w:left w:val="single" w:sz="4" w:space="0" w:color="auto"/>
              <w:bottom w:val="single" w:sz="4" w:space="0" w:color="auto"/>
              <w:right w:val="single" w:sz="4" w:space="0" w:color="auto"/>
            </w:tcBorders>
          </w:tcPr>
          <w:p w14:paraId="70D13225" w14:textId="77777777" w:rsidR="00D51FDF" w:rsidRDefault="007F75F6">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0.40%</w:t>
            </w:r>
          </w:p>
        </w:tc>
      </w:tr>
      <w:tr w:rsidR="00D51FDF" w14:paraId="1D671CB2"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04697B62" w14:textId="77777777" w:rsidR="00D51FDF" w:rsidRDefault="007F75F6">
            <w:pPr>
              <w:widowControl/>
              <w:spacing w:line="336" w:lineRule="auto"/>
              <w:ind w:firstLineChars="200" w:firstLine="480"/>
              <w:jc w:val="center"/>
              <w:rPr>
                <w:rFonts w:asciiTheme="minorEastAsia" w:hAnsiTheme="minorEastAsia" w:cs="Arial"/>
                <w:kern w:val="0"/>
                <w:sz w:val="24"/>
                <w:szCs w:val="24"/>
              </w:rPr>
            </w:pPr>
            <w:r>
              <w:rPr>
                <w:rFonts w:asciiTheme="minorEastAsia" w:hAnsiTheme="minorEastAsia" w:cs="Arial"/>
                <w:kern w:val="0"/>
                <w:sz w:val="24"/>
                <w:szCs w:val="24"/>
              </w:rPr>
              <w:t>M≥500万元</w:t>
            </w:r>
          </w:p>
        </w:tc>
        <w:tc>
          <w:tcPr>
            <w:tcW w:w="2599" w:type="pct"/>
            <w:tcBorders>
              <w:top w:val="single" w:sz="4" w:space="0" w:color="auto"/>
              <w:left w:val="single" w:sz="4" w:space="0" w:color="auto"/>
              <w:bottom w:val="single" w:sz="4" w:space="0" w:color="auto"/>
              <w:right w:val="single" w:sz="4" w:space="0" w:color="auto"/>
            </w:tcBorders>
          </w:tcPr>
          <w:p w14:paraId="5DAEFE85" w14:textId="77777777" w:rsidR="00D51FDF" w:rsidRDefault="007F75F6">
            <w:pPr>
              <w:widowControl/>
              <w:spacing w:line="336" w:lineRule="auto"/>
              <w:ind w:firstLineChars="200" w:firstLine="420"/>
              <w:jc w:val="center"/>
              <w:rPr>
                <w:rFonts w:asciiTheme="minorEastAsia" w:hAnsiTheme="minorEastAsia" w:cs="Arial"/>
                <w:kern w:val="0"/>
                <w:szCs w:val="24"/>
              </w:rPr>
            </w:pPr>
            <w:r>
              <w:rPr>
                <w:rFonts w:asciiTheme="minorEastAsia" w:hAnsiTheme="minorEastAsia" w:cs="Arial"/>
                <w:kern w:val="0"/>
                <w:szCs w:val="24"/>
              </w:rPr>
              <w:t>1000元/笔</w:t>
            </w:r>
          </w:p>
        </w:tc>
      </w:tr>
      <w:tr w:rsidR="00D51FDF" w14:paraId="6A667111"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7C48D1E" w14:textId="77777777" w:rsidR="00D51FDF" w:rsidRDefault="007F75F6">
            <w:pPr>
              <w:widowControl/>
              <w:spacing w:line="264" w:lineRule="auto"/>
              <w:ind w:firstLineChars="200" w:firstLine="422"/>
              <w:jc w:val="center"/>
              <w:rPr>
                <w:rFonts w:asciiTheme="minorEastAsia" w:hAnsiTheme="minorEastAsia" w:cs="Arial"/>
                <w:b/>
                <w:kern w:val="0"/>
                <w:szCs w:val="24"/>
              </w:rPr>
            </w:pPr>
            <w:r>
              <w:rPr>
                <w:rFonts w:asciiTheme="minorEastAsia" w:hAnsiTheme="minorEastAsia" w:cs="Arial"/>
                <w:b/>
                <w:bCs/>
                <w:kern w:val="0"/>
                <w:szCs w:val="24"/>
              </w:rPr>
              <w:t>C类基金份额</w:t>
            </w:r>
          </w:p>
        </w:tc>
      </w:tr>
      <w:tr w:rsidR="00D51FDF" w14:paraId="370C2AF1"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70C89B7" w14:textId="77777777" w:rsidR="00D51FDF" w:rsidRDefault="007F75F6">
            <w:pPr>
              <w:widowControl/>
              <w:spacing w:line="264" w:lineRule="auto"/>
              <w:ind w:firstLineChars="200" w:firstLine="420"/>
              <w:jc w:val="center"/>
              <w:rPr>
                <w:rFonts w:asciiTheme="minorEastAsia" w:hAnsiTheme="minorEastAsia" w:cs="Arial"/>
                <w:kern w:val="0"/>
                <w:szCs w:val="24"/>
              </w:rPr>
            </w:pPr>
            <w:r>
              <w:rPr>
                <w:rFonts w:asciiTheme="minorEastAsia" w:hAnsiTheme="minorEastAsia" w:cs="Arial" w:hint="eastAsia"/>
                <w:bCs/>
                <w:kern w:val="0"/>
                <w:szCs w:val="24"/>
              </w:rPr>
              <w:t>申</w:t>
            </w:r>
            <w:r>
              <w:rPr>
                <w:rFonts w:asciiTheme="minorEastAsia" w:hAnsiTheme="minorEastAsia" w:cs="Arial" w:hint="eastAsia"/>
                <w:kern w:val="0"/>
                <w:szCs w:val="24"/>
              </w:rPr>
              <w:t>购费率为零</w:t>
            </w:r>
          </w:p>
        </w:tc>
      </w:tr>
    </w:tbl>
    <w:p w14:paraId="68D823F5" w14:textId="77777777" w:rsidR="00D51FDF" w:rsidRDefault="00D51FDF">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46E867FD" w14:textId="77777777" w:rsidR="00D51FDF" w:rsidRDefault="007F75F6">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本基金的申购费用由申购基金份额的投资人承担，不列入基金资产，用于基金的市场推广、销售、登记等各项费用。</w:t>
      </w:r>
    </w:p>
    <w:p w14:paraId="5CEA23A9"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1D66E091"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D51FDF" w14:paraId="07DF8E9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EC1C9CF" w14:textId="77777777" w:rsidR="00D51FDF" w:rsidRDefault="007F75F6">
            <w:pPr>
              <w:jc w:val="center"/>
              <w:rPr>
                <w:rFonts w:asciiTheme="minorEastAsia" w:hAnsiTheme="minorEastAsia" w:cs="Arial"/>
                <w:color w:val="000000"/>
                <w:szCs w:val="24"/>
              </w:rPr>
            </w:pPr>
            <w:r>
              <w:rPr>
                <w:rFonts w:asciiTheme="minorEastAsia" w:hAnsiTheme="minorEastAsia" w:cs="Arial" w:hint="eastAsia"/>
                <w:color w:val="000000"/>
                <w:szCs w:val="24"/>
              </w:rPr>
              <w:t>持有基金份额期限（</w:t>
            </w:r>
            <w:r>
              <w:rPr>
                <w:rFonts w:asciiTheme="minorEastAsia" w:hAnsiTheme="minorEastAsia" w:cs="Arial"/>
                <w:color w:val="000000"/>
                <w:szCs w:val="24"/>
              </w:rPr>
              <w:t>Y）</w:t>
            </w:r>
          </w:p>
        </w:tc>
        <w:tc>
          <w:tcPr>
            <w:tcW w:w="2127" w:type="dxa"/>
            <w:tcBorders>
              <w:top w:val="single" w:sz="4" w:space="0" w:color="auto"/>
              <w:left w:val="single" w:sz="4" w:space="0" w:color="auto"/>
              <w:bottom w:val="single" w:sz="4" w:space="0" w:color="auto"/>
              <w:right w:val="single" w:sz="4" w:space="0" w:color="auto"/>
            </w:tcBorders>
          </w:tcPr>
          <w:p w14:paraId="3B67C757" w14:textId="77777777" w:rsidR="00D51FDF" w:rsidRDefault="007F75F6">
            <w:pPr>
              <w:jc w:val="center"/>
              <w:rPr>
                <w:rFonts w:asciiTheme="minorEastAsia" w:hAnsiTheme="minorEastAsia" w:cs="Arial"/>
                <w:color w:val="000000"/>
                <w:szCs w:val="24"/>
              </w:rPr>
            </w:pPr>
            <w:r>
              <w:rPr>
                <w:rFonts w:asciiTheme="minorEastAsia" w:hAnsiTheme="minorEastAsia" w:cs="Arial"/>
                <w:color w:val="000000"/>
                <w:szCs w:val="24"/>
              </w:rPr>
              <w:t>A类份额赎回费</w:t>
            </w:r>
            <w:r>
              <w:rPr>
                <w:rFonts w:asciiTheme="minorEastAsia" w:hAnsiTheme="minorEastAsia" w:cs="Arial" w:hint="eastAsia"/>
                <w:color w:val="000000"/>
                <w:szCs w:val="24"/>
              </w:rPr>
              <w:t>率</w:t>
            </w:r>
          </w:p>
        </w:tc>
        <w:tc>
          <w:tcPr>
            <w:tcW w:w="2284" w:type="dxa"/>
            <w:tcBorders>
              <w:top w:val="single" w:sz="4" w:space="0" w:color="auto"/>
              <w:left w:val="single" w:sz="4" w:space="0" w:color="auto"/>
              <w:bottom w:val="single" w:sz="4" w:space="0" w:color="auto"/>
              <w:right w:val="single" w:sz="4" w:space="0" w:color="auto"/>
            </w:tcBorders>
          </w:tcPr>
          <w:p w14:paraId="175736D7" w14:textId="77777777" w:rsidR="00D51FDF" w:rsidRDefault="007F75F6">
            <w:pPr>
              <w:jc w:val="center"/>
              <w:rPr>
                <w:rFonts w:asciiTheme="minorEastAsia" w:hAnsiTheme="minorEastAsia" w:cs="Arial"/>
                <w:color w:val="000000"/>
                <w:szCs w:val="24"/>
              </w:rPr>
            </w:pPr>
            <w:r>
              <w:rPr>
                <w:rFonts w:asciiTheme="minorEastAsia" w:hAnsiTheme="minorEastAsia" w:cs="Arial"/>
                <w:color w:val="000000"/>
                <w:szCs w:val="24"/>
              </w:rPr>
              <w:t>C类份额赎回费率</w:t>
            </w:r>
          </w:p>
        </w:tc>
      </w:tr>
      <w:tr w:rsidR="00D51FDF" w14:paraId="2F66F22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6E8223" w14:textId="77777777" w:rsidR="00D51FDF" w:rsidRDefault="007F75F6">
            <w:pPr>
              <w:widowControl/>
              <w:spacing w:line="336" w:lineRule="auto"/>
              <w:jc w:val="center"/>
              <w:rPr>
                <w:rFonts w:asciiTheme="minorEastAsia" w:hAnsiTheme="minorEastAsia" w:cs="Arial"/>
                <w:bCs/>
                <w:kern w:val="0"/>
                <w:szCs w:val="24"/>
              </w:rPr>
            </w:pPr>
            <w:r>
              <w:rPr>
                <w:rFonts w:asciiTheme="minorEastAsia" w:hAnsiTheme="minorEastAsia" w:cs="Arial"/>
                <w:bCs/>
                <w:kern w:val="0"/>
                <w:szCs w:val="24"/>
              </w:rPr>
              <w:t>Y＜7日</w:t>
            </w:r>
          </w:p>
        </w:tc>
        <w:tc>
          <w:tcPr>
            <w:tcW w:w="2127" w:type="dxa"/>
            <w:tcBorders>
              <w:top w:val="single" w:sz="4" w:space="0" w:color="auto"/>
              <w:left w:val="single" w:sz="4" w:space="0" w:color="auto"/>
              <w:bottom w:val="single" w:sz="4" w:space="0" w:color="auto"/>
              <w:right w:val="single" w:sz="4" w:space="0" w:color="auto"/>
            </w:tcBorders>
          </w:tcPr>
          <w:p w14:paraId="78834A89" w14:textId="77777777" w:rsidR="00D51FDF" w:rsidRDefault="007F75F6">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c>
          <w:tcPr>
            <w:tcW w:w="2284" w:type="dxa"/>
            <w:tcBorders>
              <w:top w:val="single" w:sz="4" w:space="0" w:color="auto"/>
              <w:left w:val="single" w:sz="4" w:space="0" w:color="auto"/>
              <w:bottom w:val="single" w:sz="4" w:space="0" w:color="auto"/>
              <w:right w:val="single" w:sz="4" w:space="0" w:color="auto"/>
            </w:tcBorders>
          </w:tcPr>
          <w:p w14:paraId="5FCF5118" w14:textId="77777777" w:rsidR="00D51FDF" w:rsidRDefault="007F75F6">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1.50%</w:t>
            </w:r>
          </w:p>
        </w:tc>
      </w:tr>
      <w:tr w:rsidR="00D51FDF" w14:paraId="4473FEF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B64228D" w14:textId="77777777" w:rsidR="00D51FDF" w:rsidRDefault="007F75F6">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7日 ≤ Y </w:t>
            </w:r>
            <w:r>
              <w:rPr>
                <w:rFonts w:asciiTheme="minorEastAsia" w:hAnsiTheme="minorEastAsia" w:cs="Arial" w:hint="eastAsia"/>
                <w:bCs/>
                <w:kern w:val="0"/>
                <w:szCs w:val="24"/>
              </w:rPr>
              <w:t>＜</w:t>
            </w:r>
            <w:r>
              <w:rPr>
                <w:rFonts w:asciiTheme="minorEastAsia" w:hAnsiTheme="minorEastAsia" w:cs="Arial"/>
                <w:bCs/>
                <w:kern w:val="0"/>
                <w:szCs w:val="24"/>
              </w:rPr>
              <w:t xml:space="preserve"> 30日</w:t>
            </w:r>
          </w:p>
        </w:tc>
        <w:tc>
          <w:tcPr>
            <w:tcW w:w="2127" w:type="dxa"/>
            <w:tcBorders>
              <w:top w:val="single" w:sz="4" w:space="0" w:color="auto"/>
              <w:left w:val="single" w:sz="4" w:space="0" w:color="auto"/>
              <w:bottom w:val="single" w:sz="4" w:space="0" w:color="auto"/>
              <w:right w:val="single" w:sz="4" w:space="0" w:color="auto"/>
            </w:tcBorders>
          </w:tcPr>
          <w:p w14:paraId="6B8E3C09" w14:textId="77777777" w:rsidR="00D51FDF" w:rsidRDefault="007F75F6">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0.75%</w:t>
            </w:r>
          </w:p>
        </w:tc>
        <w:tc>
          <w:tcPr>
            <w:tcW w:w="2284" w:type="dxa"/>
            <w:tcBorders>
              <w:top w:val="single" w:sz="4" w:space="0" w:color="auto"/>
              <w:left w:val="single" w:sz="4" w:space="0" w:color="auto"/>
              <w:bottom w:val="single" w:sz="4" w:space="0" w:color="auto"/>
              <w:right w:val="single" w:sz="4" w:space="0" w:color="auto"/>
            </w:tcBorders>
          </w:tcPr>
          <w:p w14:paraId="4AA203AE" w14:textId="77777777" w:rsidR="00D51FDF" w:rsidRDefault="007F75F6">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r>
      <w:tr w:rsidR="00D51FDF" w14:paraId="2E13A33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08C131" w14:textId="77777777" w:rsidR="00D51FDF" w:rsidRDefault="007F75F6">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 xml:space="preserve">30日 ≤ Y </w:t>
            </w:r>
            <w:r>
              <w:rPr>
                <w:rFonts w:asciiTheme="minorEastAsia" w:hAnsiTheme="minorEastAsia" w:cs="Arial" w:hint="eastAsia"/>
                <w:bCs/>
                <w:kern w:val="0"/>
                <w:szCs w:val="24"/>
              </w:rPr>
              <w:t>＜</w:t>
            </w:r>
            <w:r>
              <w:rPr>
                <w:rFonts w:asciiTheme="minorEastAsia" w:hAnsiTheme="minorEastAsia" w:cs="Arial"/>
                <w:bCs/>
                <w:kern w:val="0"/>
                <w:szCs w:val="24"/>
              </w:rPr>
              <w:t xml:space="preserve"> 6个月</w:t>
            </w:r>
          </w:p>
        </w:tc>
        <w:tc>
          <w:tcPr>
            <w:tcW w:w="2127" w:type="dxa"/>
            <w:tcBorders>
              <w:top w:val="single" w:sz="4" w:space="0" w:color="auto"/>
              <w:left w:val="single" w:sz="4" w:space="0" w:color="auto"/>
              <w:bottom w:val="single" w:sz="4" w:space="0" w:color="auto"/>
              <w:right w:val="single" w:sz="4" w:space="0" w:color="auto"/>
            </w:tcBorders>
          </w:tcPr>
          <w:p w14:paraId="37E83384" w14:textId="77777777" w:rsidR="00D51FDF" w:rsidRDefault="007F75F6">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0.50%</w:t>
            </w:r>
          </w:p>
        </w:tc>
        <w:tc>
          <w:tcPr>
            <w:tcW w:w="2284" w:type="dxa"/>
            <w:tcBorders>
              <w:top w:val="single" w:sz="4" w:space="0" w:color="auto"/>
              <w:left w:val="single" w:sz="4" w:space="0" w:color="auto"/>
              <w:bottom w:val="single" w:sz="4" w:space="0" w:color="auto"/>
              <w:right w:val="single" w:sz="4" w:space="0" w:color="auto"/>
            </w:tcBorders>
          </w:tcPr>
          <w:p w14:paraId="620D2A10" w14:textId="77777777" w:rsidR="00D51FDF" w:rsidRDefault="007F75F6">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r w:rsidR="00D51FDF" w14:paraId="61443E5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2697B67" w14:textId="77777777" w:rsidR="00D51FDF" w:rsidRDefault="007F75F6">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Y≥6个月</w:t>
            </w:r>
          </w:p>
        </w:tc>
        <w:tc>
          <w:tcPr>
            <w:tcW w:w="2127" w:type="dxa"/>
            <w:tcBorders>
              <w:top w:val="single" w:sz="4" w:space="0" w:color="auto"/>
              <w:left w:val="single" w:sz="4" w:space="0" w:color="auto"/>
              <w:bottom w:val="single" w:sz="4" w:space="0" w:color="auto"/>
              <w:right w:val="single" w:sz="4" w:space="0" w:color="auto"/>
            </w:tcBorders>
          </w:tcPr>
          <w:p w14:paraId="63AFF303" w14:textId="77777777" w:rsidR="00D51FDF" w:rsidRDefault="007F75F6">
            <w:pPr>
              <w:widowControl/>
              <w:spacing w:line="336" w:lineRule="auto"/>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c>
          <w:tcPr>
            <w:tcW w:w="2284" w:type="dxa"/>
            <w:tcBorders>
              <w:top w:val="single" w:sz="4" w:space="0" w:color="auto"/>
              <w:left w:val="single" w:sz="4" w:space="0" w:color="auto"/>
              <w:bottom w:val="single" w:sz="4" w:space="0" w:color="auto"/>
              <w:right w:val="single" w:sz="4" w:space="0" w:color="auto"/>
            </w:tcBorders>
          </w:tcPr>
          <w:p w14:paraId="700A96B3" w14:textId="77777777" w:rsidR="00D51FDF" w:rsidRDefault="007F75F6">
            <w:pPr>
              <w:ind w:firstLineChars="200" w:firstLine="420"/>
              <w:jc w:val="center"/>
              <w:rPr>
                <w:rFonts w:asciiTheme="minorEastAsia" w:hAnsiTheme="minorEastAsia" w:cs="Arial"/>
                <w:bCs/>
                <w:kern w:val="0"/>
                <w:szCs w:val="24"/>
              </w:rPr>
            </w:pPr>
            <w:r>
              <w:rPr>
                <w:rFonts w:asciiTheme="minorEastAsia" w:hAnsiTheme="minorEastAsia" w:cs="Arial"/>
                <w:bCs/>
                <w:kern w:val="0"/>
                <w:szCs w:val="24"/>
              </w:rPr>
              <w:t>0</w:t>
            </w:r>
          </w:p>
        </w:tc>
      </w:tr>
    </w:tbl>
    <w:p w14:paraId="1218B6C6" w14:textId="77777777" w:rsidR="00D51FDF" w:rsidRDefault="00D51FDF">
      <w:pPr>
        <w:adjustRightInd w:val="0"/>
        <w:snapToGrid w:val="0"/>
        <w:spacing w:line="360" w:lineRule="auto"/>
        <w:rPr>
          <w:rFonts w:asciiTheme="minorEastAsia" w:hAnsiTheme="minorEastAsia" w:cs="Arial"/>
          <w:sz w:val="24"/>
          <w:szCs w:val="24"/>
        </w:rPr>
      </w:pPr>
    </w:p>
    <w:p w14:paraId="5928869F" w14:textId="77777777" w:rsidR="00D51FDF" w:rsidRDefault="007F75F6">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30</w:t>
      </w:r>
      <w:r>
        <w:rPr>
          <w:rFonts w:asciiTheme="minorEastAsia" w:hAnsiTheme="minorEastAsia" w:cs="Arial" w:hint="eastAsia"/>
          <w:sz w:val="24"/>
          <w:szCs w:val="24"/>
        </w:rPr>
        <w:t>日）</w:t>
      </w:r>
    </w:p>
    <w:p w14:paraId="02C1608D"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4FA1AC15"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对持续持有期少于</w:t>
      </w:r>
      <w:r>
        <w:rPr>
          <w:rFonts w:asciiTheme="minorEastAsia" w:hAnsiTheme="minorEastAsia" w:cs="Arial"/>
          <w:sz w:val="24"/>
          <w:szCs w:val="24"/>
        </w:rPr>
        <w:t>30日的A类基金份额</w:t>
      </w:r>
      <w:r>
        <w:rPr>
          <w:rFonts w:asciiTheme="minorEastAsia" w:hAnsiTheme="minorEastAsia" w:cs="Arial" w:hint="eastAsia"/>
          <w:sz w:val="24"/>
          <w:szCs w:val="24"/>
        </w:rPr>
        <w:t>投资人收取的赎回费全额计入基金财产；对持续持有期不少于</w:t>
      </w:r>
      <w:r>
        <w:rPr>
          <w:rFonts w:asciiTheme="minorEastAsia" w:hAnsiTheme="minorEastAsia" w:cs="Arial"/>
          <w:sz w:val="24"/>
          <w:szCs w:val="24"/>
        </w:rPr>
        <w:t>30日但少于3个月的A类基金份额</w:t>
      </w:r>
      <w:r>
        <w:rPr>
          <w:rFonts w:asciiTheme="minorEastAsia" w:hAnsiTheme="minorEastAsia" w:cs="Arial" w:hint="eastAsia"/>
          <w:sz w:val="24"/>
          <w:szCs w:val="24"/>
        </w:rPr>
        <w:t>投资人收取的赎回费总额的</w:t>
      </w:r>
      <w:r>
        <w:rPr>
          <w:rFonts w:asciiTheme="minorEastAsia" w:hAnsiTheme="minorEastAsia" w:cs="Arial"/>
          <w:sz w:val="24"/>
          <w:szCs w:val="24"/>
        </w:rPr>
        <w:t>75%计入基金财产；对持续持有期不少于3个月但少于6个月的A类基金份额</w:t>
      </w:r>
      <w:r>
        <w:rPr>
          <w:rFonts w:asciiTheme="minorEastAsia" w:hAnsiTheme="minorEastAsia" w:cs="Arial" w:hint="eastAsia"/>
          <w:sz w:val="24"/>
          <w:szCs w:val="24"/>
        </w:rPr>
        <w:t>投资人收取的赎回费总额的</w:t>
      </w:r>
      <w:r>
        <w:rPr>
          <w:rFonts w:asciiTheme="minorEastAsia" w:hAnsiTheme="minorEastAsia" w:cs="Arial"/>
          <w:sz w:val="24"/>
          <w:szCs w:val="24"/>
        </w:rPr>
        <w:t>50%计入基金财产；</w:t>
      </w:r>
      <w:r>
        <w:rPr>
          <w:rFonts w:asciiTheme="minorEastAsia" w:hAnsiTheme="minorEastAsia" w:cs="Arial" w:hint="eastAsia"/>
          <w:sz w:val="24"/>
          <w:szCs w:val="24"/>
        </w:rPr>
        <w:t>对</w:t>
      </w:r>
      <w:r>
        <w:rPr>
          <w:rFonts w:asciiTheme="minorEastAsia" w:hAnsiTheme="minorEastAsia" w:cs="Arial"/>
          <w:sz w:val="24"/>
          <w:szCs w:val="24"/>
        </w:rPr>
        <w:t>C类基金份额</w:t>
      </w:r>
      <w:r>
        <w:rPr>
          <w:rFonts w:asciiTheme="minorEastAsia" w:hAnsiTheme="minorEastAsia" w:cs="Arial" w:hint="eastAsia"/>
          <w:sz w:val="24"/>
          <w:szCs w:val="24"/>
        </w:rPr>
        <w:t>投资人收取的赎回费全额计入基金财产。上述未纳入基金财产的赎回费用于支付登记费和其他必要的手续费。</w:t>
      </w:r>
    </w:p>
    <w:p w14:paraId="08537794"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051F19FF" w14:textId="77777777" w:rsidR="00D51FDF" w:rsidRDefault="007F75F6">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lastRenderedPageBreak/>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费率。</w:t>
      </w:r>
    </w:p>
    <w:p w14:paraId="15350C14" w14:textId="77777777" w:rsidR="00D51FDF" w:rsidRDefault="00D51FDF">
      <w:pPr>
        <w:snapToGrid w:val="0"/>
        <w:spacing w:line="360" w:lineRule="auto"/>
        <w:ind w:firstLineChars="200" w:firstLine="480"/>
        <w:rPr>
          <w:rFonts w:asciiTheme="minorEastAsia" w:hAnsiTheme="minorEastAsia" w:cs="Times New Roman"/>
          <w:sz w:val="24"/>
          <w:szCs w:val="24"/>
        </w:rPr>
      </w:pPr>
    </w:p>
    <w:p w14:paraId="2F1D16D6" w14:textId="77777777" w:rsidR="00D51FDF" w:rsidRDefault="007F75F6">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0A01D2BB"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1、A类基金份额</w:t>
      </w:r>
      <w:r>
        <w:rPr>
          <w:rFonts w:asciiTheme="minorEastAsia" w:hAnsiTheme="minorEastAsia" w:cs="Arial" w:hint="eastAsia"/>
          <w:sz w:val="24"/>
          <w:szCs w:val="24"/>
        </w:rPr>
        <w:t>申购份额的计算方式：</w:t>
      </w:r>
    </w:p>
    <w:p w14:paraId="02FE1240"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1）当申购费</w:t>
      </w:r>
      <w:r>
        <w:rPr>
          <w:rFonts w:asciiTheme="minorEastAsia" w:hAnsiTheme="minorEastAsia" w:cs="Arial" w:hint="eastAsia"/>
          <w:sz w:val="24"/>
          <w:szCs w:val="24"/>
        </w:rPr>
        <w:t>用适用比例费率时，申购份额的计算公式如下：</w:t>
      </w:r>
    </w:p>
    <w:p w14:paraId="680ECB35"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=申购金额/（1+申购费率）</w:t>
      </w:r>
    </w:p>
    <w:p w14:paraId="1A96A5AC"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=申购金额－净申购金额</w:t>
      </w:r>
    </w:p>
    <w:p w14:paraId="205E73CE"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 xml:space="preserve">=净申购金额/T </w:t>
      </w:r>
      <w:r>
        <w:rPr>
          <w:rFonts w:asciiTheme="minorEastAsia" w:hAnsiTheme="minorEastAsia" w:cs="Arial" w:hint="eastAsia"/>
          <w:sz w:val="24"/>
          <w:szCs w:val="24"/>
        </w:rPr>
        <w:t>日</w:t>
      </w:r>
      <w:r>
        <w:rPr>
          <w:rFonts w:asciiTheme="minorEastAsia" w:hAnsiTheme="minorEastAsia" w:cs="Arial"/>
          <w:sz w:val="24"/>
          <w:szCs w:val="24"/>
        </w:rPr>
        <w:t>A类</w:t>
      </w:r>
      <w:r>
        <w:rPr>
          <w:rFonts w:asciiTheme="minorEastAsia" w:hAnsiTheme="minorEastAsia" w:cs="Arial" w:hint="eastAsia"/>
          <w:sz w:val="24"/>
          <w:szCs w:val="24"/>
        </w:rPr>
        <w:t>基金份额净值</w:t>
      </w:r>
    </w:p>
    <w:p w14:paraId="628D61C7"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2）当申购费用为固定金额时，申购份额的计算方法如下：</w:t>
      </w:r>
    </w:p>
    <w:p w14:paraId="64ECF51E"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71847A54"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0255E114"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w:t>
      </w:r>
      <w:r>
        <w:rPr>
          <w:rFonts w:asciiTheme="minorEastAsia" w:hAnsiTheme="minorEastAsia" w:cs="Arial"/>
          <w:sz w:val="24"/>
          <w:szCs w:val="24"/>
        </w:rPr>
        <w:t>/T日A类</w:t>
      </w:r>
      <w:r>
        <w:rPr>
          <w:rFonts w:asciiTheme="minorEastAsia" w:hAnsiTheme="minorEastAsia" w:cs="Arial" w:hint="eastAsia"/>
          <w:sz w:val="24"/>
          <w:szCs w:val="24"/>
        </w:rPr>
        <w:t>基金份额净值</w:t>
      </w:r>
    </w:p>
    <w:p w14:paraId="33A879C8"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6154CC5E"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 </w:t>
      </w:r>
      <w:r>
        <w:rPr>
          <w:rFonts w:asciiTheme="minorEastAsia" w:hAnsiTheme="minorEastAsia" w:cs="Arial" w:hint="eastAsia"/>
          <w:sz w:val="24"/>
          <w:szCs w:val="24"/>
        </w:rPr>
        <w:t>元申购本基金</w:t>
      </w:r>
      <w:r>
        <w:rPr>
          <w:rFonts w:asciiTheme="minorEastAsia" w:hAnsiTheme="minorEastAsia" w:cs="Arial"/>
          <w:sz w:val="24"/>
          <w:szCs w:val="24"/>
        </w:rPr>
        <w:t>A类基金份额，且该申购申请被全额确认，对应的申购费率为1.0%，假定申购当日A类</w:t>
      </w:r>
      <w:r>
        <w:rPr>
          <w:rFonts w:asciiTheme="minorEastAsia" w:hAnsiTheme="minorEastAsia" w:cs="Arial" w:hint="eastAsia"/>
          <w:sz w:val="24"/>
          <w:szCs w:val="24"/>
        </w:rPr>
        <w:t>基金份额净值为</w:t>
      </w:r>
      <w:r>
        <w:rPr>
          <w:rFonts w:asciiTheme="minorEastAsia" w:hAnsiTheme="minorEastAsia" w:cs="Arial"/>
          <w:sz w:val="24"/>
          <w:szCs w:val="24"/>
        </w:rPr>
        <w:t>1.0500元，则可得到的申购份额为：</w:t>
      </w:r>
    </w:p>
    <w:p w14:paraId="0D311369"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w:t>
      </w:r>
      <w:r>
        <w:rPr>
          <w:rFonts w:asciiTheme="minorEastAsia" w:hAnsiTheme="minorEastAsia" w:cs="Arial"/>
          <w:sz w:val="24"/>
          <w:szCs w:val="24"/>
        </w:rPr>
        <w:t>50,000/(1+1.0%)＝49504.95</w:t>
      </w:r>
      <w:r>
        <w:rPr>
          <w:rFonts w:asciiTheme="minorEastAsia" w:hAnsiTheme="minorEastAsia" w:cs="Arial" w:hint="eastAsia"/>
          <w:sz w:val="24"/>
          <w:szCs w:val="24"/>
        </w:rPr>
        <w:t>元</w:t>
      </w:r>
    </w:p>
    <w:p w14:paraId="2EC24DC8"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w:t>
      </w:r>
      <w:r>
        <w:rPr>
          <w:rFonts w:asciiTheme="minorEastAsia" w:hAnsiTheme="minorEastAsia" w:cs="Arial"/>
          <w:sz w:val="24"/>
          <w:szCs w:val="24"/>
        </w:rPr>
        <w:t>50,000－49504.95</w:t>
      </w:r>
      <w:r>
        <w:rPr>
          <w:rFonts w:asciiTheme="minorEastAsia" w:hAnsiTheme="minorEastAsia" w:cs="Arial" w:hint="eastAsia"/>
          <w:sz w:val="24"/>
          <w:szCs w:val="24"/>
        </w:rPr>
        <w:t>＝</w:t>
      </w:r>
      <w:r>
        <w:rPr>
          <w:rFonts w:asciiTheme="minorEastAsia" w:hAnsiTheme="minorEastAsia" w:cs="Arial"/>
          <w:sz w:val="24"/>
          <w:szCs w:val="24"/>
        </w:rPr>
        <w:t>495.05</w:t>
      </w:r>
      <w:r>
        <w:rPr>
          <w:rFonts w:asciiTheme="minorEastAsia" w:hAnsiTheme="minorEastAsia" w:cs="Arial" w:hint="eastAsia"/>
          <w:sz w:val="24"/>
          <w:szCs w:val="24"/>
        </w:rPr>
        <w:t>元</w:t>
      </w:r>
    </w:p>
    <w:p w14:paraId="6F2EB2B1"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49504.95/1.0500＝47147.57</w:t>
      </w:r>
      <w:r>
        <w:rPr>
          <w:rFonts w:asciiTheme="minorEastAsia" w:hAnsiTheme="minorEastAsia" w:cs="Arial" w:hint="eastAsia"/>
          <w:sz w:val="24"/>
          <w:szCs w:val="24"/>
        </w:rPr>
        <w:t>份</w:t>
      </w:r>
    </w:p>
    <w:p w14:paraId="6D8A239D"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w:t>
      </w:r>
      <w:r>
        <w:rPr>
          <w:rFonts w:asciiTheme="minorEastAsia" w:hAnsiTheme="minorEastAsia" w:cs="Arial"/>
          <w:kern w:val="0"/>
          <w:sz w:val="24"/>
          <w:szCs w:val="24"/>
        </w:rPr>
        <w:t xml:space="preserve">50,000 </w:t>
      </w:r>
      <w:r>
        <w:rPr>
          <w:rFonts w:asciiTheme="minorEastAsia" w:hAnsiTheme="minorEastAsia" w:cs="Arial" w:hint="eastAsia"/>
          <w:kern w:val="0"/>
          <w:sz w:val="24"/>
          <w:szCs w:val="24"/>
        </w:rPr>
        <w:t>元申购本基金</w:t>
      </w:r>
      <w:r>
        <w:rPr>
          <w:rFonts w:asciiTheme="minorEastAsia" w:hAnsiTheme="minorEastAsia" w:cs="Arial"/>
          <w:kern w:val="0"/>
          <w:sz w:val="24"/>
          <w:szCs w:val="24"/>
        </w:rPr>
        <w:t>A类基金份额，</w:t>
      </w:r>
      <w:r>
        <w:rPr>
          <w:rFonts w:asciiTheme="minorEastAsia" w:hAnsiTheme="minorEastAsia" w:cs="Arial" w:hint="eastAsia"/>
          <w:kern w:val="0"/>
          <w:sz w:val="24"/>
          <w:szCs w:val="24"/>
        </w:rPr>
        <w:t>对应的申购费率为</w:t>
      </w:r>
      <w:r>
        <w:rPr>
          <w:rFonts w:asciiTheme="minorEastAsia" w:hAnsiTheme="minorEastAsia" w:cs="Arial"/>
          <w:kern w:val="0"/>
          <w:sz w:val="24"/>
          <w:szCs w:val="24"/>
        </w:rPr>
        <w:t>1.00%，</w:t>
      </w:r>
      <w:r>
        <w:rPr>
          <w:rFonts w:asciiTheme="minorEastAsia" w:hAnsiTheme="minorEastAsia" w:cs="Arial" w:hint="eastAsia"/>
          <w:kern w:val="0"/>
          <w:sz w:val="24"/>
          <w:szCs w:val="24"/>
        </w:rPr>
        <w:t>假定申购当日</w:t>
      </w:r>
      <w:r>
        <w:rPr>
          <w:rFonts w:asciiTheme="minorEastAsia" w:hAnsiTheme="minorEastAsia" w:cs="Arial"/>
          <w:kern w:val="0"/>
          <w:sz w:val="24"/>
          <w:szCs w:val="24"/>
        </w:rPr>
        <w:t>A类基金份额净值为1.0500元，可得到47147.57</w:t>
      </w:r>
      <w:r>
        <w:rPr>
          <w:rFonts w:asciiTheme="minorEastAsia" w:hAnsiTheme="minorEastAsia" w:cs="Arial" w:hint="eastAsia"/>
          <w:kern w:val="0"/>
          <w:sz w:val="24"/>
          <w:szCs w:val="24"/>
        </w:rPr>
        <w:t>份</w:t>
      </w:r>
      <w:r>
        <w:rPr>
          <w:rFonts w:asciiTheme="minorEastAsia" w:hAnsiTheme="minorEastAsia" w:cs="Arial"/>
          <w:kern w:val="0"/>
          <w:sz w:val="24"/>
          <w:szCs w:val="24"/>
        </w:rPr>
        <w:t>A类</w:t>
      </w:r>
      <w:r>
        <w:rPr>
          <w:rFonts w:asciiTheme="minorEastAsia" w:hAnsiTheme="minorEastAsia" w:cs="Arial" w:hint="eastAsia"/>
          <w:kern w:val="0"/>
          <w:sz w:val="24"/>
          <w:szCs w:val="24"/>
        </w:rPr>
        <w:t>基金份额。</w:t>
      </w:r>
    </w:p>
    <w:p w14:paraId="67852CDA"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2、C类基金份额申购份额的计算方式：</w:t>
      </w:r>
    </w:p>
    <w:p w14:paraId="7B1699E8"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w:t>
      </w:r>
      <w:r>
        <w:rPr>
          <w:rFonts w:asciiTheme="minorEastAsia" w:hAnsiTheme="minorEastAsia" w:cs="Arial"/>
          <w:sz w:val="24"/>
          <w:szCs w:val="24"/>
        </w:rPr>
        <w:t>/T日C类基金份额净值</w:t>
      </w:r>
    </w:p>
    <w:p w14:paraId="2D1B5D02"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0DCBD5CB"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C类基金份额，且该申购申请</w:t>
      </w:r>
      <w:r>
        <w:rPr>
          <w:rFonts w:asciiTheme="minorEastAsia" w:hAnsiTheme="minorEastAsia" w:cs="Arial"/>
          <w:sz w:val="24"/>
          <w:szCs w:val="24"/>
        </w:rPr>
        <w:lastRenderedPageBreak/>
        <w:t>被全额确认，假定申购当日C类基金份额净值为1.2300元，则可得到的申购份额为：</w:t>
      </w:r>
    </w:p>
    <w:p w14:paraId="5FD58BD6"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5,000,000/1.2300=4,065,040.65</w:t>
      </w:r>
      <w:r>
        <w:rPr>
          <w:rFonts w:asciiTheme="minorEastAsia" w:hAnsiTheme="minorEastAsia" w:cs="Arial" w:hint="eastAsia"/>
          <w:sz w:val="24"/>
          <w:szCs w:val="24"/>
        </w:rPr>
        <w:t>份</w:t>
      </w:r>
    </w:p>
    <w:p w14:paraId="1E626856"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w:t>
      </w:r>
      <w:r>
        <w:rPr>
          <w:rFonts w:asciiTheme="minorEastAsia" w:hAnsiTheme="minorEastAsia" w:cs="Arial"/>
          <w:sz w:val="24"/>
          <w:szCs w:val="24"/>
        </w:rPr>
        <w:t xml:space="preserve">5,000,000 </w:t>
      </w:r>
      <w:r>
        <w:rPr>
          <w:rFonts w:asciiTheme="minorEastAsia" w:hAnsiTheme="minorEastAsia" w:cs="Arial" w:hint="eastAsia"/>
          <w:sz w:val="24"/>
          <w:szCs w:val="24"/>
        </w:rPr>
        <w:t>元申购本基金</w:t>
      </w:r>
      <w:r>
        <w:rPr>
          <w:rFonts w:asciiTheme="minorEastAsia" w:hAnsiTheme="minorEastAsia" w:cs="Arial"/>
          <w:sz w:val="24"/>
          <w:szCs w:val="24"/>
        </w:rPr>
        <w:t>C类基金份额，假定申购当日C类基金份额净值为1.2300元，可得到4,065,040.65</w:t>
      </w:r>
      <w:r>
        <w:rPr>
          <w:rFonts w:asciiTheme="minorEastAsia" w:hAnsiTheme="minorEastAsia" w:cs="Arial" w:hint="eastAsia"/>
          <w:sz w:val="24"/>
          <w:szCs w:val="24"/>
        </w:rPr>
        <w:t>份</w:t>
      </w:r>
      <w:r>
        <w:rPr>
          <w:rFonts w:asciiTheme="minorEastAsia" w:hAnsiTheme="minorEastAsia" w:cs="Arial"/>
          <w:sz w:val="24"/>
          <w:szCs w:val="24"/>
        </w:rPr>
        <w:t>C类基金份额。</w:t>
      </w:r>
    </w:p>
    <w:p w14:paraId="40496BAE"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5BB4D424"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433B526D"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55D60845"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0F0835C2"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w:t>
      </w:r>
      <w:r>
        <w:rPr>
          <w:rFonts w:asciiTheme="minorEastAsia" w:hAnsiTheme="minorEastAsia" w:cs="Arial"/>
          <w:sz w:val="24"/>
          <w:szCs w:val="24"/>
        </w:rPr>
        <w:t>2位，由此产生的收益或损失由基金财产承担。</w:t>
      </w:r>
    </w:p>
    <w:p w14:paraId="4902FC2A"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1</w:t>
      </w:r>
      <w:r>
        <w:rPr>
          <w:rFonts w:asciiTheme="minorEastAsia" w:hAnsiTheme="minorEastAsia" w:cs="Arial" w:hint="eastAsia"/>
          <w:sz w:val="24"/>
          <w:szCs w:val="24"/>
        </w:rPr>
        <w:t>：某投资者赎回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元，则可得到的赎回金额为：</w:t>
      </w:r>
    </w:p>
    <w:p w14:paraId="1290A2F0"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 xml:space="preserve">1.0680= 10,680.00 </w:t>
      </w:r>
      <w:r>
        <w:rPr>
          <w:rFonts w:asciiTheme="minorEastAsia" w:hAnsiTheme="minorEastAsia" w:cs="Arial" w:hint="eastAsia"/>
          <w:sz w:val="24"/>
          <w:szCs w:val="24"/>
        </w:rPr>
        <w:t>元</w:t>
      </w:r>
    </w:p>
    <w:p w14:paraId="51C79632"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70D9E12A"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71A002C3"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w:t>
      </w:r>
      <w:r>
        <w:rPr>
          <w:rFonts w:asciiTheme="minorEastAsia" w:hAnsiTheme="minorEastAsia" w:cs="Arial"/>
          <w:sz w:val="24"/>
          <w:szCs w:val="24"/>
        </w:rPr>
        <w:t>3个月</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 xml:space="preserve">1.0680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2296F272"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Pr>
          <w:rFonts w:asciiTheme="minorEastAsia" w:hAnsiTheme="minorEastAsia" w:cs="Arial"/>
          <w:sz w:val="24"/>
          <w:szCs w:val="24"/>
        </w:rPr>
        <w:t>2：某投资人赎回本基金10,000</w:t>
      </w:r>
      <w:r>
        <w:rPr>
          <w:rFonts w:asciiTheme="minorEastAsia" w:hAnsiTheme="minorEastAsia" w:cs="Arial" w:hint="eastAsia"/>
          <w:sz w:val="24"/>
          <w:szCs w:val="24"/>
        </w:rPr>
        <w:t>份</w:t>
      </w:r>
      <w:r>
        <w:rPr>
          <w:rFonts w:asciiTheme="minorEastAsia" w:hAnsiTheme="minorEastAsia" w:cs="Arial"/>
          <w:sz w:val="24"/>
          <w:szCs w:val="24"/>
        </w:rPr>
        <w:t>C类基金份额，持有时间为20日，对应的赎回费率为0.5%，假设赎回当日C类基金份额净值是1.0680元，则其可得到的赎回金额为：</w:t>
      </w:r>
    </w:p>
    <w:p w14:paraId="13DFBFC8"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=10,000×1.0680=10,680元</w:t>
      </w:r>
    </w:p>
    <w:p w14:paraId="09CD1042"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=10,680×0.5%=53.40元</w:t>
      </w:r>
    </w:p>
    <w:p w14:paraId="1AF57B16"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w:t>
      </w:r>
      <w:r>
        <w:rPr>
          <w:rFonts w:asciiTheme="minorEastAsia" w:hAnsiTheme="minorEastAsia" w:cs="Arial"/>
          <w:sz w:val="24"/>
          <w:szCs w:val="24"/>
        </w:rPr>
        <w:t>=10,680-53.40=10,626.60元</w:t>
      </w:r>
    </w:p>
    <w:p w14:paraId="567FBCEE"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w:t>
      </w:r>
      <w:r>
        <w:rPr>
          <w:rFonts w:asciiTheme="minorEastAsia" w:hAnsiTheme="minorEastAsia" w:cs="Arial"/>
          <w:sz w:val="24"/>
          <w:szCs w:val="24"/>
        </w:rPr>
        <w:t>10,000</w:t>
      </w:r>
      <w:r>
        <w:rPr>
          <w:rFonts w:asciiTheme="minorEastAsia" w:hAnsiTheme="minorEastAsia" w:cs="Arial" w:hint="eastAsia"/>
          <w:sz w:val="24"/>
          <w:szCs w:val="24"/>
        </w:rPr>
        <w:t>份</w:t>
      </w:r>
      <w:r>
        <w:rPr>
          <w:rFonts w:asciiTheme="minorEastAsia" w:hAnsiTheme="minorEastAsia" w:cs="Arial"/>
          <w:sz w:val="24"/>
          <w:szCs w:val="24"/>
        </w:rPr>
        <w:t>C类基金份额，持有期限为20日，假设赎回当日本基金C类基金份额净值是1.0680元，则其可得到的净赎回金额为10,626.60元。</w:t>
      </w:r>
    </w:p>
    <w:p w14:paraId="7D7FCA4D"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w:t>
      </w:r>
      <w:r>
        <w:rPr>
          <w:rFonts w:asciiTheme="minorEastAsia" w:hAnsiTheme="minorEastAsia" w:cs="Arial" w:hint="eastAsia"/>
          <w:bCs/>
          <w:sz w:val="24"/>
          <w:szCs w:val="24"/>
        </w:rPr>
        <w:lastRenderedPageBreak/>
        <w:t>类基金份额净值和基金份额累计净值。</w:t>
      </w:r>
      <w:r>
        <w:rPr>
          <w:rFonts w:asciiTheme="minorEastAsia" w:hAnsiTheme="minorEastAsia" w:cs="Times New Roman" w:hint="eastAsia"/>
          <w:sz w:val="24"/>
          <w:szCs w:val="24"/>
        </w:rPr>
        <w:t>本基金两类基金份额净值的计算，保留到小数点后</w:t>
      </w:r>
      <w:r>
        <w:rPr>
          <w:rFonts w:asciiTheme="minorEastAsia" w:hAnsiTheme="minorEastAsia" w:cs="Times New Roman"/>
          <w:sz w:val="24"/>
          <w:szCs w:val="24"/>
        </w:rPr>
        <w:t>4</w:t>
      </w:r>
      <w:r>
        <w:rPr>
          <w:rFonts w:asciiTheme="minorEastAsia" w:hAnsiTheme="minorEastAsia" w:cs="Times New Roman" w:hint="eastAsia"/>
          <w:sz w:val="24"/>
          <w:szCs w:val="24"/>
        </w:rPr>
        <w:t>位，小数点后第</w:t>
      </w:r>
      <w:r>
        <w:rPr>
          <w:rFonts w:asciiTheme="minorEastAsia" w:hAnsiTheme="minorEastAsia" w:cs="Times New Roman"/>
          <w:sz w:val="24"/>
          <w:szCs w:val="24"/>
        </w:rPr>
        <w:t>5</w:t>
      </w:r>
      <w:r>
        <w:rPr>
          <w:rFonts w:asciiTheme="minorEastAsia" w:hAnsiTheme="minorEastAsia" w:cs="Times New Roman" w:hint="eastAsia"/>
          <w:sz w:val="24"/>
          <w:szCs w:val="24"/>
        </w:rPr>
        <w:t>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日的各类基金份额净值在当天收市后计算，并在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2A80F5FE" w14:textId="77777777" w:rsidR="00D51FDF" w:rsidRDefault="00D51FDF">
      <w:pPr>
        <w:adjustRightInd w:val="0"/>
        <w:snapToGrid w:val="0"/>
        <w:spacing w:line="360" w:lineRule="auto"/>
        <w:ind w:firstLineChars="200" w:firstLine="480"/>
        <w:rPr>
          <w:rFonts w:asciiTheme="minorEastAsia" w:hAnsiTheme="minorEastAsia" w:cs="Times New Roman"/>
          <w:sz w:val="24"/>
          <w:szCs w:val="24"/>
        </w:rPr>
      </w:pPr>
    </w:p>
    <w:p w14:paraId="3069DB3B" w14:textId="77777777" w:rsidR="00D51FDF" w:rsidRDefault="007F75F6">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680C249F"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34E5DED3"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71A2102D"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71539225" w14:textId="77777777" w:rsidR="00D51FDF" w:rsidRDefault="00D51FDF">
      <w:pPr>
        <w:adjustRightInd w:val="0"/>
        <w:snapToGrid w:val="0"/>
        <w:spacing w:line="360" w:lineRule="auto"/>
        <w:ind w:firstLineChars="200" w:firstLine="480"/>
        <w:rPr>
          <w:rFonts w:asciiTheme="minorEastAsia" w:hAnsiTheme="minorEastAsia" w:cs="Arial"/>
          <w:sz w:val="24"/>
          <w:szCs w:val="24"/>
        </w:rPr>
      </w:pPr>
    </w:p>
    <w:p w14:paraId="2E1A82C3" w14:textId="77777777" w:rsidR="00D51FDF" w:rsidRDefault="007F75F6">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4A174D47" w14:textId="77777777" w:rsidR="00D51FDF" w:rsidRDefault="007F75F6">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7AFC7FD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、因不可抗力导致基金无法正常运作。</w:t>
      </w:r>
    </w:p>
    <w:p w14:paraId="43C1869E"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、发生基金合同规定的暂停基金资产估值情况时，基金管理人可暂停</w:t>
      </w:r>
      <w:r>
        <w:rPr>
          <w:rFonts w:asciiTheme="minorEastAsia" w:hAnsiTheme="minorEastAsia" w:hint="eastAsia"/>
          <w:bCs/>
          <w:sz w:val="24"/>
          <w:szCs w:val="24"/>
        </w:rPr>
        <w:t>接受</w:t>
      </w:r>
      <w:r>
        <w:rPr>
          <w:rFonts w:asciiTheme="minorEastAsia" w:hAnsiTheme="minorEastAsia" w:hint="eastAsia"/>
          <w:sz w:val="24"/>
          <w:szCs w:val="24"/>
        </w:rPr>
        <w:t>投资人的申购申请。当前一估值日基金资产净值50%以上的资产出现无可参考的活跃市场价格且采用估值技术</w:t>
      </w:r>
      <w:proofErr w:type="gramStart"/>
      <w:r>
        <w:rPr>
          <w:rFonts w:asciiTheme="minorEastAsia" w:hAnsiTheme="minorEastAsia" w:hint="eastAsia"/>
          <w:sz w:val="24"/>
          <w:szCs w:val="24"/>
        </w:rPr>
        <w:t>仍导致</w:t>
      </w:r>
      <w:proofErr w:type="gramEnd"/>
      <w:r>
        <w:rPr>
          <w:rFonts w:asciiTheme="minorEastAsia" w:hAnsiTheme="minorEastAsia" w:hint="eastAsia"/>
          <w:sz w:val="24"/>
          <w:szCs w:val="24"/>
        </w:rPr>
        <w:t>公允价值存在重大不确定性时，经与基金托管人协商确认后，基金管理人应当采取暂停接受基金申购申请的措施。</w:t>
      </w:r>
    </w:p>
    <w:p w14:paraId="72562CB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3、证券、期货交易所交易时间非正常停市，导致基金管理人无法计算当日基金资产净值。</w:t>
      </w:r>
    </w:p>
    <w:p w14:paraId="6EFD8593" w14:textId="77777777" w:rsidR="00D51FDF" w:rsidRDefault="007F75F6">
      <w:pPr>
        <w:spacing w:line="360" w:lineRule="auto"/>
        <w:ind w:firstLineChars="200" w:firstLine="480"/>
        <w:rPr>
          <w:rFonts w:asciiTheme="minorEastAsia" w:hAnsiTheme="minorEastAsia"/>
          <w:bCs/>
          <w:sz w:val="24"/>
          <w:szCs w:val="24"/>
        </w:rPr>
      </w:pPr>
      <w:bookmarkStart w:id="192" w:name="_Hlt70481650"/>
      <w:bookmarkEnd w:id="192"/>
      <w:r>
        <w:rPr>
          <w:rFonts w:asciiTheme="minorEastAsia" w:hAnsiTheme="minorEastAsia" w:hint="eastAsia"/>
          <w:bCs/>
          <w:sz w:val="24"/>
          <w:szCs w:val="24"/>
        </w:rPr>
        <w:t>4、基金管理人接受某笔或某些申购申请会损害现有基金份额持有人利益时。</w:t>
      </w:r>
    </w:p>
    <w:p w14:paraId="0EFA3B3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5、基金资产规模过大，使基金管理人无法找到合适的投资品种，或其他可能对基金业绩产生负面影响，或发生其他损害现有基金份额持有人利益的情形。</w:t>
      </w:r>
    </w:p>
    <w:p w14:paraId="30BF36C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6、基金管理人、基金托管人、销售机构或登记机构的技术故障等异常情况导致基金销售系统、基金注册登记系统或基金会计系统无法正常运行。</w:t>
      </w:r>
    </w:p>
    <w:p w14:paraId="32A4484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7、</w:t>
      </w:r>
      <w:r>
        <w:rPr>
          <w:rFonts w:asciiTheme="minorEastAsia" w:hAnsiTheme="minorEastAsia" w:hint="eastAsia"/>
          <w:sz w:val="24"/>
          <w:szCs w:val="24"/>
        </w:rPr>
        <w:t>基金管理人接受某笔或者某些申购申请有可能导致单一投资者持有本</w:t>
      </w:r>
      <w:proofErr w:type="gramStart"/>
      <w:r>
        <w:rPr>
          <w:rFonts w:asciiTheme="minorEastAsia" w:hAnsiTheme="minorEastAsia" w:hint="eastAsia"/>
          <w:sz w:val="24"/>
          <w:szCs w:val="24"/>
        </w:rPr>
        <w:t>基</w:t>
      </w:r>
      <w:r>
        <w:rPr>
          <w:rFonts w:asciiTheme="minorEastAsia" w:hAnsiTheme="minorEastAsia" w:hint="eastAsia"/>
          <w:sz w:val="24"/>
          <w:szCs w:val="24"/>
        </w:rPr>
        <w:lastRenderedPageBreak/>
        <w:t>金基金</w:t>
      </w:r>
      <w:proofErr w:type="gramEnd"/>
      <w:r>
        <w:rPr>
          <w:rFonts w:asciiTheme="minorEastAsia" w:hAnsiTheme="minorEastAsia" w:hint="eastAsia"/>
          <w:sz w:val="24"/>
          <w:szCs w:val="24"/>
        </w:rPr>
        <w:t>份额的比例达到或者超过本基金总份额的</w:t>
      </w:r>
      <w:r>
        <w:rPr>
          <w:rFonts w:asciiTheme="minorEastAsia" w:hAnsiTheme="minorEastAsia"/>
          <w:sz w:val="24"/>
          <w:szCs w:val="24"/>
        </w:rPr>
        <w:t xml:space="preserve"> 50%，或者变相规避前述 50%集中度的情形时。</w:t>
      </w:r>
    </w:p>
    <w:p w14:paraId="6376A90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8</w:t>
      </w:r>
      <w:r>
        <w:rPr>
          <w:rFonts w:asciiTheme="minorEastAsia" w:hAnsiTheme="minorEastAsia" w:hint="eastAsia"/>
          <w:bCs/>
          <w:sz w:val="24"/>
          <w:szCs w:val="24"/>
        </w:rPr>
        <w:t>、法律法规规定或中国证监会认定的其他情形。</w:t>
      </w:r>
    </w:p>
    <w:p w14:paraId="5A3F89C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发生上述第</w:t>
      </w:r>
      <w:r>
        <w:rPr>
          <w:rFonts w:asciiTheme="minorEastAsia" w:hAnsiTheme="minorEastAsia"/>
          <w:bCs/>
          <w:sz w:val="24"/>
          <w:szCs w:val="24"/>
        </w:rPr>
        <w:t>4</w:t>
      </w:r>
      <w:r>
        <w:rPr>
          <w:rFonts w:asciiTheme="minorEastAsia" w:hAnsiTheme="minorEastAsia" w:hint="eastAsia"/>
          <w:bCs/>
          <w:sz w:val="24"/>
          <w:szCs w:val="24"/>
        </w:rPr>
        <w:t>项情形之外的情形之一</w:t>
      </w:r>
      <w:proofErr w:type="gramStart"/>
      <w:r>
        <w:rPr>
          <w:rFonts w:asciiTheme="minorEastAsia" w:hAnsiTheme="minorEastAsia" w:hint="eastAsia"/>
          <w:bCs/>
          <w:sz w:val="24"/>
          <w:szCs w:val="24"/>
        </w:rPr>
        <w:t>且基金</w:t>
      </w:r>
      <w:proofErr w:type="gramEnd"/>
      <w:r>
        <w:rPr>
          <w:rFonts w:asciiTheme="minorEastAsia" w:hAnsiTheme="minorEastAsia" w:hint="eastAsia"/>
          <w:bCs/>
          <w:sz w:val="24"/>
          <w:szCs w:val="24"/>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5296348B" w14:textId="77777777" w:rsidR="00D51FDF" w:rsidRDefault="00D51FDF">
      <w:pPr>
        <w:spacing w:line="360" w:lineRule="auto"/>
        <w:ind w:firstLineChars="200" w:firstLine="480"/>
        <w:rPr>
          <w:rFonts w:asciiTheme="minorEastAsia" w:hAnsiTheme="minorEastAsia"/>
          <w:bCs/>
          <w:sz w:val="24"/>
          <w:szCs w:val="24"/>
        </w:rPr>
      </w:pPr>
    </w:p>
    <w:p w14:paraId="676AA5BD" w14:textId="77777777" w:rsidR="00D51FDF" w:rsidRDefault="007F75F6">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01653D6C" w14:textId="77777777" w:rsidR="00D51FDF" w:rsidRDefault="007F75F6">
      <w:pPr>
        <w:spacing w:line="360" w:lineRule="auto"/>
        <w:ind w:firstLineChars="200" w:firstLine="480"/>
        <w:rPr>
          <w:rFonts w:asciiTheme="minorEastAsia" w:hAnsiTheme="minorEastAsia"/>
          <w:bCs/>
          <w:sz w:val="24"/>
          <w:szCs w:val="24"/>
        </w:rPr>
      </w:pPr>
      <w:bookmarkStart w:id="193" w:name="_Toc416264545"/>
      <w:bookmarkStart w:id="194" w:name="_Toc20976"/>
      <w:bookmarkStart w:id="195" w:name="_Toc139991740"/>
      <w:bookmarkStart w:id="196" w:name="_Toc29408"/>
      <w:bookmarkStart w:id="197" w:name="_Toc352229756"/>
      <w:bookmarkStart w:id="198" w:name="_Toc32092"/>
      <w:bookmarkStart w:id="199" w:name="_Toc123051456"/>
      <w:bookmarkStart w:id="200" w:name="_Toc17920"/>
      <w:bookmarkStart w:id="201" w:name="_Toc141703890"/>
      <w:bookmarkStart w:id="202" w:name="_Toc79392622"/>
      <w:bookmarkStart w:id="203" w:name="_Toc17198"/>
      <w:bookmarkStart w:id="204" w:name="_Toc8791"/>
      <w:bookmarkStart w:id="205" w:name="_Toc123112238"/>
      <w:bookmarkStart w:id="206" w:name="_Toc739"/>
      <w:bookmarkStart w:id="207" w:name="_Toc5170"/>
      <w:bookmarkStart w:id="208" w:name="_Toc123102457"/>
      <w:bookmarkStart w:id="209" w:name="_Toc98560356"/>
      <w:bookmarkStart w:id="210" w:name="_Toc3329"/>
      <w:bookmarkStart w:id="211" w:name="_Toc32584"/>
      <w:bookmarkStart w:id="212" w:name="_Toc48649708"/>
      <w:bookmarkStart w:id="213" w:name="_Toc2123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asciiTheme="minorEastAsia" w:hAnsiTheme="minorEastAsia" w:hint="eastAsia"/>
          <w:bCs/>
          <w:sz w:val="24"/>
          <w:szCs w:val="24"/>
        </w:rPr>
        <w:t>发生下列情形时，基金管理人可暂停接受投资人的赎回申请或延缓支付赎回款项：</w:t>
      </w:r>
    </w:p>
    <w:p w14:paraId="23F2121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、因不可抗力导致基金管理人不能支付赎回款项。</w:t>
      </w:r>
    </w:p>
    <w:p w14:paraId="18AC6BC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、发生基金合同规定的暂停基金资产估值情况时，基金管理人可暂停</w:t>
      </w:r>
      <w:r>
        <w:rPr>
          <w:rFonts w:asciiTheme="minorEastAsia" w:hAnsiTheme="minorEastAsia" w:hint="eastAsia"/>
          <w:bCs/>
          <w:sz w:val="24"/>
          <w:szCs w:val="24"/>
        </w:rPr>
        <w:t>接受</w:t>
      </w:r>
      <w:r>
        <w:rPr>
          <w:rFonts w:asciiTheme="minorEastAsia" w:hAnsiTheme="minorEastAsia" w:hint="eastAsia"/>
          <w:sz w:val="24"/>
          <w:szCs w:val="24"/>
        </w:rPr>
        <w:t>投资人的赎回申请或延缓支付赎回款项。当前一估值日基金资产净值</w:t>
      </w:r>
      <w:r>
        <w:rPr>
          <w:rFonts w:asciiTheme="minorEastAsia" w:hAnsiTheme="minorEastAsia"/>
          <w:sz w:val="24"/>
          <w:szCs w:val="24"/>
        </w:rPr>
        <w:t xml:space="preserve"> </w:t>
      </w:r>
      <w:r>
        <w:rPr>
          <w:rFonts w:asciiTheme="minorEastAsia" w:hAnsiTheme="minorEastAsia" w:hint="eastAsia"/>
          <w:sz w:val="24"/>
          <w:szCs w:val="24"/>
        </w:rPr>
        <w:t>50%以上的资产出现无可参考的活跃市场价格且采用估值技术</w:t>
      </w:r>
      <w:proofErr w:type="gramStart"/>
      <w:r>
        <w:rPr>
          <w:rFonts w:asciiTheme="minorEastAsia" w:hAnsiTheme="minorEastAsia" w:hint="eastAsia"/>
          <w:sz w:val="24"/>
          <w:szCs w:val="24"/>
        </w:rPr>
        <w:t>仍导致</w:t>
      </w:r>
      <w:proofErr w:type="gramEnd"/>
      <w:r>
        <w:rPr>
          <w:rFonts w:asciiTheme="minorEastAsia" w:hAnsiTheme="minorEastAsia" w:hint="eastAsia"/>
          <w:sz w:val="24"/>
          <w:szCs w:val="24"/>
        </w:rPr>
        <w:t>公允价值存在重大不确定性时，经与基金托管人协商确认后，基金管理人应当采取延缓支付赎回款项或暂停接受基金赎回申请的措施。</w:t>
      </w:r>
    </w:p>
    <w:p w14:paraId="29B050F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3、证券、期货交易所交易时间非正常停市，导致基金管理人无法计算当日基金资产</w:t>
      </w:r>
      <w:bookmarkStart w:id="214" w:name="_Hlt152500890"/>
      <w:r>
        <w:rPr>
          <w:rFonts w:asciiTheme="minorEastAsia" w:hAnsiTheme="minorEastAsia" w:hint="eastAsia"/>
          <w:bCs/>
          <w:sz w:val="24"/>
          <w:szCs w:val="24"/>
        </w:rPr>
        <w:t>净值。</w:t>
      </w:r>
    </w:p>
    <w:p w14:paraId="6C1F838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4、连续两个或两个以上开放日发生巨额赎回。</w:t>
      </w:r>
    </w:p>
    <w:bookmarkEnd w:id="214"/>
    <w:p w14:paraId="100618D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5、继续接受某笔或某些赎回申请将损害现有基金份额持有人利益的情形时。</w:t>
      </w:r>
    </w:p>
    <w:p w14:paraId="54F4C2B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6、法律法规规定或中国证监会认定的其他情形。</w:t>
      </w:r>
    </w:p>
    <w:p w14:paraId="4CDE6D3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发生上述情形之一</w:t>
      </w:r>
      <w:proofErr w:type="gramStart"/>
      <w:r>
        <w:rPr>
          <w:rFonts w:asciiTheme="minorEastAsia" w:hAnsiTheme="minorEastAsia" w:hint="eastAsia"/>
          <w:bCs/>
          <w:sz w:val="24"/>
          <w:szCs w:val="24"/>
        </w:rPr>
        <w:t>且基金</w:t>
      </w:r>
      <w:proofErr w:type="gramEnd"/>
      <w:r>
        <w:rPr>
          <w:rFonts w:asciiTheme="minorEastAsia" w:hAnsiTheme="minorEastAsia" w:hint="eastAsia"/>
          <w:bCs/>
          <w:sz w:val="24"/>
          <w:szCs w:val="24"/>
        </w:rPr>
        <w:t>管理人决定拒绝接受或暂停接受基金份额持有人的赎回申请时，基金管理人应在当日报中国证监会备案，已确认的赎回申请，基金管理人应足额支付；如暂时不能足额支付，未支付部分可延期支付。若出现上述第</w:t>
      </w:r>
      <w:r>
        <w:rPr>
          <w:rFonts w:asciiTheme="minorEastAsia" w:hAnsiTheme="minorEastAsia"/>
          <w:bCs/>
          <w:sz w:val="24"/>
          <w:szCs w:val="24"/>
        </w:rPr>
        <w:t>4</w:t>
      </w:r>
      <w:r>
        <w:rPr>
          <w:rFonts w:asciiTheme="minorEastAsia" w:hAnsiTheme="minorEastAsia" w:hint="eastAsia"/>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C110AE3" w14:textId="77777777" w:rsidR="00D51FDF" w:rsidRDefault="00D51FDF">
      <w:pPr>
        <w:spacing w:line="360" w:lineRule="auto"/>
        <w:ind w:firstLineChars="200" w:firstLine="480"/>
        <w:rPr>
          <w:rFonts w:asciiTheme="minorEastAsia" w:hAnsiTheme="minorEastAsia"/>
          <w:bCs/>
          <w:sz w:val="24"/>
          <w:szCs w:val="24"/>
        </w:rPr>
      </w:pPr>
    </w:p>
    <w:p w14:paraId="04DB5E84" w14:textId="77777777" w:rsidR="00D51FDF" w:rsidRDefault="007F75F6">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lastRenderedPageBreak/>
        <w:t>十一、巨额赎回的情形及处理方式</w:t>
      </w:r>
    </w:p>
    <w:p w14:paraId="6EC59C5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、巨额赎回的认定</w:t>
      </w:r>
    </w:p>
    <w:p w14:paraId="2E0B536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hAnsiTheme="minorEastAsia"/>
          <w:bCs/>
          <w:sz w:val="24"/>
          <w:szCs w:val="24"/>
        </w:rPr>
        <w:t>10%</w:t>
      </w:r>
      <w:r>
        <w:rPr>
          <w:rFonts w:asciiTheme="minorEastAsia" w:hAnsiTheme="minorEastAsia" w:hint="eastAsia"/>
          <w:bCs/>
          <w:sz w:val="24"/>
          <w:szCs w:val="24"/>
        </w:rPr>
        <w:t>，即认为是发生了巨额赎回。</w:t>
      </w:r>
    </w:p>
    <w:p w14:paraId="038C61D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、巨额赎回的处理方式</w:t>
      </w:r>
    </w:p>
    <w:p w14:paraId="3B91C4B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当基金出现巨额赎回时，基金管理人可以根据基金当时的资产组合状况决定全额赎回或部分延期赎回。</w:t>
      </w:r>
    </w:p>
    <w:p w14:paraId="6233FA3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（1）全额赎回：当基金管理人认为有能力支付投资人的全部赎回申请时，按正常赎回程序执行。</w:t>
      </w:r>
    </w:p>
    <w:p w14:paraId="7F120A9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2</w:t>
      </w:r>
      <w:r>
        <w:rPr>
          <w:rFonts w:asciiTheme="minorEastAsia" w:hAnsiTheme="minorEastAsia" w:hint="eastAsia"/>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hAnsiTheme="minorEastAsia"/>
          <w:bCs/>
          <w:sz w:val="24"/>
          <w:szCs w:val="24"/>
        </w:rPr>
        <w:t>10%</w:t>
      </w:r>
      <w:r>
        <w:rPr>
          <w:rFonts w:asciiTheme="minorEastAsia" w:hAnsiTheme="minorEastAsia" w:hint="eastAsia"/>
          <w:bCs/>
          <w:sz w:val="24"/>
          <w:szCs w:val="24"/>
        </w:rPr>
        <w:t>的前提下，可对其余赎回申请延期办理。</w:t>
      </w:r>
    </w:p>
    <w:p w14:paraId="722DD03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 xml:space="preserve">若发生巨额赎回，对于单个基金份额持有人当日赎回申请超过上一开放日基金总份额 </w:t>
      </w:r>
      <w:r>
        <w:rPr>
          <w:rFonts w:asciiTheme="minorEastAsia" w:hAnsiTheme="minorEastAsia"/>
          <w:bCs/>
          <w:sz w:val="24"/>
          <w:szCs w:val="24"/>
        </w:rPr>
        <w:t>30</w:t>
      </w:r>
      <w:r>
        <w:rPr>
          <w:rFonts w:asciiTheme="minorEastAsia" w:hAnsiTheme="minorEastAsia" w:hint="eastAsia"/>
          <w:bCs/>
          <w:sz w:val="24"/>
          <w:szCs w:val="24"/>
        </w:rPr>
        <w:t>%以上的部分，基金管理人有权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hAnsiTheme="minorEastAsia" w:hint="eastAsia"/>
          <w:bCs/>
          <w:sz w:val="24"/>
          <w:szCs w:val="24"/>
        </w:rPr>
        <w:t>并以下</w:t>
      </w:r>
      <w:proofErr w:type="gramEnd"/>
      <w:r>
        <w:rPr>
          <w:rFonts w:asciiTheme="minorEastAsia" w:hAnsiTheme="minorEastAsia" w:hint="eastAsia"/>
          <w:bCs/>
          <w:sz w:val="24"/>
          <w:szCs w:val="24"/>
        </w:rPr>
        <w:t>一</w:t>
      </w:r>
      <w:proofErr w:type="gramStart"/>
      <w:r>
        <w:rPr>
          <w:rFonts w:asciiTheme="minorEastAsia" w:hAnsiTheme="minorEastAsia" w:hint="eastAsia"/>
          <w:bCs/>
          <w:sz w:val="24"/>
          <w:szCs w:val="24"/>
        </w:rPr>
        <w:t>开放日某一类</w:t>
      </w:r>
      <w:proofErr w:type="gramEnd"/>
      <w:r>
        <w:rPr>
          <w:rFonts w:asciiTheme="minorEastAsia" w:hAnsiTheme="minorEastAsia" w:hint="eastAsia"/>
          <w:bCs/>
          <w:sz w:val="24"/>
          <w:szCs w:val="24"/>
        </w:rPr>
        <w:t>别的基金份额净值为基础计算赎回金额，以此类推，直到全部赎回为止。如投资人在提交赎回申请时未作明确选择，投资人未能赎回部分作自动延期赎回处理。部分延期赎回不受单笔赎回最低份额的限制。</w:t>
      </w:r>
    </w:p>
    <w:p w14:paraId="6299F48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3</w:t>
      </w:r>
      <w:r>
        <w:rPr>
          <w:rFonts w:asciiTheme="minorEastAsia" w:hAnsiTheme="minorEastAsia" w:hint="eastAsia"/>
          <w:bCs/>
          <w:sz w:val="24"/>
          <w:szCs w:val="24"/>
        </w:rPr>
        <w:t>）暂停赎回：连续2个开放日以上（含本数）发生巨额赎回，如基金管理人认为有必要，可暂停接受基金的赎回申请；已经接受的赎回申请可以延缓支付赎回款项，但不得超过</w:t>
      </w:r>
      <w:r>
        <w:rPr>
          <w:rFonts w:asciiTheme="minorEastAsia" w:hAnsiTheme="minorEastAsia"/>
          <w:bCs/>
          <w:sz w:val="24"/>
          <w:szCs w:val="24"/>
        </w:rPr>
        <w:t>20</w:t>
      </w:r>
      <w:r>
        <w:rPr>
          <w:rFonts w:asciiTheme="minorEastAsia" w:hAnsiTheme="minorEastAsia" w:hint="eastAsia"/>
          <w:bCs/>
          <w:sz w:val="24"/>
          <w:szCs w:val="24"/>
        </w:rPr>
        <w:t>个工作日，并应当在指定媒介上进行公告。</w:t>
      </w:r>
    </w:p>
    <w:p w14:paraId="4747709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w:t>
      </w:r>
      <w:r>
        <w:rPr>
          <w:rFonts w:asciiTheme="minorEastAsia" w:hAnsiTheme="minorEastAsia" w:hint="eastAsia"/>
          <w:bCs/>
          <w:sz w:val="24"/>
          <w:szCs w:val="24"/>
        </w:rPr>
        <w:t>、巨额赎回的公告</w:t>
      </w:r>
    </w:p>
    <w:p w14:paraId="1AB7CAAB" w14:textId="77777777" w:rsidR="00D51FDF" w:rsidRDefault="007F75F6">
      <w:pPr>
        <w:widowControl/>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lastRenderedPageBreak/>
        <w:t>当发生上述巨额赎回并延期办理时，基金管理人应当通过邮寄、传真或者招募说明书规定的其他方式在</w:t>
      </w:r>
      <w:r>
        <w:rPr>
          <w:rFonts w:asciiTheme="minorEastAsia" w:hAnsiTheme="minorEastAsia"/>
          <w:bCs/>
          <w:sz w:val="24"/>
          <w:szCs w:val="24"/>
        </w:rPr>
        <w:t>3</w:t>
      </w:r>
      <w:r>
        <w:rPr>
          <w:rFonts w:asciiTheme="minorEastAsia" w:hAnsiTheme="minorEastAsia" w:hint="eastAsia"/>
          <w:bCs/>
          <w:sz w:val="24"/>
          <w:szCs w:val="24"/>
        </w:rPr>
        <w:t>个交易日内通知基金份额持有人，说明有关处理方法，并在2日内在指定媒介上刊登公告。</w:t>
      </w:r>
    </w:p>
    <w:p w14:paraId="17E6CC3A" w14:textId="77777777" w:rsidR="00D51FDF" w:rsidRDefault="00D51FDF">
      <w:pPr>
        <w:widowControl/>
        <w:spacing w:line="360" w:lineRule="auto"/>
        <w:ind w:firstLineChars="200" w:firstLine="480"/>
        <w:jc w:val="left"/>
        <w:rPr>
          <w:rFonts w:asciiTheme="minorEastAsia" w:hAnsiTheme="minorEastAsia"/>
          <w:bCs/>
          <w:sz w:val="24"/>
          <w:szCs w:val="24"/>
        </w:rPr>
      </w:pPr>
    </w:p>
    <w:p w14:paraId="0C359933" w14:textId="77777777" w:rsidR="00D51FDF" w:rsidRDefault="007F75F6">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7F4301F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、发生上述暂停申购或赎回情况的，基金管理人应在规定期限内在指定媒介上刊登暂停公告。</w:t>
      </w:r>
    </w:p>
    <w:p w14:paraId="48AFECD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、基金管理人可以根据暂停申购或赎回的时间，依照《信息披露办法》的有关规定，最迟于重新开放日在指定</w:t>
      </w:r>
      <w:r>
        <w:rPr>
          <w:rFonts w:asciiTheme="minorEastAsia" w:hAnsiTheme="minorEastAsia" w:hint="eastAsia"/>
          <w:bCs/>
          <w:sz w:val="24"/>
          <w:szCs w:val="24"/>
        </w:rPr>
        <w:t>媒介</w:t>
      </w:r>
      <w:r>
        <w:rPr>
          <w:rFonts w:asciiTheme="minorEastAsia" w:hAnsiTheme="minorEastAsia" w:hint="eastAsia"/>
          <w:sz w:val="24"/>
          <w:szCs w:val="24"/>
        </w:rPr>
        <w:t>上刊登重新开放申购或赎回的公告；也可以根据实际情况在暂停公告中明确重新开放申购或赎回的时间，届时不再另行发布重新开放的公告。</w:t>
      </w:r>
    </w:p>
    <w:p w14:paraId="201D313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3、上述暂停申购或赎回情况消除的，基金管理人应于重新开放日公布最近1个工作日两类基金份额净值。</w:t>
      </w:r>
    </w:p>
    <w:p w14:paraId="1AF51D23" w14:textId="77777777" w:rsidR="00D51FDF" w:rsidRDefault="00D51FDF">
      <w:pPr>
        <w:spacing w:line="360" w:lineRule="auto"/>
        <w:ind w:firstLineChars="200" w:firstLine="480"/>
        <w:rPr>
          <w:rFonts w:asciiTheme="minorEastAsia" w:hAnsiTheme="minorEastAsia"/>
          <w:bCs/>
          <w:sz w:val="24"/>
          <w:szCs w:val="24"/>
        </w:rPr>
      </w:pPr>
    </w:p>
    <w:p w14:paraId="486B969D" w14:textId="77777777" w:rsidR="00D51FDF" w:rsidRDefault="007F75F6">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627DE923" w14:textId="77777777" w:rsidR="00D51FDF" w:rsidRDefault="007F75F6">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365D755" w14:textId="77777777" w:rsidR="00D51FDF" w:rsidRDefault="00D51FDF">
      <w:pPr>
        <w:widowControl/>
        <w:spacing w:line="360" w:lineRule="auto"/>
        <w:ind w:firstLineChars="200" w:firstLine="480"/>
        <w:jc w:val="left"/>
        <w:rPr>
          <w:rFonts w:asciiTheme="minorEastAsia" w:hAnsiTheme="minorEastAsia" w:cs="Arial"/>
          <w:sz w:val="24"/>
          <w:szCs w:val="24"/>
        </w:rPr>
      </w:pPr>
    </w:p>
    <w:p w14:paraId="450295C5" w14:textId="77777777" w:rsidR="00D51FDF" w:rsidRDefault="007F75F6">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0F3881C2" w14:textId="77777777" w:rsidR="00D51FDF" w:rsidRDefault="007F75F6">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5D6A521" w14:textId="77777777" w:rsidR="00D51FDF" w:rsidRDefault="00D51FDF">
      <w:pPr>
        <w:widowControl/>
        <w:spacing w:line="360" w:lineRule="auto"/>
        <w:ind w:firstLineChars="200" w:firstLine="480"/>
        <w:jc w:val="left"/>
        <w:rPr>
          <w:rFonts w:asciiTheme="minorEastAsia" w:hAnsiTheme="minorEastAsia" w:cs="Arial"/>
          <w:sz w:val="24"/>
          <w:szCs w:val="24"/>
        </w:rPr>
      </w:pPr>
    </w:p>
    <w:p w14:paraId="16899891" w14:textId="77777777" w:rsidR="00D51FDF" w:rsidRDefault="007F75F6">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37AEA148" w14:textId="77777777" w:rsidR="00D51FDF" w:rsidRDefault="007F75F6">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w:t>
      </w:r>
      <w:r>
        <w:rPr>
          <w:rFonts w:asciiTheme="minorEastAsia" w:hAnsiTheme="minorEastAsia" w:cs="Arial" w:hint="eastAsia"/>
          <w:sz w:val="24"/>
          <w:szCs w:val="24"/>
        </w:rPr>
        <w:lastRenderedPageBreak/>
        <w:t>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416E203F" w14:textId="77777777" w:rsidR="00D51FDF" w:rsidRDefault="007F75F6">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38D7E99A" w14:textId="77777777" w:rsidR="00D51FDF" w:rsidRDefault="00D51FDF">
      <w:pPr>
        <w:widowControl/>
        <w:spacing w:line="360" w:lineRule="auto"/>
        <w:ind w:firstLineChars="200" w:firstLine="480"/>
        <w:jc w:val="left"/>
        <w:rPr>
          <w:rFonts w:asciiTheme="minorEastAsia" w:hAnsiTheme="minorEastAsia" w:cs="Arial"/>
          <w:sz w:val="24"/>
          <w:szCs w:val="24"/>
        </w:rPr>
      </w:pPr>
    </w:p>
    <w:p w14:paraId="4E29952E" w14:textId="77777777" w:rsidR="00D51FDF" w:rsidRDefault="007F75F6">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2C4CF68E" w14:textId="77777777" w:rsidR="00D51FDF" w:rsidRDefault="007F75F6">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1F9B6E32" w14:textId="77777777" w:rsidR="00D51FDF" w:rsidRDefault="00D51FDF">
      <w:pPr>
        <w:widowControl/>
        <w:spacing w:line="360" w:lineRule="auto"/>
        <w:ind w:firstLineChars="200" w:firstLine="480"/>
        <w:jc w:val="left"/>
        <w:rPr>
          <w:rFonts w:asciiTheme="minorEastAsia" w:hAnsiTheme="minorEastAsia" w:cs="Arial"/>
          <w:sz w:val="24"/>
          <w:szCs w:val="24"/>
        </w:rPr>
      </w:pPr>
    </w:p>
    <w:p w14:paraId="28DF2804" w14:textId="77777777" w:rsidR="00D51FDF" w:rsidRDefault="007F75F6">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140EEF9B" w14:textId="77777777" w:rsidR="00D51FDF" w:rsidRDefault="007F75F6">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C0AD218" w14:textId="77777777" w:rsidR="00D51FDF" w:rsidRDefault="00D51FDF">
      <w:pPr>
        <w:widowControl/>
        <w:spacing w:line="360" w:lineRule="auto"/>
        <w:ind w:firstLineChars="200" w:firstLine="480"/>
        <w:jc w:val="left"/>
        <w:rPr>
          <w:rFonts w:asciiTheme="minorEastAsia" w:hAnsiTheme="minorEastAsia" w:cs="Arial"/>
          <w:sz w:val="24"/>
          <w:szCs w:val="24"/>
        </w:rPr>
      </w:pPr>
    </w:p>
    <w:p w14:paraId="662AB2D1" w14:textId="77777777" w:rsidR="00D51FDF" w:rsidRDefault="007F75F6">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0F1ADC70" w14:textId="77777777" w:rsidR="00D51FDF" w:rsidRDefault="007F75F6">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1487665E" w14:textId="77777777" w:rsidR="00D51FDF" w:rsidRDefault="007F75F6">
      <w:pPr>
        <w:widowControl/>
        <w:spacing w:line="360" w:lineRule="auto"/>
        <w:ind w:firstLineChars="200" w:firstLine="480"/>
        <w:jc w:val="left"/>
        <w:rPr>
          <w:rFonts w:asciiTheme="minorEastAsia" w:hAnsiTheme="minorEastAsia" w:cs="Arial"/>
          <w:szCs w:val="21"/>
        </w:rPr>
        <w:sectPr w:rsidR="00D51FDF">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296EE809" w14:textId="77777777" w:rsidR="00D51FDF" w:rsidRDefault="007F75F6">
      <w:pPr>
        <w:pStyle w:val="1"/>
        <w:jc w:val="center"/>
        <w:rPr>
          <w:rFonts w:asciiTheme="minorEastAsia" w:eastAsiaTheme="minorEastAsia" w:hAnsiTheme="minorEastAsia"/>
          <w:sz w:val="30"/>
          <w:szCs w:val="30"/>
        </w:rPr>
      </w:pPr>
      <w:bookmarkStart w:id="215" w:name="_Toc2677410"/>
      <w:r>
        <w:rPr>
          <w:rFonts w:asciiTheme="minorEastAsia" w:eastAsiaTheme="minorEastAsia" w:hAnsiTheme="minorEastAsia" w:hint="eastAsia"/>
          <w:sz w:val="30"/>
          <w:szCs w:val="30"/>
        </w:rPr>
        <w:lastRenderedPageBreak/>
        <w:t>第九部分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基金的投资</w:t>
      </w:r>
      <w:bookmarkEnd w:id="193"/>
      <w:bookmarkEnd w:id="215"/>
    </w:p>
    <w:p w14:paraId="1EC86A7A" w14:textId="77777777" w:rsidR="00D51FDF" w:rsidRDefault="007F75F6">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09A98F8F"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本基金通过对多种投资策略的有机结合，在严格控制风险的基础上，力求取得超越基金业绩比较基准的收益。</w:t>
      </w:r>
    </w:p>
    <w:p w14:paraId="48F50E21" w14:textId="77777777" w:rsidR="00D51FDF" w:rsidRDefault="00D51FDF">
      <w:pPr>
        <w:autoSpaceDE w:val="0"/>
        <w:autoSpaceDN w:val="0"/>
        <w:spacing w:line="360" w:lineRule="auto"/>
        <w:ind w:firstLineChars="200" w:firstLine="480"/>
        <w:textAlignment w:val="bottom"/>
        <w:rPr>
          <w:rFonts w:asciiTheme="minorEastAsia" w:hAnsiTheme="minorEastAsia"/>
          <w:sz w:val="24"/>
          <w:szCs w:val="24"/>
        </w:rPr>
      </w:pPr>
    </w:p>
    <w:p w14:paraId="7C2BF621" w14:textId="77777777" w:rsidR="00D51FDF" w:rsidRDefault="007F75F6">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3D8E50A4" w14:textId="77777777" w:rsidR="00D51FDF" w:rsidRDefault="007F75F6">
      <w:pPr>
        <w:pStyle w:val="a8"/>
        <w:tabs>
          <w:tab w:val="left" w:pos="1680"/>
        </w:tabs>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w:t>
      </w:r>
      <w:proofErr w:type="gramStart"/>
      <w:r>
        <w:rPr>
          <w:rFonts w:asciiTheme="minorEastAsia" w:eastAsiaTheme="minorEastAsia" w:hAnsiTheme="minorEastAsia" w:hint="eastAsia"/>
          <w:sz w:val="24"/>
          <w:szCs w:val="24"/>
        </w:rPr>
        <w:t>券</w:t>
      </w:r>
      <w:proofErr w:type="gramEnd"/>
      <w:r>
        <w:rPr>
          <w:rFonts w:asciiTheme="minorEastAsia" w:eastAsiaTheme="minorEastAsia" w:hAnsiTheme="minorEastAsia" w:hint="eastAsia"/>
          <w:sz w:val="24"/>
          <w:szCs w:val="24"/>
        </w:rPr>
        <w:t>、超短期融资</w:t>
      </w:r>
      <w:proofErr w:type="gramStart"/>
      <w:r>
        <w:rPr>
          <w:rFonts w:asciiTheme="minorEastAsia" w:eastAsiaTheme="minorEastAsia" w:hAnsiTheme="minorEastAsia" w:hint="eastAsia"/>
          <w:sz w:val="24"/>
          <w:szCs w:val="24"/>
        </w:rPr>
        <w:t>券</w:t>
      </w:r>
      <w:proofErr w:type="gramEnd"/>
      <w:r>
        <w:rPr>
          <w:rFonts w:asciiTheme="minorEastAsia" w:eastAsiaTheme="minorEastAsia" w:hAnsiTheme="minorEastAsia" w:hint="eastAsia"/>
          <w:sz w:val="24"/>
          <w:szCs w:val="24"/>
        </w:rPr>
        <w:t>、政府支持机构债、地方政府债、次级债、可转换债券、可交换债券、中小企业私募</w:t>
      </w:r>
      <w:proofErr w:type="gramStart"/>
      <w:r>
        <w:rPr>
          <w:rFonts w:asciiTheme="minorEastAsia" w:eastAsiaTheme="minorEastAsia" w:hAnsiTheme="minorEastAsia" w:hint="eastAsia"/>
          <w:sz w:val="24"/>
          <w:szCs w:val="24"/>
        </w:rPr>
        <w:t>债及其</w:t>
      </w:r>
      <w:proofErr w:type="gramEnd"/>
      <w:r>
        <w:rPr>
          <w:rFonts w:asciiTheme="minorEastAsia" w:eastAsiaTheme="minorEastAsia" w:hAnsiTheme="minorEastAsia" w:hint="eastAsia"/>
          <w:sz w:val="24"/>
          <w:szCs w:val="24"/>
        </w:rPr>
        <w:t>他经中国证监会允许投资的债券）、货币市场工具、同业存单、资产支持证券、衍生品（包括权证、股指期货、股票期权、国债期货等）以及法律法规或中国证监会允许基金投资的其他金融工具（但须符合中国证监会的相关规定）。</w:t>
      </w:r>
    </w:p>
    <w:p w14:paraId="17B878C6" w14:textId="77777777" w:rsidR="00D51FDF" w:rsidRDefault="007F75F6">
      <w:pPr>
        <w:pStyle w:val="a8"/>
        <w:tabs>
          <w:tab w:val="left" w:pos="1680"/>
        </w:tabs>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如法律法规或监管机构以后允许基金投资其他品种，基金管理人在履行适当程序后，可以将其纳入投资范围。</w:t>
      </w:r>
    </w:p>
    <w:p w14:paraId="1AFE0B90"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基金的投资组合比例为：股票资产占基金资产的</w:t>
      </w:r>
      <w:r>
        <w:rPr>
          <w:rFonts w:asciiTheme="minorEastAsia" w:hAnsiTheme="minorEastAsia"/>
          <w:sz w:val="24"/>
          <w:szCs w:val="24"/>
        </w:rPr>
        <w:t>0%-95%；每个交易日日终在扣除股指期货、国债期货合约需缴纳的保证金以后，本基金保留的</w:t>
      </w:r>
      <w:r>
        <w:rPr>
          <w:rFonts w:asciiTheme="minorEastAsia" w:hAnsiTheme="minorEastAsia" w:hint="eastAsia"/>
          <w:sz w:val="24"/>
          <w:szCs w:val="24"/>
        </w:rPr>
        <w:t>现金或到期日在一年以内的政府债券不低于基金资产净值的</w:t>
      </w:r>
      <w:r>
        <w:rPr>
          <w:rFonts w:asciiTheme="minorEastAsia" w:hAnsiTheme="minorEastAsia"/>
          <w:sz w:val="24"/>
          <w:szCs w:val="24"/>
        </w:rPr>
        <w:t>5%，其中现金不包括结算备付金、存出保证金、应收申购款等；权证投资占基金资产净值的0-3%。</w:t>
      </w:r>
    </w:p>
    <w:p w14:paraId="1F0E5FAB"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如果法律法规或中国证监会变更投资品种的投资比例限制，基金管理人在履行适当程序后，可以调整上述投资品种的投资比例。</w:t>
      </w:r>
    </w:p>
    <w:p w14:paraId="0578DA1F" w14:textId="77777777" w:rsidR="00D51FDF" w:rsidRDefault="00D51FDF">
      <w:pPr>
        <w:autoSpaceDE w:val="0"/>
        <w:autoSpaceDN w:val="0"/>
        <w:spacing w:line="360" w:lineRule="auto"/>
        <w:ind w:firstLineChars="200" w:firstLine="480"/>
        <w:textAlignment w:val="bottom"/>
        <w:rPr>
          <w:rFonts w:asciiTheme="minorEastAsia" w:hAnsiTheme="minorEastAsia"/>
          <w:bCs/>
          <w:sz w:val="24"/>
        </w:rPr>
      </w:pPr>
    </w:p>
    <w:p w14:paraId="0854972E" w14:textId="77777777" w:rsidR="00D51FDF" w:rsidRDefault="007F75F6">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三、投资策略</w:t>
      </w:r>
    </w:p>
    <w:p w14:paraId="303870DD" w14:textId="77777777" w:rsidR="00D51FDF" w:rsidRDefault="007F75F6">
      <w:pPr>
        <w:spacing w:line="360" w:lineRule="auto"/>
        <w:ind w:firstLineChars="250" w:firstLine="600"/>
        <w:rPr>
          <w:rFonts w:asciiTheme="minorEastAsia" w:hAnsiTheme="minorEastAsia" w:cs="微软雅黑"/>
          <w:sz w:val="24"/>
          <w:szCs w:val="24"/>
        </w:rPr>
      </w:pPr>
      <w:r>
        <w:rPr>
          <w:rFonts w:asciiTheme="minorEastAsia" w:hAnsiTheme="minorEastAsia" w:cs="微软雅黑" w:hint="eastAsia"/>
          <w:sz w:val="24"/>
          <w:szCs w:val="24"/>
        </w:rPr>
        <w:t>本基金通过灵活应用多种量化策略，在充分控制基金财产风险和保证基金财产流动性的基础上，追求超越业绩比较基准的投资回报，力争实现基金财产的长期稳健增值。</w:t>
      </w:r>
    </w:p>
    <w:p w14:paraId="004EAE1F"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本基金采用多因子选股策略为主，辅以事件驱动以及宏观择时等其他量化策略，力争实现稳定的绝对回报。</w:t>
      </w:r>
      <w:r>
        <w:rPr>
          <w:rFonts w:asciiTheme="minorEastAsia" w:eastAsiaTheme="minorEastAsia" w:hAnsiTheme="minorEastAsia"/>
          <w:kern w:val="2"/>
          <w:szCs w:val="24"/>
        </w:rPr>
        <w:t xml:space="preserve"> </w:t>
      </w:r>
    </w:p>
    <w:p w14:paraId="657A9AF3"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cs="Calibri"/>
          <w:kern w:val="2"/>
          <w:szCs w:val="24"/>
        </w:rPr>
        <w:lastRenderedPageBreak/>
        <w:t>1</w:t>
      </w:r>
      <w:r>
        <w:rPr>
          <w:rFonts w:asciiTheme="minorEastAsia" w:eastAsiaTheme="minorEastAsia" w:hAnsiTheme="minorEastAsia" w:hint="eastAsia"/>
          <w:kern w:val="2"/>
          <w:szCs w:val="24"/>
        </w:rPr>
        <w:t>、多因子选股策略</w:t>
      </w:r>
      <w:r>
        <w:rPr>
          <w:rFonts w:asciiTheme="minorEastAsia" w:eastAsiaTheme="minorEastAsia" w:hAnsiTheme="minorEastAsia"/>
          <w:kern w:val="2"/>
          <w:szCs w:val="24"/>
        </w:rPr>
        <w:t xml:space="preserve"> </w:t>
      </w:r>
    </w:p>
    <w:p w14:paraId="2B974541"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该策略以对中国股票市场较长期</w:t>
      </w:r>
      <w:proofErr w:type="gramStart"/>
      <w:r>
        <w:rPr>
          <w:rFonts w:asciiTheme="minorEastAsia" w:eastAsiaTheme="minorEastAsia" w:hAnsiTheme="minorEastAsia" w:hint="eastAsia"/>
          <w:kern w:val="2"/>
          <w:szCs w:val="24"/>
        </w:rPr>
        <w:t>的回测研究</w:t>
      </w:r>
      <w:proofErr w:type="gramEnd"/>
      <w:r>
        <w:rPr>
          <w:rFonts w:asciiTheme="minorEastAsia" w:eastAsiaTheme="minorEastAsia" w:hAnsiTheme="minorEastAsia" w:hint="eastAsia"/>
          <w:kern w:val="2"/>
          <w:szCs w:val="24"/>
        </w:rPr>
        <w:t>为基础，运用量化多因子模型框架，结合定性指标和定量指标，综合考虑上市公司基本经营状况和市场对股票的反应两大因素，通过计算市场上所有股票的管理质量、价值、成长变化、市场情绪以及行业特殊因素等量化因子，将计算结果组合成</w:t>
      </w:r>
      <w:r>
        <w:rPr>
          <w:rFonts w:asciiTheme="minorEastAsia" w:eastAsiaTheme="minorEastAsia" w:hAnsiTheme="minorEastAsia" w:cs="Calibri"/>
          <w:kern w:val="2"/>
          <w:szCs w:val="24"/>
        </w:rPr>
        <w:t>alpha</w:t>
      </w:r>
      <w:r>
        <w:rPr>
          <w:rFonts w:asciiTheme="minorEastAsia" w:eastAsiaTheme="minorEastAsia" w:hAnsiTheme="minorEastAsia" w:hint="eastAsia"/>
          <w:kern w:val="2"/>
          <w:szCs w:val="24"/>
        </w:rPr>
        <w:t>模型，同时结合风险模型构建股票现货组合。基金经理根据市场状况及变化对各类信息的重要性做出具有一定前瞻性的判断，适时调整各因子类别的具体组成及权重。</w:t>
      </w:r>
      <w:r>
        <w:rPr>
          <w:rFonts w:asciiTheme="minorEastAsia" w:eastAsiaTheme="minorEastAsia" w:hAnsiTheme="minorEastAsia"/>
          <w:kern w:val="2"/>
          <w:szCs w:val="24"/>
        </w:rPr>
        <w:t xml:space="preserve"> </w:t>
      </w:r>
    </w:p>
    <w:p w14:paraId="6548A2D5"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w:t>
      </w:r>
      <w:r>
        <w:rPr>
          <w:rFonts w:asciiTheme="minorEastAsia" w:eastAsiaTheme="minorEastAsia" w:hAnsiTheme="minorEastAsia" w:cs="Calibri"/>
          <w:kern w:val="2"/>
          <w:szCs w:val="24"/>
        </w:rPr>
        <w:t>1</w:t>
      </w:r>
      <w:r>
        <w:rPr>
          <w:rFonts w:asciiTheme="minorEastAsia" w:eastAsiaTheme="minorEastAsia" w:hAnsiTheme="minorEastAsia" w:hint="eastAsia"/>
          <w:kern w:val="2"/>
          <w:szCs w:val="24"/>
        </w:rPr>
        <w:t>）基本面因子</w:t>
      </w:r>
      <w:r>
        <w:rPr>
          <w:rFonts w:asciiTheme="minorEastAsia" w:eastAsiaTheme="minorEastAsia" w:hAnsiTheme="minorEastAsia"/>
          <w:kern w:val="2"/>
          <w:szCs w:val="24"/>
        </w:rPr>
        <w:t xml:space="preserve"> </w:t>
      </w:r>
    </w:p>
    <w:p w14:paraId="2E9BA583"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管理质量：利用计算横截面多种比率来判断上市公司的报表质量以及管理能力，例如衡量报表质量的应收应付因子，衡量管理能力的周转率、偿债能力、</w:t>
      </w:r>
      <w:r>
        <w:rPr>
          <w:rFonts w:asciiTheme="minorEastAsia" w:eastAsiaTheme="minorEastAsia" w:hAnsiTheme="minorEastAsia"/>
          <w:kern w:val="2"/>
          <w:szCs w:val="24"/>
        </w:rPr>
        <w:t>PE、PB、</w:t>
      </w:r>
      <w:r>
        <w:rPr>
          <w:rFonts w:asciiTheme="minorEastAsia" w:eastAsiaTheme="minorEastAsia" w:hAnsiTheme="minorEastAsia" w:cs="Calibri"/>
          <w:kern w:val="2"/>
          <w:szCs w:val="24"/>
        </w:rPr>
        <w:t>ROA</w:t>
      </w:r>
      <w:r>
        <w:rPr>
          <w:rFonts w:asciiTheme="minorEastAsia" w:eastAsiaTheme="minorEastAsia" w:hAnsiTheme="minorEastAsia" w:hint="eastAsia"/>
          <w:kern w:val="2"/>
          <w:szCs w:val="24"/>
        </w:rPr>
        <w:t>和</w:t>
      </w:r>
      <w:r>
        <w:rPr>
          <w:rFonts w:asciiTheme="minorEastAsia" w:eastAsiaTheme="minorEastAsia" w:hAnsiTheme="minorEastAsia" w:cs="Calibri"/>
          <w:kern w:val="2"/>
          <w:szCs w:val="24"/>
        </w:rPr>
        <w:t>ROE</w:t>
      </w:r>
      <w:r>
        <w:rPr>
          <w:rFonts w:asciiTheme="minorEastAsia" w:eastAsiaTheme="minorEastAsia" w:hAnsiTheme="minorEastAsia" w:hint="eastAsia"/>
          <w:kern w:val="2"/>
          <w:szCs w:val="24"/>
        </w:rPr>
        <w:t>等因子；</w:t>
      </w:r>
      <w:r>
        <w:rPr>
          <w:rFonts w:asciiTheme="minorEastAsia" w:eastAsiaTheme="minorEastAsia" w:hAnsiTheme="minorEastAsia"/>
          <w:kern w:val="2"/>
          <w:szCs w:val="24"/>
        </w:rPr>
        <w:t xml:space="preserve"> </w:t>
      </w:r>
    </w:p>
    <w:p w14:paraId="24296E27"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成长变化：通过计算时间序列上各种比率的变化来衡量公司基本面的成长性；</w:t>
      </w:r>
      <w:r>
        <w:rPr>
          <w:rFonts w:asciiTheme="minorEastAsia" w:eastAsiaTheme="minorEastAsia" w:hAnsiTheme="minorEastAsia"/>
          <w:kern w:val="2"/>
          <w:szCs w:val="24"/>
        </w:rPr>
        <w:t xml:space="preserve"> </w:t>
      </w:r>
    </w:p>
    <w:p w14:paraId="6473A6A8"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价值：基金管理人通过计算全市场所有公司的利润、销售量、总资产、现金流等多种指标来综合间接反映公司的内在价值。</w:t>
      </w:r>
    </w:p>
    <w:p w14:paraId="43CD68BA"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w:t>
      </w:r>
      <w:r>
        <w:rPr>
          <w:rFonts w:asciiTheme="minorEastAsia" w:eastAsiaTheme="minorEastAsia" w:hAnsiTheme="minorEastAsia" w:cs="Calibri"/>
          <w:kern w:val="2"/>
          <w:szCs w:val="24"/>
        </w:rPr>
        <w:t>2</w:t>
      </w:r>
      <w:r>
        <w:rPr>
          <w:rFonts w:asciiTheme="minorEastAsia" w:eastAsiaTheme="minorEastAsia" w:hAnsiTheme="minorEastAsia" w:hint="eastAsia"/>
          <w:kern w:val="2"/>
          <w:szCs w:val="24"/>
        </w:rPr>
        <w:t>）市场因子</w:t>
      </w:r>
      <w:r>
        <w:rPr>
          <w:rFonts w:asciiTheme="minorEastAsia" w:eastAsiaTheme="minorEastAsia" w:hAnsiTheme="minorEastAsia"/>
          <w:kern w:val="2"/>
          <w:szCs w:val="24"/>
        </w:rPr>
        <w:t xml:space="preserve"> </w:t>
      </w:r>
    </w:p>
    <w:p w14:paraId="3A377E6A"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市场情绪：从技术面的动量、反转、枢轴突破等指标来衡量投资者情绪；</w:t>
      </w:r>
      <w:r>
        <w:rPr>
          <w:rFonts w:asciiTheme="minorEastAsia" w:eastAsiaTheme="minorEastAsia" w:hAnsiTheme="minorEastAsia"/>
          <w:kern w:val="2"/>
          <w:szCs w:val="24"/>
        </w:rPr>
        <w:t xml:space="preserve"> </w:t>
      </w:r>
    </w:p>
    <w:p w14:paraId="7DF96FFC"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分析师预测：通过扫描市场上分析</w:t>
      </w:r>
      <w:proofErr w:type="gramStart"/>
      <w:r>
        <w:rPr>
          <w:rFonts w:asciiTheme="minorEastAsia" w:eastAsiaTheme="minorEastAsia" w:hAnsiTheme="minorEastAsia" w:hint="eastAsia"/>
          <w:kern w:val="2"/>
          <w:szCs w:val="24"/>
        </w:rPr>
        <w:t>师观点</w:t>
      </w:r>
      <w:proofErr w:type="gramEnd"/>
      <w:r>
        <w:rPr>
          <w:rFonts w:asciiTheme="minorEastAsia" w:eastAsiaTheme="minorEastAsia" w:hAnsiTheme="minorEastAsia" w:hint="eastAsia"/>
          <w:kern w:val="2"/>
          <w:szCs w:val="24"/>
        </w:rPr>
        <w:t>的变化来预测市场反应。</w:t>
      </w:r>
      <w:r>
        <w:rPr>
          <w:rFonts w:asciiTheme="minorEastAsia" w:eastAsiaTheme="minorEastAsia" w:hAnsiTheme="minorEastAsia"/>
          <w:kern w:val="2"/>
          <w:szCs w:val="24"/>
        </w:rPr>
        <w:t xml:space="preserve"> </w:t>
      </w:r>
    </w:p>
    <w:p w14:paraId="654A21B0"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cs="Calibri"/>
          <w:kern w:val="2"/>
          <w:szCs w:val="24"/>
        </w:rPr>
        <w:t>2</w:t>
      </w:r>
      <w:r>
        <w:rPr>
          <w:rFonts w:asciiTheme="minorEastAsia" w:eastAsiaTheme="minorEastAsia" w:hAnsiTheme="minorEastAsia" w:hint="eastAsia"/>
          <w:kern w:val="2"/>
          <w:szCs w:val="24"/>
        </w:rPr>
        <w:t>、事件驱动策略</w:t>
      </w:r>
      <w:r>
        <w:rPr>
          <w:rFonts w:asciiTheme="minorEastAsia" w:eastAsiaTheme="minorEastAsia" w:hAnsiTheme="minorEastAsia"/>
          <w:kern w:val="2"/>
          <w:szCs w:val="24"/>
        </w:rPr>
        <w:t xml:space="preserve"> </w:t>
      </w:r>
    </w:p>
    <w:p w14:paraId="67FB429D"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kern w:val="2"/>
          <w:szCs w:val="24"/>
        </w:rPr>
        <w:t>该策略通过对某些公司事件和市场事件的研究，分析事件对股价造成波动的方向，以赚取超额收益。此外，该策略还利用市场上存在的金融产品定价非有效性，实现套利收益。</w:t>
      </w:r>
      <w:r>
        <w:rPr>
          <w:rFonts w:asciiTheme="minorEastAsia" w:eastAsiaTheme="minorEastAsia" w:hAnsiTheme="minorEastAsia"/>
          <w:kern w:val="2"/>
          <w:szCs w:val="24"/>
        </w:rPr>
        <w:t xml:space="preserve"> </w:t>
      </w:r>
    </w:p>
    <w:p w14:paraId="2D376D88" w14:textId="77777777" w:rsidR="00D51FDF" w:rsidRDefault="007F75F6">
      <w:pPr>
        <w:pStyle w:val="Default"/>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cs="Calibri"/>
          <w:kern w:val="2"/>
          <w:szCs w:val="24"/>
        </w:rPr>
        <w:t>3</w:t>
      </w:r>
      <w:r>
        <w:rPr>
          <w:rFonts w:asciiTheme="minorEastAsia" w:eastAsiaTheme="minorEastAsia" w:hAnsiTheme="minorEastAsia" w:hint="eastAsia"/>
          <w:kern w:val="2"/>
          <w:szCs w:val="24"/>
        </w:rPr>
        <w:t>、宏观择时策略</w:t>
      </w:r>
      <w:r>
        <w:rPr>
          <w:rFonts w:asciiTheme="minorEastAsia" w:eastAsiaTheme="minorEastAsia" w:hAnsiTheme="minorEastAsia"/>
          <w:kern w:val="2"/>
          <w:szCs w:val="24"/>
        </w:rPr>
        <w:t xml:space="preserve"> </w:t>
      </w:r>
    </w:p>
    <w:p w14:paraId="4271D4D8" w14:textId="77777777" w:rsidR="00D51FDF" w:rsidRDefault="007F75F6">
      <w:pPr>
        <w:pStyle w:val="Default"/>
        <w:framePr w:hSpace="180" w:wrap="around" w:vAnchor="text" w:hAnchor="margin" w:x="13" w:y="133"/>
        <w:spacing w:line="360" w:lineRule="auto"/>
        <w:ind w:firstLineChars="200" w:firstLine="480"/>
        <w:rPr>
          <w:rFonts w:asciiTheme="minorEastAsia" w:eastAsiaTheme="minorEastAsia" w:hAnsiTheme="minorEastAsia"/>
          <w:kern w:val="2"/>
          <w:szCs w:val="24"/>
        </w:rPr>
      </w:pPr>
      <w:r>
        <w:rPr>
          <w:rFonts w:asciiTheme="minorEastAsia" w:eastAsiaTheme="minorEastAsia" w:hAnsiTheme="minorEastAsia" w:hint="eastAsia"/>
          <w:szCs w:val="24"/>
        </w:rPr>
        <w:t>该策略通过计算和跟踪多种宏观经济变量和市场变量，运用计量经济学方法</w:t>
      </w:r>
      <w:r>
        <w:rPr>
          <w:rFonts w:asciiTheme="minorEastAsia" w:eastAsiaTheme="minorEastAsia" w:hAnsiTheme="minorEastAsia" w:hint="eastAsia"/>
          <w:kern w:val="2"/>
          <w:szCs w:val="24"/>
        </w:rPr>
        <w:t>对未来大盘走势进行预测。</w:t>
      </w:r>
      <w:r>
        <w:rPr>
          <w:rFonts w:asciiTheme="minorEastAsia" w:eastAsiaTheme="minorEastAsia" w:hAnsiTheme="minorEastAsia"/>
          <w:kern w:val="2"/>
          <w:szCs w:val="24"/>
        </w:rPr>
        <w:t xml:space="preserve"> </w:t>
      </w:r>
    </w:p>
    <w:p w14:paraId="23FF4587"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cs="Calibri"/>
          <w:sz w:val="24"/>
          <w:szCs w:val="24"/>
        </w:rPr>
        <w:t>4</w:t>
      </w:r>
      <w:r>
        <w:rPr>
          <w:rFonts w:asciiTheme="minorEastAsia" w:hAnsiTheme="minorEastAsia" w:hint="eastAsia"/>
          <w:sz w:val="24"/>
          <w:szCs w:val="24"/>
        </w:rPr>
        <w:t>、债券投资策略</w:t>
      </w:r>
    </w:p>
    <w:p w14:paraId="131B0478"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本基金将采用“自上而下”的投资策略，对债券类资产进行配置。本基金将基于对国内外宏观经济形势、国内财政政策与货币市场政策以及结构调整等因素对债券市场的影响，对利率走势进行预期，判断债券市场的基本走势，</w:t>
      </w:r>
      <w:proofErr w:type="gramStart"/>
      <w:r>
        <w:rPr>
          <w:rFonts w:asciiTheme="minorEastAsia" w:hAnsiTheme="minorEastAsia" w:hint="eastAsia"/>
          <w:sz w:val="24"/>
          <w:szCs w:val="24"/>
        </w:rPr>
        <w:t>制定久期控制</w:t>
      </w:r>
      <w:proofErr w:type="gramEnd"/>
      <w:r>
        <w:rPr>
          <w:rFonts w:asciiTheme="minorEastAsia" w:hAnsiTheme="minorEastAsia" w:hint="eastAsia"/>
          <w:sz w:val="24"/>
          <w:szCs w:val="24"/>
        </w:rPr>
        <w:t>下的资产类属配置策略，力争有效控制整体资产风险。在债券投资组合构建</w:t>
      </w:r>
      <w:r>
        <w:rPr>
          <w:rFonts w:asciiTheme="minorEastAsia" w:hAnsiTheme="minorEastAsia" w:hint="eastAsia"/>
          <w:sz w:val="24"/>
          <w:szCs w:val="24"/>
        </w:rPr>
        <w:lastRenderedPageBreak/>
        <w:t>和管理过程中，基金管理人将</w:t>
      </w:r>
      <w:proofErr w:type="gramStart"/>
      <w:r>
        <w:rPr>
          <w:rFonts w:asciiTheme="minorEastAsia" w:hAnsiTheme="minorEastAsia" w:hint="eastAsia"/>
          <w:sz w:val="24"/>
          <w:szCs w:val="24"/>
        </w:rPr>
        <w:t>采用久期控制</w:t>
      </w:r>
      <w:proofErr w:type="gramEnd"/>
      <w:r>
        <w:rPr>
          <w:rFonts w:asciiTheme="minorEastAsia" w:hAnsiTheme="minorEastAsia" w:hint="eastAsia"/>
          <w:sz w:val="24"/>
          <w:szCs w:val="24"/>
        </w:rPr>
        <w:t>、期限结构配置、市场比较、相对价值判断、信用风险评估等管理手段。</w:t>
      </w:r>
    </w:p>
    <w:p w14:paraId="0E871A75"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proofErr w:type="gramStart"/>
      <w:r>
        <w:rPr>
          <w:rFonts w:asciiTheme="minorEastAsia" w:hAnsiTheme="minorEastAsia" w:hint="eastAsia"/>
          <w:sz w:val="24"/>
          <w:szCs w:val="24"/>
        </w:rPr>
        <w:t>久期控制</w:t>
      </w:r>
      <w:proofErr w:type="gramEnd"/>
      <w:r>
        <w:rPr>
          <w:rFonts w:asciiTheme="minorEastAsia" w:hAnsiTheme="minorEastAsia" w:hint="eastAsia"/>
          <w:sz w:val="24"/>
          <w:szCs w:val="24"/>
        </w:rPr>
        <w:t>：根据对宏观经济发展状况、金融市场运行特点等因素的分析确定组合的整体久期，有效的控制整体资产风险。</w:t>
      </w:r>
    </w:p>
    <w:p w14:paraId="700EAA15"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2）期限结构配置：在确定</w:t>
      </w:r>
      <w:proofErr w:type="gramStart"/>
      <w:r>
        <w:rPr>
          <w:rFonts w:asciiTheme="minorEastAsia" w:hAnsiTheme="minorEastAsia" w:hint="eastAsia"/>
          <w:sz w:val="24"/>
          <w:szCs w:val="24"/>
        </w:rPr>
        <w:t>组合久期后</w:t>
      </w:r>
      <w:proofErr w:type="gramEnd"/>
      <w:r>
        <w:rPr>
          <w:rFonts w:asciiTheme="minorEastAsia" w:hAnsiTheme="minorEastAsia" w:hint="eastAsia"/>
          <w:sz w:val="24"/>
          <w:szCs w:val="24"/>
        </w:rPr>
        <w:t>，基金管理人将针对收益率曲线形态特征确定合理的组合期限结构，通过采用子弹策略、杠铃策略、梯子策略等，在长期、中期与短期债券间进行动态调整，从长、中、短期债券的相对价格变化中获利。</w:t>
      </w:r>
    </w:p>
    <w:p w14:paraId="7D9FCE94"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3）市场比较：不同债券子市场的运行规律不同，本基金在充分研究不同债券子市场风险－收益特征、流动性特性的基础上构建调整组合（包括跨市场套利操作），以提高投资收益。</w:t>
      </w:r>
    </w:p>
    <w:p w14:paraId="76C4F3C8"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4）相对价值判断：本基金将在相近的债券品种之间选取价值相对低估的债券品种进行投资。</w:t>
      </w:r>
    </w:p>
    <w:p w14:paraId="7CC92EC6"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5）信用风险评估：本基金将根据发债主体的经营状况与现金流等情况对其信用风险进行评定与估测，以此作为品种选择的基本依据。</w:t>
      </w:r>
    </w:p>
    <w:p w14:paraId="4D144A28"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sz w:val="24"/>
          <w:szCs w:val="24"/>
        </w:rPr>
        <w:t>5、可转债投资策略</w:t>
      </w:r>
    </w:p>
    <w:p w14:paraId="1E6DAD7C"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sz w:val="24"/>
          <w:szCs w:val="24"/>
        </w:rPr>
        <w:t>包括传统可转换债券，即可转换公司债</w:t>
      </w:r>
      <w:proofErr w:type="gramStart"/>
      <w:r>
        <w:rPr>
          <w:rFonts w:asciiTheme="minorEastAsia" w:hAnsiTheme="minorEastAsia" w:hint="eastAsia"/>
          <w:sz w:val="24"/>
          <w:szCs w:val="24"/>
        </w:rPr>
        <w:t>券</w:t>
      </w:r>
      <w:proofErr w:type="gramEnd"/>
      <w:r>
        <w:rPr>
          <w:rFonts w:asciiTheme="minorEastAsia" w:hAnsiTheme="minorEastAsia" w:hint="eastAsia"/>
          <w:sz w:val="24"/>
          <w:szCs w:val="24"/>
        </w:rPr>
        <w:t>、可分离交易可转换债券和可交换债的投资策略。本基金参与可转换债券有两种途径，一种是一级市场申购，另一种是二级市场参与。一级市场申购，主要考虑发行条款较好、申购收益较高、公司基本面优秀的可转债；二级市场参与可运用多种可转债投资策略，本基金将运用企业基本面分析和理论价值分析策略，精选个</w:t>
      </w:r>
      <w:proofErr w:type="gramStart"/>
      <w:r>
        <w:rPr>
          <w:rFonts w:asciiTheme="minorEastAsia" w:hAnsiTheme="minorEastAsia" w:hint="eastAsia"/>
          <w:sz w:val="24"/>
          <w:szCs w:val="24"/>
        </w:rPr>
        <w:t>券</w:t>
      </w:r>
      <w:proofErr w:type="gramEnd"/>
      <w:r>
        <w:rPr>
          <w:rFonts w:asciiTheme="minorEastAsia" w:hAnsiTheme="minorEastAsia" w:hint="eastAsia"/>
          <w:sz w:val="24"/>
          <w:szCs w:val="24"/>
        </w:rPr>
        <w:t>，力争实现较高的投资收益。同时，本基金也可以采用相对价值分析策略，即通过分析不同市场环境下可转换债券股性</w:t>
      </w:r>
      <w:proofErr w:type="gramStart"/>
      <w:r>
        <w:rPr>
          <w:rFonts w:asciiTheme="minorEastAsia" w:hAnsiTheme="minorEastAsia" w:hint="eastAsia"/>
          <w:sz w:val="24"/>
          <w:szCs w:val="24"/>
        </w:rPr>
        <w:t>和债性</w:t>
      </w:r>
      <w:proofErr w:type="gramEnd"/>
      <w:r>
        <w:rPr>
          <w:rFonts w:asciiTheme="minorEastAsia" w:hAnsiTheme="minorEastAsia" w:hint="eastAsia"/>
          <w:sz w:val="24"/>
          <w:szCs w:val="24"/>
        </w:rPr>
        <w:t>的相对价值，把握可转换债券的价值走向，选择相应券种，从而获取较高投资收益。另外，本基金将密切关注可转债的套利机会和条款博弈机会。</w:t>
      </w:r>
    </w:p>
    <w:p w14:paraId="70A5366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6、中小企业私募债券策略</w:t>
      </w:r>
    </w:p>
    <w:p w14:paraId="0D25DF46"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中小企业私募债券是在中国境内以非公开方式发行和转让，约定在一定期限还本付息的公司债券。由于其非公开性及条款可协商性，普遍具有较高收益。</w:t>
      </w:r>
      <w:r>
        <w:rPr>
          <w:rFonts w:asciiTheme="minorEastAsia" w:hAnsiTheme="minorEastAsia"/>
          <w:bCs/>
          <w:sz w:val="24"/>
        </w:rPr>
        <w:t xml:space="preserve"> </w:t>
      </w:r>
      <w:r>
        <w:rPr>
          <w:rFonts w:asciiTheme="minorEastAsia" w:hAnsiTheme="minorEastAsia" w:hint="eastAsia"/>
          <w:bCs/>
          <w:sz w:val="24"/>
        </w:rPr>
        <w:t>本基金将深入研究发行人资信及公司运营情况，合理合</w:t>
      </w:r>
      <w:proofErr w:type="gramStart"/>
      <w:r>
        <w:rPr>
          <w:rFonts w:asciiTheme="minorEastAsia" w:hAnsiTheme="minorEastAsia" w:hint="eastAsia"/>
          <w:bCs/>
          <w:sz w:val="24"/>
        </w:rPr>
        <w:t>规</w:t>
      </w:r>
      <w:proofErr w:type="gramEnd"/>
      <w:r>
        <w:rPr>
          <w:rFonts w:asciiTheme="minorEastAsia" w:hAnsiTheme="minorEastAsia" w:hint="eastAsia"/>
          <w:bCs/>
          <w:sz w:val="24"/>
        </w:rPr>
        <w:t>合格地进行中小企业私募债券投资。本基金在投资过程中密切监控债券信用等级或发行人信用等级变化情</w:t>
      </w:r>
      <w:r>
        <w:rPr>
          <w:rFonts w:asciiTheme="minorEastAsia" w:hAnsiTheme="minorEastAsia" w:hint="eastAsia"/>
          <w:bCs/>
          <w:sz w:val="24"/>
        </w:rPr>
        <w:lastRenderedPageBreak/>
        <w:t>况，尽力规避风险，并获取超额收益。</w:t>
      </w:r>
    </w:p>
    <w:p w14:paraId="00F334A9"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bCs/>
          <w:sz w:val="24"/>
          <w:szCs w:val="24"/>
        </w:rPr>
        <w:t>7</w:t>
      </w:r>
      <w:r>
        <w:rPr>
          <w:rFonts w:asciiTheme="minorEastAsia" w:hAnsiTheme="minorEastAsia" w:hint="eastAsia"/>
          <w:bCs/>
          <w:sz w:val="24"/>
          <w:szCs w:val="24"/>
        </w:rPr>
        <w:t>、</w:t>
      </w:r>
      <w:r>
        <w:rPr>
          <w:rFonts w:asciiTheme="minorEastAsia" w:hAnsiTheme="minorEastAsia"/>
          <w:sz w:val="24"/>
          <w:szCs w:val="24"/>
        </w:rPr>
        <w:t xml:space="preserve">权证投资策略 </w:t>
      </w:r>
    </w:p>
    <w:p w14:paraId="0D37DBAA"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sz w:val="24"/>
          <w:szCs w:val="24"/>
        </w:rPr>
        <w:t>本基金将从权证标的证券基本面、权证定价合理性、权证隐含波动率等多个角度对拟投资的权证进行分析，以有利于资产增值为原则，加强风险控制，谨慎参与投资。</w:t>
      </w:r>
    </w:p>
    <w:p w14:paraId="32F2B8F0"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sz w:val="24"/>
          <w:szCs w:val="24"/>
        </w:rPr>
        <w:t>8</w:t>
      </w:r>
      <w:r>
        <w:rPr>
          <w:rFonts w:asciiTheme="minorEastAsia" w:hAnsiTheme="minorEastAsia" w:hint="eastAsia"/>
          <w:sz w:val="24"/>
          <w:szCs w:val="24"/>
        </w:rPr>
        <w:t>、</w:t>
      </w:r>
      <w:r>
        <w:rPr>
          <w:rFonts w:asciiTheme="minorEastAsia" w:hAnsiTheme="minorEastAsia"/>
          <w:sz w:val="24"/>
          <w:szCs w:val="24"/>
        </w:rPr>
        <w:t xml:space="preserve">股指期货投资策略 </w:t>
      </w:r>
    </w:p>
    <w:p w14:paraId="24ADACAA"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sz w:val="24"/>
          <w:szCs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 通过多头或空头套期保值等策略进行套期保值操作。基金管理人将充分考虑股指期货的收益性、流动性及风险性特征，运用股指期货对冲系统性风险、对</w:t>
      </w:r>
      <w:proofErr w:type="gramStart"/>
      <w:r>
        <w:rPr>
          <w:rFonts w:asciiTheme="minorEastAsia" w:hAnsiTheme="minorEastAsia"/>
          <w:sz w:val="24"/>
          <w:szCs w:val="24"/>
        </w:rPr>
        <w:t>冲特殊</w:t>
      </w:r>
      <w:proofErr w:type="gramEnd"/>
      <w:r>
        <w:rPr>
          <w:rFonts w:asciiTheme="minorEastAsia" w:hAnsiTheme="minorEastAsia"/>
          <w:sz w:val="24"/>
          <w:szCs w:val="24"/>
        </w:rPr>
        <w:t xml:space="preserve"> 情况下的流动性风险，如大额申购赎回等；利用金融衍生品的杠杆作用，以达到降低投资组合的整体风险的目的。</w:t>
      </w:r>
    </w:p>
    <w:p w14:paraId="35C5ACF2"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 xml:space="preserve">资产支持证券投资策略 </w:t>
      </w:r>
    </w:p>
    <w:p w14:paraId="7B887E10"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sz w:val="24"/>
          <w:szCs w:val="24"/>
        </w:rPr>
        <w:t>本基金将在宏观经济和基本面分析的基础上，对资产证券化产品的质量和构成、利率风险、信用风险、流动性风险和提前偿付风险等进行定性和定量的全方面分析，评估其相对投资价值并</w:t>
      </w:r>
      <w:proofErr w:type="gramStart"/>
      <w:r>
        <w:rPr>
          <w:rFonts w:asciiTheme="minorEastAsia" w:hAnsiTheme="minorEastAsia"/>
          <w:sz w:val="24"/>
          <w:szCs w:val="24"/>
        </w:rPr>
        <w:t>作出</w:t>
      </w:r>
      <w:proofErr w:type="gramEnd"/>
      <w:r>
        <w:rPr>
          <w:rFonts w:asciiTheme="minorEastAsia" w:hAnsiTheme="minorEastAsia"/>
          <w:sz w:val="24"/>
          <w:szCs w:val="24"/>
        </w:rPr>
        <w:t>相应的投资决策，力求在控制投资风险的前提下尽可能的提高本基金的收益。</w:t>
      </w:r>
    </w:p>
    <w:p w14:paraId="3E59328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10</w:t>
      </w:r>
      <w:r>
        <w:rPr>
          <w:rFonts w:asciiTheme="minorEastAsia" w:hAnsiTheme="minorEastAsia" w:hint="eastAsia"/>
          <w:bCs/>
          <w:sz w:val="24"/>
        </w:rPr>
        <w:t>、国债期货投资策略</w:t>
      </w:r>
    </w:p>
    <w:p w14:paraId="7EF47C0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本基金投资国债期货，将根据风险管理的原则，以套期保值为目的，充分考虑国债期货的流动性和风险收益特征，在风险可控的前提下，适度参与国债期货投资。</w:t>
      </w:r>
    </w:p>
    <w:p w14:paraId="0446CC3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11</w:t>
      </w:r>
      <w:r>
        <w:rPr>
          <w:rFonts w:asciiTheme="minorEastAsia" w:hAnsiTheme="minorEastAsia" w:hint="eastAsia"/>
          <w:bCs/>
          <w:sz w:val="24"/>
        </w:rPr>
        <w:t>、股票期权投资策略</w:t>
      </w:r>
    </w:p>
    <w:p w14:paraId="2B164D4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本基金按照风险管理的原则，在严格控制风险的前提下，以套期保值为目的，选择流动性好、交易活跃的股票期权合约进行投资。本基金基于证券市场的判断，结合期权定价模型，选择估值合理的股票期权合约。</w:t>
      </w:r>
    </w:p>
    <w:p w14:paraId="119E6B3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本基金投资股票期权，基金管理人将根据审慎原则，建立期权交易决策部门或小组，授权特定的管理人员负责期权的投资审批事项，以防范期权投资的风险。</w:t>
      </w:r>
    </w:p>
    <w:p w14:paraId="0583E41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12、存托凭证投资策略</w:t>
      </w:r>
    </w:p>
    <w:p w14:paraId="2FD2084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本基金将在控制风险的前提下，依照基金投资目标和股票投资策略，基于对基础证券投资价值的深入研究和判断，通过定性分析和定量分析相结合的方式，精选出具有比较优势的存托凭证。</w:t>
      </w:r>
    </w:p>
    <w:p w14:paraId="2794F91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未来，根据市场情况，基金可相应调整和更新相关投资策略，并在招募说明书更新中公告。</w:t>
      </w:r>
    </w:p>
    <w:p w14:paraId="1924CB03" w14:textId="77777777" w:rsidR="00D51FDF" w:rsidRDefault="00D51FDF">
      <w:pPr>
        <w:autoSpaceDE w:val="0"/>
        <w:autoSpaceDN w:val="0"/>
        <w:spacing w:line="360" w:lineRule="auto"/>
        <w:ind w:firstLineChars="200" w:firstLine="480"/>
        <w:textAlignment w:val="bottom"/>
        <w:rPr>
          <w:rFonts w:asciiTheme="minorEastAsia" w:hAnsiTheme="minorEastAsia"/>
          <w:bCs/>
          <w:sz w:val="24"/>
        </w:rPr>
      </w:pPr>
    </w:p>
    <w:p w14:paraId="338CFBE5" w14:textId="77777777" w:rsidR="00D51FDF" w:rsidRDefault="007F75F6">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四、投资限制</w:t>
      </w:r>
    </w:p>
    <w:p w14:paraId="42A856C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1、组合限制</w:t>
      </w:r>
    </w:p>
    <w:p w14:paraId="4F171C2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基金的投资组合应遵循以下限制：</w:t>
      </w:r>
    </w:p>
    <w:p w14:paraId="449F5BDB" w14:textId="77777777" w:rsidR="00D51FDF" w:rsidRDefault="007F75F6">
      <w:pPr>
        <w:spacing w:line="360" w:lineRule="auto"/>
        <w:ind w:firstLineChars="200" w:firstLine="480"/>
        <w:rPr>
          <w:rFonts w:asciiTheme="minorEastAsia" w:hAnsiTheme="minorEastAsia"/>
          <w:bCs/>
          <w:sz w:val="24"/>
          <w:highlight w:val="yellow"/>
        </w:rPr>
      </w:pPr>
      <w:r>
        <w:rPr>
          <w:rFonts w:asciiTheme="minorEastAsia" w:hAnsiTheme="minorEastAsia" w:hint="eastAsia"/>
          <w:bCs/>
          <w:sz w:val="24"/>
        </w:rPr>
        <w:t>（1）股票投资占基金资产的比例为0%–95%；</w:t>
      </w:r>
    </w:p>
    <w:p w14:paraId="3093C50A"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2FFADA5D"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，其市值不超过基金资产净值的10％；</w:t>
      </w:r>
    </w:p>
    <w:p w14:paraId="4597F16F"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）本基金管理人管理的全部基金持有一家公司发行的证券，不超过该证券的10％；</w:t>
      </w:r>
    </w:p>
    <w:p w14:paraId="71160C62"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5</w:t>
      </w:r>
      <w:r>
        <w:rPr>
          <w:rFonts w:asciiTheme="minorEastAsia" w:hAnsiTheme="minorEastAsia" w:hint="eastAsia"/>
          <w:bCs/>
          <w:sz w:val="24"/>
        </w:rPr>
        <w:t>）本基金持有的全部权证，其市值不得超过基金资产净值的3％；</w:t>
      </w:r>
    </w:p>
    <w:p w14:paraId="75E5FC5E"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w:t>
      </w:r>
      <w:r>
        <w:rPr>
          <w:rFonts w:asciiTheme="minorEastAsia" w:hAnsiTheme="minorEastAsia" w:hint="eastAsia"/>
          <w:bCs/>
          <w:sz w:val="24"/>
        </w:rPr>
        <w:t>10％；</w:t>
      </w:r>
    </w:p>
    <w:p w14:paraId="130F8A3A"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）本基金在任何交易日买入权证的总金额，不得超过上一交易日基金资产净值的0.5％；</w:t>
      </w:r>
    </w:p>
    <w:p w14:paraId="56369215"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）本基金投资于同一原始权益人的各类资产支持证券的比例，不得超过基金资产净值的10％；</w:t>
      </w:r>
    </w:p>
    <w:p w14:paraId="068F269E"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）本基金持有的全部资产支持证券，其市值不得超过基金资产净值的20％，中国证监会规定的特殊品种除外；</w:t>
      </w:r>
    </w:p>
    <w:p w14:paraId="3CC93FF5"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）本基金持有的同一(指同一信用级别)资产支持证券的比例，不得超过该资产支持证券规模的10％；</w:t>
      </w:r>
    </w:p>
    <w:p w14:paraId="0FA77B90"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1</w:t>
      </w:r>
      <w:r>
        <w:rPr>
          <w:rFonts w:asciiTheme="minorEastAsia" w:hAnsiTheme="minorEastAsia" w:hint="eastAsia"/>
          <w:bCs/>
          <w:sz w:val="24"/>
        </w:rPr>
        <w:t>）本基金管理人管理的全部基金投资于同一原始权益人的各类资产支持证券，不得超过其各类资产支持证券合计规模的10％；</w:t>
      </w:r>
    </w:p>
    <w:p w14:paraId="273C09D2"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（1</w:t>
      </w:r>
      <w:r>
        <w:rPr>
          <w:rFonts w:asciiTheme="minorEastAsia" w:hAnsiTheme="minorEastAsia"/>
          <w:bCs/>
          <w:sz w:val="24"/>
        </w:rPr>
        <w:t>2</w:t>
      </w:r>
      <w:r>
        <w:rPr>
          <w:rFonts w:asciiTheme="minorEastAsia" w:hAnsiTheme="minorEastAsia"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45519435"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65AF83B4"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（1</w:t>
      </w:r>
      <w:r>
        <w:rPr>
          <w:rFonts w:asciiTheme="minorEastAsia" w:hAnsiTheme="minorEastAsia"/>
          <w:bCs/>
          <w:sz w:val="24"/>
        </w:rPr>
        <w:t>4</w:t>
      </w:r>
      <w:r>
        <w:rPr>
          <w:rFonts w:asciiTheme="minorEastAsia" w:hAnsiTheme="minorEastAsia" w:hint="eastAsia"/>
          <w:bCs/>
          <w:sz w:val="24"/>
        </w:rPr>
        <w:t>）本基金进入全国银行间同业市场进行债券回购的资金余额不得超过基金资产净值的40%，在全国银行间同业市场的债券回购最长期限为1年，债券回购到期后不得展期；</w:t>
      </w:r>
    </w:p>
    <w:p w14:paraId="195C710D"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（15）本基金总资产不得超过基金净资产的</w:t>
      </w:r>
      <w:r>
        <w:rPr>
          <w:rFonts w:asciiTheme="minorEastAsia" w:hAnsiTheme="minorEastAsia"/>
          <w:bCs/>
          <w:sz w:val="24"/>
        </w:rPr>
        <w:t xml:space="preserve"> </w:t>
      </w:r>
      <w:r>
        <w:rPr>
          <w:rFonts w:asciiTheme="minorEastAsia" w:hAnsiTheme="minorEastAsia" w:hint="eastAsia"/>
          <w:bCs/>
          <w:sz w:val="24"/>
        </w:rPr>
        <w:t>140%；</w:t>
      </w:r>
    </w:p>
    <w:p w14:paraId="0A69BF57"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（16）本基金投资于中小企业私募债的比例不超过基金资产净值的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15DE284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（17）本基金参与股指期货、国债期货交易，需遵守下列规定：</w:t>
      </w:r>
    </w:p>
    <w:p w14:paraId="06BAE935"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1）本基金在任何交易日日终，持有的买入股指期货合约价值，不得超过基金资产净值的10%；</w:t>
      </w:r>
    </w:p>
    <w:p w14:paraId="4B915472"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21616A1D"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3）本基金在任何交易日日终，持有的卖出股指期货合约价值不得超过基金持有的股票总市值的20%；</w:t>
      </w:r>
    </w:p>
    <w:p w14:paraId="3130A610"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4）本基金在任何交易日内交易（不包括平仓）的股指期货合约的成交金额不得超过上一交易日基金资产净值的20%；</w:t>
      </w:r>
    </w:p>
    <w:p w14:paraId="325F9140"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5）本基金所持有的股票市值和买入、卖出股指期货合约价值，合计（轧差计算）应当符合基金合同关于股票投资比例的有关规定；</w:t>
      </w:r>
    </w:p>
    <w:p w14:paraId="17540B23"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6）本基金在任何交易日日终，持有的买入国债期货合约价值，不得超过基金资产净值的15%；</w:t>
      </w:r>
    </w:p>
    <w:p w14:paraId="0E3BEAC0"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7）本基金在任何交易日日终，持有的卖出国债期货合约价值不得超过基金持有的债券总市值的30%；</w:t>
      </w:r>
    </w:p>
    <w:p w14:paraId="2BA98199"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8）本基金在任何交易日内交易（不包括平仓）的国债期货合约的成交金额不得超过上一交易日基金资产净值的30%；</w:t>
      </w:r>
    </w:p>
    <w:p w14:paraId="20DD86C0"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（18）本基金参与股票期权交易，需遵守下列投资比例限制：</w:t>
      </w:r>
    </w:p>
    <w:p w14:paraId="6D87481E"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1）本基金因未平仓的期权合约支付和收取的权利金总额不得超过基金资产净值的10%；</w:t>
      </w:r>
    </w:p>
    <w:p w14:paraId="79E694F7"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2）本基金开仓卖出认购期权的，应持有足额标的证券；开仓卖出认沽期权的，应持有合约行权所需的全额现金或交易所规则认可的可冲抵期权保证金的现金等价物；</w:t>
      </w:r>
    </w:p>
    <w:p w14:paraId="1DEDC17E"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3）本基金未平仓的期权合约面值不得超过基金资产净值的20%。其中，合约面值按照行权价乘以合约乘数计算；</w:t>
      </w:r>
    </w:p>
    <w:p w14:paraId="4524B8B1"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w:t>
      </w:r>
      <w:r>
        <w:rPr>
          <w:rFonts w:asciiTheme="minorEastAsia" w:hAnsiTheme="minorEastAsia"/>
          <w:sz w:val="24"/>
        </w:rPr>
        <w:t>30 %</w:t>
      </w:r>
      <w:r>
        <w:rPr>
          <w:rFonts w:asciiTheme="minorEastAsia" w:hAnsiTheme="minorEastAsia" w:hint="eastAsia"/>
          <w:sz w:val="24"/>
        </w:rPr>
        <w:t>；</w:t>
      </w:r>
    </w:p>
    <w:p w14:paraId="2CCE47CD"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（20）本基金主动投资于流动性受限资产的市值合计不得超过该基金资产净值的15%；</w:t>
      </w:r>
    </w:p>
    <w:p w14:paraId="00A553BA"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因证券市场波动、上市公司股票停牌、基金规模变动等基金管理人之外的因素致使基金不符合前款所规定比例限制的，</w:t>
      </w:r>
      <w:r>
        <w:rPr>
          <w:rFonts w:asciiTheme="minorEastAsia" w:hAnsiTheme="minorEastAsia"/>
          <w:sz w:val="24"/>
        </w:rPr>
        <w:t xml:space="preserve"> </w:t>
      </w:r>
      <w:r>
        <w:rPr>
          <w:rFonts w:asciiTheme="minorEastAsia" w:hAnsiTheme="minorEastAsia" w:hint="eastAsia"/>
          <w:sz w:val="24"/>
        </w:rPr>
        <w:t>基金管理人不得主动新增流动性受限资产的投资。</w:t>
      </w:r>
    </w:p>
    <w:p w14:paraId="6189A849"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（21）基金与私募类</w:t>
      </w:r>
      <w:proofErr w:type="gramStart"/>
      <w:r>
        <w:rPr>
          <w:rFonts w:asciiTheme="minorEastAsia" w:hAnsiTheme="minorEastAsia" w:hint="eastAsia"/>
          <w:sz w:val="24"/>
        </w:rPr>
        <w:t>证券资管产品</w:t>
      </w:r>
      <w:proofErr w:type="gramEnd"/>
      <w:r>
        <w:rPr>
          <w:rFonts w:asciiTheme="minorEastAsia" w:hAnsiTheme="minorEastAsia" w:hint="eastAsia"/>
          <w:sz w:val="24"/>
        </w:rPr>
        <w:t>及中国证监会认定的其他主体为交易对手开展逆回购交易的，</w:t>
      </w:r>
      <w:r>
        <w:rPr>
          <w:rFonts w:asciiTheme="minorEastAsia" w:hAnsiTheme="minorEastAsia"/>
          <w:sz w:val="24"/>
        </w:rPr>
        <w:t xml:space="preserve"> </w:t>
      </w:r>
      <w:r>
        <w:rPr>
          <w:rFonts w:asciiTheme="minorEastAsia" w:hAnsiTheme="minorEastAsia" w:hint="eastAsia"/>
          <w:sz w:val="24"/>
        </w:rPr>
        <w:t>可接受质押品的资质要求应当与基金合同约定的投资范围保持一致；</w:t>
      </w:r>
    </w:p>
    <w:p w14:paraId="7909EEA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（22）本基金投资存托凭证的比例限制依照境内上市交易的股票执行，与境内上市交易的股票合并计算；</w:t>
      </w:r>
    </w:p>
    <w:p w14:paraId="0D167FA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（23）法律法规及中国证监会规定的和《基金合同》约定的其他投资限制。</w:t>
      </w:r>
    </w:p>
    <w:p w14:paraId="332CCA1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5850CD2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w:t>
      </w:r>
      <w:r>
        <w:rPr>
          <w:rFonts w:asciiTheme="minorEastAsia" w:hAnsiTheme="minorEastAsia" w:hint="eastAsia"/>
          <w:bCs/>
          <w:sz w:val="24"/>
        </w:rPr>
        <w:lastRenderedPageBreak/>
        <w:t>始。</w:t>
      </w:r>
    </w:p>
    <w:p w14:paraId="2EDC6A3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p>
    <w:p w14:paraId="58E3167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2、禁止行为</w:t>
      </w:r>
    </w:p>
    <w:p w14:paraId="1AE1E1A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为维护基金份额持有人的合法权益，基金财产不得用于下列投资或者活动：</w:t>
      </w:r>
    </w:p>
    <w:p w14:paraId="669B426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（1）承销证券；</w:t>
      </w:r>
    </w:p>
    <w:p w14:paraId="6D50194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（2）违反规定向他人贷款或者提供担保；</w:t>
      </w:r>
    </w:p>
    <w:p w14:paraId="34E59B4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（3）从事承担无限责任的投资；</w:t>
      </w:r>
    </w:p>
    <w:p w14:paraId="67836D9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（4）买卖其他基金份额，但是中国证监会另有规定的除外；</w:t>
      </w:r>
    </w:p>
    <w:p w14:paraId="380F9EB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（5）向其基金管理人、基金托管人出资；</w:t>
      </w:r>
    </w:p>
    <w:p w14:paraId="4A494F3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（6）从事内幕交易、操纵证券交易价格及其他不正当的证券交易活动；</w:t>
      </w:r>
    </w:p>
    <w:p w14:paraId="7970BE4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（7）法律、行政法规和中国证监会规定禁止的其他活动。</w:t>
      </w:r>
    </w:p>
    <w:p w14:paraId="7541A18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1DFC21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法律、行政法规或监管部门取消上述禁止性规定，如适用于本基金，则本基金投资不再受相关限制。</w:t>
      </w:r>
    </w:p>
    <w:p w14:paraId="3025CFC9" w14:textId="77777777" w:rsidR="00D51FDF" w:rsidRDefault="00D51FDF">
      <w:pPr>
        <w:autoSpaceDE w:val="0"/>
        <w:autoSpaceDN w:val="0"/>
        <w:spacing w:line="360" w:lineRule="auto"/>
        <w:ind w:firstLineChars="200" w:firstLine="480"/>
        <w:textAlignment w:val="bottom"/>
        <w:rPr>
          <w:rFonts w:asciiTheme="minorEastAsia" w:hAnsiTheme="minorEastAsia"/>
          <w:bCs/>
          <w:sz w:val="24"/>
        </w:rPr>
      </w:pPr>
    </w:p>
    <w:p w14:paraId="35A12D5C" w14:textId="77777777" w:rsidR="00D51FDF" w:rsidRDefault="007F75F6">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0355E603"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bCs/>
          <w:sz w:val="24"/>
        </w:rPr>
        <w:t>本基金的业绩比较基准为：</w:t>
      </w:r>
      <w:r>
        <w:rPr>
          <w:rFonts w:asciiTheme="minorEastAsia" w:hAnsiTheme="minorEastAsia" w:hint="eastAsia"/>
          <w:sz w:val="24"/>
          <w:szCs w:val="24"/>
        </w:rPr>
        <w:t>沪深</w:t>
      </w:r>
      <w:r>
        <w:rPr>
          <w:rFonts w:asciiTheme="minorEastAsia" w:hAnsiTheme="minorEastAsia"/>
          <w:sz w:val="24"/>
          <w:szCs w:val="24"/>
        </w:rPr>
        <w:t>300指数收益率×55%+上证国债指数收益率</w:t>
      </w:r>
      <w:r>
        <w:rPr>
          <w:rFonts w:asciiTheme="minorEastAsia" w:hAnsiTheme="minorEastAsia" w:hint="eastAsia"/>
          <w:sz w:val="24"/>
          <w:szCs w:val="24"/>
        </w:rPr>
        <w:t>×</w:t>
      </w:r>
      <w:r>
        <w:rPr>
          <w:rFonts w:asciiTheme="minorEastAsia" w:hAnsiTheme="minorEastAsia"/>
          <w:sz w:val="24"/>
          <w:szCs w:val="24"/>
        </w:rPr>
        <w:t>45%。</w:t>
      </w:r>
    </w:p>
    <w:p w14:paraId="1165AE6D"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sz w:val="24"/>
          <w:szCs w:val="24"/>
        </w:rPr>
        <w:t>上证国债指数是以上海证券交易所上市的所有固定利率国债为样本,按照国 债发行量加权而成。上证国债指数编制合理、透明、运用广泛，具有较强的代表性和权威性，能够满足本基金的投资管理需要。</w:t>
      </w:r>
    </w:p>
    <w:p w14:paraId="04E13AF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沪深</w:t>
      </w:r>
      <w:r>
        <w:rPr>
          <w:rFonts w:asciiTheme="minorEastAsia" w:hAnsiTheme="minorEastAsia"/>
          <w:bCs/>
          <w:sz w:val="24"/>
        </w:rPr>
        <w:t xml:space="preserve"> 300 </w:t>
      </w:r>
      <w:r>
        <w:rPr>
          <w:rFonts w:asciiTheme="minorEastAsia" w:hAnsiTheme="minorEastAsia" w:hint="eastAsia"/>
          <w:bCs/>
          <w:sz w:val="24"/>
        </w:rPr>
        <w:t>指数选样科学客观，行业代表性好，流动性高，抗操纵性强，是</w:t>
      </w:r>
      <w:r>
        <w:rPr>
          <w:rFonts w:asciiTheme="minorEastAsia" w:hAnsiTheme="minorEastAsia" w:hint="eastAsia"/>
          <w:bCs/>
          <w:sz w:val="24"/>
        </w:rPr>
        <w:lastRenderedPageBreak/>
        <w:t>目前市场上较有影响力的股票投资业绩比较基准。基于本基金的投资范围和投资比例限制，选用上述业绩比较基准能够忠实反映本基金的风险收益特征。</w:t>
      </w:r>
    </w:p>
    <w:p w14:paraId="4F9F74B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如果今后法律法规发生变化，或者有更权威的、更能为市场普遍接受的业绩比较基准推出，或者是市场上出现更加适合用于本基金的业绩比较基准时，基金管理人经与基金托管人协商一致，可在履行适当程序后变更本基金业绩比较基准并及时公告，而无需召开基金份额持有人大会。</w:t>
      </w:r>
    </w:p>
    <w:p w14:paraId="334C59CE" w14:textId="77777777" w:rsidR="00D51FDF" w:rsidRDefault="007F75F6">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131E13D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本基金属于混合型基金，其预期风险和预期收益高于货币市场基金、债券基金，低于股票型基金，属于证券投资基金中</w:t>
      </w:r>
      <w:proofErr w:type="gramStart"/>
      <w:r>
        <w:rPr>
          <w:rFonts w:asciiTheme="minorEastAsia" w:hAnsiTheme="minorEastAsia" w:hint="eastAsia"/>
          <w:bCs/>
          <w:sz w:val="24"/>
        </w:rPr>
        <w:t>中</w:t>
      </w:r>
      <w:proofErr w:type="gramEnd"/>
      <w:r>
        <w:rPr>
          <w:rFonts w:asciiTheme="minorEastAsia" w:hAnsiTheme="minorEastAsia" w:hint="eastAsia"/>
          <w:bCs/>
          <w:sz w:val="24"/>
        </w:rPr>
        <w:t>风险、中预期收益的品种。</w:t>
      </w:r>
    </w:p>
    <w:p w14:paraId="03EB2CEB" w14:textId="77777777" w:rsidR="00D51FDF" w:rsidRDefault="00D51FDF">
      <w:pPr>
        <w:autoSpaceDE w:val="0"/>
        <w:autoSpaceDN w:val="0"/>
        <w:spacing w:line="360" w:lineRule="auto"/>
        <w:ind w:firstLineChars="200" w:firstLine="480"/>
        <w:textAlignment w:val="bottom"/>
        <w:rPr>
          <w:rFonts w:asciiTheme="minorEastAsia" w:hAnsiTheme="minorEastAsia"/>
          <w:bCs/>
          <w:sz w:val="24"/>
        </w:rPr>
      </w:pPr>
    </w:p>
    <w:p w14:paraId="7026EDBD" w14:textId="77777777" w:rsidR="00D51FDF" w:rsidRDefault="007F75F6">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七、基金管理人代表基金行使股东和债权人权利的处理原则及方法</w:t>
      </w:r>
    </w:p>
    <w:p w14:paraId="207B589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bookmarkStart w:id="216" w:name="_Toc416264546"/>
      <w:bookmarkStart w:id="217" w:name="_Toc21886"/>
      <w:bookmarkStart w:id="218" w:name="_Toc123112239"/>
      <w:bookmarkStart w:id="219" w:name="_Toc352229757"/>
      <w:bookmarkStart w:id="220" w:name="_Toc123102458"/>
      <w:bookmarkStart w:id="221" w:name="_Toc26084"/>
      <w:bookmarkStart w:id="222" w:name="_Toc16789"/>
      <w:bookmarkStart w:id="223" w:name="_Toc14725"/>
      <w:bookmarkStart w:id="224" w:name="_Toc31469"/>
      <w:bookmarkStart w:id="225" w:name="_Toc123051457"/>
      <w:bookmarkStart w:id="226" w:name="_Toc22674"/>
      <w:bookmarkStart w:id="227" w:name="_Toc26152"/>
      <w:bookmarkStart w:id="228" w:name="_Toc98560357"/>
      <w:bookmarkStart w:id="229" w:name="_Toc139991741"/>
      <w:bookmarkStart w:id="230" w:name="_Toc79392624"/>
      <w:bookmarkStart w:id="231" w:name="_Toc141703891"/>
      <w:bookmarkStart w:id="232" w:name="_Toc26383"/>
      <w:bookmarkStart w:id="233" w:name="_Toc19520"/>
      <w:bookmarkStart w:id="234" w:name="_Toc3244"/>
      <w:bookmarkStart w:id="235" w:name="_Toc2255"/>
      <w:bookmarkStart w:id="236" w:name="_Toc4864971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Fonts w:asciiTheme="minorEastAsia" w:hAnsiTheme="minorEastAsia" w:hint="eastAsia"/>
          <w:bCs/>
          <w:sz w:val="24"/>
        </w:rPr>
        <w:t>1、基金管理人按照国家有关规定代表基金独立行使股东和债权人权利，保护基金份额持有人的利益；</w:t>
      </w:r>
    </w:p>
    <w:p w14:paraId="3703105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2、不谋求对上市公司的控股，不参与所投资上市公司的经营管理；</w:t>
      </w:r>
    </w:p>
    <w:p w14:paraId="0B96D83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3、有利于基金财产的安全与增值；</w:t>
      </w:r>
    </w:p>
    <w:p w14:paraId="34F24E97" w14:textId="77777777" w:rsidR="00D51FDF" w:rsidRDefault="007F75F6">
      <w:pPr>
        <w:ind w:firstLineChars="200" w:firstLine="480"/>
        <w:rPr>
          <w:rFonts w:asciiTheme="minorEastAsia" w:hAnsiTheme="minorEastAsia"/>
          <w:sz w:val="24"/>
          <w:szCs w:val="24"/>
        </w:rPr>
      </w:pPr>
      <w:r>
        <w:rPr>
          <w:rFonts w:asciiTheme="minorEastAsia" w:hAnsiTheme="minorEastAsia"/>
          <w:sz w:val="24"/>
          <w:szCs w:val="24"/>
        </w:rPr>
        <w:t>4、不通过关联交易为自身、雇员、授权代理人或任何存在利害关系的第三人牟取任何不当利益。</w:t>
      </w:r>
    </w:p>
    <w:p w14:paraId="4EBDB3B2" w14:textId="77777777" w:rsidR="00D51FDF" w:rsidRDefault="00D51FDF">
      <w:pPr>
        <w:ind w:firstLineChars="200" w:firstLine="480"/>
        <w:rPr>
          <w:rFonts w:asciiTheme="minorEastAsia" w:hAnsiTheme="minorEastAsia"/>
          <w:sz w:val="24"/>
          <w:szCs w:val="24"/>
        </w:rPr>
      </w:pPr>
    </w:p>
    <w:p w14:paraId="5EA3A062" w14:textId="77777777" w:rsidR="00D51FDF" w:rsidRDefault="007F75F6">
      <w:pPr>
        <w:ind w:firstLineChars="200" w:firstLine="482"/>
        <w:rPr>
          <w:rFonts w:asciiTheme="minorEastAsia" w:hAnsiTheme="minorEastAsia"/>
          <w:b/>
          <w:sz w:val="24"/>
          <w:szCs w:val="24"/>
        </w:rPr>
      </w:pPr>
      <w:r>
        <w:rPr>
          <w:rFonts w:asciiTheme="minorEastAsia" w:hAnsiTheme="minorEastAsia" w:hint="eastAsia"/>
          <w:b/>
          <w:sz w:val="24"/>
          <w:szCs w:val="24"/>
        </w:rPr>
        <w:t>八、基金投资组合报告</w:t>
      </w:r>
    </w:p>
    <w:p w14:paraId="464CBEF2" w14:textId="2329C5F0"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基金管理人的董事会及董事保证本报告所载资料不存在虚假记载、误导性陈述或重大遗漏，并对其内容的真实性、准确性和完整性承担个别及连带责任。 </w:t>
      </w:r>
      <w:r>
        <w:rPr>
          <w:rFonts w:asciiTheme="minorEastAsia" w:hAnsiTheme="minorEastAsia"/>
          <w:sz w:val="24"/>
          <w:szCs w:val="24"/>
        </w:rPr>
        <w:br/>
      </w:r>
      <w:r>
        <w:rPr>
          <w:rFonts w:asciiTheme="minorEastAsia" w:hAnsiTheme="minorEastAsia" w:hint="eastAsia"/>
          <w:sz w:val="24"/>
          <w:szCs w:val="24"/>
        </w:rPr>
        <w:t>  </w:t>
      </w:r>
      <w:r>
        <w:rPr>
          <w:rFonts w:asciiTheme="minorEastAsia" w:hAnsiTheme="minorEastAsia"/>
          <w:sz w:val="24"/>
          <w:szCs w:val="24"/>
        </w:rPr>
        <w:t xml:space="preserve">   </w:t>
      </w:r>
      <w:r>
        <w:rPr>
          <w:rFonts w:asciiTheme="minorEastAsia" w:hAnsiTheme="minorEastAsia" w:hint="eastAsia"/>
          <w:sz w:val="24"/>
          <w:szCs w:val="24"/>
        </w:rPr>
        <w:t>基金托管人中国光大银行股份有限公司根据本基金合同规定，</w:t>
      </w:r>
      <w:r w:rsidR="001761C3">
        <w:rPr>
          <w:rFonts w:asciiTheme="minorEastAsia" w:hAnsiTheme="minorEastAsia" w:hint="eastAsia"/>
          <w:sz w:val="24"/>
          <w:szCs w:val="24"/>
        </w:rPr>
        <w:t>已</w:t>
      </w:r>
      <w:r>
        <w:rPr>
          <w:rFonts w:asciiTheme="minorEastAsia" w:hAnsiTheme="minorEastAsia" w:hint="eastAsia"/>
          <w:sz w:val="24"/>
          <w:szCs w:val="24"/>
        </w:rPr>
        <w:t>复核了本报告中的财务指标、净值表现和投资组合报告等内容，保证复核内容不存在虚假记载、误导性陈述或者重大遗漏。</w:t>
      </w:r>
    </w:p>
    <w:p w14:paraId="0946209C" w14:textId="2732020C" w:rsidR="00D51FDF" w:rsidRDefault="007F75F6">
      <w:pPr>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本投资组合报告所载数据截至</w:t>
      </w:r>
      <w:r>
        <w:rPr>
          <w:rFonts w:asciiTheme="minorEastAsia" w:hAnsiTheme="minorEastAsia" w:cs="Arial"/>
          <w:bCs/>
          <w:sz w:val="24"/>
          <w:szCs w:val="24"/>
        </w:rPr>
        <w:t>202</w:t>
      </w:r>
      <w:r w:rsidR="001761C3">
        <w:rPr>
          <w:rFonts w:asciiTheme="minorEastAsia" w:hAnsiTheme="minorEastAsia" w:cs="Arial"/>
          <w:bCs/>
          <w:sz w:val="24"/>
          <w:szCs w:val="24"/>
        </w:rPr>
        <w:t>1</w:t>
      </w:r>
      <w:r>
        <w:rPr>
          <w:rFonts w:asciiTheme="minorEastAsia" w:hAnsiTheme="minorEastAsia" w:cs="Arial" w:hint="eastAsia"/>
          <w:bCs/>
          <w:sz w:val="24"/>
          <w:szCs w:val="24"/>
        </w:rPr>
        <w:t>年</w:t>
      </w:r>
      <w:r>
        <w:rPr>
          <w:rFonts w:asciiTheme="minorEastAsia" w:hAnsiTheme="minorEastAsia" w:cs="Arial"/>
          <w:bCs/>
          <w:sz w:val="24"/>
          <w:szCs w:val="24"/>
        </w:rPr>
        <w:t>06</w:t>
      </w:r>
      <w:r>
        <w:rPr>
          <w:rFonts w:asciiTheme="minorEastAsia" w:hAnsiTheme="minorEastAsia" w:cs="Arial" w:hint="eastAsia"/>
          <w:bCs/>
          <w:sz w:val="24"/>
          <w:szCs w:val="24"/>
        </w:rPr>
        <w:t>月</w:t>
      </w:r>
      <w:r>
        <w:rPr>
          <w:rFonts w:asciiTheme="minorEastAsia" w:hAnsiTheme="minorEastAsia" w:cs="Arial"/>
          <w:bCs/>
          <w:sz w:val="24"/>
          <w:szCs w:val="24"/>
        </w:rPr>
        <w:t>30</w:t>
      </w:r>
      <w:r>
        <w:rPr>
          <w:rFonts w:asciiTheme="minorEastAsia" w:hAnsiTheme="minorEastAsia" w:cs="Arial" w:hint="eastAsia"/>
          <w:bCs/>
          <w:sz w:val="24"/>
          <w:szCs w:val="24"/>
        </w:rPr>
        <w:t>日，本报告中所列财务数据未经审计。</w:t>
      </w:r>
    </w:p>
    <w:p w14:paraId="625DBA37" w14:textId="77777777" w:rsidR="00D51FDF" w:rsidRDefault="007F75F6">
      <w:pPr>
        <w:pStyle w:val="zhangjiep"/>
        <w:spacing w:line="360" w:lineRule="auto"/>
        <w:ind w:firstLine="405"/>
        <w:outlineLvl w:val="9"/>
        <w:rPr>
          <w:rFonts w:asciiTheme="minorEastAsia" w:eastAsiaTheme="minorEastAsia" w:hAnsiTheme="minorEastAsia"/>
          <w:bCs/>
        </w:rPr>
      </w:pPr>
      <w:r>
        <w:rPr>
          <w:rFonts w:asciiTheme="minorEastAsia" w:eastAsiaTheme="minorEastAsia" w:hAnsiTheme="minorEastAsia"/>
          <w:bCs/>
        </w:rPr>
        <w:t>1、报告期末基金资产组合情况</w:t>
      </w:r>
    </w:p>
    <w:tbl>
      <w:tblPr>
        <w:tblW w:w="8647" w:type="dxa"/>
        <w:tblInd w:w="108" w:type="dxa"/>
        <w:tblLook w:val="04A0" w:firstRow="1" w:lastRow="0" w:firstColumn="1" w:lastColumn="0" w:noHBand="0" w:noVBand="1"/>
      </w:tblPr>
      <w:tblGrid>
        <w:gridCol w:w="762"/>
        <w:gridCol w:w="2906"/>
        <w:gridCol w:w="2428"/>
        <w:gridCol w:w="2551"/>
      </w:tblGrid>
      <w:tr w:rsidR="00DB7667" w14:paraId="4843F24C" w14:textId="77777777" w:rsidTr="00EE54B8">
        <w:tc>
          <w:tcPr>
            <w:tcW w:w="762" w:type="dxa"/>
            <w:tcBorders>
              <w:top w:val="single" w:sz="8" w:space="0" w:color="000000"/>
              <w:left w:val="single" w:sz="8" w:space="0" w:color="000000"/>
              <w:bottom w:val="single" w:sz="6" w:space="0" w:color="000000"/>
              <w:right w:val="single" w:sz="8" w:space="0" w:color="000000"/>
            </w:tcBorders>
            <w:vAlign w:val="center"/>
            <w:hideMark/>
          </w:tcPr>
          <w:p w14:paraId="1D87A6D9" w14:textId="77777777" w:rsidR="00DB7667" w:rsidRDefault="00DB7667">
            <w:pPr>
              <w:pStyle w:val="biaogecenter"/>
              <w:wordWrap w:val="0"/>
            </w:pPr>
            <w:r>
              <w:rPr>
                <w:rFonts w:hAnsi="等线" w:hint="eastAsia"/>
                <w:color w:val="000000"/>
              </w:rPr>
              <w:t>序号</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7818A39A" w14:textId="77777777" w:rsidR="00DB7667" w:rsidRDefault="00DB7667">
            <w:pPr>
              <w:pStyle w:val="biaogecenter"/>
              <w:wordWrap w:val="0"/>
            </w:pPr>
            <w:r>
              <w:rPr>
                <w:rFonts w:hAnsi="等线" w:hint="eastAsia"/>
                <w:color w:val="000000"/>
              </w:rPr>
              <w:t>项目</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644943CE" w14:textId="77777777" w:rsidR="00DB7667" w:rsidRDefault="00DB7667">
            <w:pPr>
              <w:pStyle w:val="biaogecenter"/>
              <w:wordWrap w:val="0"/>
            </w:pPr>
            <w:r>
              <w:rPr>
                <w:rFonts w:hAnsi="等线" w:hint="eastAsia"/>
                <w:color w:val="000000"/>
              </w:rPr>
              <w:t>金额(元)</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69BB0F39" w14:textId="77777777" w:rsidR="00DB7667" w:rsidRDefault="00DB7667">
            <w:pPr>
              <w:pStyle w:val="biaogecenter"/>
              <w:wordWrap w:val="0"/>
            </w:pPr>
            <w:r>
              <w:rPr>
                <w:rFonts w:hAnsi="等线" w:hint="eastAsia"/>
                <w:color w:val="000000"/>
              </w:rPr>
              <w:t>占基金总资产的比例（%）</w:t>
            </w:r>
          </w:p>
        </w:tc>
      </w:tr>
      <w:tr w:rsidR="00DB7667" w14:paraId="1A3B7F16"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71B3195C" w14:textId="77777777" w:rsidR="00DB7667" w:rsidRDefault="00DB7667">
            <w:pPr>
              <w:pStyle w:val="biaogecenter"/>
              <w:wordWrap w:val="0"/>
            </w:pPr>
            <w:r>
              <w:rPr>
                <w:rFonts w:hAnsi="等线" w:hint="eastAsia"/>
                <w:color w:val="000000"/>
              </w:rPr>
              <w:t>1</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7EE0D0C2" w14:textId="77777777" w:rsidR="00DB7667" w:rsidRDefault="00DB7667">
            <w:pPr>
              <w:pStyle w:val="biaogeleft"/>
              <w:wordWrap w:val="0"/>
            </w:pPr>
            <w:r>
              <w:rPr>
                <w:rFonts w:hint="eastAsia"/>
              </w:rPr>
              <w:t>权益投资</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11B5A9BA" w14:textId="77777777" w:rsidR="00DB7667" w:rsidRDefault="00DB7667">
            <w:pPr>
              <w:pStyle w:val="biaogeright"/>
              <w:wordWrap w:val="0"/>
            </w:pPr>
            <w:r>
              <w:rPr>
                <w:rFonts w:hint="eastAsia"/>
              </w:rPr>
              <w:t>12,978,486.40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013CF2CE" w14:textId="77777777" w:rsidR="00DB7667" w:rsidRDefault="00DB7667">
            <w:pPr>
              <w:pStyle w:val="biaogeright"/>
              <w:wordWrap w:val="0"/>
            </w:pPr>
            <w:r>
              <w:rPr>
                <w:rFonts w:hint="eastAsia"/>
              </w:rPr>
              <w:t>24.84</w:t>
            </w:r>
          </w:p>
        </w:tc>
      </w:tr>
      <w:tr w:rsidR="00DB7667" w14:paraId="0C45C2AE"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778735F3" w14:textId="77777777" w:rsidR="00DB7667" w:rsidRDefault="00DB7667">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92D9125" w14:textId="77777777" w:rsidR="00DB7667" w:rsidRDefault="00DB7667">
            <w:pPr>
              <w:pStyle w:val="biaogeleft"/>
              <w:wordWrap w:val="0"/>
            </w:pPr>
            <w:r>
              <w:rPr>
                <w:rFonts w:hint="eastAsia"/>
              </w:rPr>
              <w:t>其中：股票</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0425FCDB" w14:textId="77777777" w:rsidR="00DB7667" w:rsidRDefault="00DB7667">
            <w:pPr>
              <w:pStyle w:val="biaogeright"/>
              <w:wordWrap w:val="0"/>
            </w:pPr>
            <w:r>
              <w:rPr>
                <w:rFonts w:hint="eastAsia"/>
              </w:rPr>
              <w:t>12,978,486.40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40620AD1" w14:textId="77777777" w:rsidR="00DB7667" w:rsidRDefault="00DB7667">
            <w:pPr>
              <w:pStyle w:val="biaogeright"/>
              <w:wordWrap w:val="0"/>
            </w:pPr>
            <w:r>
              <w:rPr>
                <w:rFonts w:hint="eastAsia"/>
              </w:rPr>
              <w:t>24.84</w:t>
            </w:r>
          </w:p>
        </w:tc>
      </w:tr>
      <w:tr w:rsidR="00DB7667" w14:paraId="2F771F32"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6B4A3D03" w14:textId="77777777" w:rsidR="00DB7667" w:rsidRDefault="00DB7667">
            <w:pPr>
              <w:pStyle w:val="biaogecenter"/>
              <w:wordWrap w:val="0"/>
            </w:pPr>
            <w:r>
              <w:rPr>
                <w:rFonts w:hAnsi="等线" w:hint="eastAsia"/>
                <w:color w:val="000000"/>
              </w:rPr>
              <w:lastRenderedPageBreak/>
              <w:t>2</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1A1397F3" w14:textId="77777777" w:rsidR="00DB7667" w:rsidRDefault="00DB7667">
            <w:pPr>
              <w:pStyle w:val="biaogeleft"/>
              <w:wordWrap w:val="0"/>
            </w:pPr>
            <w:r>
              <w:rPr>
                <w:rFonts w:hint="eastAsia"/>
              </w:rPr>
              <w:t>基金投资</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7CB9027E"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60A184F9" w14:textId="77777777" w:rsidR="00DB7667" w:rsidRDefault="00DB7667">
            <w:pPr>
              <w:pStyle w:val="biaogeright"/>
              <w:wordWrap w:val="0"/>
            </w:pPr>
            <w:r>
              <w:rPr>
                <w:rFonts w:hint="eastAsia"/>
              </w:rPr>
              <w:t>-</w:t>
            </w:r>
          </w:p>
        </w:tc>
      </w:tr>
      <w:tr w:rsidR="00DB7667" w14:paraId="1155F43F"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07F499BC" w14:textId="77777777" w:rsidR="00DB7667" w:rsidRDefault="00DB7667">
            <w:pPr>
              <w:pStyle w:val="biaogecenter"/>
              <w:wordWrap w:val="0"/>
            </w:pPr>
            <w:r>
              <w:rPr>
                <w:rFonts w:hAnsi="等线" w:hint="eastAsia"/>
                <w:color w:val="000000"/>
              </w:rPr>
              <w:t>3</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4DBA693C" w14:textId="77777777" w:rsidR="00DB7667" w:rsidRDefault="00DB7667">
            <w:pPr>
              <w:pStyle w:val="biaogeleft"/>
              <w:wordWrap w:val="0"/>
            </w:pPr>
            <w:r>
              <w:rPr>
                <w:rFonts w:hint="eastAsia"/>
              </w:rPr>
              <w:t>固定收益投资</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0363F586" w14:textId="77777777" w:rsidR="00DB7667" w:rsidRDefault="00DB7667">
            <w:pPr>
              <w:pStyle w:val="biaogeright"/>
              <w:wordWrap w:val="0"/>
            </w:pPr>
            <w:r>
              <w:rPr>
                <w:rFonts w:hint="eastAsia"/>
              </w:rPr>
              <w:t>35,146,850.00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2CCEB72D" w14:textId="77777777" w:rsidR="00DB7667" w:rsidRDefault="00DB7667">
            <w:pPr>
              <w:pStyle w:val="biaogeright"/>
              <w:wordWrap w:val="0"/>
            </w:pPr>
            <w:r>
              <w:rPr>
                <w:rFonts w:hint="eastAsia"/>
              </w:rPr>
              <w:t>67.27</w:t>
            </w:r>
          </w:p>
        </w:tc>
      </w:tr>
      <w:tr w:rsidR="00DB7667" w14:paraId="0DC90816"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2987BF86" w14:textId="77777777" w:rsidR="00DB7667" w:rsidRDefault="00DB7667">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57CB38B7" w14:textId="77777777" w:rsidR="00DB7667" w:rsidRDefault="00DB7667">
            <w:pPr>
              <w:pStyle w:val="biaogeleft"/>
              <w:wordWrap w:val="0"/>
            </w:pPr>
            <w:r>
              <w:rPr>
                <w:rFonts w:hint="eastAsia"/>
              </w:rPr>
              <w:t>其中：债券</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2A4BB7CC" w14:textId="77777777" w:rsidR="00DB7667" w:rsidRDefault="00DB7667">
            <w:pPr>
              <w:pStyle w:val="biaogeright"/>
              <w:wordWrap w:val="0"/>
            </w:pPr>
            <w:r>
              <w:rPr>
                <w:rFonts w:hint="eastAsia"/>
              </w:rPr>
              <w:t>35,146,850.00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35D6D57E" w14:textId="77777777" w:rsidR="00DB7667" w:rsidRDefault="00DB7667">
            <w:pPr>
              <w:pStyle w:val="biaogeright"/>
              <w:wordWrap w:val="0"/>
            </w:pPr>
            <w:r>
              <w:rPr>
                <w:rFonts w:hint="eastAsia"/>
              </w:rPr>
              <w:t>67.27</w:t>
            </w:r>
          </w:p>
        </w:tc>
      </w:tr>
      <w:tr w:rsidR="00DB7667" w14:paraId="12178BE2"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7447E824" w14:textId="77777777" w:rsidR="00DB7667" w:rsidRDefault="00DB7667">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05A1971B" w14:textId="77777777" w:rsidR="00DB7667" w:rsidRDefault="00DB7667">
            <w:pPr>
              <w:pStyle w:val="biaogeleft"/>
              <w:wordWrap w:val="0"/>
              <w:ind w:left="750"/>
            </w:pPr>
            <w:r>
              <w:rPr>
                <w:rFonts w:hint="eastAsia"/>
              </w:rPr>
              <w:t>资产支持证券</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232E9B30"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4E0432A4" w14:textId="77777777" w:rsidR="00DB7667" w:rsidRDefault="00DB7667">
            <w:pPr>
              <w:pStyle w:val="biaogeright"/>
              <w:wordWrap w:val="0"/>
            </w:pPr>
            <w:r>
              <w:rPr>
                <w:rFonts w:hint="eastAsia"/>
              </w:rPr>
              <w:t>-</w:t>
            </w:r>
          </w:p>
        </w:tc>
      </w:tr>
      <w:tr w:rsidR="00DB7667" w14:paraId="789B778B"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2C5E0976" w14:textId="77777777" w:rsidR="00DB7667" w:rsidRDefault="00DB7667">
            <w:pPr>
              <w:pStyle w:val="biaogecenter"/>
              <w:wordWrap w:val="0"/>
            </w:pPr>
            <w:r>
              <w:rPr>
                <w:rFonts w:hAnsi="等线" w:hint="eastAsia"/>
                <w:color w:val="000000"/>
              </w:rPr>
              <w:t>4</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2E9DBBBA" w14:textId="77777777" w:rsidR="00DB7667" w:rsidRDefault="00DB7667">
            <w:pPr>
              <w:pStyle w:val="biaogeleft"/>
              <w:wordWrap w:val="0"/>
            </w:pPr>
            <w:r>
              <w:rPr>
                <w:rFonts w:hint="eastAsia"/>
              </w:rPr>
              <w:t>贵金属投资</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74378976"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11A16B3B" w14:textId="77777777" w:rsidR="00DB7667" w:rsidRDefault="00DB7667">
            <w:pPr>
              <w:pStyle w:val="biaogeright"/>
              <w:wordWrap w:val="0"/>
            </w:pPr>
            <w:r>
              <w:rPr>
                <w:rFonts w:hint="eastAsia"/>
              </w:rPr>
              <w:t>-</w:t>
            </w:r>
          </w:p>
        </w:tc>
      </w:tr>
      <w:tr w:rsidR="00DB7667" w14:paraId="335C1893"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7F4609C7" w14:textId="77777777" w:rsidR="00DB7667" w:rsidRDefault="00DB7667">
            <w:pPr>
              <w:pStyle w:val="biaogecenter"/>
              <w:wordWrap w:val="0"/>
            </w:pPr>
            <w:r>
              <w:rPr>
                <w:rFonts w:hAnsi="等线" w:hint="eastAsia"/>
                <w:color w:val="000000"/>
              </w:rPr>
              <w:t>5</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3CF201EB" w14:textId="77777777" w:rsidR="00DB7667" w:rsidRDefault="00DB7667">
            <w:pPr>
              <w:pStyle w:val="biaogeleft"/>
              <w:wordWrap w:val="0"/>
            </w:pPr>
            <w:r>
              <w:rPr>
                <w:rFonts w:hint="eastAsia"/>
              </w:rPr>
              <w:t>金融衍生</w:t>
            </w:r>
            <w:proofErr w:type="gramStart"/>
            <w:r>
              <w:rPr>
                <w:rFonts w:hint="eastAsia"/>
              </w:rPr>
              <w:t>品投资</w:t>
            </w:r>
            <w:proofErr w:type="gramEnd"/>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2B405A22"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5ECE81F2" w14:textId="77777777" w:rsidR="00DB7667" w:rsidRDefault="00DB7667">
            <w:pPr>
              <w:pStyle w:val="biaogeright"/>
              <w:wordWrap w:val="0"/>
            </w:pPr>
            <w:r>
              <w:rPr>
                <w:rFonts w:hint="eastAsia"/>
              </w:rPr>
              <w:t>-</w:t>
            </w:r>
          </w:p>
        </w:tc>
      </w:tr>
      <w:tr w:rsidR="00DB7667" w14:paraId="63194455"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6F279C50" w14:textId="77777777" w:rsidR="00DB7667" w:rsidRDefault="00DB7667">
            <w:pPr>
              <w:pStyle w:val="biaogecenter"/>
              <w:wordWrap w:val="0"/>
            </w:pPr>
            <w:r>
              <w:rPr>
                <w:rFonts w:hAnsi="等线" w:hint="eastAsia"/>
                <w:color w:val="000000"/>
              </w:rPr>
              <w:t>6</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5DA48BE4" w14:textId="77777777" w:rsidR="00DB7667" w:rsidRDefault="00DB7667">
            <w:pPr>
              <w:pStyle w:val="biaogeleft"/>
              <w:wordWrap w:val="0"/>
            </w:pPr>
            <w:r>
              <w:rPr>
                <w:rFonts w:hint="eastAsia"/>
              </w:rPr>
              <w:t>买入返售金融资产</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0C979A26"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2F0161FF" w14:textId="77777777" w:rsidR="00DB7667" w:rsidRDefault="00DB7667">
            <w:pPr>
              <w:pStyle w:val="biaogeright"/>
              <w:wordWrap w:val="0"/>
            </w:pPr>
            <w:r>
              <w:rPr>
                <w:rFonts w:hint="eastAsia"/>
              </w:rPr>
              <w:t>-</w:t>
            </w:r>
          </w:p>
        </w:tc>
      </w:tr>
      <w:tr w:rsidR="00DB7667" w14:paraId="52DE645D"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5B5F62C5" w14:textId="77777777" w:rsidR="00DB7667" w:rsidRDefault="00DB7667">
            <w:pPr>
              <w:widowControl/>
              <w:jc w:val="left"/>
              <w:rPr>
                <w:rFonts w:cs="宋体"/>
                <w:kern w:val="0"/>
                <w:sz w:val="20"/>
                <w:szCs w:val="20"/>
              </w:rPr>
            </w:pP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755CFD00" w14:textId="77777777" w:rsidR="00DB7667" w:rsidRDefault="00DB7667">
            <w:pPr>
              <w:pStyle w:val="biaogeleft"/>
              <w:wordWrap w:val="0"/>
            </w:pPr>
            <w:r>
              <w:rPr>
                <w:rFonts w:hint="eastAsia"/>
              </w:rPr>
              <w:t>其中：买断式回购的买入返售金融资产</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0B62D640"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69C20248" w14:textId="77777777" w:rsidR="00DB7667" w:rsidRDefault="00DB7667">
            <w:pPr>
              <w:pStyle w:val="biaogeright"/>
              <w:wordWrap w:val="0"/>
            </w:pPr>
            <w:r>
              <w:rPr>
                <w:rFonts w:hint="eastAsia"/>
              </w:rPr>
              <w:t>-</w:t>
            </w:r>
          </w:p>
        </w:tc>
      </w:tr>
      <w:tr w:rsidR="00DB7667" w14:paraId="0E867521"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38BD2651" w14:textId="77777777" w:rsidR="00DB7667" w:rsidRDefault="00DB7667">
            <w:pPr>
              <w:pStyle w:val="biaogecenter"/>
              <w:wordWrap w:val="0"/>
            </w:pPr>
            <w:r>
              <w:rPr>
                <w:rFonts w:hAnsi="等线" w:hint="eastAsia"/>
                <w:color w:val="000000"/>
              </w:rPr>
              <w:t>7</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4B73C5CB" w14:textId="77777777" w:rsidR="00DB7667" w:rsidRDefault="00DB7667">
            <w:pPr>
              <w:pStyle w:val="biaogeleft"/>
              <w:wordWrap w:val="0"/>
            </w:pPr>
            <w:r>
              <w:rPr>
                <w:rFonts w:hint="eastAsia"/>
              </w:rPr>
              <w:t>银行存款和结算备付金合计</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3377EAD1" w14:textId="77777777" w:rsidR="00DB7667" w:rsidRDefault="00DB7667">
            <w:pPr>
              <w:pStyle w:val="biaogeright"/>
              <w:wordWrap w:val="0"/>
            </w:pPr>
            <w:r>
              <w:rPr>
                <w:rFonts w:hint="eastAsia"/>
              </w:rPr>
              <w:t>472,625.47</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1A782740" w14:textId="77777777" w:rsidR="00DB7667" w:rsidRDefault="00DB7667">
            <w:pPr>
              <w:pStyle w:val="biaogeright"/>
              <w:wordWrap w:val="0"/>
            </w:pPr>
            <w:r>
              <w:rPr>
                <w:rFonts w:hint="eastAsia"/>
              </w:rPr>
              <w:t>0.90</w:t>
            </w:r>
          </w:p>
        </w:tc>
      </w:tr>
      <w:tr w:rsidR="00DB7667" w14:paraId="098572F4"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57483347" w14:textId="77777777" w:rsidR="00DB7667" w:rsidRDefault="00DB7667">
            <w:pPr>
              <w:pStyle w:val="biaogecenter"/>
              <w:wordWrap w:val="0"/>
            </w:pPr>
            <w:r>
              <w:rPr>
                <w:rFonts w:hAnsi="等线" w:hint="eastAsia"/>
                <w:color w:val="000000"/>
              </w:rPr>
              <w:t>8</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07E3FECB" w14:textId="77777777" w:rsidR="00DB7667" w:rsidRDefault="00DB7667">
            <w:pPr>
              <w:pStyle w:val="biaogeleft"/>
              <w:wordWrap w:val="0"/>
            </w:pPr>
            <w:r>
              <w:rPr>
                <w:rFonts w:hint="eastAsia"/>
              </w:rPr>
              <w:t>其他资产</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50B2569C" w14:textId="77777777" w:rsidR="00DB7667" w:rsidRDefault="00DB7667">
            <w:pPr>
              <w:pStyle w:val="biaogeright"/>
              <w:wordWrap w:val="0"/>
            </w:pPr>
            <w:r>
              <w:rPr>
                <w:rFonts w:hint="eastAsia"/>
              </w:rPr>
              <w:t>3,646,263.69</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64B18698" w14:textId="77777777" w:rsidR="00DB7667" w:rsidRDefault="00DB7667">
            <w:pPr>
              <w:pStyle w:val="biaogeright"/>
              <w:wordWrap w:val="0"/>
            </w:pPr>
            <w:r>
              <w:rPr>
                <w:rFonts w:hint="eastAsia"/>
              </w:rPr>
              <w:t>6.98</w:t>
            </w:r>
          </w:p>
        </w:tc>
      </w:tr>
      <w:tr w:rsidR="00DB7667" w14:paraId="165E5A14"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5F97A62C" w14:textId="77777777" w:rsidR="00DB7667" w:rsidRDefault="00DB7667">
            <w:pPr>
              <w:pStyle w:val="biaogecenter"/>
              <w:wordWrap w:val="0"/>
            </w:pPr>
            <w:r>
              <w:rPr>
                <w:rFonts w:hint="eastAsia"/>
              </w:rPr>
              <w:t>9</w:t>
            </w:r>
          </w:p>
        </w:tc>
        <w:tc>
          <w:tcPr>
            <w:tcW w:w="2906" w:type="dxa"/>
            <w:tcBorders>
              <w:top w:val="single" w:sz="8" w:space="0" w:color="000000"/>
              <w:left w:val="single" w:sz="8" w:space="0" w:color="000000"/>
              <w:bottom w:val="single" w:sz="6" w:space="0" w:color="000000"/>
              <w:right w:val="single" w:sz="8" w:space="0" w:color="000000"/>
            </w:tcBorders>
            <w:vAlign w:val="center"/>
            <w:hideMark/>
          </w:tcPr>
          <w:p w14:paraId="57CED447" w14:textId="77777777" w:rsidR="00DB7667" w:rsidRDefault="00DB7667">
            <w:pPr>
              <w:pStyle w:val="biaogeleft"/>
              <w:wordWrap w:val="0"/>
            </w:pPr>
            <w:r>
              <w:rPr>
                <w:rFonts w:hint="eastAsia"/>
              </w:rPr>
              <w:t>合计</w:t>
            </w:r>
          </w:p>
        </w:tc>
        <w:tc>
          <w:tcPr>
            <w:tcW w:w="2428" w:type="dxa"/>
            <w:tcBorders>
              <w:top w:val="single" w:sz="8" w:space="0" w:color="000000"/>
              <w:left w:val="single" w:sz="8" w:space="0" w:color="000000"/>
              <w:bottom w:val="single" w:sz="6" w:space="0" w:color="000000"/>
              <w:right w:val="single" w:sz="8" w:space="0" w:color="000000"/>
            </w:tcBorders>
            <w:vAlign w:val="center"/>
            <w:hideMark/>
          </w:tcPr>
          <w:p w14:paraId="34B29005" w14:textId="77777777" w:rsidR="00DB7667" w:rsidRDefault="00DB7667">
            <w:pPr>
              <w:pStyle w:val="biaogeright"/>
              <w:wordWrap w:val="0"/>
            </w:pPr>
            <w:r>
              <w:rPr>
                <w:rFonts w:hint="eastAsia"/>
              </w:rPr>
              <w:t>52,244,225.56</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414BDCB1" w14:textId="77777777" w:rsidR="00DB7667" w:rsidRDefault="00DB7667">
            <w:pPr>
              <w:pStyle w:val="biaogeright"/>
              <w:wordWrap w:val="0"/>
            </w:pPr>
            <w:r>
              <w:rPr>
                <w:rFonts w:hint="eastAsia"/>
              </w:rPr>
              <w:t>100.00</w:t>
            </w:r>
          </w:p>
        </w:tc>
      </w:tr>
    </w:tbl>
    <w:p w14:paraId="47C1CF41" w14:textId="77777777" w:rsidR="00D51FDF" w:rsidRDefault="007F75F6">
      <w:pPr>
        <w:pStyle w:val="zhangjiep"/>
        <w:spacing w:line="360" w:lineRule="auto"/>
        <w:outlineLvl w:val="9"/>
        <w:rPr>
          <w:rFonts w:asciiTheme="minorEastAsia" w:eastAsiaTheme="minorEastAsia" w:hAnsiTheme="minorEastAsia"/>
          <w:bCs/>
        </w:rPr>
      </w:pPr>
      <w:r>
        <w:rPr>
          <w:rFonts w:asciiTheme="minorEastAsia" w:eastAsiaTheme="minorEastAsia" w:hAnsiTheme="minorEastAsia" w:hint="eastAsia"/>
          <w:bCs/>
        </w:rPr>
        <w:tab/>
      </w:r>
      <w:r>
        <w:rPr>
          <w:rFonts w:asciiTheme="minorEastAsia" w:eastAsiaTheme="minorEastAsia" w:hAnsiTheme="minorEastAsia"/>
          <w:bCs/>
        </w:rPr>
        <w:t>2、报告期末按行业分类的股票投资组合</w:t>
      </w:r>
    </w:p>
    <w:p w14:paraId="7138DC35"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1）报告期末按行业分类的境内股票投资组合</w:t>
      </w:r>
    </w:p>
    <w:tbl>
      <w:tblPr>
        <w:tblW w:w="8647" w:type="dxa"/>
        <w:tblInd w:w="108" w:type="dxa"/>
        <w:tblLook w:val="04A0" w:firstRow="1" w:lastRow="0" w:firstColumn="1" w:lastColumn="0" w:noHBand="0" w:noVBand="1"/>
      </w:tblPr>
      <w:tblGrid>
        <w:gridCol w:w="781"/>
        <w:gridCol w:w="3349"/>
        <w:gridCol w:w="1966"/>
        <w:gridCol w:w="2551"/>
      </w:tblGrid>
      <w:tr w:rsidR="00DB7667" w14:paraId="39C06897" w14:textId="77777777" w:rsidTr="00EE54B8">
        <w:tc>
          <w:tcPr>
            <w:tcW w:w="781" w:type="dxa"/>
            <w:tcBorders>
              <w:top w:val="single" w:sz="8" w:space="0" w:color="000000"/>
              <w:left w:val="single" w:sz="8" w:space="0" w:color="000000"/>
              <w:bottom w:val="single" w:sz="6" w:space="0" w:color="000000"/>
              <w:right w:val="single" w:sz="8" w:space="0" w:color="000000"/>
            </w:tcBorders>
            <w:vAlign w:val="center"/>
            <w:hideMark/>
          </w:tcPr>
          <w:p w14:paraId="6691B9E8" w14:textId="77777777" w:rsidR="00DB7667" w:rsidRDefault="00DB7667">
            <w:pPr>
              <w:pStyle w:val="biaogecenter"/>
              <w:wordWrap w:val="0"/>
            </w:pPr>
            <w:r>
              <w:rPr>
                <w:rFonts w:hAnsi="等线" w:hint="eastAsia"/>
                <w:color w:val="000000"/>
              </w:rPr>
              <w:t>代码</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7F95E0FA" w14:textId="77777777" w:rsidR="00DB7667" w:rsidRDefault="00DB7667">
            <w:pPr>
              <w:pStyle w:val="biaogecenter"/>
              <w:wordWrap w:val="0"/>
            </w:pPr>
            <w:r>
              <w:rPr>
                <w:rFonts w:hAnsi="等线" w:hint="eastAsia"/>
                <w:color w:val="000000"/>
              </w:rPr>
              <w:t>行业类别</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33E4E602" w14:textId="77777777" w:rsidR="00DB7667" w:rsidRDefault="00DB7667">
            <w:pPr>
              <w:pStyle w:val="biaogecenter"/>
              <w:wordWrap w:val="0"/>
            </w:pPr>
            <w:r>
              <w:rPr>
                <w:rFonts w:hAnsi="等线" w:hint="eastAsia"/>
                <w:color w:val="000000"/>
              </w:rPr>
              <w:t>公允价值(元)</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6F58B90F" w14:textId="77777777" w:rsidR="00DB7667" w:rsidRDefault="00DB7667">
            <w:pPr>
              <w:pStyle w:val="biaogecenter"/>
              <w:wordWrap w:val="0"/>
            </w:pPr>
            <w:r>
              <w:rPr>
                <w:rFonts w:hAnsi="等线" w:hint="eastAsia"/>
                <w:color w:val="000000"/>
              </w:rPr>
              <w:t>占基金资产净值比例（%）</w:t>
            </w:r>
          </w:p>
        </w:tc>
      </w:tr>
      <w:tr w:rsidR="00DB7667" w14:paraId="526483AC"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2579312A" w14:textId="77777777" w:rsidR="00DB7667" w:rsidRDefault="00DB7667">
            <w:pPr>
              <w:pStyle w:val="biaogecenter"/>
              <w:wordWrap w:val="0"/>
            </w:pPr>
            <w:r>
              <w:rPr>
                <w:rFonts w:hint="eastAsia"/>
              </w:rPr>
              <w:t>A</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355FD699" w14:textId="77777777" w:rsidR="00DB7667" w:rsidRDefault="00DB7667">
            <w:pPr>
              <w:pStyle w:val="biaogeleft"/>
              <w:wordWrap w:val="0"/>
            </w:pPr>
            <w:r>
              <w:rPr>
                <w:rFonts w:hint="eastAsia"/>
              </w:rPr>
              <w:t>农、林、牧、渔业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38B88A38"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1A9B49A2" w14:textId="77777777" w:rsidR="00DB7667" w:rsidRDefault="00DB7667">
            <w:pPr>
              <w:pStyle w:val="biaogeright"/>
              <w:wordWrap w:val="0"/>
            </w:pPr>
            <w:r>
              <w:rPr>
                <w:rFonts w:hint="eastAsia"/>
              </w:rPr>
              <w:t>-</w:t>
            </w:r>
          </w:p>
        </w:tc>
      </w:tr>
      <w:tr w:rsidR="00DB7667" w14:paraId="2671183D"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751C43AF" w14:textId="77777777" w:rsidR="00DB7667" w:rsidRDefault="00DB7667">
            <w:pPr>
              <w:pStyle w:val="biaogecenter"/>
              <w:wordWrap w:val="0"/>
            </w:pPr>
            <w:r>
              <w:rPr>
                <w:rFonts w:hint="eastAsia"/>
              </w:rPr>
              <w:t>B</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585D877C" w14:textId="77777777" w:rsidR="00DB7667" w:rsidRDefault="00DB7667">
            <w:pPr>
              <w:pStyle w:val="biaogeleft"/>
              <w:wordWrap w:val="0"/>
            </w:pPr>
            <w:r>
              <w:rPr>
                <w:rFonts w:hint="eastAsia"/>
              </w:rPr>
              <w:t>采矿业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17238414"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488EB98C" w14:textId="77777777" w:rsidR="00DB7667" w:rsidRDefault="00DB7667">
            <w:pPr>
              <w:pStyle w:val="biaogeright"/>
              <w:wordWrap w:val="0"/>
            </w:pPr>
            <w:r>
              <w:rPr>
                <w:rFonts w:hint="eastAsia"/>
              </w:rPr>
              <w:t>-</w:t>
            </w:r>
          </w:p>
        </w:tc>
      </w:tr>
      <w:tr w:rsidR="00DB7667" w14:paraId="5F4A1791"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5BBB909C" w14:textId="77777777" w:rsidR="00DB7667" w:rsidRDefault="00DB7667">
            <w:pPr>
              <w:pStyle w:val="biaogecenter"/>
              <w:wordWrap w:val="0"/>
            </w:pPr>
            <w:r>
              <w:rPr>
                <w:rFonts w:hint="eastAsia"/>
              </w:rPr>
              <w:t>C</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45A79035" w14:textId="77777777" w:rsidR="00DB7667" w:rsidRDefault="00DB7667">
            <w:pPr>
              <w:pStyle w:val="biaogeleft"/>
              <w:wordWrap w:val="0"/>
            </w:pPr>
            <w:r>
              <w:rPr>
                <w:rFonts w:hint="eastAsia"/>
              </w:rPr>
              <w:t>制造业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48540B6F" w14:textId="77777777" w:rsidR="00DB7667" w:rsidRDefault="00DB7667">
            <w:pPr>
              <w:pStyle w:val="biaogeright"/>
              <w:wordWrap w:val="0"/>
            </w:pPr>
            <w:r>
              <w:rPr>
                <w:rFonts w:hint="eastAsia"/>
              </w:rPr>
              <w:t>8,623,479.00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5B47746B" w14:textId="77777777" w:rsidR="00DB7667" w:rsidRDefault="00DB7667">
            <w:pPr>
              <w:pStyle w:val="biaogeright"/>
              <w:wordWrap w:val="0"/>
            </w:pPr>
            <w:r>
              <w:rPr>
                <w:rFonts w:hint="eastAsia"/>
              </w:rPr>
              <w:t>16.54</w:t>
            </w:r>
          </w:p>
        </w:tc>
      </w:tr>
      <w:tr w:rsidR="00DB7667" w14:paraId="5966A172"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387708B1" w14:textId="77777777" w:rsidR="00DB7667" w:rsidRDefault="00DB7667">
            <w:pPr>
              <w:pStyle w:val="biaogecenter"/>
              <w:wordWrap w:val="0"/>
            </w:pPr>
            <w:r>
              <w:rPr>
                <w:rFonts w:hAnsi="等线" w:hint="eastAsia"/>
                <w:color w:val="000000"/>
              </w:rPr>
              <w:t>D</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4995412C" w14:textId="77777777" w:rsidR="00DB7667" w:rsidRDefault="00DB7667">
            <w:pPr>
              <w:pStyle w:val="biaogeleft"/>
              <w:wordWrap w:val="0"/>
            </w:pPr>
            <w:r>
              <w:rPr>
                <w:rFonts w:hint="eastAsia"/>
              </w:rPr>
              <w:t>电力、热力、燃气及水生产和供应业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7DF20AC6"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49944D4F" w14:textId="77777777" w:rsidR="00DB7667" w:rsidRDefault="00DB7667">
            <w:pPr>
              <w:pStyle w:val="biaogeright"/>
              <w:wordWrap w:val="0"/>
            </w:pPr>
            <w:r>
              <w:rPr>
                <w:rFonts w:hint="eastAsia"/>
              </w:rPr>
              <w:t>-</w:t>
            </w:r>
          </w:p>
        </w:tc>
      </w:tr>
      <w:tr w:rsidR="00DB7667" w14:paraId="409007DE"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514C72C5" w14:textId="77777777" w:rsidR="00DB7667" w:rsidRDefault="00DB7667">
            <w:pPr>
              <w:pStyle w:val="biaogecenter"/>
              <w:wordWrap w:val="0"/>
            </w:pPr>
            <w:r>
              <w:rPr>
                <w:rFonts w:hint="eastAsia"/>
              </w:rPr>
              <w:t>E</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7CDBE008" w14:textId="77777777" w:rsidR="00DB7667" w:rsidRDefault="00DB7667">
            <w:pPr>
              <w:pStyle w:val="biaogeleft"/>
              <w:wordWrap w:val="0"/>
            </w:pPr>
            <w:r>
              <w:rPr>
                <w:rFonts w:hint="eastAsia"/>
              </w:rPr>
              <w:t>建筑业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1A2E8566"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05C06284" w14:textId="77777777" w:rsidR="00DB7667" w:rsidRDefault="00DB7667">
            <w:pPr>
              <w:pStyle w:val="biaogeright"/>
              <w:wordWrap w:val="0"/>
            </w:pPr>
            <w:r>
              <w:rPr>
                <w:rFonts w:hint="eastAsia"/>
              </w:rPr>
              <w:t>-</w:t>
            </w:r>
          </w:p>
        </w:tc>
      </w:tr>
      <w:tr w:rsidR="00DB7667" w14:paraId="40F345C6"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708AA60A" w14:textId="77777777" w:rsidR="00DB7667" w:rsidRDefault="00DB7667">
            <w:pPr>
              <w:pStyle w:val="biaogecenter"/>
              <w:wordWrap w:val="0"/>
            </w:pPr>
            <w:r>
              <w:rPr>
                <w:rFonts w:hAnsi="等线" w:hint="eastAsia"/>
                <w:color w:val="000000"/>
              </w:rPr>
              <w:t>F</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1210B809" w14:textId="77777777" w:rsidR="00DB7667" w:rsidRDefault="00DB7667">
            <w:pPr>
              <w:pStyle w:val="biaogeleft"/>
              <w:wordWrap w:val="0"/>
            </w:pPr>
            <w:r>
              <w:rPr>
                <w:rFonts w:hint="eastAsia"/>
              </w:rPr>
              <w:t>批发和零售业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2670E20D"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539CC9B7" w14:textId="77777777" w:rsidR="00DB7667" w:rsidRDefault="00DB7667">
            <w:pPr>
              <w:pStyle w:val="biaogeright"/>
              <w:wordWrap w:val="0"/>
            </w:pPr>
            <w:r>
              <w:rPr>
                <w:rFonts w:hint="eastAsia"/>
              </w:rPr>
              <w:t>-</w:t>
            </w:r>
          </w:p>
        </w:tc>
      </w:tr>
      <w:tr w:rsidR="00DB7667" w14:paraId="401590D8"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4FC8A408" w14:textId="77777777" w:rsidR="00DB7667" w:rsidRDefault="00DB7667">
            <w:pPr>
              <w:pStyle w:val="biaogecenter"/>
              <w:wordWrap w:val="0"/>
            </w:pPr>
            <w:r>
              <w:rPr>
                <w:rFonts w:hAnsi="等线" w:hint="eastAsia"/>
                <w:color w:val="000000"/>
              </w:rPr>
              <w:t>G</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5F499E59" w14:textId="77777777" w:rsidR="00DB7667" w:rsidRDefault="00DB7667">
            <w:pPr>
              <w:pStyle w:val="biaogeleft"/>
              <w:wordWrap w:val="0"/>
            </w:pPr>
            <w:r>
              <w:rPr>
                <w:rFonts w:hint="eastAsia"/>
              </w:rPr>
              <w:t>交通运输、仓储和邮政业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264C9533"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63048956" w14:textId="77777777" w:rsidR="00DB7667" w:rsidRDefault="00DB7667">
            <w:pPr>
              <w:pStyle w:val="biaogeright"/>
              <w:wordWrap w:val="0"/>
            </w:pPr>
            <w:r>
              <w:rPr>
                <w:rFonts w:hint="eastAsia"/>
              </w:rPr>
              <w:t>-</w:t>
            </w:r>
          </w:p>
        </w:tc>
      </w:tr>
      <w:tr w:rsidR="00DB7667" w14:paraId="72C44B03"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166277D4" w14:textId="77777777" w:rsidR="00DB7667" w:rsidRDefault="00DB7667">
            <w:pPr>
              <w:pStyle w:val="biaogecenter"/>
              <w:wordWrap w:val="0"/>
            </w:pPr>
            <w:r>
              <w:rPr>
                <w:rFonts w:hAnsi="等线" w:hint="eastAsia"/>
                <w:color w:val="000000"/>
              </w:rPr>
              <w:t>H</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5A9BACD2" w14:textId="77777777" w:rsidR="00DB7667" w:rsidRDefault="00DB7667">
            <w:pPr>
              <w:pStyle w:val="biaogeleft"/>
              <w:wordWrap w:val="0"/>
            </w:pPr>
            <w:r>
              <w:rPr>
                <w:rFonts w:hint="eastAsia"/>
              </w:rPr>
              <w:t>住宿和餐饮业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2141E5F5"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781FB088" w14:textId="77777777" w:rsidR="00DB7667" w:rsidRDefault="00DB7667">
            <w:pPr>
              <w:pStyle w:val="biaogeright"/>
              <w:wordWrap w:val="0"/>
            </w:pPr>
            <w:r>
              <w:rPr>
                <w:rFonts w:hint="eastAsia"/>
              </w:rPr>
              <w:t>-</w:t>
            </w:r>
          </w:p>
        </w:tc>
      </w:tr>
      <w:tr w:rsidR="00DB7667" w14:paraId="721EA41F"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6F7EAACC" w14:textId="77777777" w:rsidR="00DB7667" w:rsidRDefault="00DB7667">
            <w:pPr>
              <w:pStyle w:val="biaogecenter"/>
              <w:wordWrap w:val="0"/>
            </w:pPr>
            <w:r>
              <w:rPr>
                <w:rFonts w:hAnsi="等线" w:hint="eastAsia"/>
                <w:color w:val="000000"/>
              </w:rPr>
              <w:t>I</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696B45EC" w14:textId="77777777" w:rsidR="00DB7667" w:rsidRDefault="00DB7667">
            <w:pPr>
              <w:pStyle w:val="biaogeleft"/>
              <w:wordWrap w:val="0"/>
            </w:pPr>
            <w:r>
              <w:rPr>
                <w:rFonts w:hint="eastAsia"/>
              </w:rPr>
              <w:t>信息传输、软件和信息技术服务业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53666BA4"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1B3C448D" w14:textId="77777777" w:rsidR="00DB7667" w:rsidRDefault="00DB7667">
            <w:pPr>
              <w:pStyle w:val="biaogeright"/>
              <w:wordWrap w:val="0"/>
            </w:pPr>
            <w:r>
              <w:rPr>
                <w:rFonts w:hint="eastAsia"/>
              </w:rPr>
              <w:t>-</w:t>
            </w:r>
          </w:p>
        </w:tc>
      </w:tr>
      <w:tr w:rsidR="00DB7667" w14:paraId="4EE19E7A"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1C8B1D5E" w14:textId="77777777" w:rsidR="00DB7667" w:rsidRDefault="00DB7667">
            <w:pPr>
              <w:pStyle w:val="biaogecenter"/>
              <w:wordWrap w:val="0"/>
            </w:pPr>
            <w:r>
              <w:rPr>
                <w:rFonts w:hAnsi="等线" w:hint="eastAsia"/>
                <w:color w:val="000000"/>
              </w:rPr>
              <w:t>J</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1FF26C67" w14:textId="77777777" w:rsidR="00DB7667" w:rsidRDefault="00DB7667">
            <w:pPr>
              <w:pStyle w:val="biaogeleft"/>
              <w:wordWrap w:val="0"/>
            </w:pPr>
            <w:r>
              <w:rPr>
                <w:rFonts w:hint="eastAsia"/>
              </w:rPr>
              <w:t>金融业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3235694F" w14:textId="77777777" w:rsidR="00DB7667" w:rsidRDefault="00DB7667">
            <w:pPr>
              <w:pStyle w:val="biaogeright"/>
              <w:wordWrap w:val="0"/>
            </w:pPr>
            <w:r>
              <w:rPr>
                <w:rFonts w:hint="eastAsia"/>
              </w:rPr>
              <w:t>2,099,050.00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4615D6E3" w14:textId="77777777" w:rsidR="00DB7667" w:rsidRDefault="00DB7667">
            <w:pPr>
              <w:pStyle w:val="biaogeright"/>
              <w:wordWrap w:val="0"/>
            </w:pPr>
            <w:r>
              <w:rPr>
                <w:rFonts w:hint="eastAsia"/>
              </w:rPr>
              <w:t>4.03</w:t>
            </w:r>
          </w:p>
        </w:tc>
      </w:tr>
      <w:tr w:rsidR="00DB7667" w14:paraId="519F6572"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40898A42" w14:textId="77777777" w:rsidR="00DB7667" w:rsidRDefault="00DB7667">
            <w:pPr>
              <w:pStyle w:val="biaogecenter"/>
              <w:wordWrap w:val="0"/>
            </w:pPr>
            <w:r>
              <w:rPr>
                <w:rFonts w:hAnsi="等线" w:hint="eastAsia"/>
                <w:color w:val="000000"/>
              </w:rPr>
              <w:t>K</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7789DAF1" w14:textId="77777777" w:rsidR="00DB7667" w:rsidRDefault="00DB7667">
            <w:pPr>
              <w:pStyle w:val="biaogeleft"/>
              <w:wordWrap w:val="0"/>
            </w:pPr>
            <w:r>
              <w:rPr>
                <w:rFonts w:hint="eastAsia"/>
              </w:rPr>
              <w:t>房地产业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7EA14F00"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0D60B228" w14:textId="77777777" w:rsidR="00DB7667" w:rsidRDefault="00DB7667">
            <w:pPr>
              <w:pStyle w:val="biaogeright"/>
              <w:wordWrap w:val="0"/>
            </w:pPr>
            <w:r>
              <w:rPr>
                <w:rFonts w:hint="eastAsia"/>
              </w:rPr>
              <w:t>-</w:t>
            </w:r>
          </w:p>
        </w:tc>
      </w:tr>
      <w:tr w:rsidR="00DB7667" w14:paraId="116CF2F6"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6B03BA1A" w14:textId="77777777" w:rsidR="00DB7667" w:rsidRDefault="00DB7667">
            <w:pPr>
              <w:pStyle w:val="biaogecenter"/>
              <w:wordWrap w:val="0"/>
            </w:pPr>
            <w:r>
              <w:rPr>
                <w:rFonts w:hAnsi="等线" w:hint="eastAsia"/>
                <w:color w:val="000000"/>
              </w:rPr>
              <w:t>L</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090762AC" w14:textId="77777777" w:rsidR="00DB7667" w:rsidRDefault="00DB7667">
            <w:pPr>
              <w:pStyle w:val="biaogeleft"/>
              <w:wordWrap w:val="0"/>
            </w:pPr>
            <w:r>
              <w:rPr>
                <w:rFonts w:hint="eastAsia"/>
              </w:rPr>
              <w:t>租赁和商务服务业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7B611142" w14:textId="77777777" w:rsidR="00DB7667" w:rsidRDefault="00DB7667">
            <w:pPr>
              <w:pStyle w:val="biaogeright"/>
              <w:wordWrap w:val="0"/>
            </w:pPr>
            <w:r>
              <w:rPr>
                <w:rFonts w:hint="eastAsia"/>
              </w:rPr>
              <w:t>1,087,796.00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55E01AB2" w14:textId="77777777" w:rsidR="00DB7667" w:rsidRDefault="00DB7667">
            <w:pPr>
              <w:pStyle w:val="biaogeright"/>
              <w:wordWrap w:val="0"/>
            </w:pPr>
            <w:r>
              <w:rPr>
                <w:rFonts w:hint="eastAsia"/>
              </w:rPr>
              <w:t>2.09</w:t>
            </w:r>
          </w:p>
        </w:tc>
      </w:tr>
      <w:tr w:rsidR="00DB7667" w14:paraId="40DB695B"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1BB1881C" w14:textId="77777777" w:rsidR="00DB7667" w:rsidRDefault="00DB7667">
            <w:pPr>
              <w:pStyle w:val="biaogecenter"/>
              <w:wordWrap w:val="0"/>
            </w:pPr>
            <w:r>
              <w:rPr>
                <w:rFonts w:hAnsi="等线" w:hint="eastAsia"/>
                <w:color w:val="000000"/>
              </w:rPr>
              <w:t>M</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04BF4B41" w14:textId="77777777" w:rsidR="00DB7667" w:rsidRDefault="00DB7667">
            <w:pPr>
              <w:pStyle w:val="biaogeleft"/>
              <w:wordWrap w:val="0"/>
            </w:pPr>
            <w:r>
              <w:rPr>
                <w:rFonts w:hint="eastAsia"/>
              </w:rPr>
              <w:t>科学研究和技术服务业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39B6AF1E" w14:textId="77777777" w:rsidR="00DB7667" w:rsidRDefault="00DB7667">
            <w:pPr>
              <w:pStyle w:val="biaogeright"/>
              <w:wordWrap w:val="0"/>
            </w:pPr>
            <w:r>
              <w:rPr>
                <w:rFonts w:hint="eastAsia"/>
              </w:rPr>
              <w:t>1,168,161.40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3068D5B6" w14:textId="77777777" w:rsidR="00DB7667" w:rsidRDefault="00DB7667">
            <w:pPr>
              <w:pStyle w:val="biaogeright"/>
              <w:wordWrap w:val="0"/>
            </w:pPr>
            <w:r>
              <w:rPr>
                <w:rFonts w:hint="eastAsia"/>
              </w:rPr>
              <w:t>2.24</w:t>
            </w:r>
          </w:p>
        </w:tc>
      </w:tr>
      <w:tr w:rsidR="00DB7667" w14:paraId="60F7F04A"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3C65916A" w14:textId="77777777" w:rsidR="00DB7667" w:rsidRDefault="00DB7667">
            <w:pPr>
              <w:pStyle w:val="biaogecenter"/>
              <w:wordWrap w:val="0"/>
            </w:pPr>
            <w:r>
              <w:rPr>
                <w:rFonts w:hAnsi="等线" w:hint="eastAsia"/>
                <w:color w:val="000000"/>
              </w:rPr>
              <w:t>N</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1F8862AE" w14:textId="77777777" w:rsidR="00DB7667" w:rsidRDefault="00DB7667">
            <w:pPr>
              <w:pStyle w:val="biaogeleft"/>
              <w:wordWrap w:val="0"/>
            </w:pPr>
            <w:r>
              <w:rPr>
                <w:rFonts w:hint="eastAsia"/>
              </w:rPr>
              <w:t>水利、环境和公共设施管理业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4E3E7883"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4DA2287C" w14:textId="77777777" w:rsidR="00DB7667" w:rsidRDefault="00DB7667">
            <w:pPr>
              <w:pStyle w:val="biaogeright"/>
              <w:wordWrap w:val="0"/>
            </w:pPr>
            <w:r>
              <w:rPr>
                <w:rFonts w:hint="eastAsia"/>
              </w:rPr>
              <w:t>-</w:t>
            </w:r>
          </w:p>
        </w:tc>
      </w:tr>
      <w:tr w:rsidR="00DB7667" w14:paraId="4A5D3977"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22CA3F85" w14:textId="77777777" w:rsidR="00DB7667" w:rsidRDefault="00DB7667">
            <w:pPr>
              <w:pStyle w:val="biaogecenter"/>
              <w:wordWrap w:val="0"/>
            </w:pPr>
            <w:r>
              <w:rPr>
                <w:rFonts w:hAnsi="等线" w:hint="eastAsia"/>
                <w:color w:val="000000"/>
              </w:rPr>
              <w:lastRenderedPageBreak/>
              <w:t>O</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43F395BA" w14:textId="77777777" w:rsidR="00DB7667" w:rsidRDefault="00DB7667">
            <w:pPr>
              <w:pStyle w:val="biaogeleft"/>
              <w:wordWrap w:val="0"/>
            </w:pPr>
            <w:r>
              <w:rPr>
                <w:rFonts w:hint="eastAsia"/>
              </w:rPr>
              <w:t>居民服务、修理和其他服务业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72C3D430"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5DB02A8D" w14:textId="77777777" w:rsidR="00DB7667" w:rsidRDefault="00DB7667">
            <w:pPr>
              <w:pStyle w:val="biaogeright"/>
              <w:wordWrap w:val="0"/>
            </w:pPr>
            <w:r>
              <w:rPr>
                <w:rFonts w:hint="eastAsia"/>
              </w:rPr>
              <w:t>-</w:t>
            </w:r>
          </w:p>
        </w:tc>
      </w:tr>
      <w:tr w:rsidR="00DB7667" w14:paraId="1A7F1B34"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757266B0" w14:textId="77777777" w:rsidR="00DB7667" w:rsidRDefault="00DB7667">
            <w:pPr>
              <w:pStyle w:val="biaogecenter"/>
              <w:wordWrap w:val="0"/>
            </w:pPr>
            <w:r>
              <w:rPr>
                <w:rFonts w:hAnsi="等线" w:hint="eastAsia"/>
                <w:color w:val="000000"/>
              </w:rPr>
              <w:t>P</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40DA73AF" w14:textId="77777777" w:rsidR="00DB7667" w:rsidRDefault="00DB7667">
            <w:pPr>
              <w:pStyle w:val="biaogeleft"/>
              <w:wordWrap w:val="0"/>
            </w:pPr>
            <w:r>
              <w:rPr>
                <w:rFonts w:hint="eastAsia"/>
              </w:rPr>
              <w:t>教育</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1794E342"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45DF16EB" w14:textId="77777777" w:rsidR="00DB7667" w:rsidRDefault="00DB7667">
            <w:pPr>
              <w:pStyle w:val="biaogeright"/>
              <w:wordWrap w:val="0"/>
            </w:pPr>
            <w:r>
              <w:rPr>
                <w:rFonts w:hint="eastAsia"/>
              </w:rPr>
              <w:t>-</w:t>
            </w:r>
          </w:p>
        </w:tc>
      </w:tr>
      <w:tr w:rsidR="00DB7667" w14:paraId="00C68308"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19434799" w14:textId="77777777" w:rsidR="00DB7667" w:rsidRDefault="00DB7667">
            <w:pPr>
              <w:pStyle w:val="biaogecenter"/>
              <w:wordWrap w:val="0"/>
            </w:pPr>
            <w:r>
              <w:rPr>
                <w:rFonts w:hAnsi="等线" w:hint="eastAsia"/>
                <w:color w:val="000000"/>
              </w:rPr>
              <w:t>Q</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451E8AC7" w14:textId="77777777" w:rsidR="00DB7667" w:rsidRDefault="00DB7667">
            <w:pPr>
              <w:pStyle w:val="biaogeleft"/>
              <w:wordWrap w:val="0"/>
            </w:pPr>
            <w:r>
              <w:rPr>
                <w:rFonts w:hint="eastAsia"/>
              </w:rPr>
              <w:t>卫生和社会工作</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3FBED819"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17750ED3" w14:textId="77777777" w:rsidR="00DB7667" w:rsidRDefault="00DB7667">
            <w:pPr>
              <w:pStyle w:val="biaogeright"/>
              <w:wordWrap w:val="0"/>
            </w:pPr>
            <w:r>
              <w:rPr>
                <w:rFonts w:hint="eastAsia"/>
              </w:rPr>
              <w:t>-</w:t>
            </w:r>
          </w:p>
        </w:tc>
      </w:tr>
      <w:tr w:rsidR="00DB7667" w14:paraId="606DB43D"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5A9D7D3B" w14:textId="77777777" w:rsidR="00DB7667" w:rsidRDefault="00DB7667">
            <w:pPr>
              <w:pStyle w:val="biaogecenter"/>
              <w:wordWrap w:val="0"/>
            </w:pPr>
            <w:r>
              <w:rPr>
                <w:rFonts w:hAnsi="等线" w:hint="eastAsia"/>
                <w:color w:val="000000"/>
              </w:rPr>
              <w:t>R</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66DA2A88" w14:textId="77777777" w:rsidR="00DB7667" w:rsidRDefault="00DB7667">
            <w:pPr>
              <w:pStyle w:val="biaogeleft"/>
              <w:wordWrap w:val="0"/>
            </w:pPr>
            <w:r>
              <w:rPr>
                <w:rFonts w:hint="eastAsia"/>
              </w:rPr>
              <w:t>文化、体育和娱乐业</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5A9E9080"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101A6A53" w14:textId="77777777" w:rsidR="00DB7667" w:rsidRDefault="00DB7667">
            <w:pPr>
              <w:pStyle w:val="biaogeright"/>
              <w:wordWrap w:val="0"/>
            </w:pPr>
            <w:r>
              <w:rPr>
                <w:rFonts w:hint="eastAsia"/>
              </w:rPr>
              <w:t>-</w:t>
            </w:r>
          </w:p>
        </w:tc>
      </w:tr>
      <w:tr w:rsidR="00DB7667" w14:paraId="42D37DD0"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6BA869F0" w14:textId="77777777" w:rsidR="00DB7667" w:rsidRDefault="00DB7667">
            <w:pPr>
              <w:pStyle w:val="biaogecenter"/>
              <w:wordWrap w:val="0"/>
            </w:pPr>
            <w:r>
              <w:rPr>
                <w:rFonts w:hAnsi="等线" w:hint="eastAsia"/>
                <w:color w:val="000000"/>
              </w:rPr>
              <w:t>S</w:t>
            </w: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36F51DF7" w14:textId="77777777" w:rsidR="00DB7667" w:rsidRDefault="00DB7667">
            <w:pPr>
              <w:pStyle w:val="biaogeleft"/>
              <w:wordWrap w:val="0"/>
            </w:pPr>
            <w:r>
              <w:rPr>
                <w:rFonts w:hint="eastAsia"/>
              </w:rPr>
              <w:t>综合</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748B5748" w14:textId="77777777" w:rsidR="00DB7667" w:rsidRDefault="00DB7667">
            <w:pPr>
              <w:pStyle w:val="biaogeright"/>
              <w:wordWrap w:val="0"/>
            </w:pPr>
            <w:r>
              <w:rPr>
                <w:rFonts w:hint="eastAsia"/>
              </w:rPr>
              <w:t>-</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20A05B18" w14:textId="77777777" w:rsidR="00DB7667" w:rsidRDefault="00DB7667">
            <w:pPr>
              <w:pStyle w:val="biaogeright"/>
              <w:wordWrap w:val="0"/>
            </w:pPr>
            <w:r>
              <w:rPr>
                <w:rFonts w:hint="eastAsia"/>
              </w:rPr>
              <w:t>-</w:t>
            </w:r>
          </w:p>
        </w:tc>
      </w:tr>
      <w:tr w:rsidR="00DB7667" w14:paraId="4888D912" w14:textId="77777777" w:rsidTr="00EE54B8">
        <w:tc>
          <w:tcPr>
            <w:tcW w:w="0" w:type="auto"/>
            <w:tcBorders>
              <w:top w:val="single" w:sz="8" w:space="0" w:color="000000"/>
              <w:left w:val="single" w:sz="8" w:space="0" w:color="000000"/>
              <w:bottom w:val="single" w:sz="6" w:space="0" w:color="000000"/>
              <w:right w:val="single" w:sz="8" w:space="0" w:color="000000"/>
            </w:tcBorders>
            <w:vAlign w:val="center"/>
            <w:hideMark/>
          </w:tcPr>
          <w:p w14:paraId="468E6316" w14:textId="77777777" w:rsidR="00DB7667" w:rsidRDefault="00DB7667">
            <w:pPr>
              <w:widowControl/>
              <w:jc w:val="left"/>
              <w:rPr>
                <w:rFonts w:cs="宋体"/>
                <w:kern w:val="0"/>
                <w:sz w:val="20"/>
                <w:szCs w:val="20"/>
              </w:rPr>
            </w:pPr>
          </w:p>
        </w:tc>
        <w:tc>
          <w:tcPr>
            <w:tcW w:w="3349" w:type="dxa"/>
            <w:tcBorders>
              <w:top w:val="single" w:sz="8" w:space="0" w:color="000000"/>
              <w:left w:val="single" w:sz="8" w:space="0" w:color="000000"/>
              <w:bottom w:val="single" w:sz="6" w:space="0" w:color="000000"/>
              <w:right w:val="single" w:sz="8" w:space="0" w:color="000000"/>
            </w:tcBorders>
            <w:vAlign w:val="center"/>
            <w:hideMark/>
          </w:tcPr>
          <w:p w14:paraId="5F7C2A9E" w14:textId="77777777" w:rsidR="00DB7667" w:rsidRDefault="00DB7667">
            <w:pPr>
              <w:pStyle w:val="biaogeleft"/>
              <w:wordWrap w:val="0"/>
            </w:pPr>
            <w:r>
              <w:rPr>
                <w:rFonts w:hint="eastAsia"/>
              </w:rPr>
              <w:t>合计</w:t>
            </w:r>
          </w:p>
        </w:tc>
        <w:tc>
          <w:tcPr>
            <w:tcW w:w="1966" w:type="dxa"/>
            <w:tcBorders>
              <w:top w:val="single" w:sz="8" w:space="0" w:color="000000"/>
              <w:left w:val="single" w:sz="8" w:space="0" w:color="000000"/>
              <w:bottom w:val="single" w:sz="6" w:space="0" w:color="000000"/>
              <w:right w:val="single" w:sz="8" w:space="0" w:color="000000"/>
            </w:tcBorders>
            <w:vAlign w:val="center"/>
            <w:hideMark/>
          </w:tcPr>
          <w:p w14:paraId="397BD141" w14:textId="77777777" w:rsidR="00DB7667" w:rsidRDefault="00DB7667">
            <w:pPr>
              <w:pStyle w:val="biaogeright"/>
              <w:wordWrap w:val="0"/>
            </w:pPr>
            <w:r>
              <w:rPr>
                <w:rFonts w:hint="eastAsia"/>
              </w:rPr>
              <w:t>12,978,486.40</w:t>
            </w:r>
          </w:p>
        </w:tc>
        <w:tc>
          <w:tcPr>
            <w:tcW w:w="2551" w:type="dxa"/>
            <w:tcBorders>
              <w:top w:val="single" w:sz="8" w:space="0" w:color="000000"/>
              <w:left w:val="single" w:sz="8" w:space="0" w:color="000000"/>
              <w:bottom w:val="single" w:sz="6" w:space="0" w:color="000000"/>
              <w:right w:val="single" w:sz="8" w:space="0" w:color="000000"/>
            </w:tcBorders>
            <w:vAlign w:val="center"/>
            <w:hideMark/>
          </w:tcPr>
          <w:p w14:paraId="5E178CFE" w14:textId="77777777" w:rsidR="00DB7667" w:rsidRDefault="00DB7667">
            <w:pPr>
              <w:pStyle w:val="biaogeright"/>
              <w:wordWrap w:val="0"/>
            </w:pPr>
            <w:r>
              <w:rPr>
                <w:rFonts w:hint="eastAsia"/>
              </w:rPr>
              <w:t>24.90</w:t>
            </w:r>
          </w:p>
        </w:tc>
      </w:tr>
    </w:tbl>
    <w:p w14:paraId="109F2E1E" w14:textId="77777777" w:rsidR="00D51FDF" w:rsidRDefault="007F75F6">
      <w:pPr>
        <w:pStyle w:val="zhangjiep"/>
        <w:spacing w:line="360" w:lineRule="auto"/>
        <w:outlineLvl w:val="9"/>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2）报告期末按行业分类的港股通投资股票投资组合</w:t>
      </w:r>
    </w:p>
    <w:p w14:paraId="7C6CD36C" w14:textId="77777777" w:rsidR="00D51FDF" w:rsidRDefault="007F75F6">
      <w:pPr>
        <w:pStyle w:val="neirong"/>
        <w:spacing w:line="360" w:lineRule="auto"/>
        <w:ind w:left="0" w:firstLineChars="200" w:firstLine="480"/>
        <w:rPr>
          <w:rFonts w:asciiTheme="minorEastAsia" w:eastAsiaTheme="minorEastAsia" w:hAnsiTheme="minorEastAsia"/>
          <w:bCs/>
        </w:rPr>
      </w:pPr>
      <w:r>
        <w:rPr>
          <w:rFonts w:asciiTheme="minorEastAsia" w:eastAsiaTheme="minorEastAsia" w:hAnsiTheme="minorEastAsia" w:hint="eastAsia"/>
          <w:bCs/>
        </w:rPr>
        <w:t>本基金报告期末未持有港股通股票。</w:t>
      </w:r>
    </w:p>
    <w:p w14:paraId="75F7C98C" w14:textId="77777777" w:rsidR="00D51FDF" w:rsidRDefault="007F75F6">
      <w:pPr>
        <w:pStyle w:val="zhangjiep"/>
        <w:spacing w:line="360" w:lineRule="auto"/>
        <w:ind w:firstLine="405"/>
        <w:outlineLvl w:val="9"/>
        <w:rPr>
          <w:rFonts w:asciiTheme="minorEastAsia" w:eastAsiaTheme="minorEastAsia" w:hAnsiTheme="minorEastAsia"/>
          <w:bCs/>
        </w:rPr>
      </w:pPr>
      <w:r>
        <w:rPr>
          <w:rFonts w:asciiTheme="minorEastAsia" w:eastAsiaTheme="minorEastAsia" w:hAnsiTheme="minorEastAsia"/>
          <w:bCs/>
        </w:rPr>
        <w:t>3、报告期末按公允价值占基金资产净值比例大小排序的前十名股票投资明细</w:t>
      </w:r>
    </w:p>
    <w:tbl>
      <w:tblPr>
        <w:tblW w:w="8789" w:type="dxa"/>
        <w:tblInd w:w="108" w:type="dxa"/>
        <w:tblLook w:val="04A0" w:firstRow="1" w:lastRow="0" w:firstColumn="1" w:lastColumn="0" w:noHBand="0" w:noVBand="1"/>
      </w:tblPr>
      <w:tblGrid>
        <w:gridCol w:w="471"/>
        <w:gridCol w:w="1355"/>
        <w:gridCol w:w="1613"/>
        <w:gridCol w:w="1647"/>
        <w:gridCol w:w="1860"/>
        <w:gridCol w:w="1843"/>
      </w:tblGrid>
      <w:tr w:rsidR="00DB7667" w14:paraId="79B3F2B1"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5BB360DD" w14:textId="77777777" w:rsidR="00DB7667" w:rsidRDefault="00DB7667">
            <w:pPr>
              <w:pStyle w:val="biaogecenter"/>
              <w:wordWrap w:val="0"/>
            </w:pPr>
            <w:r>
              <w:rPr>
                <w:rFonts w:hAnsi="等线" w:hint="eastAsia"/>
                <w:color w:val="000000"/>
              </w:rPr>
              <w:t>序号</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0B97E730" w14:textId="77777777" w:rsidR="00DB7667" w:rsidRDefault="00DB7667">
            <w:pPr>
              <w:pStyle w:val="biaogecenter"/>
              <w:wordWrap w:val="0"/>
            </w:pPr>
            <w:r>
              <w:rPr>
                <w:rFonts w:hAnsi="等线" w:hint="eastAsia"/>
                <w:color w:val="000000"/>
              </w:rPr>
              <w:t>股票代码</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D8CDB4D" w14:textId="77777777" w:rsidR="00DB7667" w:rsidRDefault="00DB7667">
            <w:pPr>
              <w:pStyle w:val="biaogecenter"/>
              <w:wordWrap w:val="0"/>
            </w:pPr>
            <w:r>
              <w:rPr>
                <w:rFonts w:hAnsi="等线" w:hint="eastAsia"/>
                <w:color w:val="000000"/>
              </w:rPr>
              <w:t>股票名称</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7FC60205" w14:textId="77777777" w:rsidR="00DB7667" w:rsidRDefault="00DB7667">
            <w:pPr>
              <w:pStyle w:val="biaogecenter"/>
              <w:wordWrap w:val="0"/>
            </w:pPr>
            <w:r>
              <w:rPr>
                <w:rFonts w:hAnsi="等线" w:hint="eastAsia"/>
                <w:color w:val="000000"/>
              </w:rPr>
              <w:t>数量(股)</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6A486CFB" w14:textId="77777777" w:rsidR="00DB7667" w:rsidRDefault="00DB7667">
            <w:pPr>
              <w:pStyle w:val="biaogecenter"/>
              <w:wordWrap w:val="0"/>
            </w:pPr>
            <w:r>
              <w:rPr>
                <w:rFonts w:hAnsi="等线" w:hint="eastAsia"/>
                <w:color w:val="000000"/>
              </w:rPr>
              <w:t>公允价值(元)</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7789BA10" w14:textId="77777777" w:rsidR="00DB7667" w:rsidRDefault="00DB7667">
            <w:pPr>
              <w:pStyle w:val="biaogecenter"/>
              <w:wordWrap w:val="0"/>
            </w:pPr>
            <w:r>
              <w:rPr>
                <w:rFonts w:hAnsi="等线" w:hint="eastAsia"/>
                <w:color w:val="000000"/>
              </w:rPr>
              <w:t>占基金资产净值比例（％）</w:t>
            </w:r>
          </w:p>
        </w:tc>
      </w:tr>
      <w:tr w:rsidR="00DB7667" w14:paraId="7E01DB4F"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07726C50" w14:textId="77777777" w:rsidR="00DB7667" w:rsidRDefault="00DB7667">
            <w:pPr>
              <w:pStyle w:val="biaogecenter"/>
              <w:wordWrap w:val="0"/>
            </w:pPr>
            <w:r>
              <w:rPr>
                <w:rFonts w:hAnsi="等线" w:hint="eastAsia"/>
                <w:color w:val="000000"/>
              </w:rPr>
              <w:t>1</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4BB1DDDA" w14:textId="77777777" w:rsidR="00DB7667" w:rsidRDefault="00DB7667">
            <w:pPr>
              <w:pStyle w:val="biaogeleft"/>
              <w:wordWrap w:val="0"/>
            </w:pPr>
            <w:r>
              <w:rPr>
                <w:rFonts w:hAnsi="等线" w:hint="eastAsia"/>
                <w:color w:val="000000"/>
              </w:rPr>
              <w:t>300750</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0198D528" w14:textId="77777777" w:rsidR="00DB7667" w:rsidRDefault="00DB7667">
            <w:pPr>
              <w:pStyle w:val="biaogeleft"/>
              <w:wordWrap w:val="0"/>
            </w:pPr>
            <w:r>
              <w:rPr>
                <w:rFonts w:hAnsi="等线" w:hint="eastAsia"/>
                <w:color w:val="000000"/>
              </w:rPr>
              <w:t>宁德时代</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5F3614A7" w14:textId="77777777" w:rsidR="00DB7667" w:rsidRDefault="00DB7667">
            <w:pPr>
              <w:pStyle w:val="biaogeright"/>
              <w:wordWrap w:val="0"/>
            </w:pPr>
            <w:r>
              <w:rPr>
                <w:rFonts w:hAnsi="等线" w:hint="eastAsia"/>
                <w:color w:val="000000"/>
              </w:rPr>
              <w:t>2,300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38C3428E" w14:textId="77777777" w:rsidR="00DB7667" w:rsidRDefault="00DB7667">
            <w:pPr>
              <w:pStyle w:val="biaogeright"/>
              <w:wordWrap w:val="0"/>
            </w:pPr>
            <w:r>
              <w:rPr>
                <w:rFonts w:hAnsi="等线" w:hint="eastAsia"/>
                <w:color w:val="000000"/>
              </w:rPr>
              <w:t>1,230,040.00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35DD1881" w14:textId="77777777" w:rsidR="00DB7667" w:rsidRDefault="00DB7667">
            <w:pPr>
              <w:pStyle w:val="biaogeright"/>
              <w:wordWrap w:val="0"/>
            </w:pPr>
            <w:r>
              <w:rPr>
                <w:rFonts w:hAnsi="等线" w:hint="eastAsia"/>
                <w:color w:val="000000"/>
              </w:rPr>
              <w:t>2.36</w:t>
            </w:r>
          </w:p>
        </w:tc>
      </w:tr>
      <w:tr w:rsidR="00DB7667" w14:paraId="62FAF9EF"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28476CB9" w14:textId="77777777" w:rsidR="00DB7667" w:rsidRDefault="00DB7667">
            <w:pPr>
              <w:pStyle w:val="biaogecenter"/>
              <w:wordWrap w:val="0"/>
            </w:pPr>
            <w:r>
              <w:rPr>
                <w:rFonts w:hAnsi="等线" w:hint="eastAsia"/>
                <w:color w:val="000000"/>
              </w:rPr>
              <w:t>2</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5722B4D2" w14:textId="77777777" w:rsidR="00DB7667" w:rsidRDefault="00DB7667">
            <w:pPr>
              <w:pStyle w:val="biaogeleft"/>
              <w:wordWrap w:val="0"/>
            </w:pPr>
            <w:r>
              <w:rPr>
                <w:rFonts w:hAnsi="等线" w:hint="eastAsia"/>
                <w:color w:val="000000"/>
              </w:rPr>
              <w:t>603259</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97FBE4B" w14:textId="77777777" w:rsidR="00DB7667" w:rsidRDefault="00DB7667">
            <w:pPr>
              <w:pStyle w:val="biaogeleft"/>
              <w:wordWrap w:val="0"/>
            </w:pPr>
            <w:proofErr w:type="gramStart"/>
            <w:r>
              <w:rPr>
                <w:rFonts w:hAnsi="等线" w:hint="eastAsia"/>
                <w:color w:val="000000"/>
              </w:rPr>
              <w:t>药明康德</w:t>
            </w:r>
            <w:proofErr w:type="gramEnd"/>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4B43390" w14:textId="77777777" w:rsidR="00DB7667" w:rsidRDefault="00DB7667">
            <w:pPr>
              <w:pStyle w:val="biaogeright"/>
              <w:wordWrap w:val="0"/>
            </w:pPr>
            <w:r>
              <w:rPr>
                <w:rFonts w:hAnsi="等线" w:hint="eastAsia"/>
                <w:color w:val="000000"/>
              </w:rPr>
              <w:t>7,460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702AFFDD" w14:textId="77777777" w:rsidR="00DB7667" w:rsidRDefault="00DB7667">
            <w:pPr>
              <w:pStyle w:val="biaogeright"/>
              <w:wordWrap w:val="0"/>
            </w:pPr>
            <w:r>
              <w:rPr>
                <w:rFonts w:hAnsi="等线" w:hint="eastAsia"/>
                <w:color w:val="000000"/>
              </w:rPr>
              <w:t>1,168,161.40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3CA6B859" w14:textId="77777777" w:rsidR="00DB7667" w:rsidRDefault="00DB7667">
            <w:pPr>
              <w:pStyle w:val="biaogeright"/>
              <w:wordWrap w:val="0"/>
            </w:pPr>
            <w:r>
              <w:rPr>
                <w:rFonts w:hAnsi="等线" w:hint="eastAsia"/>
                <w:color w:val="000000"/>
              </w:rPr>
              <w:t>2.24</w:t>
            </w:r>
          </w:p>
        </w:tc>
      </w:tr>
      <w:tr w:rsidR="00DB7667" w14:paraId="5C6B15A0"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51532A3A" w14:textId="77777777" w:rsidR="00DB7667" w:rsidRDefault="00DB7667">
            <w:pPr>
              <w:pStyle w:val="biaogecenter"/>
              <w:wordWrap w:val="0"/>
            </w:pPr>
            <w:r>
              <w:rPr>
                <w:rFonts w:hAnsi="等线" w:hint="eastAsia"/>
                <w:color w:val="000000"/>
              </w:rPr>
              <w:t>3</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7E87DC31" w14:textId="77777777" w:rsidR="00DB7667" w:rsidRDefault="00DB7667">
            <w:pPr>
              <w:pStyle w:val="biaogeleft"/>
              <w:wordWrap w:val="0"/>
            </w:pPr>
            <w:r>
              <w:rPr>
                <w:rFonts w:hAnsi="等线" w:hint="eastAsia"/>
                <w:color w:val="000000"/>
              </w:rPr>
              <w:t>300760</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3D173DEF" w14:textId="77777777" w:rsidR="00DB7667" w:rsidRDefault="00DB7667">
            <w:pPr>
              <w:pStyle w:val="biaogeleft"/>
              <w:wordWrap w:val="0"/>
            </w:pPr>
            <w:r>
              <w:rPr>
                <w:rFonts w:hAnsi="等线" w:hint="eastAsia"/>
                <w:color w:val="000000"/>
              </w:rPr>
              <w:t>迈瑞医疗</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3FAFD683" w14:textId="77777777" w:rsidR="00DB7667" w:rsidRDefault="00DB7667">
            <w:pPr>
              <w:pStyle w:val="biaogeright"/>
              <w:wordWrap w:val="0"/>
            </w:pPr>
            <w:r>
              <w:rPr>
                <w:rFonts w:hAnsi="等线" w:hint="eastAsia"/>
                <w:color w:val="000000"/>
              </w:rPr>
              <w:t>2,300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57C52D84" w14:textId="77777777" w:rsidR="00DB7667" w:rsidRDefault="00DB7667">
            <w:pPr>
              <w:pStyle w:val="biaogeright"/>
              <w:wordWrap w:val="0"/>
            </w:pPr>
            <w:r>
              <w:rPr>
                <w:rFonts w:hAnsi="等线" w:hint="eastAsia"/>
                <w:color w:val="000000"/>
              </w:rPr>
              <w:t>1,104,115.00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426FF732" w14:textId="77777777" w:rsidR="00DB7667" w:rsidRDefault="00DB7667">
            <w:pPr>
              <w:pStyle w:val="biaogeright"/>
              <w:wordWrap w:val="0"/>
            </w:pPr>
            <w:r>
              <w:rPr>
                <w:rFonts w:hAnsi="等线" w:hint="eastAsia"/>
                <w:color w:val="000000"/>
              </w:rPr>
              <w:t>2.12</w:t>
            </w:r>
          </w:p>
        </w:tc>
      </w:tr>
      <w:tr w:rsidR="00DB7667" w14:paraId="663AAFCB"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13297A83" w14:textId="77777777" w:rsidR="00DB7667" w:rsidRDefault="00DB7667">
            <w:pPr>
              <w:pStyle w:val="biaogecenter"/>
              <w:wordWrap w:val="0"/>
            </w:pPr>
            <w:r>
              <w:rPr>
                <w:rFonts w:hAnsi="等线" w:hint="eastAsia"/>
                <w:color w:val="000000"/>
              </w:rPr>
              <w:t>4</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394DAFD5" w14:textId="77777777" w:rsidR="00DB7667" w:rsidRDefault="00DB7667">
            <w:pPr>
              <w:pStyle w:val="biaogeleft"/>
              <w:wordWrap w:val="0"/>
            </w:pPr>
            <w:r>
              <w:rPr>
                <w:rFonts w:hAnsi="等线" w:hint="eastAsia"/>
                <w:color w:val="000000"/>
              </w:rPr>
              <w:t>600309</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745F59B7" w14:textId="77777777" w:rsidR="00DB7667" w:rsidRDefault="00DB7667">
            <w:pPr>
              <w:pStyle w:val="biaogeleft"/>
              <w:wordWrap w:val="0"/>
            </w:pPr>
            <w:r>
              <w:rPr>
                <w:rFonts w:hAnsi="等线" w:hint="eastAsia"/>
                <w:color w:val="000000"/>
              </w:rPr>
              <w:t>万华化学</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901AB6F" w14:textId="77777777" w:rsidR="00DB7667" w:rsidRDefault="00DB7667">
            <w:pPr>
              <w:pStyle w:val="biaogeright"/>
              <w:wordWrap w:val="0"/>
            </w:pPr>
            <w:r>
              <w:rPr>
                <w:rFonts w:hAnsi="等线" w:hint="eastAsia"/>
                <w:color w:val="000000"/>
              </w:rPr>
              <w:t>10,000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201A6EA8" w14:textId="77777777" w:rsidR="00DB7667" w:rsidRDefault="00DB7667">
            <w:pPr>
              <w:pStyle w:val="biaogeright"/>
              <w:wordWrap w:val="0"/>
            </w:pPr>
            <w:r>
              <w:rPr>
                <w:rFonts w:hAnsi="等线" w:hint="eastAsia"/>
                <w:color w:val="000000"/>
              </w:rPr>
              <w:t>1,088,200.00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3113F8C0" w14:textId="77777777" w:rsidR="00DB7667" w:rsidRDefault="00DB7667">
            <w:pPr>
              <w:pStyle w:val="biaogeright"/>
              <w:wordWrap w:val="0"/>
            </w:pPr>
            <w:r>
              <w:rPr>
                <w:rFonts w:hAnsi="等线" w:hint="eastAsia"/>
                <w:color w:val="000000"/>
              </w:rPr>
              <w:t>2.09</w:t>
            </w:r>
          </w:p>
        </w:tc>
      </w:tr>
      <w:tr w:rsidR="00DB7667" w14:paraId="5E2E4D07"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7476FAF9" w14:textId="77777777" w:rsidR="00DB7667" w:rsidRDefault="00DB7667">
            <w:pPr>
              <w:pStyle w:val="biaogecenter"/>
              <w:wordWrap w:val="0"/>
            </w:pPr>
            <w:r>
              <w:rPr>
                <w:rFonts w:hAnsi="等线" w:hint="eastAsia"/>
                <w:color w:val="000000"/>
              </w:rPr>
              <w:t>5</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138728CE" w14:textId="77777777" w:rsidR="00DB7667" w:rsidRDefault="00DB7667">
            <w:pPr>
              <w:pStyle w:val="biaogeleft"/>
              <w:wordWrap w:val="0"/>
            </w:pPr>
            <w:r>
              <w:rPr>
                <w:rFonts w:hAnsi="等线" w:hint="eastAsia"/>
                <w:color w:val="000000"/>
              </w:rPr>
              <w:t>002027</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43353489" w14:textId="77777777" w:rsidR="00DB7667" w:rsidRDefault="00DB7667">
            <w:pPr>
              <w:pStyle w:val="biaogeleft"/>
              <w:wordWrap w:val="0"/>
            </w:pPr>
            <w:r>
              <w:rPr>
                <w:rFonts w:hAnsi="等线" w:hint="eastAsia"/>
                <w:color w:val="000000"/>
              </w:rPr>
              <w:t>分众传媒</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B2D5378" w14:textId="77777777" w:rsidR="00DB7667" w:rsidRDefault="00DB7667">
            <w:pPr>
              <w:pStyle w:val="biaogeright"/>
              <w:wordWrap w:val="0"/>
            </w:pPr>
            <w:r>
              <w:rPr>
                <w:rFonts w:hAnsi="等线" w:hint="eastAsia"/>
                <w:color w:val="000000"/>
              </w:rPr>
              <w:t>115,600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44E80B6B" w14:textId="77777777" w:rsidR="00DB7667" w:rsidRDefault="00DB7667">
            <w:pPr>
              <w:pStyle w:val="biaogeright"/>
              <w:wordWrap w:val="0"/>
            </w:pPr>
            <w:r>
              <w:rPr>
                <w:rFonts w:hAnsi="等线" w:hint="eastAsia"/>
                <w:color w:val="000000"/>
              </w:rPr>
              <w:t>1,087,796.00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150AE635" w14:textId="77777777" w:rsidR="00DB7667" w:rsidRDefault="00DB7667">
            <w:pPr>
              <w:pStyle w:val="biaogeright"/>
              <w:wordWrap w:val="0"/>
            </w:pPr>
            <w:r>
              <w:rPr>
                <w:rFonts w:hAnsi="等线" w:hint="eastAsia"/>
                <w:color w:val="000000"/>
              </w:rPr>
              <w:t>2.09</w:t>
            </w:r>
          </w:p>
        </w:tc>
      </w:tr>
      <w:tr w:rsidR="00DB7667" w14:paraId="106303A1"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314DF437" w14:textId="77777777" w:rsidR="00DB7667" w:rsidRDefault="00DB7667">
            <w:pPr>
              <w:pStyle w:val="biaogecenter"/>
              <w:wordWrap w:val="0"/>
            </w:pPr>
            <w:r>
              <w:rPr>
                <w:rFonts w:hAnsi="等线" w:hint="eastAsia"/>
                <w:color w:val="000000"/>
              </w:rPr>
              <w:t>6</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169EA053" w14:textId="77777777" w:rsidR="00DB7667" w:rsidRDefault="00DB7667">
            <w:pPr>
              <w:pStyle w:val="biaogeleft"/>
              <w:wordWrap w:val="0"/>
            </w:pPr>
            <w:r>
              <w:rPr>
                <w:rFonts w:hAnsi="等线" w:hint="eastAsia"/>
                <w:color w:val="000000"/>
              </w:rPr>
              <w:t>000858</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E79486C" w14:textId="77777777" w:rsidR="00DB7667" w:rsidRDefault="00DB7667">
            <w:pPr>
              <w:pStyle w:val="biaogeleft"/>
              <w:wordWrap w:val="0"/>
            </w:pPr>
            <w:r>
              <w:rPr>
                <w:rFonts w:hAnsi="等线" w:hint="eastAsia"/>
                <w:color w:val="000000"/>
              </w:rPr>
              <w:t>五 粮 液</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6DDC40E1" w14:textId="77777777" w:rsidR="00DB7667" w:rsidRDefault="00DB7667">
            <w:pPr>
              <w:pStyle w:val="biaogeright"/>
              <w:wordWrap w:val="0"/>
            </w:pPr>
            <w:r>
              <w:rPr>
                <w:rFonts w:hAnsi="等线" w:hint="eastAsia"/>
                <w:color w:val="000000"/>
              </w:rPr>
              <w:t>3,600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35B1FC4A" w14:textId="77777777" w:rsidR="00DB7667" w:rsidRDefault="00DB7667">
            <w:pPr>
              <w:pStyle w:val="biaogeright"/>
              <w:wordWrap w:val="0"/>
            </w:pPr>
            <w:r>
              <w:rPr>
                <w:rFonts w:hAnsi="等线" w:hint="eastAsia"/>
                <w:color w:val="000000"/>
              </w:rPr>
              <w:t>1,072,404.00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082862CD" w14:textId="77777777" w:rsidR="00DB7667" w:rsidRDefault="00DB7667">
            <w:pPr>
              <w:pStyle w:val="biaogeright"/>
              <w:wordWrap w:val="0"/>
            </w:pPr>
            <w:r>
              <w:rPr>
                <w:rFonts w:hAnsi="等线" w:hint="eastAsia"/>
                <w:color w:val="000000"/>
              </w:rPr>
              <w:t>2.06</w:t>
            </w:r>
          </w:p>
        </w:tc>
      </w:tr>
      <w:tr w:rsidR="00DB7667" w14:paraId="0E7FB6BA"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418EF0F5" w14:textId="77777777" w:rsidR="00DB7667" w:rsidRDefault="00DB7667">
            <w:pPr>
              <w:pStyle w:val="biaogecenter"/>
              <w:wordWrap w:val="0"/>
            </w:pPr>
            <w:r>
              <w:rPr>
                <w:rFonts w:hAnsi="等线" w:hint="eastAsia"/>
                <w:color w:val="000000"/>
              </w:rPr>
              <w:t>7</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23BECD0F" w14:textId="77777777" w:rsidR="00DB7667" w:rsidRDefault="00DB7667">
            <w:pPr>
              <w:pStyle w:val="biaogeleft"/>
              <w:wordWrap w:val="0"/>
            </w:pPr>
            <w:r>
              <w:rPr>
                <w:rFonts w:hAnsi="等线" w:hint="eastAsia"/>
                <w:color w:val="000000"/>
              </w:rPr>
              <w:t>600036</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69CD7B0F" w14:textId="77777777" w:rsidR="00DB7667" w:rsidRDefault="00DB7667">
            <w:pPr>
              <w:pStyle w:val="biaogeleft"/>
              <w:wordWrap w:val="0"/>
            </w:pPr>
            <w:r>
              <w:rPr>
                <w:rFonts w:hAnsi="等线" w:hint="eastAsia"/>
                <w:color w:val="000000"/>
              </w:rPr>
              <w:t>招商银行</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0AF6DAA6" w14:textId="77777777" w:rsidR="00DB7667" w:rsidRDefault="00DB7667">
            <w:pPr>
              <w:pStyle w:val="biaogeright"/>
              <w:wordWrap w:val="0"/>
            </w:pPr>
            <w:r>
              <w:rPr>
                <w:rFonts w:hAnsi="等线" w:hint="eastAsia"/>
                <w:color w:val="000000"/>
              </w:rPr>
              <w:t>19,400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3B2ED0DF" w14:textId="77777777" w:rsidR="00DB7667" w:rsidRDefault="00DB7667">
            <w:pPr>
              <w:pStyle w:val="biaogeright"/>
              <w:wordWrap w:val="0"/>
            </w:pPr>
            <w:r>
              <w:rPr>
                <w:rFonts w:hAnsi="等线" w:hint="eastAsia"/>
                <w:color w:val="000000"/>
              </w:rPr>
              <w:t>1,051,286.00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0E0FC831" w14:textId="77777777" w:rsidR="00DB7667" w:rsidRDefault="00DB7667">
            <w:pPr>
              <w:pStyle w:val="biaogeright"/>
              <w:wordWrap w:val="0"/>
            </w:pPr>
            <w:r>
              <w:rPr>
                <w:rFonts w:hAnsi="等线" w:hint="eastAsia"/>
                <w:color w:val="000000"/>
              </w:rPr>
              <w:t>2.02</w:t>
            </w:r>
          </w:p>
        </w:tc>
      </w:tr>
      <w:tr w:rsidR="00DB7667" w14:paraId="720DDDC4"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5491B684" w14:textId="77777777" w:rsidR="00DB7667" w:rsidRDefault="00DB7667">
            <w:pPr>
              <w:pStyle w:val="biaogecenter"/>
              <w:wordWrap w:val="0"/>
            </w:pPr>
            <w:r>
              <w:rPr>
                <w:rFonts w:hAnsi="等线" w:hint="eastAsia"/>
                <w:color w:val="000000"/>
              </w:rPr>
              <w:t>8</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7513C196" w14:textId="77777777" w:rsidR="00DB7667" w:rsidRDefault="00DB7667">
            <w:pPr>
              <w:pStyle w:val="biaogeleft"/>
              <w:wordWrap w:val="0"/>
            </w:pPr>
            <w:r>
              <w:rPr>
                <w:rFonts w:hAnsi="等线" w:hint="eastAsia"/>
                <w:color w:val="000000"/>
              </w:rPr>
              <w:t>601318</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11F69D51" w14:textId="77777777" w:rsidR="00DB7667" w:rsidRDefault="00DB7667">
            <w:pPr>
              <w:pStyle w:val="biaogeleft"/>
              <w:wordWrap w:val="0"/>
            </w:pPr>
            <w:r>
              <w:rPr>
                <w:rFonts w:hAnsi="等线" w:hint="eastAsia"/>
                <w:color w:val="000000"/>
              </w:rPr>
              <w:t>中国平安</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3CFDEFA3" w14:textId="77777777" w:rsidR="00DB7667" w:rsidRDefault="00DB7667">
            <w:pPr>
              <w:pStyle w:val="biaogeright"/>
              <w:wordWrap w:val="0"/>
            </w:pPr>
            <w:r>
              <w:rPr>
                <w:rFonts w:hAnsi="等线" w:hint="eastAsia"/>
                <w:color w:val="000000"/>
              </w:rPr>
              <w:t>16,300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74DF176E" w14:textId="77777777" w:rsidR="00DB7667" w:rsidRDefault="00DB7667">
            <w:pPr>
              <w:pStyle w:val="biaogeright"/>
              <w:wordWrap w:val="0"/>
            </w:pPr>
            <w:r>
              <w:rPr>
                <w:rFonts w:hAnsi="等线" w:hint="eastAsia"/>
                <w:color w:val="000000"/>
              </w:rPr>
              <w:t>1,047,764.00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2D92C149" w14:textId="77777777" w:rsidR="00DB7667" w:rsidRDefault="00DB7667">
            <w:pPr>
              <w:pStyle w:val="biaogeright"/>
              <w:wordWrap w:val="0"/>
            </w:pPr>
            <w:r>
              <w:rPr>
                <w:rFonts w:hAnsi="等线" w:hint="eastAsia"/>
                <w:color w:val="000000"/>
              </w:rPr>
              <w:t>2.01</w:t>
            </w:r>
          </w:p>
        </w:tc>
      </w:tr>
      <w:tr w:rsidR="00DB7667" w14:paraId="61A315CB"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190196A6" w14:textId="77777777" w:rsidR="00DB7667" w:rsidRDefault="00DB7667">
            <w:pPr>
              <w:pStyle w:val="biaogecenter"/>
              <w:wordWrap w:val="0"/>
            </w:pPr>
            <w:r>
              <w:rPr>
                <w:rFonts w:hAnsi="等线" w:hint="eastAsia"/>
                <w:color w:val="000000"/>
              </w:rPr>
              <w:t>9</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6CFD2E1A" w14:textId="77777777" w:rsidR="00DB7667" w:rsidRDefault="00DB7667">
            <w:pPr>
              <w:pStyle w:val="biaogeleft"/>
              <w:wordWrap w:val="0"/>
            </w:pPr>
            <w:r>
              <w:rPr>
                <w:rFonts w:hAnsi="等线" w:hint="eastAsia"/>
                <w:color w:val="000000"/>
              </w:rPr>
              <w:t>000333</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47DE8671" w14:textId="77777777" w:rsidR="00DB7667" w:rsidRDefault="00DB7667">
            <w:pPr>
              <w:pStyle w:val="biaogeleft"/>
              <w:wordWrap w:val="0"/>
            </w:pPr>
            <w:r>
              <w:rPr>
                <w:rFonts w:hAnsi="等线" w:hint="eastAsia"/>
                <w:color w:val="000000"/>
              </w:rPr>
              <w:t>美的集团</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3ED88593" w14:textId="77777777" w:rsidR="00DB7667" w:rsidRDefault="00DB7667">
            <w:pPr>
              <w:pStyle w:val="biaogeright"/>
              <w:wordWrap w:val="0"/>
            </w:pPr>
            <w:r>
              <w:rPr>
                <w:rFonts w:hAnsi="等线" w:hint="eastAsia"/>
                <w:color w:val="000000"/>
              </w:rPr>
              <w:t>14,600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13894128" w14:textId="77777777" w:rsidR="00DB7667" w:rsidRDefault="00DB7667">
            <w:pPr>
              <w:pStyle w:val="biaogeright"/>
              <w:wordWrap w:val="0"/>
            </w:pPr>
            <w:r>
              <w:rPr>
                <w:rFonts w:hAnsi="等线" w:hint="eastAsia"/>
                <w:color w:val="000000"/>
              </w:rPr>
              <w:t>1,042,002.00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13954C76" w14:textId="77777777" w:rsidR="00DB7667" w:rsidRDefault="00DB7667">
            <w:pPr>
              <w:pStyle w:val="biaogeright"/>
              <w:wordWrap w:val="0"/>
            </w:pPr>
            <w:r>
              <w:rPr>
                <w:rFonts w:hAnsi="等线" w:hint="eastAsia"/>
                <w:color w:val="000000"/>
              </w:rPr>
              <w:t>2.00</w:t>
            </w:r>
          </w:p>
        </w:tc>
      </w:tr>
      <w:tr w:rsidR="00DB7667" w14:paraId="32F69F8F" w14:textId="77777777" w:rsidTr="00EE54B8">
        <w:tc>
          <w:tcPr>
            <w:tcW w:w="471" w:type="dxa"/>
            <w:tcBorders>
              <w:top w:val="single" w:sz="8" w:space="0" w:color="000000"/>
              <w:left w:val="single" w:sz="8" w:space="0" w:color="000000"/>
              <w:bottom w:val="single" w:sz="6" w:space="0" w:color="000000"/>
              <w:right w:val="single" w:sz="8" w:space="0" w:color="000000"/>
            </w:tcBorders>
            <w:vAlign w:val="center"/>
            <w:hideMark/>
          </w:tcPr>
          <w:p w14:paraId="4887FF29" w14:textId="77777777" w:rsidR="00DB7667" w:rsidRDefault="00DB7667">
            <w:pPr>
              <w:pStyle w:val="biaogecenter"/>
              <w:wordWrap w:val="0"/>
            </w:pPr>
            <w:r>
              <w:rPr>
                <w:rFonts w:hAnsi="等线" w:hint="eastAsia"/>
                <w:color w:val="000000"/>
              </w:rPr>
              <w:t>10</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2454AFBF" w14:textId="77777777" w:rsidR="00DB7667" w:rsidRDefault="00DB7667">
            <w:pPr>
              <w:pStyle w:val="biaogeleft"/>
              <w:wordWrap w:val="0"/>
            </w:pPr>
            <w:r>
              <w:rPr>
                <w:rFonts w:hAnsi="等线" w:hint="eastAsia"/>
                <w:color w:val="000000"/>
              </w:rPr>
              <w:t>600887</w:t>
            </w:r>
          </w:p>
        </w:tc>
        <w:tc>
          <w:tcPr>
            <w:tcW w:w="1613" w:type="dxa"/>
            <w:tcBorders>
              <w:top w:val="single" w:sz="8" w:space="0" w:color="000000"/>
              <w:left w:val="single" w:sz="8" w:space="0" w:color="000000"/>
              <w:bottom w:val="single" w:sz="6" w:space="0" w:color="000000"/>
              <w:right w:val="single" w:sz="8" w:space="0" w:color="000000"/>
            </w:tcBorders>
            <w:vAlign w:val="center"/>
            <w:hideMark/>
          </w:tcPr>
          <w:p w14:paraId="5FE702C8" w14:textId="77777777" w:rsidR="00DB7667" w:rsidRDefault="00DB7667">
            <w:pPr>
              <w:pStyle w:val="biaogeleft"/>
              <w:wordWrap w:val="0"/>
            </w:pPr>
            <w:r>
              <w:rPr>
                <w:rFonts w:hAnsi="等线" w:hint="eastAsia"/>
                <w:color w:val="000000"/>
              </w:rPr>
              <w:t>伊利股份</w:t>
            </w:r>
          </w:p>
        </w:tc>
        <w:tc>
          <w:tcPr>
            <w:tcW w:w="1647" w:type="dxa"/>
            <w:tcBorders>
              <w:top w:val="single" w:sz="8" w:space="0" w:color="000000"/>
              <w:left w:val="single" w:sz="8" w:space="0" w:color="000000"/>
              <w:bottom w:val="single" w:sz="6" w:space="0" w:color="000000"/>
              <w:right w:val="single" w:sz="8" w:space="0" w:color="000000"/>
            </w:tcBorders>
            <w:vAlign w:val="center"/>
            <w:hideMark/>
          </w:tcPr>
          <w:p w14:paraId="3C62AF0A" w14:textId="77777777" w:rsidR="00DB7667" w:rsidRDefault="00DB7667">
            <w:pPr>
              <w:pStyle w:val="biaogeright"/>
              <w:wordWrap w:val="0"/>
            </w:pPr>
            <w:r>
              <w:rPr>
                <w:rFonts w:hAnsi="等线" w:hint="eastAsia"/>
                <w:color w:val="000000"/>
              </w:rPr>
              <w:t>28,100</w:t>
            </w:r>
          </w:p>
        </w:tc>
        <w:tc>
          <w:tcPr>
            <w:tcW w:w="1860" w:type="dxa"/>
            <w:tcBorders>
              <w:top w:val="single" w:sz="8" w:space="0" w:color="000000"/>
              <w:left w:val="single" w:sz="8" w:space="0" w:color="000000"/>
              <w:bottom w:val="single" w:sz="6" w:space="0" w:color="000000"/>
              <w:right w:val="single" w:sz="8" w:space="0" w:color="000000"/>
            </w:tcBorders>
            <w:vAlign w:val="center"/>
            <w:hideMark/>
          </w:tcPr>
          <w:p w14:paraId="30E1DA31" w14:textId="77777777" w:rsidR="00DB7667" w:rsidRDefault="00DB7667">
            <w:pPr>
              <w:pStyle w:val="biaogeright"/>
              <w:wordWrap w:val="0"/>
            </w:pPr>
            <w:r>
              <w:rPr>
                <w:rFonts w:hAnsi="等线" w:hint="eastAsia"/>
                <w:color w:val="000000"/>
              </w:rPr>
              <w:t>1,034,923.00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637C4F2F" w14:textId="77777777" w:rsidR="00DB7667" w:rsidRDefault="00DB7667">
            <w:pPr>
              <w:pStyle w:val="biaogeright"/>
              <w:wordWrap w:val="0"/>
            </w:pPr>
            <w:r>
              <w:rPr>
                <w:rFonts w:hAnsi="等线" w:hint="eastAsia"/>
                <w:color w:val="000000"/>
              </w:rPr>
              <w:t>1.99</w:t>
            </w:r>
          </w:p>
        </w:tc>
      </w:tr>
    </w:tbl>
    <w:p w14:paraId="05005591" w14:textId="77777777" w:rsidR="00D51FDF" w:rsidRDefault="007F75F6">
      <w:pPr>
        <w:pStyle w:val="zhangjiep"/>
        <w:spacing w:line="360" w:lineRule="auto"/>
        <w:ind w:left="0"/>
        <w:outlineLvl w:val="9"/>
        <w:rPr>
          <w:rFonts w:asciiTheme="minorEastAsia" w:eastAsiaTheme="minorEastAsia" w:hAnsiTheme="minorEastAsia"/>
          <w:bCs/>
        </w:rPr>
      </w:pPr>
      <w:r>
        <w:rPr>
          <w:rFonts w:asciiTheme="minorEastAsia" w:eastAsiaTheme="minorEastAsia" w:hAnsiTheme="minorEastAsia" w:hint="eastAsia"/>
          <w:bCs/>
        </w:rPr>
        <w:tab/>
      </w:r>
      <w:r>
        <w:rPr>
          <w:rFonts w:asciiTheme="minorEastAsia" w:eastAsiaTheme="minorEastAsia" w:hAnsiTheme="minorEastAsia"/>
          <w:bCs/>
        </w:rPr>
        <w:t>4、报告期末按债券品种分类的债券投资组合</w:t>
      </w:r>
    </w:p>
    <w:tbl>
      <w:tblPr>
        <w:tblW w:w="9045" w:type="dxa"/>
        <w:tblInd w:w="108" w:type="dxa"/>
        <w:tblLook w:val="04A0" w:firstRow="1" w:lastRow="0" w:firstColumn="1" w:lastColumn="0" w:noHBand="0" w:noVBand="1"/>
      </w:tblPr>
      <w:tblGrid>
        <w:gridCol w:w="1206"/>
        <w:gridCol w:w="3467"/>
        <w:gridCol w:w="2563"/>
        <w:gridCol w:w="1809"/>
      </w:tblGrid>
      <w:tr w:rsidR="00DB7667" w14:paraId="3520C6A7"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25A44A96" w14:textId="77777777" w:rsidR="00DB7667" w:rsidRDefault="00DB7667">
            <w:pPr>
              <w:pStyle w:val="biaogecenter"/>
              <w:wordWrap w:val="0"/>
            </w:pPr>
            <w:r>
              <w:rPr>
                <w:rFonts w:hint="eastAsia"/>
              </w:rPr>
              <w:t>序号</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ACE25D9" w14:textId="77777777" w:rsidR="00DB7667" w:rsidRDefault="00DB7667">
            <w:pPr>
              <w:pStyle w:val="biaogecenter"/>
              <w:wordWrap w:val="0"/>
            </w:pPr>
            <w:r>
              <w:rPr>
                <w:rFonts w:hAnsi="等线" w:hint="eastAsia"/>
                <w:color w:val="000000"/>
              </w:rPr>
              <w:t>债券品种</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418EC901" w14:textId="77777777" w:rsidR="00DB7667" w:rsidRDefault="00DB7667">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DC1F6AB" w14:textId="77777777" w:rsidR="00DB7667" w:rsidRDefault="00DB7667">
            <w:pPr>
              <w:pStyle w:val="biaogecenter"/>
              <w:wordWrap w:val="0"/>
            </w:pPr>
            <w:r>
              <w:rPr>
                <w:rFonts w:hAnsi="等线" w:hint="eastAsia"/>
                <w:color w:val="000000"/>
              </w:rPr>
              <w:t>占基金资产净值比例（％）</w:t>
            </w:r>
          </w:p>
        </w:tc>
      </w:tr>
      <w:tr w:rsidR="00DB7667" w14:paraId="164A2C5D"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4571C7EA" w14:textId="77777777" w:rsidR="00DB7667" w:rsidRDefault="00DB7667">
            <w:pPr>
              <w:pStyle w:val="biaogecenter"/>
              <w:wordWrap w:val="0"/>
            </w:pPr>
            <w:r>
              <w:rPr>
                <w:rFonts w:hAnsi="等线" w:hint="eastAsia"/>
                <w:color w:val="000000"/>
              </w:rPr>
              <w:t>1</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390F2E48" w14:textId="77777777" w:rsidR="00DB7667" w:rsidRDefault="00DB7667">
            <w:pPr>
              <w:pStyle w:val="biaogeleft"/>
              <w:wordWrap w:val="0"/>
            </w:pPr>
            <w:r>
              <w:rPr>
                <w:rFonts w:hint="eastAsia"/>
              </w:rPr>
              <w:t>国家债券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166F4492" w14:textId="77777777" w:rsidR="00DB7667" w:rsidRDefault="00DB7667">
            <w:pPr>
              <w:pStyle w:val="biaogeright"/>
              <w:wordWrap w:val="0"/>
            </w:pPr>
            <w:r>
              <w:rPr>
                <w:rFonts w:hAnsi="等线" w:hint="eastAsia"/>
                <w:color w:val="000000"/>
              </w:rPr>
              <w:t>31,236,320.00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5A6424C" w14:textId="77777777" w:rsidR="00DB7667" w:rsidRDefault="00DB7667">
            <w:pPr>
              <w:pStyle w:val="biaogeright"/>
              <w:wordWrap w:val="0"/>
            </w:pPr>
            <w:r>
              <w:rPr>
                <w:rFonts w:hAnsi="等线" w:hint="eastAsia"/>
                <w:color w:val="000000"/>
              </w:rPr>
              <w:t>59.92</w:t>
            </w:r>
          </w:p>
        </w:tc>
      </w:tr>
      <w:tr w:rsidR="00DB7667" w14:paraId="08D51065"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36949B97" w14:textId="77777777" w:rsidR="00DB7667" w:rsidRDefault="00DB7667">
            <w:pPr>
              <w:pStyle w:val="biaogecenter"/>
              <w:wordWrap w:val="0"/>
            </w:pPr>
            <w:r>
              <w:rPr>
                <w:rFonts w:hAnsi="等线" w:hint="eastAsia"/>
                <w:color w:val="000000"/>
              </w:rPr>
              <w:t>2</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E21C558" w14:textId="77777777" w:rsidR="00DB7667" w:rsidRDefault="00DB7667">
            <w:pPr>
              <w:pStyle w:val="biaogeleft"/>
              <w:wordWrap w:val="0"/>
            </w:pPr>
            <w:r>
              <w:rPr>
                <w:rFonts w:hint="eastAsia"/>
              </w:rPr>
              <w:t>央行票据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09CCAD6" w14:textId="77777777" w:rsidR="00DB7667" w:rsidRDefault="00DB7667">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A1E55F9" w14:textId="77777777" w:rsidR="00DB7667" w:rsidRDefault="00DB7667">
            <w:pPr>
              <w:pStyle w:val="biaogeright"/>
              <w:wordWrap w:val="0"/>
            </w:pPr>
            <w:r>
              <w:rPr>
                <w:rFonts w:hAnsi="等线" w:hint="eastAsia"/>
                <w:color w:val="000000"/>
              </w:rPr>
              <w:t>-</w:t>
            </w:r>
          </w:p>
        </w:tc>
      </w:tr>
      <w:tr w:rsidR="00DB7667" w14:paraId="21FB69E5"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70E2AB7C" w14:textId="77777777" w:rsidR="00DB7667" w:rsidRDefault="00DB7667">
            <w:pPr>
              <w:pStyle w:val="biaogecenter"/>
              <w:wordWrap w:val="0"/>
            </w:pPr>
            <w:r>
              <w:rPr>
                <w:rFonts w:hAnsi="等线" w:hint="eastAsia"/>
                <w:color w:val="000000"/>
              </w:rPr>
              <w:t>3</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2D9A81C" w14:textId="77777777" w:rsidR="00DB7667" w:rsidRDefault="00DB7667">
            <w:pPr>
              <w:pStyle w:val="biaogeleft"/>
              <w:wordWrap w:val="0"/>
            </w:pPr>
            <w:r>
              <w:rPr>
                <w:rFonts w:hint="eastAsia"/>
              </w:rPr>
              <w:t>金融债券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31321F3" w14:textId="77777777" w:rsidR="00DB7667" w:rsidRDefault="00DB7667">
            <w:pPr>
              <w:pStyle w:val="biaogeright"/>
              <w:wordWrap w:val="0"/>
            </w:pPr>
            <w:r>
              <w:rPr>
                <w:rFonts w:hAnsi="等线" w:hint="eastAsia"/>
                <w:color w:val="000000"/>
              </w:rPr>
              <w:t>3,910,530.00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00A30B6" w14:textId="77777777" w:rsidR="00DB7667" w:rsidRDefault="00DB7667">
            <w:pPr>
              <w:pStyle w:val="biaogeright"/>
              <w:wordWrap w:val="0"/>
            </w:pPr>
            <w:r>
              <w:rPr>
                <w:rFonts w:hAnsi="等线" w:hint="eastAsia"/>
                <w:color w:val="000000"/>
              </w:rPr>
              <w:t>7.50</w:t>
            </w:r>
          </w:p>
        </w:tc>
      </w:tr>
      <w:tr w:rsidR="00DB7667" w14:paraId="4BD26741"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451A3D60" w14:textId="77777777" w:rsidR="00DB7667" w:rsidRDefault="00DB7667">
            <w:pPr>
              <w:widowControl/>
              <w:jc w:val="left"/>
              <w:rPr>
                <w:rFonts w:cs="宋体"/>
                <w:kern w:val="0"/>
                <w:sz w:val="20"/>
                <w:szCs w:val="20"/>
              </w:rPr>
            </w:pP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1AB1626B" w14:textId="77777777" w:rsidR="00DB7667" w:rsidRDefault="00DB7667">
            <w:pPr>
              <w:pStyle w:val="biaogeleft"/>
              <w:wordWrap w:val="0"/>
            </w:pPr>
            <w:r>
              <w:rPr>
                <w:rFonts w:hint="eastAsia"/>
              </w:rPr>
              <w:t>其中：政策性金融债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221974D8" w14:textId="77777777" w:rsidR="00DB7667" w:rsidRDefault="00DB7667">
            <w:pPr>
              <w:pStyle w:val="biaogeright"/>
              <w:wordWrap w:val="0"/>
            </w:pPr>
            <w:r>
              <w:rPr>
                <w:rFonts w:hAnsi="等线" w:hint="eastAsia"/>
                <w:color w:val="000000"/>
              </w:rPr>
              <w:t>3,910,530.00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5A4515E" w14:textId="77777777" w:rsidR="00DB7667" w:rsidRDefault="00DB7667">
            <w:pPr>
              <w:pStyle w:val="biaogeright"/>
              <w:wordWrap w:val="0"/>
            </w:pPr>
            <w:r>
              <w:rPr>
                <w:rFonts w:hAnsi="等线" w:hint="eastAsia"/>
                <w:color w:val="000000"/>
              </w:rPr>
              <w:t>7.50</w:t>
            </w:r>
          </w:p>
        </w:tc>
      </w:tr>
      <w:tr w:rsidR="00DB7667" w14:paraId="3B15BC57"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61CFF5DD" w14:textId="77777777" w:rsidR="00DB7667" w:rsidRDefault="00DB7667">
            <w:pPr>
              <w:pStyle w:val="biaogecenter"/>
              <w:wordWrap w:val="0"/>
            </w:pPr>
            <w:r>
              <w:rPr>
                <w:rFonts w:hint="eastAsia"/>
              </w:rPr>
              <w:t>4</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0218038B" w14:textId="77777777" w:rsidR="00DB7667" w:rsidRDefault="00DB7667">
            <w:pPr>
              <w:pStyle w:val="biaogeleft"/>
              <w:wordWrap w:val="0"/>
            </w:pPr>
            <w:r>
              <w:rPr>
                <w:rFonts w:hint="eastAsia"/>
              </w:rPr>
              <w:t>企业债券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6E4CA051" w14:textId="77777777" w:rsidR="00DB7667" w:rsidRDefault="00DB7667">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CAF45CF" w14:textId="77777777" w:rsidR="00DB7667" w:rsidRDefault="00DB7667">
            <w:pPr>
              <w:pStyle w:val="biaogeright"/>
              <w:wordWrap w:val="0"/>
            </w:pPr>
            <w:r>
              <w:rPr>
                <w:rFonts w:hAnsi="等线" w:hint="eastAsia"/>
                <w:color w:val="000000"/>
              </w:rPr>
              <w:t>-</w:t>
            </w:r>
          </w:p>
        </w:tc>
      </w:tr>
      <w:tr w:rsidR="00DB7667" w14:paraId="3A1E30D2"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4BE71A8A" w14:textId="77777777" w:rsidR="00DB7667" w:rsidRDefault="00DB7667">
            <w:pPr>
              <w:pStyle w:val="biaogecenter"/>
              <w:wordWrap w:val="0"/>
            </w:pPr>
            <w:r>
              <w:rPr>
                <w:rFonts w:hint="eastAsia"/>
              </w:rPr>
              <w:t>5</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BF1FE2A" w14:textId="77777777" w:rsidR="00DB7667" w:rsidRDefault="00DB7667">
            <w:pPr>
              <w:pStyle w:val="biaogeleft"/>
              <w:wordWrap w:val="0"/>
            </w:pPr>
            <w:r>
              <w:rPr>
                <w:rFonts w:hint="eastAsia"/>
              </w:rPr>
              <w:t>企业短期融资</w:t>
            </w:r>
            <w:proofErr w:type="gramStart"/>
            <w:r>
              <w:rPr>
                <w:rFonts w:hint="eastAsia"/>
              </w:rPr>
              <w:t>券</w:t>
            </w:r>
            <w:proofErr w:type="gramEnd"/>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DB08FE4" w14:textId="77777777" w:rsidR="00DB7667" w:rsidRDefault="00DB7667">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98CD041" w14:textId="77777777" w:rsidR="00DB7667" w:rsidRDefault="00DB7667">
            <w:pPr>
              <w:pStyle w:val="biaogeright"/>
              <w:wordWrap w:val="0"/>
            </w:pPr>
            <w:r>
              <w:rPr>
                <w:rFonts w:hAnsi="等线" w:hint="eastAsia"/>
                <w:color w:val="000000"/>
              </w:rPr>
              <w:t>-</w:t>
            </w:r>
          </w:p>
        </w:tc>
      </w:tr>
      <w:tr w:rsidR="00DB7667" w14:paraId="6F0656B3"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3343AEA6" w14:textId="77777777" w:rsidR="00DB7667" w:rsidRDefault="00DB7667">
            <w:pPr>
              <w:pStyle w:val="biaogecenter"/>
              <w:wordWrap w:val="0"/>
            </w:pPr>
            <w:r>
              <w:rPr>
                <w:rFonts w:hAnsi="等线" w:hint="eastAsia"/>
                <w:color w:val="000000"/>
              </w:rPr>
              <w:t>6</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68FDF49" w14:textId="77777777" w:rsidR="00DB7667" w:rsidRDefault="00DB7667">
            <w:pPr>
              <w:pStyle w:val="biaogeleft"/>
              <w:wordWrap w:val="0"/>
            </w:pPr>
            <w:r>
              <w:rPr>
                <w:rFonts w:hint="eastAsia"/>
              </w:rPr>
              <w:t>中期票据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1875CA37" w14:textId="77777777" w:rsidR="00DB7667" w:rsidRDefault="00DB7667">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9DB5986" w14:textId="77777777" w:rsidR="00DB7667" w:rsidRDefault="00DB7667">
            <w:pPr>
              <w:pStyle w:val="biaogeright"/>
              <w:wordWrap w:val="0"/>
            </w:pPr>
            <w:r>
              <w:rPr>
                <w:rFonts w:hAnsi="等线" w:hint="eastAsia"/>
                <w:color w:val="000000"/>
              </w:rPr>
              <w:t>-</w:t>
            </w:r>
          </w:p>
        </w:tc>
      </w:tr>
      <w:tr w:rsidR="00DB7667" w14:paraId="595432C1"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6138F5F4" w14:textId="77777777" w:rsidR="00DB7667" w:rsidRDefault="00DB7667">
            <w:pPr>
              <w:pStyle w:val="biaogecenter"/>
              <w:wordWrap w:val="0"/>
            </w:pPr>
            <w:r>
              <w:rPr>
                <w:rFonts w:hAnsi="等线" w:hint="eastAsia"/>
                <w:color w:val="000000"/>
              </w:rPr>
              <w:lastRenderedPageBreak/>
              <w:t>7</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1408541" w14:textId="77777777" w:rsidR="00DB7667" w:rsidRDefault="00DB7667">
            <w:pPr>
              <w:pStyle w:val="biaogeleft"/>
              <w:wordWrap w:val="0"/>
            </w:pPr>
            <w:r>
              <w:rPr>
                <w:rFonts w:hint="eastAsia"/>
              </w:rPr>
              <w:t>可转债（可交换债）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344F2DF" w14:textId="77777777" w:rsidR="00DB7667" w:rsidRDefault="00DB7667">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72609D7" w14:textId="77777777" w:rsidR="00DB7667" w:rsidRDefault="00DB7667">
            <w:pPr>
              <w:pStyle w:val="biaogeright"/>
              <w:wordWrap w:val="0"/>
            </w:pPr>
            <w:r>
              <w:rPr>
                <w:rFonts w:hAnsi="等线" w:hint="eastAsia"/>
                <w:color w:val="000000"/>
              </w:rPr>
              <w:t>-</w:t>
            </w:r>
          </w:p>
        </w:tc>
      </w:tr>
      <w:tr w:rsidR="00DB7667" w14:paraId="12A77C98"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0E2C090C" w14:textId="77777777" w:rsidR="00DB7667" w:rsidRDefault="00DB7667">
            <w:pPr>
              <w:pStyle w:val="biaogecenter"/>
              <w:wordWrap w:val="0"/>
            </w:pPr>
            <w:r>
              <w:rPr>
                <w:rFonts w:hAnsi="等线" w:hint="eastAsia"/>
                <w:color w:val="000000"/>
              </w:rPr>
              <w:t>8</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A63CDFA" w14:textId="77777777" w:rsidR="00DB7667" w:rsidRDefault="00DB7667">
            <w:pPr>
              <w:pStyle w:val="biaogeleft"/>
              <w:wordWrap w:val="0"/>
            </w:pPr>
            <w:r>
              <w:rPr>
                <w:rFonts w:hint="eastAsia"/>
              </w:rPr>
              <w:t>同业存单</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1E1C7A2" w14:textId="77777777" w:rsidR="00DB7667" w:rsidRDefault="00DB7667">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DB48D8E" w14:textId="77777777" w:rsidR="00DB7667" w:rsidRDefault="00DB7667">
            <w:pPr>
              <w:pStyle w:val="biaogeright"/>
              <w:wordWrap w:val="0"/>
            </w:pPr>
            <w:r>
              <w:rPr>
                <w:rFonts w:hAnsi="等线" w:hint="eastAsia"/>
                <w:color w:val="000000"/>
              </w:rPr>
              <w:t>-</w:t>
            </w:r>
          </w:p>
        </w:tc>
      </w:tr>
      <w:tr w:rsidR="00DB7667" w14:paraId="2890BC9F"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3E639E5F" w14:textId="77777777" w:rsidR="00DB7667" w:rsidRDefault="00DB7667">
            <w:pPr>
              <w:pStyle w:val="biaogecenter"/>
              <w:wordWrap w:val="0"/>
            </w:pPr>
            <w:r>
              <w:rPr>
                <w:rFonts w:hint="eastAsia"/>
              </w:rPr>
              <w:t>9</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0EBF8379" w14:textId="77777777" w:rsidR="00DB7667" w:rsidRDefault="00DB7667">
            <w:pPr>
              <w:pStyle w:val="biaogeleft"/>
              <w:wordWrap w:val="0"/>
            </w:pPr>
            <w:r>
              <w:rPr>
                <w:rFonts w:hint="eastAsia"/>
              </w:rPr>
              <w:t>其他</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64236E14" w14:textId="77777777" w:rsidR="00DB7667" w:rsidRDefault="00DB7667">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E42ED27" w14:textId="77777777" w:rsidR="00DB7667" w:rsidRDefault="00DB7667">
            <w:pPr>
              <w:pStyle w:val="biaogeright"/>
              <w:wordWrap w:val="0"/>
            </w:pPr>
            <w:r>
              <w:rPr>
                <w:rFonts w:hAnsi="等线" w:hint="eastAsia"/>
                <w:color w:val="000000"/>
              </w:rPr>
              <w:t>-</w:t>
            </w:r>
          </w:p>
        </w:tc>
      </w:tr>
      <w:tr w:rsidR="00DB7667" w14:paraId="71272FD1" w14:textId="77777777" w:rsidTr="00DB7667">
        <w:tc>
          <w:tcPr>
            <w:tcW w:w="1200" w:type="dxa"/>
            <w:tcBorders>
              <w:top w:val="single" w:sz="8" w:space="0" w:color="000000"/>
              <w:left w:val="single" w:sz="8" w:space="0" w:color="000000"/>
              <w:bottom w:val="single" w:sz="6" w:space="0" w:color="000000"/>
              <w:right w:val="single" w:sz="8" w:space="0" w:color="000000"/>
            </w:tcBorders>
            <w:vAlign w:val="center"/>
            <w:hideMark/>
          </w:tcPr>
          <w:p w14:paraId="53A0F63A" w14:textId="77777777" w:rsidR="00DB7667" w:rsidRDefault="00DB7667">
            <w:pPr>
              <w:pStyle w:val="biaogecenter"/>
              <w:wordWrap w:val="0"/>
            </w:pPr>
            <w:r>
              <w:rPr>
                <w:rFonts w:hAnsi="等线" w:hint="eastAsia"/>
                <w:color w:val="000000"/>
              </w:rPr>
              <w:t>10</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113006F" w14:textId="77777777" w:rsidR="00DB7667" w:rsidRDefault="00DB7667">
            <w:pPr>
              <w:pStyle w:val="biaogeleft"/>
              <w:wordWrap w:val="0"/>
            </w:pPr>
            <w:r>
              <w:rPr>
                <w:rFonts w:hint="eastAsia"/>
              </w:rPr>
              <w:t>合计</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1049BB6" w14:textId="77777777" w:rsidR="00DB7667" w:rsidRDefault="00DB7667">
            <w:pPr>
              <w:pStyle w:val="biaogeright"/>
              <w:wordWrap w:val="0"/>
            </w:pPr>
            <w:r>
              <w:rPr>
                <w:rFonts w:hAnsi="等线" w:hint="eastAsia"/>
                <w:color w:val="000000"/>
              </w:rPr>
              <w:t>35,146,850.00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8D6527C" w14:textId="77777777" w:rsidR="00DB7667" w:rsidRDefault="00DB7667">
            <w:pPr>
              <w:pStyle w:val="biaogeright"/>
              <w:wordWrap w:val="0"/>
            </w:pPr>
            <w:r>
              <w:rPr>
                <w:rFonts w:hAnsi="等线" w:hint="eastAsia"/>
                <w:color w:val="000000"/>
              </w:rPr>
              <w:t>67.43</w:t>
            </w:r>
          </w:p>
        </w:tc>
      </w:tr>
    </w:tbl>
    <w:p w14:paraId="22D0E42F" w14:textId="77777777" w:rsidR="00D51FDF" w:rsidRDefault="00D51FDF">
      <w:pPr>
        <w:pStyle w:val="zhangjiep"/>
        <w:spacing w:line="360" w:lineRule="auto"/>
        <w:ind w:left="0"/>
        <w:outlineLvl w:val="9"/>
        <w:rPr>
          <w:rFonts w:asciiTheme="minorEastAsia" w:eastAsiaTheme="minorEastAsia" w:hAnsiTheme="minorEastAsia"/>
          <w:bCs/>
        </w:rPr>
      </w:pPr>
    </w:p>
    <w:p w14:paraId="42CE9553" w14:textId="77777777" w:rsidR="00D51FDF" w:rsidRDefault="007F75F6">
      <w:pPr>
        <w:pStyle w:val="zhangjiep"/>
        <w:spacing w:line="360" w:lineRule="auto"/>
        <w:ind w:left="0"/>
        <w:outlineLvl w:val="9"/>
        <w:rPr>
          <w:rFonts w:asciiTheme="minorEastAsia" w:eastAsiaTheme="minorEastAsia" w:hAnsiTheme="minorEastAsia"/>
          <w:bCs/>
        </w:rPr>
      </w:pPr>
      <w:r>
        <w:rPr>
          <w:rFonts w:asciiTheme="minorEastAsia" w:eastAsiaTheme="minorEastAsia" w:hAnsiTheme="minorEastAsia"/>
          <w:bCs/>
        </w:rPr>
        <w:t xml:space="preserve">5、 </w:t>
      </w:r>
      <w:r>
        <w:rPr>
          <w:rFonts w:asciiTheme="minorEastAsia" w:eastAsiaTheme="minorEastAsia" w:hAnsiTheme="minorEastAsia" w:hint="eastAsia"/>
          <w:bCs/>
        </w:rPr>
        <w:t>报告期末按公允价值占基金资产净值比例大小排序的前五名债券投资明细</w:t>
      </w:r>
    </w:p>
    <w:tbl>
      <w:tblPr>
        <w:tblW w:w="9120" w:type="dxa"/>
        <w:tblInd w:w="108" w:type="dxa"/>
        <w:tblLook w:val="04A0" w:firstRow="1" w:lastRow="0" w:firstColumn="1" w:lastColumn="0" w:noHBand="0" w:noVBand="1"/>
      </w:tblPr>
      <w:tblGrid>
        <w:gridCol w:w="471"/>
        <w:gridCol w:w="1199"/>
        <w:gridCol w:w="1525"/>
        <w:gridCol w:w="1832"/>
        <w:gridCol w:w="2293"/>
        <w:gridCol w:w="1800"/>
      </w:tblGrid>
      <w:tr w:rsidR="00DB7667" w14:paraId="33D57ACA" w14:textId="77777777" w:rsidTr="00DB7667">
        <w:tc>
          <w:tcPr>
            <w:tcW w:w="300" w:type="dxa"/>
            <w:tcBorders>
              <w:top w:val="single" w:sz="8" w:space="0" w:color="000000"/>
              <w:left w:val="single" w:sz="8" w:space="0" w:color="000000"/>
              <w:bottom w:val="single" w:sz="6" w:space="0" w:color="000000"/>
              <w:right w:val="single" w:sz="8" w:space="0" w:color="000000"/>
            </w:tcBorders>
            <w:vAlign w:val="center"/>
            <w:hideMark/>
          </w:tcPr>
          <w:p w14:paraId="233E88F6" w14:textId="77777777" w:rsidR="00DB7667" w:rsidRDefault="00DB7667">
            <w:pPr>
              <w:pStyle w:val="biaogecenter"/>
              <w:wordWrap w:val="0"/>
            </w:pPr>
            <w:r>
              <w:rPr>
                <w:rFonts w:hAnsi="等线" w:hint="eastAsia"/>
                <w:color w:val="000000"/>
              </w:rPr>
              <w:t>序号</w:t>
            </w:r>
          </w:p>
        </w:tc>
        <w:tc>
          <w:tcPr>
            <w:tcW w:w="1200" w:type="dxa"/>
            <w:tcBorders>
              <w:top w:val="single" w:sz="8" w:space="0" w:color="000000"/>
              <w:left w:val="single" w:sz="8" w:space="0" w:color="000000"/>
              <w:bottom w:val="single" w:sz="6" w:space="0" w:color="000000"/>
              <w:right w:val="single" w:sz="8" w:space="0" w:color="000000"/>
            </w:tcBorders>
            <w:vAlign w:val="center"/>
            <w:hideMark/>
          </w:tcPr>
          <w:p w14:paraId="3118F8FE" w14:textId="77777777" w:rsidR="00DB7667" w:rsidRDefault="00DB7667">
            <w:pPr>
              <w:pStyle w:val="biaogecenter"/>
              <w:wordWrap w:val="0"/>
            </w:pPr>
            <w:r>
              <w:rPr>
                <w:rFonts w:hAnsi="等线" w:hint="eastAsia"/>
                <w:color w:val="000000"/>
              </w:rPr>
              <w:t>债券代码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1507E2" w14:textId="77777777" w:rsidR="00DB7667" w:rsidRDefault="00DB7667">
            <w:pPr>
              <w:pStyle w:val="biaogecenter"/>
              <w:wordWrap w:val="0"/>
            </w:pPr>
            <w:r>
              <w:rPr>
                <w:rFonts w:hAnsi="等线" w:hint="eastAsia"/>
                <w:color w:val="000000"/>
              </w:rPr>
              <w:t>债券名称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FDC3A41" w14:textId="77777777" w:rsidR="00DB7667" w:rsidRDefault="00DB7667">
            <w:pPr>
              <w:pStyle w:val="biaogecenter"/>
              <w:wordWrap w:val="0"/>
            </w:pPr>
            <w:r>
              <w:rPr>
                <w:rFonts w:hAnsi="等线" w:hint="eastAsia"/>
                <w:color w:val="000000"/>
              </w:rPr>
              <w:t>数量（张）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EB3783A" w14:textId="77777777" w:rsidR="00DB7667" w:rsidRDefault="00DB7667">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6180DC8" w14:textId="77777777" w:rsidR="00DB7667" w:rsidRDefault="00DB7667">
            <w:pPr>
              <w:pStyle w:val="biaogecenter"/>
              <w:wordWrap w:val="0"/>
            </w:pPr>
            <w:r>
              <w:rPr>
                <w:rFonts w:hAnsi="等线" w:hint="eastAsia"/>
                <w:color w:val="000000"/>
              </w:rPr>
              <w:t>占基金资产净值比例（％）</w:t>
            </w:r>
          </w:p>
        </w:tc>
      </w:tr>
      <w:tr w:rsidR="00DB7667" w14:paraId="34592DF9" w14:textId="77777777" w:rsidTr="00DB7667">
        <w:tc>
          <w:tcPr>
            <w:tcW w:w="0" w:type="auto"/>
            <w:tcBorders>
              <w:top w:val="single" w:sz="8" w:space="0" w:color="000000"/>
              <w:left w:val="single" w:sz="8" w:space="0" w:color="000000"/>
              <w:bottom w:val="single" w:sz="6" w:space="0" w:color="000000"/>
              <w:right w:val="single" w:sz="8" w:space="0" w:color="000000"/>
            </w:tcBorders>
            <w:vAlign w:val="center"/>
            <w:hideMark/>
          </w:tcPr>
          <w:p w14:paraId="1FD455A7" w14:textId="77777777" w:rsidR="00DB7667" w:rsidRDefault="00DB7667">
            <w:pPr>
              <w:pStyle w:val="biaogecenter"/>
              <w:wordWrap w:val="0"/>
            </w:pPr>
            <w:r>
              <w:rPr>
                <w:rFonts w:hAnsi="等线" w:hint="eastAsia"/>
                <w:color w:val="000000"/>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FE698F9" w14:textId="77777777" w:rsidR="00DB7667" w:rsidRDefault="00DB7667">
            <w:pPr>
              <w:pStyle w:val="biaogeleft"/>
              <w:wordWrap w:val="0"/>
            </w:pPr>
            <w:r>
              <w:rPr>
                <w:rFonts w:hAnsi="等线" w:hint="eastAsia"/>
                <w:color w:val="000000"/>
              </w:rPr>
              <w:t>019640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C874FDD" w14:textId="77777777" w:rsidR="00DB7667" w:rsidRDefault="00DB7667">
            <w:pPr>
              <w:pStyle w:val="biaogeleft"/>
              <w:wordWrap w:val="0"/>
            </w:pPr>
            <w:r>
              <w:rPr>
                <w:rFonts w:hAnsi="等线" w:hint="eastAsia"/>
                <w:color w:val="000000"/>
              </w:rPr>
              <w:t>20国债10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0FAF19" w14:textId="77777777" w:rsidR="00DB7667" w:rsidRDefault="00DB7667">
            <w:pPr>
              <w:pStyle w:val="biaogeright"/>
              <w:wordWrap w:val="0"/>
            </w:pPr>
            <w:r>
              <w:rPr>
                <w:rFonts w:hAnsi="等线" w:hint="eastAsia"/>
                <w:color w:val="000000"/>
              </w:rPr>
              <w:t>112,000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ABD1572" w14:textId="77777777" w:rsidR="00DB7667" w:rsidRDefault="00DB7667">
            <w:pPr>
              <w:pStyle w:val="biaogeright"/>
              <w:wordWrap w:val="0"/>
            </w:pPr>
            <w:r>
              <w:rPr>
                <w:rFonts w:hAnsi="等线" w:hint="eastAsia"/>
                <w:color w:val="000000"/>
              </w:rPr>
              <w:t>11,200,000.00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2EC7535" w14:textId="77777777" w:rsidR="00DB7667" w:rsidRDefault="00DB7667">
            <w:pPr>
              <w:pStyle w:val="biaogeright"/>
              <w:wordWrap w:val="0"/>
            </w:pPr>
            <w:r>
              <w:rPr>
                <w:rFonts w:hAnsi="等线" w:hint="eastAsia"/>
                <w:color w:val="000000"/>
              </w:rPr>
              <w:t>21.49</w:t>
            </w:r>
          </w:p>
        </w:tc>
      </w:tr>
      <w:tr w:rsidR="00DB7667" w14:paraId="3921484A" w14:textId="77777777" w:rsidTr="00DB7667">
        <w:tc>
          <w:tcPr>
            <w:tcW w:w="0" w:type="auto"/>
            <w:tcBorders>
              <w:top w:val="single" w:sz="8" w:space="0" w:color="000000"/>
              <w:left w:val="single" w:sz="8" w:space="0" w:color="000000"/>
              <w:bottom w:val="single" w:sz="6" w:space="0" w:color="000000"/>
              <w:right w:val="single" w:sz="8" w:space="0" w:color="000000"/>
            </w:tcBorders>
            <w:vAlign w:val="center"/>
            <w:hideMark/>
          </w:tcPr>
          <w:p w14:paraId="5C457A61" w14:textId="77777777" w:rsidR="00DB7667" w:rsidRDefault="00DB7667">
            <w:pPr>
              <w:pStyle w:val="biaogecenter"/>
              <w:wordWrap w:val="0"/>
            </w:pPr>
            <w:r>
              <w:rPr>
                <w:rFonts w:hAnsi="等线" w:hint="eastAsia"/>
                <w:color w:val="000000"/>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074BBAB" w14:textId="77777777" w:rsidR="00DB7667" w:rsidRDefault="00DB7667">
            <w:pPr>
              <w:pStyle w:val="biaogeleft"/>
              <w:wordWrap w:val="0"/>
            </w:pPr>
            <w:r>
              <w:rPr>
                <w:rFonts w:hAnsi="等线" w:hint="eastAsia"/>
                <w:color w:val="000000"/>
              </w:rPr>
              <w:t>019649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950868E" w14:textId="77777777" w:rsidR="00DB7667" w:rsidRDefault="00DB7667">
            <w:pPr>
              <w:pStyle w:val="biaogeleft"/>
              <w:wordWrap w:val="0"/>
            </w:pPr>
            <w:r>
              <w:rPr>
                <w:rFonts w:hAnsi="等线" w:hint="eastAsia"/>
                <w:color w:val="000000"/>
              </w:rPr>
              <w:t>21国债01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146E3F5" w14:textId="77777777" w:rsidR="00DB7667" w:rsidRDefault="00DB7667">
            <w:pPr>
              <w:pStyle w:val="biaogeright"/>
              <w:wordWrap w:val="0"/>
            </w:pPr>
            <w:r>
              <w:rPr>
                <w:rFonts w:hAnsi="等线" w:hint="eastAsia"/>
                <w:color w:val="000000"/>
              </w:rPr>
              <w:t>107,000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A3F6D7" w14:textId="77777777" w:rsidR="00DB7667" w:rsidRDefault="00DB7667">
            <w:pPr>
              <w:pStyle w:val="biaogeright"/>
              <w:wordWrap w:val="0"/>
            </w:pPr>
            <w:r>
              <w:rPr>
                <w:rFonts w:hAnsi="等线" w:hint="eastAsia"/>
                <w:color w:val="000000"/>
              </w:rPr>
              <w:t>10,707,490.00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8413880" w14:textId="77777777" w:rsidR="00DB7667" w:rsidRDefault="00DB7667">
            <w:pPr>
              <w:pStyle w:val="biaogeright"/>
              <w:wordWrap w:val="0"/>
            </w:pPr>
            <w:r>
              <w:rPr>
                <w:rFonts w:hAnsi="等线" w:hint="eastAsia"/>
                <w:color w:val="000000"/>
              </w:rPr>
              <w:t>20.54</w:t>
            </w:r>
          </w:p>
        </w:tc>
      </w:tr>
      <w:tr w:rsidR="00DB7667" w14:paraId="5240193A" w14:textId="77777777" w:rsidTr="00DB7667">
        <w:tc>
          <w:tcPr>
            <w:tcW w:w="0" w:type="auto"/>
            <w:tcBorders>
              <w:top w:val="single" w:sz="8" w:space="0" w:color="000000"/>
              <w:left w:val="single" w:sz="8" w:space="0" w:color="000000"/>
              <w:bottom w:val="single" w:sz="6" w:space="0" w:color="000000"/>
              <w:right w:val="single" w:sz="8" w:space="0" w:color="000000"/>
            </w:tcBorders>
            <w:vAlign w:val="center"/>
            <w:hideMark/>
          </w:tcPr>
          <w:p w14:paraId="4CDF04CA" w14:textId="77777777" w:rsidR="00DB7667" w:rsidRDefault="00DB7667">
            <w:pPr>
              <w:pStyle w:val="biaogecenter"/>
              <w:wordWrap w:val="0"/>
            </w:pPr>
            <w:r>
              <w:rPr>
                <w:rFonts w:hAnsi="等线" w:hint="eastAsia"/>
                <w:color w:val="000000"/>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2C7A548" w14:textId="77777777" w:rsidR="00DB7667" w:rsidRDefault="00DB7667">
            <w:pPr>
              <w:pStyle w:val="biaogeleft"/>
              <w:wordWrap w:val="0"/>
            </w:pPr>
            <w:r>
              <w:rPr>
                <w:rFonts w:hAnsi="等线" w:hint="eastAsia"/>
                <w:color w:val="000000"/>
              </w:rPr>
              <w:t>019645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1C8436" w14:textId="77777777" w:rsidR="00DB7667" w:rsidRDefault="00DB7667">
            <w:pPr>
              <w:pStyle w:val="biaogeleft"/>
              <w:wordWrap w:val="0"/>
            </w:pPr>
            <w:r>
              <w:rPr>
                <w:rFonts w:hAnsi="等线" w:hint="eastAsia"/>
                <w:color w:val="000000"/>
              </w:rPr>
              <w:t>20国债15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108E947" w14:textId="77777777" w:rsidR="00DB7667" w:rsidRDefault="00DB7667">
            <w:pPr>
              <w:pStyle w:val="biaogeright"/>
              <w:wordWrap w:val="0"/>
            </w:pPr>
            <w:r>
              <w:rPr>
                <w:rFonts w:hAnsi="等线" w:hint="eastAsia"/>
                <w:color w:val="000000"/>
              </w:rPr>
              <w:t>93,000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DEA2495" w14:textId="77777777" w:rsidR="00DB7667" w:rsidRDefault="00DB7667">
            <w:pPr>
              <w:pStyle w:val="biaogeright"/>
              <w:wordWrap w:val="0"/>
            </w:pPr>
            <w:r>
              <w:rPr>
                <w:rFonts w:hAnsi="等线" w:hint="eastAsia"/>
                <w:color w:val="000000"/>
              </w:rPr>
              <w:t>9,328,830.00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A8A2F29" w14:textId="77777777" w:rsidR="00DB7667" w:rsidRDefault="00DB7667">
            <w:pPr>
              <w:pStyle w:val="biaogeright"/>
              <w:wordWrap w:val="0"/>
            </w:pPr>
            <w:r>
              <w:rPr>
                <w:rFonts w:hAnsi="等线" w:hint="eastAsia"/>
                <w:color w:val="000000"/>
              </w:rPr>
              <w:t>17.90</w:t>
            </w:r>
          </w:p>
        </w:tc>
      </w:tr>
      <w:tr w:rsidR="00DB7667" w14:paraId="030B370C" w14:textId="77777777" w:rsidTr="00DB7667">
        <w:tc>
          <w:tcPr>
            <w:tcW w:w="0" w:type="auto"/>
            <w:tcBorders>
              <w:top w:val="single" w:sz="8" w:space="0" w:color="000000"/>
              <w:left w:val="single" w:sz="8" w:space="0" w:color="000000"/>
              <w:bottom w:val="single" w:sz="6" w:space="0" w:color="000000"/>
              <w:right w:val="single" w:sz="8" w:space="0" w:color="000000"/>
            </w:tcBorders>
            <w:vAlign w:val="center"/>
            <w:hideMark/>
          </w:tcPr>
          <w:p w14:paraId="00149E0A" w14:textId="77777777" w:rsidR="00DB7667" w:rsidRDefault="00DB7667">
            <w:pPr>
              <w:pStyle w:val="biaogecenter"/>
              <w:wordWrap w:val="0"/>
            </w:pPr>
            <w:r>
              <w:rPr>
                <w:rFonts w:hAnsi="等线"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1FFA28D" w14:textId="77777777" w:rsidR="00DB7667" w:rsidRDefault="00DB7667">
            <w:pPr>
              <w:pStyle w:val="biaogeleft"/>
              <w:wordWrap w:val="0"/>
            </w:pPr>
            <w:r>
              <w:rPr>
                <w:rFonts w:hAnsi="等线" w:hint="eastAsia"/>
                <w:color w:val="000000"/>
              </w:rPr>
              <w:t>108604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70BC88D" w14:textId="77777777" w:rsidR="00DB7667" w:rsidRDefault="00DB7667">
            <w:pPr>
              <w:pStyle w:val="biaogeleft"/>
              <w:wordWrap w:val="0"/>
            </w:pPr>
            <w:r>
              <w:rPr>
                <w:rFonts w:hAnsi="等线" w:hint="eastAsia"/>
                <w:color w:val="000000"/>
              </w:rPr>
              <w:t>国开1805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A199BB8" w14:textId="77777777" w:rsidR="00DB7667" w:rsidRDefault="00DB7667">
            <w:pPr>
              <w:pStyle w:val="biaogeright"/>
              <w:wordWrap w:val="0"/>
            </w:pPr>
            <w:r>
              <w:rPr>
                <w:rFonts w:hAnsi="等线" w:hint="eastAsia"/>
                <w:color w:val="000000"/>
              </w:rPr>
              <w:t>39,000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377BB29" w14:textId="77777777" w:rsidR="00DB7667" w:rsidRDefault="00DB7667">
            <w:pPr>
              <w:pStyle w:val="biaogeright"/>
              <w:wordWrap w:val="0"/>
            </w:pPr>
            <w:r>
              <w:rPr>
                <w:rFonts w:hAnsi="等线" w:hint="eastAsia"/>
                <w:color w:val="000000"/>
              </w:rPr>
              <w:t>3,910,530.00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53DB27" w14:textId="77777777" w:rsidR="00DB7667" w:rsidRDefault="00DB7667">
            <w:pPr>
              <w:pStyle w:val="biaogeright"/>
              <w:wordWrap w:val="0"/>
            </w:pPr>
            <w:r>
              <w:rPr>
                <w:rFonts w:hAnsi="等线" w:hint="eastAsia"/>
                <w:color w:val="000000"/>
              </w:rPr>
              <w:t>7.50</w:t>
            </w:r>
          </w:p>
        </w:tc>
      </w:tr>
    </w:tbl>
    <w:p w14:paraId="4ECB9460" w14:textId="77777777" w:rsidR="00D51FDF" w:rsidRDefault="00D51FDF">
      <w:pPr>
        <w:pStyle w:val="zhangjiep"/>
        <w:spacing w:line="360" w:lineRule="auto"/>
        <w:ind w:left="0"/>
        <w:outlineLvl w:val="9"/>
        <w:rPr>
          <w:rFonts w:asciiTheme="minorEastAsia" w:eastAsiaTheme="minorEastAsia" w:hAnsiTheme="minorEastAsia"/>
          <w:bCs/>
        </w:rPr>
      </w:pPr>
    </w:p>
    <w:p w14:paraId="730809B4" w14:textId="77777777" w:rsidR="00D51FDF" w:rsidRDefault="007F75F6">
      <w:pPr>
        <w:pStyle w:val="zhangjiep"/>
        <w:spacing w:line="360" w:lineRule="auto"/>
        <w:ind w:left="0"/>
        <w:outlineLvl w:val="9"/>
        <w:rPr>
          <w:rFonts w:asciiTheme="minorEastAsia" w:eastAsiaTheme="minorEastAsia" w:hAnsiTheme="minorEastAsia"/>
          <w:bCs/>
        </w:rPr>
      </w:pPr>
      <w:r>
        <w:rPr>
          <w:rFonts w:asciiTheme="minorEastAsia" w:eastAsiaTheme="minorEastAsia" w:hAnsiTheme="minorEastAsia"/>
          <w:bCs/>
        </w:rPr>
        <w:t>6、报告期末按公允价值占基金资产净值比例大小排序的前十名资产支持证券投资明细</w:t>
      </w:r>
    </w:p>
    <w:p w14:paraId="0C848F40" w14:textId="77777777" w:rsidR="00D51FDF" w:rsidRDefault="007F75F6">
      <w:pPr>
        <w:pStyle w:val="neirong"/>
        <w:spacing w:line="360" w:lineRule="auto"/>
        <w:ind w:leftChars="7" w:firstLineChars="200" w:firstLine="480"/>
        <w:rPr>
          <w:rFonts w:asciiTheme="minorEastAsia" w:eastAsiaTheme="minorEastAsia" w:hAnsiTheme="minorEastAsia"/>
          <w:bCs/>
        </w:rPr>
      </w:pPr>
      <w:r>
        <w:rPr>
          <w:rFonts w:asciiTheme="minorEastAsia" w:eastAsiaTheme="minorEastAsia" w:hAnsiTheme="minorEastAsia" w:hint="eastAsia"/>
          <w:bCs/>
        </w:rPr>
        <w:t>本基金本报告期末未持有资产支持证券。</w:t>
      </w:r>
    </w:p>
    <w:p w14:paraId="2500A331" w14:textId="77777777" w:rsidR="00DB7667" w:rsidRDefault="00DB7667">
      <w:pPr>
        <w:pStyle w:val="neirong"/>
        <w:spacing w:line="360" w:lineRule="auto"/>
        <w:ind w:leftChars="7" w:firstLineChars="200" w:firstLine="480"/>
        <w:rPr>
          <w:rFonts w:asciiTheme="minorEastAsia" w:eastAsiaTheme="minorEastAsia" w:hAnsiTheme="minorEastAsia"/>
          <w:bCs/>
        </w:rPr>
      </w:pPr>
    </w:p>
    <w:p w14:paraId="54784D29" w14:textId="77777777" w:rsidR="00D51FDF" w:rsidRDefault="007F75F6">
      <w:pPr>
        <w:pStyle w:val="zhangjiep"/>
        <w:spacing w:line="360" w:lineRule="auto"/>
        <w:outlineLvl w:val="9"/>
        <w:rPr>
          <w:rFonts w:asciiTheme="minorEastAsia" w:eastAsiaTheme="minorEastAsia" w:hAnsiTheme="minorEastAsia"/>
          <w:bCs/>
        </w:rPr>
      </w:pPr>
      <w:r>
        <w:rPr>
          <w:rFonts w:asciiTheme="minorEastAsia" w:eastAsiaTheme="minorEastAsia" w:hAnsiTheme="minorEastAsia"/>
          <w:bCs/>
        </w:rPr>
        <w:t>7、报告期末按公允价值占基金资产净值比例大小排序的前五名贵金属投资明细</w:t>
      </w:r>
    </w:p>
    <w:p w14:paraId="2C764A01" w14:textId="77777777" w:rsidR="00D51FDF" w:rsidRDefault="007F75F6">
      <w:pPr>
        <w:pStyle w:val="neirong"/>
        <w:spacing w:line="360" w:lineRule="auto"/>
        <w:ind w:leftChars="7" w:firstLineChars="200" w:firstLine="480"/>
        <w:rPr>
          <w:rFonts w:asciiTheme="minorEastAsia" w:eastAsiaTheme="minorEastAsia" w:hAnsiTheme="minorEastAsia"/>
          <w:bCs/>
        </w:rPr>
      </w:pPr>
      <w:r>
        <w:rPr>
          <w:rFonts w:asciiTheme="minorEastAsia" w:eastAsiaTheme="minorEastAsia" w:hAnsiTheme="minorEastAsia" w:hint="eastAsia"/>
          <w:bCs/>
        </w:rPr>
        <w:t>本基金本报告期末未持有贵金属。</w:t>
      </w:r>
    </w:p>
    <w:p w14:paraId="24814281" w14:textId="77777777" w:rsidR="00DB7667" w:rsidRDefault="00DB7667">
      <w:pPr>
        <w:pStyle w:val="neirong"/>
        <w:spacing w:line="360" w:lineRule="auto"/>
        <w:ind w:leftChars="7" w:firstLineChars="200" w:firstLine="480"/>
        <w:rPr>
          <w:rFonts w:asciiTheme="minorEastAsia" w:eastAsiaTheme="minorEastAsia" w:hAnsiTheme="minorEastAsia"/>
          <w:bCs/>
        </w:rPr>
      </w:pPr>
    </w:p>
    <w:p w14:paraId="5101D790" w14:textId="77777777" w:rsidR="00D51FDF" w:rsidRDefault="007F75F6">
      <w:pPr>
        <w:pStyle w:val="zhangjiep"/>
        <w:spacing w:line="360" w:lineRule="auto"/>
        <w:outlineLvl w:val="9"/>
        <w:rPr>
          <w:rFonts w:asciiTheme="minorEastAsia" w:eastAsiaTheme="minorEastAsia" w:hAnsiTheme="minorEastAsia"/>
          <w:bCs/>
        </w:rPr>
      </w:pPr>
      <w:r>
        <w:rPr>
          <w:rFonts w:asciiTheme="minorEastAsia" w:eastAsiaTheme="minorEastAsia" w:hAnsiTheme="minorEastAsia"/>
          <w:bCs/>
        </w:rPr>
        <w:t>8、报告期末按公允价值占基金资产净值比例大小排序的前五名权证投资明细</w:t>
      </w:r>
    </w:p>
    <w:p w14:paraId="7076C9D2" w14:textId="77777777" w:rsidR="00D51FDF" w:rsidRDefault="007F75F6">
      <w:pPr>
        <w:pStyle w:val="neirong"/>
        <w:spacing w:line="360" w:lineRule="auto"/>
        <w:ind w:leftChars="7" w:firstLineChars="200" w:firstLine="480"/>
        <w:rPr>
          <w:rFonts w:asciiTheme="minorEastAsia" w:eastAsiaTheme="minorEastAsia" w:hAnsiTheme="minorEastAsia"/>
          <w:bCs/>
        </w:rPr>
      </w:pPr>
      <w:r>
        <w:rPr>
          <w:rFonts w:asciiTheme="minorEastAsia" w:eastAsiaTheme="minorEastAsia" w:hAnsiTheme="minorEastAsia" w:hint="eastAsia"/>
          <w:bCs/>
        </w:rPr>
        <w:t>本基金本报告期末未持有权证。</w:t>
      </w:r>
    </w:p>
    <w:p w14:paraId="0DE10F15" w14:textId="77777777" w:rsidR="00DB7667" w:rsidRDefault="00DB7667">
      <w:pPr>
        <w:pStyle w:val="neirong"/>
        <w:spacing w:line="360" w:lineRule="auto"/>
        <w:ind w:leftChars="7" w:firstLineChars="200" w:firstLine="480"/>
        <w:rPr>
          <w:rFonts w:asciiTheme="minorEastAsia" w:eastAsiaTheme="minorEastAsia" w:hAnsiTheme="minorEastAsia"/>
          <w:bCs/>
        </w:rPr>
      </w:pPr>
    </w:p>
    <w:p w14:paraId="182970E8" w14:textId="77777777" w:rsidR="00D51FDF" w:rsidRDefault="007F75F6">
      <w:pPr>
        <w:pStyle w:val="zhangjiep"/>
        <w:spacing w:line="360" w:lineRule="auto"/>
        <w:outlineLvl w:val="9"/>
        <w:rPr>
          <w:rFonts w:asciiTheme="minorEastAsia" w:eastAsiaTheme="minorEastAsia" w:hAnsiTheme="minorEastAsia"/>
          <w:bCs/>
        </w:rPr>
      </w:pPr>
      <w:r>
        <w:rPr>
          <w:rFonts w:asciiTheme="minorEastAsia" w:eastAsiaTheme="minorEastAsia" w:hAnsiTheme="minorEastAsia"/>
          <w:bCs/>
        </w:rPr>
        <w:t>9、报告期末本基金投资的股指期货交易情况说明</w:t>
      </w:r>
    </w:p>
    <w:p w14:paraId="08DD3240"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1）报告期末本基金投资的股指期货持仓和损益明细</w:t>
      </w:r>
    </w:p>
    <w:p w14:paraId="74306EC6" w14:textId="77777777" w:rsidR="00D51FDF" w:rsidRDefault="007F75F6">
      <w:pPr>
        <w:pStyle w:val="neirong"/>
        <w:spacing w:line="360" w:lineRule="auto"/>
        <w:ind w:leftChars="7" w:firstLineChars="200" w:firstLine="480"/>
        <w:rPr>
          <w:rFonts w:asciiTheme="minorEastAsia" w:eastAsiaTheme="minorEastAsia" w:hAnsiTheme="minorEastAsia"/>
          <w:bCs/>
        </w:rPr>
      </w:pPr>
      <w:r>
        <w:rPr>
          <w:rFonts w:asciiTheme="minorEastAsia" w:eastAsiaTheme="minorEastAsia" w:hAnsiTheme="minorEastAsia" w:hint="eastAsia"/>
          <w:bCs/>
        </w:rPr>
        <w:t>本基金本报告期末未投资股指期货。</w:t>
      </w:r>
    </w:p>
    <w:p w14:paraId="011699BF"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2）本基金投资股指期货的投资政策</w:t>
      </w:r>
    </w:p>
    <w:p w14:paraId="5B14D295" w14:textId="77777777" w:rsidR="00D51FDF" w:rsidRDefault="007F75F6">
      <w:pPr>
        <w:pStyle w:val="biaogeleft"/>
        <w:spacing w:line="360" w:lineRule="auto"/>
        <w:ind w:firstLine="480"/>
        <w:rPr>
          <w:rFonts w:asciiTheme="minorEastAsia" w:eastAsiaTheme="minorEastAsia" w:hAnsiTheme="minorEastAsia"/>
          <w:bCs/>
        </w:rPr>
      </w:pPr>
      <w:r>
        <w:rPr>
          <w:rFonts w:asciiTheme="minorEastAsia" w:eastAsiaTheme="minorEastAsia" w:hAnsiTheme="minorEastAsia" w:hint="eastAsia"/>
          <w:bCs/>
        </w:rPr>
        <w:t>本基金本报告期末未投资股指期货。</w:t>
      </w:r>
    </w:p>
    <w:p w14:paraId="0E0C3F4C" w14:textId="77777777" w:rsidR="00DB7667" w:rsidRDefault="00DB7667">
      <w:pPr>
        <w:pStyle w:val="biaogeleft"/>
        <w:spacing w:line="360" w:lineRule="auto"/>
        <w:ind w:firstLine="480"/>
        <w:rPr>
          <w:rFonts w:asciiTheme="minorEastAsia" w:eastAsiaTheme="minorEastAsia" w:hAnsiTheme="minorEastAsia"/>
          <w:bCs/>
        </w:rPr>
      </w:pPr>
    </w:p>
    <w:p w14:paraId="48DF7FB0" w14:textId="77777777" w:rsidR="00D51FDF" w:rsidRDefault="007F75F6">
      <w:pPr>
        <w:pStyle w:val="zhangjiep"/>
        <w:spacing w:line="360" w:lineRule="auto"/>
        <w:outlineLvl w:val="9"/>
        <w:rPr>
          <w:rFonts w:asciiTheme="minorEastAsia" w:eastAsiaTheme="minorEastAsia" w:hAnsiTheme="minorEastAsia"/>
          <w:bCs/>
        </w:rPr>
      </w:pPr>
      <w:r>
        <w:rPr>
          <w:rFonts w:asciiTheme="minorEastAsia" w:eastAsiaTheme="minorEastAsia" w:hAnsiTheme="minorEastAsia"/>
          <w:bCs/>
        </w:rPr>
        <w:lastRenderedPageBreak/>
        <w:t>10、报告期末本基金投资的国债期货交易情况说明</w:t>
      </w:r>
    </w:p>
    <w:p w14:paraId="413254E9"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1）本期国债期货投资政策</w:t>
      </w:r>
    </w:p>
    <w:p w14:paraId="42F03D8B" w14:textId="77777777" w:rsidR="00D51FDF" w:rsidRDefault="007F75F6">
      <w:pPr>
        <w:pStyle w:val="biaogeleft"/>
        <w:spacing w:line="360" w:lineRule="auto"/>
        <w:ind w:firstLine="480"/>
        <w:rPr>
          <w:rFonts w:asciiTheme="minorEastAsia" w:eastAsiaTheme="minorEastAsia" w:hAnsiTheme="minorEastAsia"/>
          <w:bCs/>
        </w:rPr>
      </w:pPr>
      <w:r>
        <w:rPr>
          <w:rFonts w:asciiTheme="minorEastAsia" w:eastAsiaTheme="minorEastAsia" w:hAnsiTheme="minorEastAsia" w:hint="eastAsia"/>
          <w:bCs/>
        </w:rPr>
        <w:t>本基金本报告期末未投资国债期货。</w:t>
      </w:r>
    </w:p>
    <w:p w14:paraId="1575E19A"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2）报告期末本基金投资的国债期货持仓和损益明细</w:t>
      </w:r>
    </w:p>
    <w:p w14:paraId="196E8C10" w14:textId="77777777" w:rsidR="00D51FDF" w:rsidRDefault="007F75F6">
      <w:pPr>
        <w:pStyle w:val="biaogeleft"/>
        <w:spacing w:line="360" w:lineRule="auto"/>
        <w:ind w:firstLine="480"/>
        <w:rPr>
          <w:rFonts w:asciiTheme="minorEastAsia" w:eastAsiaTheme="minorEastAsia" w:hAnsiTheme="minorEastAsia"/>
          <w:bCs/>
        </w:rPr>
      </w:pPr>
      <w:r>
        <w:rPr>
          <w:rFonts w:asciiTheme="minorEastAsia" w:eastAsiaTheme="minorEastAsia" w:hAnsiTheme="minorEastAsia" w:hint="eastAsia"/>
          <w:bCs/>
        </w:rPr>
        <w:t>本基金本报告期末未投资国债期货。</w:t>
      </w:r>
    </w:p>
    <w:p w14:paraId="40FFF776"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 xml:space="preserve">3） </w:t>
      </w:r>
      <w:r>
        <w:rPr>
          <w:rFonts w:asciiTheme="minorEastAsia" w:eastAsiaTheme="minorEastAsia" w:hAnsiTheme="minorEastAsia" w:hint="eastAsia"/>
          <w:bCs/>
        </w:rPr>
        <w:t>本期国债期货投资评价</w:t>
      </w:r>
    </w:p>
    <w:p w14:paraId="36C545CE" w14:textId="77777777" w:rsidR="00D51FDF" w:rsidRDefault="007F75F6">
      <w:pPr>
        <w:pStyle w:val="biaogeleft"/>
        <w:spacing w:line="360" w:lineRule="auto"/>
        <w:ind w:firstLine="480"/>
        <w:rPr>
          <w:rFonts w:asciiTheme="minorEastAsia" w:eastAsiaTheme="minorEastAsia" w:hAnsiTheme="minorEastAsia"/>
          <w:bCs/>
        </w:rPr>
      </w:pPr>
      <w:r>
        <w:rPr>
          <w:rFonts w:asciiTheme="minorEastAsia" w:eastAsiaTheme="minorEastAsia" w:hAnsiTheme="minorEastAsia" w:hint="eastAsia"/>
          <w:bCs/>
        </w:rPr>
        <w:t>本基金本报告期末未投资国债期货。</w:t>
      </w:r>
    </w:p>
    <w:p w14:paraId="06E4EF99" w14:textId="77777777" w:rsidR="00DB7667" w:rsidRDefault="00DB7667">
      <w:pPr>
        <w:pStyle w:val="biaogeleft"/>
        <w:spacing w:line="360" w:lineRule="auto"/>
        <w:ind w:firstLine="480"/>
        <w:rPr>
          <w:rFonts w:asciiTheme="minorEastAsia" w:eastAsiaTheme="minorEastAsia" w:hAnsiTheme="minorEastAsia"/>
          <w:bCs/>
        </w:rPr>
      </w:pPr>
    </w:p>
    <w:p w14:paraId="4913C4CE" w14:textId="77777777" w:rsidR="00D51FDF" w:rsidRDefault="007F75F6">
      <w:pPr>
        <w:pStyle w:val="zhangjiep"/>
        <w:spacing w:line="360" w:lineRule="auto"/>
        <w:outlineLvl w:val="9"/>
        <w:rPr>
          <w:rFonts w:asciiTheme="minorEastAsia" w:eastAsiaTheme="minorEastAsia" w:hAnsiTheme="minorEastAsia"/>
          <w:bCs/>
        </w:rPr>
      </w:pPr>
      <w:r>
        <w:rPr>
          <w:rFonts w:asciiTheme="minorEastAsia" w:eastAsiaTheme="minorEastAsia" w:hAnsiTheme="minorEastAsia"/>
          <w:bCs/>
        </w:rPr>
        <w:t xml:space="preserve">11、投资组合报告附注 </w:t>
      </w:r>
    </w:p>
    <w:p w14:paraId="1671EBEE"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1）本基金本报告期投资的前十名证券的发行主体，本报告期没有出现被监管部门立案调查的情形，也没有出现在报告编制日前一年内受到公开谴责、处罚的情形。</w:t>
      </w:r>
    </w:p>
    <w:p w14:paraId="2B74BBD0"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2）</w:t>
      </w:r>
      <w:r>
        <w:rPr>
          <w:rFonts w:asciiTheme="minorEastAsia" w:eastAsiaTheme="minorEastAsia" w:hAnsiTheme="minorEastAsia" w:hint="eastAsia"/>
          <w:bCs/>
        </w:rPr>
        <w:t>本基金本报告期末未持有股票。</w:t>
      </w:r>
    </w:p>
    <w:p w14:paraId="3855F6CD"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 xml:space="preserve">3） </w:t>
      </w:r>
      <w:r>
        <w:rPr>
          <w:rFonts w:asciiTheme="minorEastAsia" w:eastAsiaTheme="minorEastAsia" w:hAnsiTheme="minorEastAsia" w:hint="eastAsia"/>
          <w:bCs/>
        </w:rPr>
        <w:t>其他资产构成</w:t>
      </w:r>
    </w:p>
    <w:tbl>
      <w:tblPr>
        <w:tblW w:w="9045" w:type="dxa"/>
        <w:tblInd w:w="108" w:type="dxa"/>
        <w:tblLook w:val="04A0" w:firstRow="1" w:lastRow="0" w:firstColumn="1" w:lastColumn="0" w:noHBand="0" w:noVBand="1"/>
      </w:tblPr>
      <w:tblGrid>
        <w:gridCol w:w="1276"/>
        <w:gridCol w:w="3709"/>
        <w:gridCol w:w="4060"/>
      </w:tblGrid>
      <w:tr w:rsidR="00DB7667" w14:paraId="2294B363" w14:textId="77777777" w:rsidTr="00DB7667">
        <w:tc>
          <w:tcPr>
            <w:tcW w:w="1342" w:type="dxa"/>
            <w:tcBorders>
              <w:top w:val="single" w:sz="8" w:space="0" w:color="000000"/>
              <w:left w:val="single" w:sz="8" w:space="0" w:color="000000"/>
              <w:bottom w:val="single" w:sz="6" w:space="0" w:color="000000"/>
              <w:right w:val="single" w:sz="8" w:space="0" w:color="000000"/>
            </w:tcBorders>
            <w:vAlign w:val="center"/>
            <w:hideMark/>
          </w:tcPr>
          <w:p w14:paraId="6D3F9415" w14:textId="77777777" w:rsidR="00DB7667" w:rsidRDefault="00DB7667">
            <w:pPr>
              <w:pStyle w:val="biaogecenter"/>
              <w:wordWrap w:val="0"/>
            </w:pPr>
            <w:r>
              <w:rPr>
                <w:rFonts w:hAnsi="等线"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B20E363" w14:textId="77777777" w:rsidR="00DB7667" w:rsidRDefault="00DB7667">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7C02D3F" w14:textId="77777777" w:rsidR="00DB7667" w:rsidRDefault="00DB7667">
            <w:pPr>
              <w:pStyle w:val="biaogecenter"/>
              <w:wordWrap w:val="0"/>
            </w:pPr>
            <w:r>
              <w:rPr>
                <w:rFonts w:hint="eastAsia"/>
              </w:rPr>
              <w:t>金额(元)</w:t>
            </w:r>
          </w:p>
        </w:tc>
      </w:tr>
      <w:tr w:rsidR="00DB7667" w14:paraId="571DA3AB" w14:textId="77777777" w:rsidTr="00DB7667">
        <w:tc>
          <w:tcPr>
            <w:tcW w:w="720" w:type="dxa"/>
            <w:tcBorders>
              <w:top w:val="single" w:sz="8" w:space="0" w:color="000000"/>
              <w:left w:val="single" w:sz="8" w:space="0" w:color="000000"/>
              <w:bottom w:val="single" w:sz="6" w:space="0" w:color="000000"/>
              <w:right w:val="single" w:sz="8" w:space="0" w:color="000000"/>
            </w:tcBorders>
            <w:vAlign w:val="center"/>
            <w:hideMark/>
          </w:tcPr>
          <w:p w14:paraId="3DB2AD37" w14:textId="77777777" w:rsidR="00DB7667" w:rsidRDefault="00DB7667">
            <w:pPr>
              <w:pStyle w:val="biaogecenter"/>
              <w:wordWrap w:val="0"/>
            </w:pPr>
            <w:r>
              <w:rPr>
                <w:rFonts w:hAnsi="等线"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AABDF11" w14:textId="77777777" w:rsidR="00DB7667" w:rsidRDefault="00DB7667">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E99389C" w14:textId="77777777" w:rsidR="00DB7667" w:rsidRDefault="00DB7667">
            <w:pPr>
              <w:pStyle w:val="biaogeright"/>
              <w:wordWrap w:val="0"/>
            </w:pPr>
            <w:r>
              <w:rPr>
                <w:rFonts w:hint="eastAsia"/>
              </w:rPr>
              <w:t>13,681.58</w:t>
            </w:r>
          </w:p>
        </w:tc>
      </w:tr>
      <w:tr w:rsidR="00DB7667" w14:paraId="6D2C4825" w14:textId="77777777" w:rsidTr="00DB7667">
        <w:tc>
          <w:tcPr>
            <w:tcW w:w="720" w:type="dxa"/>
            <w:tcBorders>
              <w:top w:val="single" w:sz="8" w:space="0" w:color="000000"/>
              <w:left w:val="single" w:sz="8" w:space="0" w:color="000000"/>
              <w:bottom w:val="single" w:sz="6" w:space="0" w:color="000000"/>
              <w:right w:val="single" w:sz="8" w:space="0" w:color="000000"/>
            </w:tcBorders>
            <w:vAlign w:val="center"/>
            <w:hideMark/>
          </w:tcPr>
          <w:p w14:paraId="271CBFA6" w14:textId="77777777" w:rsidR="00DB7667" w:rsidRDefault="00DB7667">
            <w:pPr>
              <w:pStyle w:val="biaogecenter"/>
              <w:wordWrap w:val="0"/>
            </w:pPr>
            <w:r>
              <w:rPr>
                <w:rFonts w:hAnsi="等线"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4F105B2" w14:textId="77777777" w:rsidR="00DB7667" w:rsidRDefault="00DB7667">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D742E97" w14:textId="77777777" w:rsidR="00DB7667" w:rsidRDefault="00DB7667">
            <w:pPr>
              <w:pStyle w:val="biaogeright"/>
              <w:wordWrap w:val="0"/>
            </w:pPr>
            <w:r>
              <w:rPr>
                <w:rFonts w:hint="eastAsia"/>
              </w:rPr>
              <w:t>3,000,354.80</w:t>
            </w:r>
          </w:p>
        </w:tc>
      </w:tr>
      <w:tr w:rsidR="00DB7667" w14:paraId="312D6A68" w14:textId="77777777" w:rsidTr="00DB7667">
        <w:tc>
          <w:tcPr>
            <w:tcW w:w="720" w:type="dxa"/>
            <w:tcBorders>
              <w:top w:val="single" w:sz="8" w:space="0" w:color="000000"/>
              <w:left w:val="single" w:sz="8" w:space="0" w:color="000000"/>
              <w:bottom w:val="single" w:sz="6" w:space="0" w:color="000000"/>
              <w:right w:val="single" w:sz="8" w:space="0" w:color="000000"/>
            </w:tcBorders>
            <w:vAlign w:val="center"/>
            <w:hideMark/>
          </w:tcPr>
          <w:p w14:paraId="56D8A5DB" w14:textId="77777777" w:rsidR="00DB7667" w:rsidRDefault="00DB7667">
            <w:pPr>
              <w:pStyle w:val="biaogecenter"/>
              <w:wordWrap w:val="0"/>
            </w:pPr>
            <w:r>
              <w:rPr>
                <w:rFonts w:hAnsi="等线"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05FAA7C" w14:textId="77777777" w:rsidR="00DB7667" w:rsidRDefault="00DB7667">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11C2E6B" w14:textId="77777777" w:rsidR="00DB7667" w:rsidRDefault="00DB7667">
            <w:pPr>
              <w:pStyle w:val="biaogeright"/>
              <w:wordWrap w:val="0"/>
            </w:pPr>
            <w:r>
              <w:rPr>
                <w:rFonts w:hint="eastAsia"/>
              </w:rPr>
              <w:t>-</w:t>
            </w:r>
          </w:p>
        </w:tc>
      </w:tr>
      <w:tr w:rsidR="00DB7667" w14:paraId="3FB13966" w14:textId="77777777" w:rsidTr="00DB7667">
        <w:tc>
          <w:tcPr>
            <w:tcW w:w="720" w:type="dxa"/>
            <w:tcBorders>
              <w:top w:val="single" w:sz="8" w:space="0" w:color="000000"/>
              <w:left w:val="single" w:sz="8" w:space="0" w:color="000000"/>
              <w:bottom w:val="single" w:sz="6" w:space="0" w:color="000000"/>
              <w:right w:val="single" w:sz="8" w:space="0" w:color="000000"/>
            </w:tcBorders>
            <w:vAlign w:val="center"/>
            <w:hideMark/>
          </w:tcPr>
          <w:p w14:paraId="3657DFB7" w14:textId="77777777" w:rsidR="00DB7667" w:rsidRDefault="00DB7667">
            <w:pPr>
              <w:pStyle w:val="biaogecenter"/>
              <w:wordWrap w:val="0"/>
            </w:pPr>
            <w:r>
              <w:rPr>
                <w:rFonts w:hAnsi="等线"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42E3CD8" w14:textId="77777777" w:rsidR="00DB7667" w:rsidRDefault="00DB7667">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CE10608" w14:textId="77777777" w:rsidR="00DB7667" w:rsidRDefault="00DB7667">
            <w:pPr>
              <w:pStyle w:val="biaogeright"/>
              <w:wordWrap w:val="0"/>
            </w:pPr>
            <w:r>
              <w:rPr>
                <w:rFonts w:hint="eastAsia"/>
              </w:rPr>
              <w:t>628,779.51</w:t>
            </w:r>
          </w:p>
        </w:tc>
      </w:tr>
      <w:tr w:rsidR="00DB7667" w14:paraId="16B8F8FE" w14:textId="77777777" w:rsidTr="00DB7667">
        <w:tc>
          <w:tcPr>
            <w:tcW w:w="720" w:type="dxa"/>
            <w:tcBorders>
              <w:top w:val="single" w:sz="8" w:space="0" w:color="000000"/>
              <w:left w:val="single" w:sz="8" w:space="0" w:color="000000"/>
              <w:bottom w:val="single" w:sz="6" w:space="0" w:color="000000"/>
              <w:right w:val="single" w:sz="8" w:space="0" w:color="000000"/>
            </w:tcBorders>
            <w:vAlign w:val="center"/>
            <w:hideMark/>
          </w:tcPr>
          <w:p w14:paraId="0CF3C564" w14:textId="77777777" w:rsidR="00DB7667" w:rsidRDefault="00DB7667">
            <w:pPr>
              <w:pStyle w:val="biaogecenter"/>
              <w:wordWrap w:val="0"/>
            </w:pPr>
            <w:r>
              <w:rPr>
                <w:rFonts w:hAnsi="等线"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EE83DCE" w14:textId="77777777" w:rsidR="00DB7667" w:rsidRDefault="00DB7667">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E97F5AF" w14:textId="77777777" w:rsidR="00DB7667" w:rsidRDefault="00DB7667">
            <w:pPr>
              <w:pStyle w:val="biaogeright"/>
              <w:wordWrap w:val="0"/>
            </w:pPr>
            <w:r>
              <w:rPr>
                <w:rFonts w:hint="eastAsia"/>
              </w:rPr>
              <w:t>3,447.80</w:t>
            </w:r>
          </w:p>
        </w:tc>
      </w:tr>
      <w:tr w:rsidR="00DB7667" w14:paraId="5CF0B62F" w14:textId="77777777" w:rsidTr="00DB7667">
        <w:tc>
          <w:tcPr>
            <w:tcW w:w="720" w:type="dxa"/>
            <w:tcBorders>
              <w:top w:val="single" w:sz="8" w:space="0" w:color="000000"/>
              <w:left w:val="single" w:sz="8" w:space="0" w:color="000000"/>
              <w:bottom w:val="single" w:sz="6" w:space="0" w:color="000000"/>
              <w:right w:val="single" w:sz="8" w:space="0" w:color="000000"/>
            </w:tcBorders>
            <w:vAlign w:val="center"/>
            <w:hideMark/>
          </w:tcPr>
          <w:p w14:paraId="5134E783" w14:textId="77777777" w:rsidR="00DB7667" w:rsidRDefault="00DB7667">
            <w:pPr>
              <w:pStyle w:val="biaogecenter"/>
              <w:wordWrap w:val="0"/>
            </w:pPr>
            <w:r>
              <w:rPr>
                <w:rFonts w:hAnsi="等线"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5A2721D" w14:textId="77777777" w:rsidR="00DB7667" w:rsidRDefault="00DB7667">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400C775" w14:textId="77777777" w:rsidR="00DB7667" w:rsidRDefault="00DB7667">
            <w:pPr>
              <w:pStyle w:val="biaogeright"/>
              <w:wordWrap w:val="0"/>
            </w:pPr>
            <w:r>
              <w:rPr>
                <w:rFonts w:hint="eastAsia"/>
              </w:rPr>
              <w:t>-</w:t>
            </w:r>
          </w:p>
        </w:tc>
      </w:tr>
      <w:tr w:rsidR="00DB7667" w14:paraId="7EFFD148" w14:textId="77777777" w:rsidTr="00DB7667">
        <w:tc>
          <w:tcPr>
            <w:tcW w:w="720" w:type="dxa"/>
            <w:tcBorders>
              <w:top w:val="single" w:sz="8" w:space="0" w:color="000000"/>
              <w:left w:val="single" w:sz="8" w:space="0" w:color="000000"/>
              <w:bottom w:val="single" w:sz="6" w:space="0" w:color="000000"/>
              <w:right w:val="single" w:sz="8" w:space="0" w:color="000000"/>
            </w:tcBorders>
            <w:vAlign w:val="center"/>
            <w:hideMark/>
          </w:tcPr>
          <w:p w14:paraId="198A0B75" w14:textId="77777777" w:rsidR="00DB7667" w:rsidRDefault="00DB7667">
            <w:pPr>
              <w:pStyle w:val="biaogecenter"/>
              <w:wordWrap w:val="0"/>
            </w:pPr>
            <w:r>
              <w:rPr>
                <w:rFonts w:hAnsi="等线"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FE64DEF" w14:textId="77777777" w:rsidR="00DB7667" w:rsidRDefault="00DB7667">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148C023" w14:textId="77777777" w:rsidR="00DB7667" w:rsidRDefault="00DB7667">
            <w:pPr>
              <w:pStyle w:val="biaogeright"/>
              <w:wordWrap w:val="0"/>
            </w:pPr>
            <w:r>
              <w:rPr>
                <w:rFonts w:hint="eastAsia"/>
              </w:rPr>
              <w:t>-</w:t>
            </w:r>
          </w:p>
        </w:tc>
      </w:tr>
      <w:tr w:rsidR="00DB7667" w14:paraId="536A0BBA" w14:textId="77777777" w:rsidTr="00DB7667">
        <w:tc>
          <w:tcPr>
            <w:tcW w:w="720" w:type="dxa"/>
            <w:tcBorders>
              <w:top w:val="single" w:sz="8" w:space="0" w:color="000000"/>
              <w:left w:val="single" w:sz="8" w:space="0" w:color="000000"/>
              <w:bottom w:val="single" w:sz="6" w:space="0" w:color="000000"/>
              <w:right w:val="single" w:sz="8" w:space="0" w:color="000000"/>
            </w:tcBorders>
            <w:vAlign w:val="center"/>
            <w:hideMark/>
          </w:tcPr>
          <w:p w14:paraId="370CBDCE" w14:textId="77777777" w:rsidR="00DB7667" w:rsidRDefault="00DB7667">
            <w:pPr>
              <w:pStyle w:val="biaogecenter"/>
              <w:wordWrap w:val="0"/>
            </w:pPr>
            <w:r>
              <w:rPr>
                <w:rFonts w:hAnsi="等线"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EDA4B0B" w14:textId="77777777" w:rsidR="00DB7667" w:rsidRDefault="00DB7667">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77DE294" w14:textId="77777777" w:rsidR="00DB7667" w:rsidRDefault="00DB7667">
            <w:pPr>
              <w:pStyle w:val="biaogeright"/>
              <w:wordWrap w:val="0"/>
            </w:pPr>
            <w:r>
              <w:rPr>
                <w:rFonts w:hint="eastAsia"/>
              </w:rPr>
              <w:t>3,646,263.69</w:t>
            </w:r>
          </w:p>
        </w:tc>
      </w:tr>
    </w:tbl>
    <w:p w14:paraId="6FDF0736" w14:textId="77777777" w:rsidR="00D51FDF" w:rsidRDefault="007F75F6">
      <w:pPr>
        <w:pStyle w:val="zhangjiep2"/>
        <w:spacing w:line="360" w:lineRule="auto"/>
        <w:ind w:left="0"/>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 xml:space="preserve">4） </w:t>
      </w:r>
      <w:r>
        <w:rPr>
          <w:rFonts w:asciiTheme="minorEastAsia" w:eastAsiaTheme="minorEastAsia" w:hAnsiTheme="minorEastAsia" w:hint="eastAsia"/>
          <w:bCs/>
        </w:rPr>
        <w:t>报告期末持有的处于转股期的可转换债券明细</w:t>
      </w:r>
    </w:p>
    <w:p w14:paraId="45581819"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本基金本报告期末未持有处于转股期的可转换债券。</w:t>
      </w:r>
    </w:p>
    <w:p w14:paraId="5FA1466E"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5）报告</w:t>
      </w:r>
      <w:proofErr w:type="gramStart"/>
      <w:r>
        <w:rPr>
          <w:rFonts w:asciiTheme="minorEastAsia" w:eastAsiaTheme="minorEastAsia" w:hAnsiTheme="minorEastAsia" w:hint="eastAsia"/>
          <w:bCs/>
        </w:rPr>
        <w:t>期末前</w:t>
      </w:r>
      <w:proofErr w:type="gramEnd"/>
      <w:r>
        <w:rPr>
          <w:rFonts w:asciiTheme="minorEastAsia" w:eastAsiaTheme="minorEastAsia" w:hAnsiTheme="minorEastAsia" w:hint="eastAsia"/>
          <w:bCs/>
        </w:rPr>
        <w:t>十名股票中存在流通受限情况的说明</w:t>
      </w:r>
    </w:p>
    <w:p w14:paraId="305453D3" w14:textId="77777777" w:rsidR="00D51FDF" w:rsidRDefault="007F75F6">
      <w:pPr>
        <w:pStyle w:val="neirong"/>
        <w:ind w:leftChars="7" w:firstLineChars="200" w:firstLine="480"/>
        <w:rPr>
          <w:rFonts w:asciiTheme="minorEastAsia" w:eastAsiaTheme="minorEastAsia" w:hAnsiTheme="minorEastAsia"/>
        </w:rPr>
      </w:pPr>
      <w:r>
        <w:rPr>
          <w:rFonts w:asciiTheme="minorEastAsia" w:eastAsiaTheme="minorEastAsia" w:hAnsiTheme="minorEastAsia" w:hint="eastAsia"/>
        </w:rPr>
        <w:t>本基金本报告期末未持有股票。</w:t>
      </w:r>
    </w:p>
    <w:p w14:paraId="2E208BB6"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 xml:space="preserve">6） </w:t>
      </w:r>
      <w:r>
        <w:rPr>
          <w:rFonts w:asciiTheme="minorEastAsia" w:eastAsiaTheme="minorEastAsia" w:hAnsiTheme="minorEastAsia" w:hint="eastAsia"/>
          <w:bCs/>
        </w:rPr>
        <w:t>投资组合报告附注的其他文字描述部分</w:t>
      </w:r>
    </w:p>
    <w:p w14:paraId="319C9897" w14:textId="77777777" w:rsidR="00D51FDF" w:rsidRDefault="007F75F6">
      <w:pPr>
        <w:pStyle w:val="biaogeleft"/>
        <w:spacing w:line="360" w:lineRule="auto"/>
        <w:ind w:firstLine="480"/>
        <w:rPr>
          <w:rFonts w:asciiTheme="minorEastAsia" w:eastAsiaTheme="minorEastAsia" w:hAnsiTheme="minorEastAsia"/>
          <w:bCs/>
        </w:rPr>
      </w:pPr>
      <w:r>
        <w:rPr>
          <w:rFonts w:asciiTheme="minorEastAsia" w:eastAsiaTheme="minorEastAsia" w:hAnsiTheme="minorEastAsia" w:hint="eastAsia"/>
          <w:bCs/>
        </w:rPr>
        <w:t>由于四舍五入原因，分项之和与合计可能存在尾差。</w:t>
      </w:r>
    </w:p>
    <w:p w14:paraId="5F9699AB" w14:textId="77777777" w:rsidR="00D51FDF" w:rsidRDefault="00D51FDF">
      <w:pPr>
        <w:ind w:firstLineChars="200" w:firstLine="480"/>
        <w:rPr>
          <w:rFonts w:asciiTheme="minorEastAsia" w:hAnsiTheme="minorEastAsia"/>
          <w:sz w:val="24"/>
          <w:szCs w:val="24"/>
        </w:rPr>
      </w:pPr>
    </w:p>
    <w:p w14:paraId="2F921388" w14:textId="77777777" w:rsidR="00D51FDF" w:rsidRDefault="007F75F6">
      <w:pPr>
        <w:widowControl/>
        <w:jc w:val="left"/>
        <w:rPr>
          <w:rFonts w:asciiTheme="minorEastAsia" w:hAnsiTheme="minorEastAsia" w:cs="Arial"/>
          <w:b/>
          <w:bCs/>
          <w:sz w:val="24"/>
          <w:szCs w:val="24"/>
        </w:rPr>
      </w:pPr>
      <w:r>
        <w:rPr>
          <w:rFonts w:asciiTheme="minorEastAsia" w:hAnsiTheme="minorEastAsia" w:cs="Arial" w:hint="eastAsia"/>
          <w:b/>
          <w:bCs/>
          <w:sz w:val="24"/>
          <w:szCs w:val="24"/>
        </w:rPr>
        <w:lastRenderedPageBreak/>
        <w:t>九、基金净值表现</w:t>
      </w:r>
    </w:p>
    <w:p w14:paraId="12041D27" w14:textId="77777777" w:rsidR="00D51FDF" w:rsidRDefault="007F75F6">
      <w:pPr>
        <w:pStyle w:val="zhangjiep2"/>
        <w:spacing w:line="360" w:lineRule="auto"/>
        <w:rPr>
          <w:rFonts w:asciiTheme="minorEastAsia" w:eastAsiaTheme="minorEastAsia" w:hAnsiTheme="minorEastAsia"/>
          <w:bCs/>
        </w:rPr>
      </w:pPr>
      <w:r>
        <w:rPr>
          <w:rFonts w:asciiTheme="minorEastAsia" w:eastAsiaTheme="minorEastAsia" w:hAnsiTheme="minorEastAsia"/>
          <w:bCs/>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42DF255A" w14:textId="77777777" w:rsidR="00D51FDF" w:rsidRDefault="007F75F6">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1）富荣价值精选混合A（基金代码：006109）</w:t>
      </w:r>
    </w:p>
    <w:tbl>
      <w:tblPr>
        <w:tblW w:w="8981" w:type="dxa"/>
        <w:tblInd w:w="-459" w:type="dxa"/>
        <w:tblLook w:val="04A0" w:firstRow="1" w:lastRow="0" w:firstColumn="1" w:lastColumn="0" w:noHBand="0" w:noVBand="1"/>
      </w:tblPr>
      <w:tblGrid>
        <w:gridCol w:w="2422"/>
        <w:gridCol w:w="1224"/>
        <w:gridCol w:w="1039"/>
        <w:gridCol w:w="1131"/>
        <w:gridCol w:w="1039"/>
        <w:gridCol w:w="1076"/>
        <w:gridCol w:w="1050"/>
      </w:tblGrid>
      <w:tr w:rsidR="00D51FDF" w14:paraId="170B251D" w14:textId="77777777" w:rsidTr="00572A69">
        <w:trPr>
          <w:trHeight w:val="406"/>
        </w:trPr>
        <w:tc>
          <w:tcPr>
            <w:tcW w:w="2086" w:type="dxa"/>
            <w:tcBorders>
              <w:top w:val="single" w:sz="8" w:space="0" w:color="000000"/>
              <w:left w:val="single" w:sz="8" w:space="0" w:color="000000"/>
              <w:bottom w:val="single" w:sz="6" w:space="0" w:color="000000"/>
              <w:right w:val="single" w:sz="8" w:space="0" w:color="000000"/>
            </w:tcBorders>
          </w:tcPr>
          <w:p w14:paraId="05A8D2C7" w14:textId="77777777" w:rsidR="00D51FDF" w:rsidRDefault="007F75F6">
            <w:pPr>
              <w:spacing w:line="360" w:lineRule="auto"/>
              <w:jc w:val="left"/>
              <w:rPr>
                <w:rFonts w:asciiTheme="minorEastAsia" w:hAnsiTheme="minorEastAsia"/>
                <w:bCs/>
                <w:szCs w:val="24"/>
              </w:rPr>
            </w:pPr>
            <w:r>
              <w:rPr>
                <w:rFonts w:asciiTheme="minorEastAsia" w:hAnsiTheme="minorEastAsia" w:hint="eastAsia"/>
                <w:bCs/>
                <w:szCs w:val="24"/>
              </w:rPr>
              <w:t>阶段</w:t>
            </w:r>
          </w:p>
        </w:tc>
        <w:tc>
          <w:tcPr>
            <w:tcW w:w="1284" w:type="dxa"/>
            <w:tcBorders>
              <w:top w:val="single" w:sz="8" w:space="0" w:color="000000"/>
              <w:left w:val="single" w:sz="8" w:space="0" w:color="000000"/>
              <w:bottom w:val="single" w:sz="6" w:space="0" w:color="000000"/>
              <w:right w:val="single" w:sz="8" w:space="0" w:color="000000"/>
            </w:tcBorders>
          </w:tcPr>
          <w:p w14:paraId="38AAD10B" w14:textId="77777777" w:rsidR="00D51FDF" w:rsidRDefault="007F75F6">
            <w:pPr>
              <w:spacing w:line="360" w:lineRule="auto"/>
              <w:jc w:val="left"/>
              <w:rPr>
                <w:rFonts w:asciiTheme="minorEastAsia" w:hAnsiTheme="minorEastAsia"/>
                <w:bCs/>
                <w:szCs w:val="24"/>
              </w:rPr>
            </w:pPr>
            <w:r>
              <w:rPr>
                <w:rFonts w:asciiTheme="minorEastAsia" w:hAnsiTheme="minorEastAsia" w:hint="eastAsia"/>
                <w:bCs/>
                <w:szCs w:val="24"/>
              </w:rPr>
              <w:t>净值增长率①</w:t>
            </w:r>
          </w:p>
        </w:tc>
        <w:tc>
          <w:tcPr>
            <w:tcW w:w="1105" w:type="dxa"/>
            <w:tcBorders>
              <w:top w:val="single" w:sz="8" w:space="0" w:color="000000"/>
              <w:left w:val="single" w:sz="8" w:space="0" w:color="000000"/>
              <w:bottom w:val="single" w:sz="6" w:space="0" w:color="000000"/>
              <w:right w:val="single" w:sz="8" w:space="0" w:color="000000"/>
            </w:tcBorders>
          </w:tcPr>
          <w:p w14:paraId="0C22680B" w14:textId="77777777" w:rsidR="00D51FDF" w:rsidRDefault="007F75F6">
            <w:pPr>
              <w:spacing w:line="360" w:lineRule="auto"/>
              <w:jc w:val="left"/>
              <w:rPr>
                <w:rFonts w:asciiTheme="minorEastAsia" w:hAnsiTheme="minorEastAsia"/>
                <w:bCs/>
                <w:szCs w:val="24"/>
              </w:rPr>
            </w:pPr>
            <w:r>
              <w:rPr>
                <w:rFonts w:asciiTheme="minorEastAsia" w:hAnsiTheme="minorEastAsia" w:hint="eastAsia"/>
                <w:bCs/>
                <w:szCs w:val="24"/>
              </w:rPr>
              <w:t>净值增长率标准差②</w:t>
            </w:r>
          </w:p>
        </w:tc>
        <w:tc>
          <w:tcPr>
            <w:tcW w:w="1194" w:type="dxa"/>
            <w:tcBorders>
              <w:top w:val="single" w:sz="8" w:space="0" w:color="000000"/>
              <w:left w:val="single" w:sz="8" w:space="0" w:color="000000"/>
              <w:bottom w:val="single" w:sz="6" w:space="0" w:color="000000"/>
              <w:right w:val="single" w:sz="8" w:space="0" w:color="000000"/>
            </w:tcBorders>
          </w:tcPr>
          <w:p w14:paraId="1EFE27B1" w14:textId="77777777" w:rsidR="00D51FDF" w:rsidRDefault="007F75F6">
            <w:pPr>
              <w:spacing w:line="360" w:lineRule="auto"/>
              <w:jc w:val="left"/>
              <w:rPr>
                <w:rFonts w:asciiTheme="minorEastAsia" w:hAnsiTheme="minorEastAsia"/>
                <w:bCs/>
                <w:szCs w:val="24"/>
              </w:rPr>
            </w:pPr>
            <w:r>
              <w:rPr>
                <w:rFonts w:asciiTheme="minorEastAsia" w:hAnsiTheme="minorEastAsia" w:hint="eastAsia"/>
                <w:bCs/>
                <w:szCs w:val="24"/>
              </w:rPr>
              <w:t>业绩比较基准收益率③</w:t>
            </w:r>
          </w:p>
        </w:tc>
        <w:tc>
          <w:tcPr>
            <w:tcW w:w="1104" w:type="dxa"/>
            <w:tcBorders>
              <w:top w:val="single" w:sz="8" w:space="0" w:color="000000"/>
              <w:left w:val="single" w:sz="8" w:space="0" w:color="000000"/>
              <w:bottom w:val="single" w:sz="6" w:space="0" w:color="000000"/>
              <w:right w:val="single" w:sz="8" w:space="0" w:color="000000"/>
            </w:tcBorders>
          </w:tcPr>
          <w:p w14:paraId="174585E6" w14:textId="77777777" w:rsidR="00D51FDF" w:rsidRDefault="007F75F6">
            <w:pPr>
              <w:spacing w:line="360" w:lineRule="auto"/>
              <w:jc w:val="left"/>
              <w:rPr>
                <w:rFonts w:asciiTheme="minorEastAsia" w:hAnsiTheme="minorEastAsia"/>
                <w:bCs/>
                <w:szCs w:val="24"/>
              </w:rPr>
            </w:pPr>
            <w:r>
              <w:rPr>
                <w:rFonts w:asciiTheme="minorEastAsia" w:hAnsiTheme="minorEastAsia" w:hint="eastAsia"/>
                <w:bCs/>
                <w:szCs w:val="24"/>
              </w:rPr>
              <w:t>业绩比较基准收益率标准差④</w:t>
            </w:r>
          </w:p>
        </w:tc>
        <w:tc>
          <w:tcPr>
            <w:tcW w:w="1104" w:type="dxa"/>
            <w:tcBorders>
              <w:top w:val="single" w:sz="8" w:space="0" w:color="000000"/>
              <w:left w:val="single" w:sz="8" w:space="0" w:color="000000"/>
              <w:bottom w:val="single" w:sz="6" w:space="0" w:color="000000"/>
              <w:right w:val="single" w:sz="8" w:space="0" w:color="000000"/>
            </w:tcBorders>
          </w:tcPr>
          <w:p w14:paraId="612E7ECD" w14:textId="77777777" w:rsidR="00D51FDF" w:rsidRDefault="007F75F6">
            <w:pPr>
              <w:spacing w:line="360" w:lineRule="auto"/>
              <w:jc w:val="left"/>
              <w:rPr>
                <w:rFonts w:asciiTheme="minorEastAsia" w:hAnsiTheme="minorEastAsia"/>
                <w:bCs/>
                <w:szCs w:val="24"/>
              </w:rPr>
            </w:pPr>
            <w:r>
              <w:rPr>
                <w:rFonts w:asciiTheme="minorEastAsia" w:hAnsiTheme="minorEastAsia" w:hint="eastAsia"/>
                <w:bCs/>
                <w:szCs w:val="24"/>
              </w:rPr>
              <w:t>①</w:t>
            </w:r>
            <w:r>
              <w:rPr>
                <w:rFonts w:asciiTheme="minorEastAsia" w:hAnsiTheme="minorEastAsia"/>
                <w:bCs/>
                <w:szCs w:val="24"/>
              </w:rPr>
              <w:t>-③</w:t>
            </w:r>
          </w:p>
        </w:tc>
        <w:tc>
          <w:tcPr>
            <w:tcW w:w="1104" w:type="dxa"/>
            <w:tcBorders>
              <w:top w:val="single" w:sz="8" w:space="0" w:color="000000"/>
              <w:left w:val="single" w:sz="8" w:space="0" w:color="000000"/>
              <w:bottom w:val="single" w:sz="6" w:space="0" w:color="000000"/>
              <w:right w:val="single" w:sz="8" w:space="0" w:color="000000"/>
            </w:tcBorders>
          </w:tcPr>
          <w:p w14:paraId="4FC36BCB" w14:textId="77777777" w:rsidR="00D51FDF" w:rsidRDefault="007F75F6">
            <w:pPr>
              <w:spacing w:line="360" w:lineRule="auto"/>
              <w:jc w:val="left"/>
              <w:rPr>
                <w:rFonts w:asciiTheme="minorEastAsia" w:hAnsiTheme="minorEastAsia"/>
                <w:bCs/>
                <w:szCs w:val="24"/>
              </w:rPr>
            </w:pPr>
            <w:r>
              <w:rPr>
                <w:rFonts w:asciiTheme="minorEastAsia" w:hAnsiTheme="minorEastAsia" w:hint="eastAsia"/>
                <w:bCs/>
                <w:szCs w:val="24"/>
              </w:rPr>
              <w:t>②</w:t>
            </w:r>
            <w:r>
              <w:rPr>
                <w:rFonts w:asciiTheme="minorEastAsia" w:hAnsiTheme="minorEastAsia"/>
                <w:bCs/>
                <w:szCs w:val="24"/>
              </w:rPr>
              <w:t>-④</w:t>
            </w:r>
          </w:p>
        </w:tc>
      </w:tr>
      <w:tr w:rsidR="00D51FDF" w14:paraId="5F9B9F58" w14:textId="77777777" w:rsidTr="00572A69">
        <w:trPr>
          <w:trHeight w:val="501"/>
        </w:trPr>
        <w:tc>
          <w:tcPr>
            <w:tcW w:w="2086" w:type="dxa"/>
            <w:tcBorders>
              <w:top w:val="single" w:sz="8" w:space="0" w:color="000000"/>
              <w:left w:val="single" w:sz="8" w:space="0" w:color="000000"/>
              <w:bottom w:val="single" w:sz="8" w:space="0" w:color="000000"/>
              <w:right w:val="single" w:sz="8" w:space="0" w:color="000000"/>
            </w:tcBorders>
            <w:vAlign w:val="center"/>
          </w:tcPr>
          <w:p w14:paraId="219B7F43" w14:textId="77777777" w:rsidR="00D51FDF" w:rsidRDefault="007F75F6">
            <w:pPr>
              <w:spacing w:line="360" w:lineRule="auto"/>
              <w:jc w:val="left"/>
              <w:rPr>
                <w:rFonts w:asciiTheme="minorEastAsia" w:hAnsiTheme="minorEastAsia"/>
                <w:bCs/>
                <w:szCs w:val="24"/>
              </w:rPr>
            </w:pPr>
            <w:r>
              <w:rPr>
                <w:rFonts w:asciiTheme="minorEastAsia" w:hAnsiTheme="minorEastAsia"/>
                <w:bCs/>
                <w:szCs w:val="24"/>
              </w:rPr>
              <w:t>2018.8.10~2018.12.31</w:t>
            </w:r>
          </w:p>
        </w:tc>
        <w:tc>
          <w:tcPr>
            <w:tcW w:w="0" w:type="auto"/>
            <w:tcBorders>
              <w:top w:val="single" w:sz="8" w:space="0" w:color="000000"/>
              <w:left w:val="single" w:sz="8" w:space="0" w:color="000000"/>
              <w:bottom w:val="single" w:sz="8" w:space="0" w:color="000000"/>
              <w:right w:val="single" w:sz="8" w:space="0" w:color="000000"/>
            </w:tcBorders>
            <w:vAlign w:val="center"/>
          </w:tcPr>
          <w:p w14:paraId="656DE9E1" w14:textId="77777777" w:rsidR="00D51FDF" w:rsidRDefault="007F75F6">
            <w:pPr>
              <w:spacing w:line="360" w:lineRule="auto"/>
              <w:jc w:val="left"/>
              <w:rPr>
                <w:rFonts w:asciiTheme="minorEastAsia" w:hAnsiTheme="minorEastAsia"/>
                <w:szCs w:val="24"/>
              </w:rPr>
            </w:pPr>
            <w:r>
              <w:rPr>
                <w:rFonts w:asciiTheme="minorEastAsia" w:hAnsiTheme="minorEastAsia"/>
                <w:bCs/>
                <w:szCs w:val="24"/>
              </w:rPr>
              <w:t>-21.41%</w:t>
            </w:r>
          </w:p>
        </w:tc>
        <w:tc>
          <w:tcPr>
            <w:tcW w:w="0" w:type="auto"/>
            <w:tcBorders>
              <w:top w:val="single" w:sz="8" w:space="0" w:color="000000"/>
              <w:left w:val="single" w:sz="8" w:space="0" w:color="000000"/>
              <w:bottom w:val="single" w:sz="8" w:space="0" w:color="000000"/>
              <w:right w:val="single" w:sz="8" w:space="0" w:color="000000"/>
            </w:tcBorders>
            <w:vAlign w:val="center"/>
          </w:tcPr>
          <w:p w14:paraId="44B253F3" w14:textId="77777777" w:rsidR="00D51FDF" w:rsidRDefault="007F75F6">
            <w:pPr>
              <w:spacing w:line="360" w:lineRule="auto"/>
              <w:jc w:val="left"/>
              <w:rPr>
                <w:rFonts w:asciiTheme="minorEastAsia" w:hAnsiTheme="minorEastAsia"/>
                <w:szCs w:val="24"/>
              </w:rPr>
            </w:pPr>
            <w:r>
              <w:rPr>
                <w:rFonts w:asciiTheme="minorEastAsia" w:hAnsiTheme="minorEastAsia"/>
                <w:bCs/>
                <w:szCs w:val="24"/>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084B6ABF" w14:textId="77777777" w:rsidR="00D51FDF" w:rsidRDefault="007F75F6">
            <w:pPr>
              <w:spacing w:line="360" w:lineRule="auto"/>
              <w:jc w:val="left"/>
              <w:rPr>
                <w:rFonts w:asciiTheme="minorEastAsia" w:hAnsiTheme="minorEastAsia"/>
                <w:szCs w:val="24"/>
              </w:rPr>
            </w:pPr>
            <w:r>
              <w:rPr>
                <w:rFonts w:asciiTheme="minorEastAsia" w:hAnsiTheme="minorEastAsia"/>
                <w:bCs/>
                <w:szCs w:val="24"/>
              </w:rPr>
              <w:t>-5.35%</w:t>
            </w:r>
          </w:p>
        </w:tc>
        <w:tc>
          <w:tcPr>
            <w:tcW w:w="0" w:type="auto"/>
            <w:tcBorders>
              <w:top w:val="single" w:sz="8" w:space="0" w:color="000000"/>
              <w:left w:val="single" w:sz="8" w:space="0" w:color="000000"/>
              <w:bottom w:val="single" w:sz="8" w:space="0" w:color="000000"/>
              <w:right w:val="single" w:sz="8" w:space="0" w:color="000000"/>
            </w:tcBorders>
            <w:vAlign w:val="center"/>
          </w:tcPr>
          <w:p w14:paraId="504AD037" w14:textId="77777777" w:rsidR="00D51FDF" w:rsidRDefault="007F75F6">
            <w:pPr>
              <w:spacing w:line="360" w:lineRule="auto"/>
              <w:jc w:val="left"/>
              <w:rPr>
                <w:rFonts w:asciiTheme="minorEastAsia" w:hAnsiTheme="minorEastAsia"/>
                <w:szCs w:val="24"/>
              </w:rPr>
            </w:pPr>
            <w:r>
              <w:rPr>
                <w:rFonts w:asciiTheme="minorEastAsia" w:hAnsiTheme="minorEastAsia"/>
                <w:bCs/>
                <w:szCs w:val="24"/>
              </w:rPr>
              <w:t>0.82%</w:t>
            </w:r>
          </w:p>
        </w:tc>
        <w:tc>
          <w:tcPr>
            <w:tcW w:w="0" w:type="auto"/>
            <w:tcBorders>
              <w:top w:val="single" w:sz="8" w:space="0" w:color="000000"/>
              <w:left w:val="single" w:sz="8" w:space="0" w:color="000000"/>
              <w:bottom w:val="single" w:sz="8" w:space="0" w:color="000000"/>
              <w:right w:val="single" w:sz="8" w:space="0" w:color="000000"/>
            </w:tcBorders>
            <w:vAlign w:val="center"/>
          </w:tcPr>
          <w:p w14:paraId="6122BBF9" w14:textId="77777777" w:rsidR="00D51FDF" w:rsidRDefault="007F75F6">
            <w:pPr>
              <w:spacing w:line="360" w:lineRule="auto"/>
              <w:jc w:val="left"/>
              <w:rPr>
                <w:rFonts w:asciiTheme="minorEastAsia" w:hAnsiTheme="minorEastAsia"/>
                <w:szCs w:val="24"/>
              </w:rPr>
            </w:pPr>
            <w:r>
              <w:rPr>
                <w:rFonts w:asciiTheme="minorEastAsia" w:hAnsiTheme="minorEastAsia"/>
                <w:bCs/>
                <w:szCs w:val="24"/>
              </w:rPr>
              <w:t>-16.06%</w:t>
            </w:r>
          </w:p>
        </w:tc>
        <w:tc>
          <w:tcPr>
            <w:tcW w:w="0" w:type="auto"/>
            <w:tcBorders>
              <w:top w:val="single" w:sz="8" w:space="0" w:color="000000"/>
              <w:left w:val="single" w:sz="8" w:space="0" w:color="000000"/>
              <w:bottom w:val="single" w:sz="8" w:space="0" w:color="000000"/>
              <w:right w:val="single" w:sz="8" w:space="0" w:color="000000"/>
            </w:tcBorders>
            <w:vAlign w:val="center"/>
          </w:tcPr>
          <w:p w14:paraId="0C92322D" w14:textId="77777777" w:rsidR="00D51FDF" w:rsidRDefault="007F75F6">
            <w:pPr>
              <w:spacing w:line="360" w:lineRule="auto"/>
              <w:jc w:val="left"/>
              <w:rPr>
                <w:rFonts w:asciiTheme="minorEastAsia" w:hAnsiTheme="minorEastAsia"/>
                <w:szCs w:val="24"/>
              </w:rPr>
            </w:pPr>
            <w:r>
              <w:rPr>
                <w:rFonts w:asciiTheme="minorEastAsia" w:hAnsiTheme="minorEastAsia"/>
                <w:bCs/>
                <w:szCs w:val="24"/>
              </w:rPr>
              <w:t>0.29%</w:t>
            </w:r>
          </w:p>
        </w:tc>
      </w:tr>
      <w:tr w:rsidR="00D51FDF" w14:paraId="0CCAFCA0" w14:textId="77777777" w:rsidTr="00572A69">
        <w:trPr>
          <w:trHeight w:val="501"/>
        </w:trPr>
        <w:tc>
          <w:tcPr>
            <w:tcW w:w="2086" w:type="dxa"/>
            <w:tcBorders>
              <w:top w:val="single" w:sz="8" w:space="0" w:color="000000"/>
              <w:left w:val="single" w:sz="8" w:space="0" w:color="000000"/>
              <w:bottom w:val="single" w:sz="8" w:space="0" w:color="000000"/>
              <w:right w:val="single" w:sz="8" w:space="0" w:color="000000"/>
            </w:tcBorders>
            <w:vAlign w:val="center"/>
          </w:tcPr>
          <w:p w14:paraId="703CD93E" w14:textId="77777777" w:rsidR="00D51FDF" w:rsidRDefault="007F75F6">
            <w:pPr>
              <w:spacing w:line="360" w:lineRule="auto"/>
              <w:jc w:val="left"/>
              <w:rPr>
                <w:rFonts w:asciiTheme="minorEastAsia" w:hAnsiTheme="minorEastAsia"/>
                <w:bCs/>
                <w:szCs w:val="24"/>
              </w:rPr>
            </w:pPr>
            <w:r>
              <w:rPr>
                <w:rFonts w:asciiTheme="minorEastAsia" w:hAnsiTheme="minorEastAsia"/>
                <w:bCs/>
                <w:szCs w:val="24"/>
              </w:rPr>
              <w:t>2019.01.01~2019.12.31</w:t>
            </w:r>
          </w:p>
        </w:tc>
        <w:tc>
          <w:tcPr>
            <w:tcW w:w="0" w:type="auto"/>
            <w:tcBorders>
              <w:top w:val="single" w:sz="8" w:space="0" w:color="000000"/>
              <w:left w:val="single" w:sz="8" w:space="0" w:color="000000"/>
              <w:bottom w:val="single" w:sz="8" w:space="0" w:color="000000"/>
              <w:right w:val="single" w:sz="8" w:space="0" w:color="000000"/>
            </w:tcBorders>
            <w:vAlign w:val="center"/>
          </w:tcPr>
          <w:p w14:paraId="69671D67" w14:textId="77777777" w:rsidR="00D51FDF" w:rsidRDefault="007F75F6">
            <w:pPr>
              <w:spacing w:line="360" w:lineRule="auto"/>
              <w:jc w:val="left"/>
              <w:rPr>
                <w:rFonts w:asciiTheme="minorEastAsia" w:hAnsiTheme="minorEastAsia"/>
                <w:szCs w:val="24"/>
              </w:rPr>
            </w:pPr>
            <w:r>
              <w:rPr>
                <w:rFonts w:asciiTheme="minorEastAsia" w:hAnsiTheme="minorEastAsia"/>
                <w:szCs w:val="24"/>
              </w:rPr>
              <w:t>137.65%</w:t>
            </w:r>
          </w:p>
        </w:tc>
        <w:tc>
          <w:tcPr>
            <w:tcW w:w="0" w:type="auto"/>
            <w:tcBorders>
              <w:top w:val="single" w:sz="8" w:space="0" w:color="000000"/>
              <w:left w:val="single" w:sz="8" w:space="0" w:color="000000"/>
              <w:bottom w:val="single" w:sz="8" w:space="0" w:color="000000"/>
              <w:right w:val="single" w:sz="8" w:space="0" w:color="000000"/>
            </w:tcBorders>
            <w:vAlign w:val="center"/>
          </w:tcPr>
          <w:p w14:paraId="33DFD841" w14:textId="77777777" w:rsidR="00D51FDF" w:rsidRDefault="007F75F6">
            <w:pPr>
              <w:spacing w:line="360" w:lineRule="auto"/>
              <w:jc w:val="left"/>
              <w:rPr>
                <w:rFonts w:asciiTheme="minorEastAsia" w:hAnsiTheme="minorEastAsia"/>
                <w:szCs w:val="24"/>
              </w:rPr>
            </w:pPr>
            <w:r>
              <w:rPr>
                <w:rFonts w:asciiTheme="minorEastAsia" w:hAnsiTheme="minorEastAsia"/>
                <w:szCs w:val="24"/>
              </w:rPr>
              <w:t>6.56%</w:t>
            </w:r>
          </w:p>
        </w:tc>
        <w:tc>
          <w:tcPr>
            <w:tcW w:w="0" w:type="auto"/>
            <w:tcBorders>
              <w:top w:val="single" w:sz="8" w:space="0" w:color="000000"/>
              <w:left w:val="single" w:sz="8" w:space="0" w:color="000000"/>
              <w:bottom w:val="single" w:sz="8" w:space="0" w:color="000000"/>
              <w:right w:val="single" w:sz="8" w:space="0" w:color="000000"/>
            </w:tcBorders>
            <w:vAlign w:val="center"/>
          </w:tcPr>
          <w:p w14:paraId="2D77F54E" w14:textId="77777777" w:rsidR="00D51FDF" w:rsidRDefault="007F75F6">
            <w:pPr>
              <w:spacing w:line="360" w:lineRule="auto"/>
              <w:jc w:val="left"/>
              <w:rPr>
                <w:rFonts w:asciiTheme="minorEastAsia" w:hAnsiTheme="minorEastAsia"/>
                <w:szCs w:val="24"/>
              </w:rPr>
            </w:pPr>
            <w:r>
              <w:rPr>
                <w:rFonts w:asciiTheme="minorEastAsia" w:hAnsiTheme="minorEastAsia"/>
                <w:szCs w:val="24"/>
              </w:rPr>
              <w:t>21.32%</w:t>
            </w:r>
          </w:p>
        </w:tc>
        <w:tc>
          <w:tcPr>
            <w:tcW w:w="0" w:type="auto"/>
            <w:tcBorders>
              <w:top w:val="single" w:sz="8" w:space="0" w:color="000000"/>
              <w:left w:val="single" w:sz="8" w:space="0" w:color="000000"/>
              <w:bottom w:val="single" w:sz="8" w:space="0" w:color="000000"/>
              <w:right w:val="single" w:sz="8" w:space="0" w:color="000000"/>
            </w:tcBorders>
            <w:vAlign w:val="center"/>
          </w:tcPr>
          <w:p w14:paraId="6E0A73F2" w14:textId="77777777" w:rsidR="00D51FDF" w:rsidRDefault="007F75F6">
            <w:pPr>
              <w:spacing w:line="360" w:lineRule="auto"/>
              <w:jc w:val="left"/>
              <w:rPr>
                <w:rFonts w:asciiTheme="minorEastAsia" w:hAnsiTheme="minorEastAsia"/>
                <w:szCs w:val="24"/>
              </w:rPr>
            </w:pPr>
            <w:r>
              <w:rPr>
                <w:rFonts w:asciiTheme="minorEastAsia" w:hAnsiTheme="minorEastAsia"/>
                <w:szCs w:val="24"/>
              </w:rPr>
              <w:t>0.69%</w:t>
            </w:r>
          </w:p>
        </w:tc>
        <w:tc>
          <w:tcPr>
            <w:tcW w:w="0" w:type="auto"/>
            <w:tcBorders>
              <w:top w:val="single" w:sz="8" w:space="0" w:color="000000"/>
              <w:left w:val="single" w:sz="8" w:space="0" w:color="000000"/>
              <w:bottom w:val="single" w:sz="8" w:space="0" w:color="000000"/>
              <w:right w:val="single" w:sz="8" w:space="0" w:color="000000"/>
            </w:tcBorders>
            <w:vAlign w:val="center"/>
          </w:tcPr>
          <w:p w14:paraId="220EF71D" w14:textId="77777777" w:rsidR="00D51FDF" w:rsidRDefault="007F75F6">
            <w:pPr>
              <w:spacing w:line="360" w:lineRule="auto"/>
              <w:jc w:val="left"/>
              <w:rPr>
                <w:rFonts w:asciiTheme="minorEastAsia" w:hAnsiTheme="minorEastAsia"/>
                <w:szCs w:val="24"/>
              </w:rPr>
            </w:pPr>
            <w:r>
              <w:rPr>
                <w:rFonts w:asciiTheme="minorEastAsia" w:hAnsiTheme="minorEastAsia"/>
                <w:szCs w:val="24"/>
              </w:rPr>
              <w:t>116.33%</w:t>
            </w:r>
          </w:p>
        </w:tc>
        <w:tc>
          <w:tcPr>
            <w:tcW w:w="0" w:type="auto"/>
            <w:tcBorders>
              <w:top w:val="single" w:sz="8" w:space="0" w:color="000000"/>
              <w:left w:val="single" w:sz="8" w:space="0" w:color="000000"/>
              <w:bottom w:val="single" w:sz="8" w:space="0" w:color="000000"/>
              <w:right w:val="single" w:sz="8" w:space="0" w:color="000000"/>
            </w:tcBorders>
            <w:vAlign w:val="center"/>
          </w:tcPr>
          <w:p w14:paraId="332AD21A" w14:textId="77777777" w:rsidR="00D51FDF" w:rsidRDefault="007F75F6">
            <w:pPr>
              <w:spacing w:line="360" w:lineRule="auto"/>
              <w:jc w:val="left"/>
              <w:rPr>
                <w:rFonts w:asciiTheme="minorEastAsia" w:hAnsiTheme="minorEastAsia"/>
                <w:szCs w:val="24"/>
              </w:rPr>
            </w:pPr>
            <w:r>
              <w:rPr>
                <w:rFonts w:asciiTheme="minorEastAsia" w:hAnsiTheme="minorEastAsia"/>
                <w:szCs w:val="24"/>
              </w:rPr>
              <w:t>5.87%</w:t>
            </w:r>
          </w:p>
        </w:tc>
      </w:tr>
      <w:tr w:rsidR="00572A69" w14:paraId="459E7F80" w14:textId="77777777" w:rsidTr="00572A69">
        <w:trPr>
          <w:trHeight w:val="501"/>
        </w:trPr>
        <w:tc>
          <w:tcPr>
            <w:tcW w:w="2086" w:type="dxa"/>
            <w:tcBorders>
              <w:top w:val="single" w:sz="8" w:space="0" w:color="000000"/>
              <w:left w:val="single" w:sz="8" w:space="0" w:color="000000"/>
              <w:bottom w:val="single" w:sz="8" w:space="0" w:color="000000"/>
              <w:right w:val="single" w:sz="8" w:space="0" w:color="000000"/>
            </w:tcBorders>
            <w:vAlign w:val="center"/>
          </w:tcPr>
          <w:p w14:paraId="624A3D0C" w14:textId="11A141F0" w:rsidR="00572A69" w:rsidRDefault="00572A69">
            <w:pPr>
              <w:spacing w:line="360" w:lineRule="auto"/>
              <w:jc w:val="left"/>
              <w:rPr>
                <w:rFonts w:asciiTheme="minorEastAsia" w:hAnsiTheme="minorEastAsia"/>
                <w:bCs/>
                <w:szCs w:val="24"/>
              </w:rPr>
            </w:pPr>
            <w:r>
              <w:rPr>
                <w:rFonts w:asciiTheme="minorEastAsia" w:hAnsiTheme="minorEastAsia"/>
                <w:bCs/>
                <w:szCs w:val="24"/>
              </w:rPr>
              <w:t>2020.01.01~2020</w:t>
            </w:r>
            <w:r>
              <w:rPr>
                <w:rFonts w:asciiTheme="minorEastAsia" w:hAnsiTheme="minorEastAsia"/>
                <w:color w:val="000000"/>
                <w:szCs w:val="21"/>
              </w:rPr>
              <w:t>.</w:t>
            </w:r>
            <w:r>
              <w:rPr>
                <w:rFonts w:asciiTheme="minorEastAsia" w:hAnsiTheme="minorEastAsia" w:hint="eastAsia"/>
                <w:color w:val="000000"/>
                <w:szCs w:val="21"/>
              </w:rPr>
              <w:t>12</w:t>
            </w:r>
            <w:r>
              <w:rPr>
                <w:rFonts w:asciiTheme="minorEastAsia" w:hAnsiTheme="minorEastAsia"/>
                <w:color w:val="000000"/>
                <w:szCs w:val="21"/>
              </w:rPr>
              <w:t>.</w:t>
            </w:r>
            <w:r>
              <w:rPr>
                <w:rFonts w:asciiTheme="minorEastAsia" w:hAnsiTheme="minorEastAsia" w:hint="eastAsia"/>
                <w:color w:val="000000"/>
                <w:szCs w:val="21"/>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5514D4AB" w14:textId="2F119DA2" w:rsidR="00572A69" w:rsidRDefault="00572A69">
            <w:pPr>
              <w:spacing w:line="360" w:lineRule="auto"/>
              <w:jc w:val="left"/>
              <w:rPr>
                <w:rFonts w:asciiTheme="minorEastAsia" w:hAnsiTheme="minorEastAsia"/>
                <w:bCs/>
                <w:szCs w:val="24"/>
              </w:rPr>
            </w:pPr>
            <w:r>
              <w:rPr>
                <w:rFonts w:hint="eastAsia"/>
              </w:rPr>
              <w:t>23.85%</w:t>
            </w:r>
          </w:p>
        </w:tc>
        <w:tc>
          <w:tcPr>
            <w:tcW w:w="0" w:type="auto"/>
            <w:tcBorders>
              <w:top w:val="single" w:sz="8" w:space="0" w:color="000000"/>
              <w:left w:val="single" w:sz="8" w:space="0" w:color="000000"/>
              <w:bottom w:val="single" w:sz="8" w:space="0" w:color="000000"/>
              <w:right w:val="single" w:sz="8" w:space="0" w:color="000000"/>
            </w:tcBorders>
            <w:vAlign w:val="center"/>
          </w:tcPr>
          <w:p w14:paraId="1B2F7FC3" w14:textId="51D9257E" w:rsidR="00572A69" w:rsidRDefault="00572A69">
            <w:pPr>
              <w:spacing w:line="360" w:lineRule="auto"/>
              <w:jc w:val="left"/>
              <w:rPr>
                <w:rFonts w:asciiTheme="minorEastAsia" w:hAnsiTheme="minorEastAsia"/>
                <w:bCs/>
                <w:szCs w:val="24"/>
              </w:rPr>
            </w:pPr>
            <w:r>
              <w:rPr>
                <w:rFonts w:hint="eastAsia"/>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084514F0" w14:textId="12804438" w:rsidR="00572A69" w:rsidRDefault="00572A69">
            <w:pPr>
              <w:spacing w:line="360" w:lineRule="auto"/>
              <w:jc w:val="left"/>
              <w:rPr>
                <w:rFonts w:asciiTheme="minorEastAsia" w:hAnsiTheme="minorEastAsia"/>
                <w:bCs/>
                <w:szCs w:val="24"/>
              </w:rPr>
            </w:pPr>
            <w:r>
              <w:rPr>
                <w:rFonts w:hint="eastAsia"/>
              </w:rPr>
              <w:t>16.76%</w:t>
            </w:r>
          </w:p>
        </w:tc>
        <w:tc>
          <w:tcPr>
            <w:tcW w:w="0" w:type="auto"/>
            <w:tcBorders>
              <w:top w:val="single" w:sz="8" w:space="0" w:color="000000"/>
              <w:left w:val="single" w:sz="8" w:space="0" w:color="000000"/>
              <w:bottom w:val="single" w:sz="8" w:space="0" w:color="000000"/>
              <w:right w:val="single" w:sz="8" w:space="0" w:color="000000"/>
            </w:tcBorders>
            <w:vAlign w:val="center"/>
          </w:tcPr>
          <w:p w14:paraId="5D40FE66" w14:textId="5DC5CBF8" w:rsidR="00572A69" w:rsidRDefault="00572A69">
            <w:pPr>
              <w:spacing w:line="360" w:lineRule="auto"/>
              <w:jc w:val="left"/>
              <w:rPr>
                <w:rFonts w:asciiTheme="minorEastAsia" w:hAnsiTheme="minorEastAsia"/>
                <w:bCs/>
                <w:szCs w:val="24"/>
              </w:rPr>
            </w:pPr>
            <w:r>
              <w:rPr>
                <w:rFonts w:hint="eastAsia"/>
              </w:rPr>
              <w:t>0.78%</w:t>
            </w:r>
          </w:p>
        </w:tc>
        <w:tc>
          <w:tcPr>
            <w:tcW w:w="0" w:type="auto"/>
            <w:tcBorders>
              <w:top w:val="single" w:sz="8" w:space="0" w:color="000000"/>
              <w:left w:val="single" w:sz="8" w:space="0" w:color="000000"/>
              <w:bottom w:val="single" w:sz="8" w:space="0" w:color="000000"/>
              <w:right w:val="single" w:sz="8" w:space="0" w:color="000000"/>
            </w:tcBorders>
            <w:vAlign w:val="center"/>
          </w:tcPr>
          <w:p w14:paraId="216C6646" w14:textId="082EC8B5" w:rsidR="00572A69" w:rsidRDefault="00572A69">
            <w:pPr>
              <w:spacing w:line="360" w:lineRule="auto"/>
              <w:jc w:val="left"/>
              <w:rPr>
                <w:rFonts w:asciiTheme="minorEastAsia" w:hAnsiTheme="minorEastAsia"/>
                <w:bCs/>
                <w:szCs w:val="24"/>
              </w:rPr>
            </w:pPr>
            <w:r>
              <w:rPr>
                <w:rFonts w:hint="eastAsia"/>
              </w:rPr>
              <w:t>7.09%</w:t>
            </w:r>
          </w:p>
        </w:tc>
        <w:tc>
          <w:tcPr>
            <w:tcW w:w="0" w:type="auto"/>
            <w:tcBorders>
              <w:top w:val="single" w:sz="8" w:space="0" w:color="000000"/>
              <w:left w:val="single" w:sz="8" w:space="0" w:color="000000"/>
              <w:bottom w:val="single" w:sz="8" w:space="0" w:color="000000"/>
              <w:right w:val="single" w:sz="8" w:space="0" w:color="000000"/>
            </w:tcBorders>
            <w:vAlign w:val="center"/>
          </w:tcPr>
          <w:p w14:paraId="569C4F63" w14:textId="05D6728B" w:rsidR="00572A69" w:rsidRDefault="00572A69">
            <w:pPr>
              <w:spacing w:line="360" w:lineRule="auto"/>
              <w:jc w:val="left"/>
              <w:rPr>
                <w:rFonts w:asciiTheme="minorEastAsia" w:hAnsiTheme="minorEastAsia"/>
                <w:bCs/>
                <w:szCs w:val="24"/>
              </w:rPr>
            </w:pPr>
            <w:r>
              <w:rPr>
                <w:rFonts w:hint="eastAsia"/>
              </w:rPr>
              <w:t>0.43%</w:t>
            </w:r>
          </w:p>
        </w:tc>
      </w:tr>
      <w:tr w:rsidR="00572A69" w14:paraId="75394DA9" w14:textId="77777777" w:rsidTr="00572A69">
        <w:trPr>
          <w:trHeight w:val="501"/>
        </w:trPr>
        <w:tc>
          <w:tcPr>
            <w:tcW w:w="2086" w:type="dxa"/>
            <w:tcBorders>
              <w:top w:val="single" w:sz="8" w:space="0" w:color="000000"/>
              <w:left w:val="single" w:sz="8" w:space="0" w:color="000000"/>
              <w:bottom w:val="single" w:sz="8" w:space="0" w:color="000000"/>
              <w:right w:val="single" w:sz="8" w:space="0" w:color="000000"/>
            </w:tcBorders>
            <w:vAlign w:val="center"/>
          </w:tcPr>
          <w:p w14:paraId="598B732D" w14:textId="2AC4A78C" w:rsidR="00572A69" w:rsidRDefault="00572A69">
            <w:pPr>
              <w:spacing w:line="360" w:lineRule="auto"/>
              <w:jc w:val="left"/>
              <w:rPr>
                <w:rFonts w:asciiTheme="minorEastAsia" w:hAnsiTheme="minorEastAsia"/>
                <w:bCs/>
                <w:szCs w:val="24"/>
              </w:rPr>
            </w:pPr>
            <w:r>
              <w:rPr>
                <w:rFonts w:asciiTheme="minorEastAsia" w:hAnsiTheme="minorEastAsia"/>
                <w:color w:val="000000"/>
                <w:szCs w:val="21"/>
              </w:rPr>
              <w:t>202</w:t>
            </w:r>
            <w:r>
              <w:rPr>
                <w:rFonts w:asciiTheme="minorEastAsia" w:hAnsiTheme="minorEastAsia" w:hint="eastAsia"/>
                <w:color w:val="000000"/>
                <w:szCs w:val="21"/>
              </w:rPr>
              <w:t>1</w:t>
            </w:r>
            <w:r>
              <w:rPr>
                <w:rFonts w:asciiTheme="minorEastAsia" w:hAnsiTheme="minorEastAsia"/>
                <w:color w:val="000000"/>
                <w:szCs w:val="21"/>
              </w:rPr>
              <w:t>.01.01~202</w:t>
            </w:r>
            <w:r>
              <w:rPr>
                <w:rFonts w:asciiTheme="minorEastAsia" w:hAnsiTheme="minorEastAsia" w:hint="eastAsia"/>
                <w:color w:val="000000"/>
                <w:szCs w:val="21"/>
              </w:rPr>
              <w:t>1</w:t>
            </w:r>
            <w:r>
              <w:rPr>
                <w:rFonts w:asciiTheme="minorEastAsia" w:hAnsiTheme="minorEastAsia"/>
                <w:color w:val="000000"/>
                <w:szCs w:val="21"/>
              </w:rPr>
              <w:t>.06.30</w:t>
            </w:r>
          </w:p>
        </w:tc>
        <w:tc>
          <w:tcPr>
            <w:tcW w:w="0" w:type="auto"/>
            <w:tcBorders>
              <w:top w:val="single" w:sz="8" w:space="0" w:color="000000"/>
              <w:left w:val="single" w:sz="8" w:space="0" w:color="000000"/>
              <w:bottom w:val="single" w:sz="8" w:space="0" w:color="000000"/>
              <w:right w:val="single" w:sz="8" w:space="0" w:color="000000"/>
            </w:tcBorders>
            <w:vAlign w:val="center"/>
          </w:tcPr>
          <w:p w14:paraId="55CE7E0E" w14:textId="1F344489" w:rsidR="00572A69" w:rsidRDefault="00572A69">
            <w:pPr>
              <w:spacing w:line="360" w:lineRule="auto"/>
              <w:jc w:val="left"/>
              <w:rPr>
                <w:rFonts w:asciiTheme="minorEastAsia" w:hAnsiTheme="minorEastAsia"/>
                <w:szCs w:val="24"/>
              </w:rPr>
            </w:pPr>
            <w:r>
              <w:rPr>
                <w:rFonts w:hint="eastAsia"/>
              </w:rPr>
              <w:t>0.13%</w:t>
            </w:r>
          </w:p>
        </w:tc>
        <w:tc>
          <w:tcPr>
            <w:tcW w:w="0" w:type="auto"/>
            <w:tcBorders>
              <w:top w:val="single" w:sz="8" w:space="0" w:color="000000"/>
              <w:left w:val="single" w:sz="8" w:space="0" w:color="000000"/>
              <w:bottom w:val="single" w:sz="8" w:space="0" w:color="000000"/>
              <w:right w:val="single" w:sz="8" w:space="0" w:color="000000"/>
            </w:tcBorders>
            <w:vAlign w:val="center"/>
          </w:tcPr>
          <w:p w14:paraId="6DC6D0D3" w14:textId="3336025A" w:rsidR="00572A69" w:rsidRDefault="00572A69">
            <w:pPr>
              <w:spacing w:line="360" w:lineRule="auto"/>
              <w:jc w:val="left"/>
              <w:rPr>
                <w:rFonts w:asciiTheme="minorEastAsia" w:hAnsiTheme="minorEastAsia"/>
                <w:szCs w:val="24"/>
              </w:rPr>
            </w:pPr>
            <w:r>
              <w:rPr>
                <w:rFonts w:hint="eastAsia"/>
              </w:rPr>
              <w:t>0.50%</w:t>
            </w:r>
          </w:p>
        </w:tc>
        <w:tc>
          <w:tcPr>
            <w:tcW w:w="0" w:type="auto"/>
            <w:tcBorders>
              <w:top w:val="single" w:sz="8" w:space="0" w:color="000000"/>
              <w:left w:val="single" w:sz="8" w:space="0" w:color="000000"/>
              <w:bottom w:val="single" w:sz="8" w:space="0" w:color="000000"/>
              <w:right w:val="single" w:sz="8" w:space="0" w:color="000000"/>
            </w:tcBorders>
            <w:vAlign w:val="center"/>
          </w:tcPr>
          <w:p w14:paraId="7F462483" w14:textId="3A051495" w:rsidR="00572A69" w:rsidRDefault="00572A69">
            <w:pPr>
              <w:spacing w:line="360" w:lineRule="auto"/>
              <w:jc w:val="left"/>
              <w:rPr>
                <w:rFonts w:asciiTheme="minorEastAsia" w:hAnsiTheme="minorEastAsia"/>
                <w:szCs w:val="24"/>
              </w:rPr>
            </w:pPr>
            <w:r>
              <w:rPr>
                <w:rFonts w:hint="eastAsia"/>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40F3AB27" w14:textId="6FF36275" w:rsidR="00572A69" w:rsidRDefault="00572A69">
            <w:pPr>
              <w:spacing w:line="360" w:lineRule="auto"/>
              <w:jc w:val="left"/>
              <w:rPr>
                <w:rFonts w:asciiTheme="minorEastAsia" w:hAnsiTheme="minorEastAsia"/>
                <w:szCs w:val="24"/>
              </w:rPr>
            </w:pPr>
            <w:r>
              <w:rPr>
                <w:rFonts w:hint="eastAsia"/>
              </w:rPr>
              <w:t>0.72%</w:t>
            </w:r>
          </w:p>
        </w:tc>
        <w:tc>
          <w:tcPr>
            <w:tcW w:w="0" w:type="auto"/>
            <w:tcBorders>
              <w:top w:val="single" w:sz="8" w:space="0" w:color="000000"/>
              <w:left w:val="single" w:sz="8" w:space="0" w:color="000000"/>
              <w:bottom w:val="single" w:sz="8" w:space="0" w:color="000000"/>
              <w:right w:val="single" w:sz="8" w:space="0" w:color="000000"/>
            </w:tcBorders>
            <w:vAlign w:val="center"/>
          </w:tcPr>
          <w:p w14:paraId="5EF9D0DB" w14:textId="67150389" w:rsidR="00572A69" w:rsidRDefault="00572A69">
            <w:pPr>
              <w:spacing w:line="360" w:lineRule="auto"/>
              <w:jc w:val="left"/>
              <w:rPr>
                <w:rFonts w:asciiTheme="minorEastAsia" w:hAnsiTheme="minorEastAsia"/>
                <w:szCs w:val="24"/>
              </w:rPr>
            </w:pPr>
            <w:r>
              <w:rPr>
                <w:rFonts w:hint="eastAsia"/>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0CE4BA9" w14:textId="2C35814D" w:rsidR="00572A69" w:rsidRDefault="00572A69">
            <w:pPr>
              <w:spacing w:line="360" w:lineRule="auto"/>
              <w:jc w:val="left"/>
              <w:rPr>
                <w:rFonts w:asciiTheme="minorEastAsia" w:hAnsiTheme="minorEastAsia"/>
                <w:szCs w:val="24"/>
              </w:rPr>
            </w:pPr>
            <w:r>
              <w:rPr>
                <w:rFonts w:hint="eastAsia"/>
              </w:rPr>
              <w:t>-0.22%</w:t>
            </w:r>
          </w:p>
        </w:tc>
      </w:tr>
      <w:tr w:rsidR="00572A69" w14:paraId="1F3724F5" w14:textId="77777777" w:rsidTr="00572A69">
        <w:trPr>
          <w:trHeight w:val="987"/>
        </w:trPr>
        <w:tc>
          <w:tcPr>
            <w:tcW w:w="2086" w:type="dxa"/>
            <w:tcBorders>
              <w:top w:val="single" w:sz="8" w:space="0" w:color="000000"/>
              <w:left w:val="single" w:sz="8" w:space="0" w:color="000000"/>
              <w:bottom w:val="single" w:sz="6" w:space="0" w:color="000000"/>
              <w:right w:val="single" w:sz="8" w:space="0" w:color="000000"/>
            </w:tcBorders>
            <w:vAlign w:val="center"/>
          </w:tcPr>
          <w:p w14:paraId="5F95A24E" w14:textId="77777777" w:rsidR="00572A69" w:rsidRDefault="00572A69">
            <w:pPr>
              <w:spacing w:line="360" w:lineRule="auto"/>
              <w:jc w:val="left"/>
              <w:rPr>
                <w:rFonts w:asciiTheme="minorEastAsia" w:hAnsiTheme="minorEastAsia"/>
                <w:bCs/>
                <w:szCs w:val="24"/>
              </w:rPr>
            </w:pPr>
            <w:r>
              <w:rPr>
                <w:rFonts w:asciiTheme="minorEastAsia" w:hAnsiTheme="minorEastAsia" w:hint="eastAsia"/>
                <w:szCs w:val="24"/>
              </w:rPr>
              <w:t>自基金合同生效起</w:t>
            </w:r>
            <w:r>
              <w:rPr>
                <w:rFonts w:asciiTheme="minorEastAsia" w:hAnsiTheme="minorEastAsia" w:hint="eastAsia"/>
                <w:bCs/>
                <w:szCs w:val="24"/>
              </w:rPr>
              <w:t>至</w:t>
            </w:r>
            <w:r>
              <w:rPr>
                <w:rFonts w:asciiTheme="minorEastAsia" w:hAnsiTheme="minorEastAsia"/>
                <w:bCs/>
                <w:szCs w:val="24"/>
              </w:rPr>
              <w:t>今</w:t>
            </w:r>
          </w:p>
          <w:p w14:paraId="6C8E38F9" w14:textId="0A8066BA" w:rsidR="00572A69" w:rsidRDefault="00572A69">
            <w:pPr>
              <w:spacing w:line="360" w:lineRule="auto"/>
              <w:jc w:val="left"/>
              <w:rPr>
                <w:rFonts w:asciiTheme="minorEastAsia" w:hAnsiTheme="minorEastAsia"/>
                <w:bCs/>
                <w:szCs w:val="24"/>
              </w:rPr>
            </w:pPr>
            <w:r>
              <w:rPr>
                <w:rFonts w:asciiTheme="minorEastAsia" w:hAnsiTheme="minorEastAsia"/>
                <w:color w:val="000000"/>
                <w:szCs w:val="21"/>
              </w:rPr>
              <w:t>202</w:t>
            </w:r>
            <w:r>
              <w:rPr>
                <w:rFonts w:asciiTheme="minorEastAsia" w:hAnsiTheme="minorEastAsia" w:hint="eastAsia"/>
                <w:color w:val="000000"/>
                <w:szCs w:val="21"/>
              </w:rPr>
              <w:t>1</w:t>
            </w:r>
            <w:r>
              <w:rPr>
                <w:rFonts w:asciiTheme="minorEastAsia" w:hAnsiTheme="minorEastAsia"/>
                <w:color w:val="000000"/>
                <w:szCs w:val="21"/>
              </w:rPr>
              <w:t>.06.30</w:t>
            </w:r>
          </w:p>
        </w:tc>
        <w:tc>
          <w:tcPr>
            <w:tcW w:w="0" w:type="auto"/>
            <w:tcBorders>
              <w:top w:val="single" w:sz="8" w:space="0" w:color="000000"/>
              <w:left w:val="single" w:sz="8" w:space="0" w:color="000000"/>
              <w:bottom w:val="single" w:sz="6" w:space="0" w:color="000000"/>
              <w:right w:val="single" w:sz="8" w:space="0" w:color="000000"/>
            </w:tcBorders>
            <w:vAlign w:val="center"/>
          </w:tcPr>
          <w:p w14:paraId="272CA2BE" w14:textId="0EF4E71C" w:rsidR="00572A69" w:rsidRDefault="00572A69">
            <w:pPr>
              <w:spacing w:line="360" w:lineRule="auto"/>
              <w:jc w:val="left"/>
              <w:rPr>
                <w:rFonts w:asciiTheme="minorEastAsia" w:hAnsiTheme="minorEastAsia"/>
                <w:bCs/>
                <w:szCs w:val="24"/>
              </w:rPr>
            </w:pPr>
            <w:r>
              <w:rPr>
                <w:rFonts w:hint="eastAsia"/>
              </w:rPr>
              <w:t>131.60%</w:t>
            </w:r>
          </w:p>
        </w:tc>
        <w:tc>
          <w:tcPr>
            <w:tcW w:w="0" w:type="auto"/>
            <w:tcBorders>
              <w:top w:val="single" w:sz="8" w:space="0" w:color="000000"/>
              <w:left w:val="single" w:sz="8" w:space="0" w:color="000000"/>
              <w:bottom w:val="single" w:sz="6" w:space="0" w:color="000000"/>
              <w:right w:val="single" w:sz="8" w:space="0" w:color="000000"/>
            </w:tcBorders>
            <w:vAlign w:val="center"/>
          </w:tcPr>
          <w:p w14:paraId="766C1748" w14:textId="6452E1E1" w:rsidR="00572A69" w:rsidRDefault="00572A69">
            <w:pPr>
              <w:spacing w:line="360" w:lineRule="auto"/>
              <w:jc w:val="left"/>
              <w:rPr>
                <w:rFonts w:asciiTheme="minorEastAsia" w:hAnsiTheme="minorEastAsia"/>
                <w:bCs/>
                <w:szCs w:val="24"/>
              </w:rPr>
            </w:pPr>
            <w:r>
              <w:rPr>
                <w:rFonts w:hint="eastAsia"/>
              </w:rPr>
              <w:t>3.97%</w:t>
            </w:r>
          </w:p>
        </w:tc>
        <w:tc>
          <w:tcPr>
            <w:tcW w:w="0" w:type="auto"/>
            <w:tcBorders>
              <w:top w:val="single" w:sz="8" w:space="0" w:color="000000"/>
              <w:left w:val="single" w:sz="8" w:space="0" w:color="000000"/>
              <w:bottom w:val="single" w:sz="6" w:space="0" w:color="000000"/>
              <w:right w:val="single" w:sz="8" w:space="0" w:color="000000"/>
            </w:tcBorders>
            <w:vAlign w:val="center"/>
          </w:tcPr>
          <w:p w14:paraId="2BC61134" w14:textId="5AB0643B" w:rsidR="00572A69" w:rsidRDefault="00572A69">
            <w:pPr>
              <w:spacing w:line="360" w:lineRule="auto"/>
              <w:jc w:val="left"/>
              <w:rPr>
                <w:rFonts w:asciiTheme="minorEastAsia" w:hAnsiTheme="minorEastAsia"/>
                <w:bCs/>
                <w:szCs w:val="24"/>
              </w:rPr>
            </w:pPr>
            <w:r>
              <w:rPr>
                <w:rFonts w:hint="eastAsia"/>
              </w:rPr>
              <w:t>35.60%</w:t>
            </w:r>
          </w:p>
        </w:tc>
        <w:tc>
          <w:tcPr>
            <w:tcW w:w="0" w:type="auto"/>
            <w:tcBorders>
              <w:top w:val="single" w:sz="8" w:space="0" w:color="000000"/>
              <w:left w:val="single" w:sz="8" w:space="0" w:color="000000"/>
              <w:bottom w:val="single" w:sz="6" w:space="0" w:color="000000"/>
              <w:right w:val="single" w:sz="8" w:space="0" w:color="000000"/>
            </w:tcBorders>
            <w:vAlign w:val="center"/>
          </w:tcPr>
          <w:p w14:paraId="688ECF08" w14:textId="3C021010" w:rsidR="00572A69" w:rsidRDefault="00572A69">
            <w:pPr>
              <w:spacing w:line="360" w:lineRule="auto"/>
              <w:jc w:val="left"/>
              <w:rPr>
                <w:rFonts w:asciiTheme="minorEastAsia" w:hAnsiTheme="minorEastAsia"/>
                <w:bCs/>
                <w:szCs w:val="24"/>
              </w:rPr>
            </w:pPr>
            <w:r>
              <w:rPr>
                <w:rFonts w:hint="eastAsia"/>
              </w:rPr>
              <w:t>0.75%</w:t>
            </w:r>
          </w:p>
        </w:tc>
        <w:tc>
          <w:tcPr>
            <w:tcW w:w="0" w:type="auto"/>
            <w:tcBorders>
              <w:top w:val="single" w:sz="8" w:space="0" w:color="000000"/>
              <w:left w:val="single" w:sz="8" w:space="0" w:color="000000"/>
              <w:bottom w:val="single" w:sz="6" w:space="0" w:color="000000"/>
              <w:right w:val="single" w:sz="8" w:space="0" w:color="000000"/>
            </w:tcBorders>
            <w:vAlign w:val="center"/>
          </w:tcPr>
          <w:p w14:paraId="49A94943" w14:textId="362F0D7B" w:rsidR="00572A69" w:rsidRDefault="00572A69">
            <w:pPr>
              <w:spacing w:line="360" w:lineRule="auto"/>
              <w:jc w:val="left"/>
              <w:rPr>
                <w:rFonts w:asciiTheme="minorEastAsia" w:hAnsiTheme="minorEastAsia"/>
                <w:bCs/>
                <w:szCs w:val="24"/>
              </w:rPr>
            </w:pPr>
            <w:r>
              <w:rPr>
                <w:rFonts w:hint="eastAsia"/>
              </w:rPr>
              <w:t>96.00%</w:t>
            </w:r>
          </w:p>
        </w:tc>
        <w:tc>
          <w:tcPr>
            <w:tcW w:w="0" w:type="auto"/>
            <w:tcBorders>
              <w:top w:val="single" w:sz="8" w:space="0" w:color="000000"/>
              <w:left w:val="single" w:sz="8" w:space="0" w:color="000000"/>
              <w:bottom w:val="single" w:sz="6" w:space="0" w:color="000000"/>
              <w:right w:val="single" w:sz="8" w:space="0" w:color="000000"/>
            </w:tcBorders>
            <w:vAlign w:val="center"/>
          </w:tcPr>
          <w:p w14:paraId="7E6C63A1" w14:textId="4624EF17" w:rsidR="00572A69" w:rsidRDefault="00572A69">
            <w:pPr>
              <w:spacing w:line="360" w:lineRule="auto"/>
              <w:jc w:val="left"/>
              <w:rPr>
                <w:rFonts w:asciiTheme="minorEastAsia" w:hAnsiTheme="minorEastAsia"/>
                <w:bCs/>
                <w:szCs w:val="24"/>
              </w:rPr>
            </w:pPr>
            <w:r>
              <w:rPr>
                <w:rFonts w:hint="eastAsia"/>
              </w:rPr>
              <w:t>3.22%</w:t>
            </w:r>
          </w:p>
        </w:tc>
      </w:tr>
    </w:tbl>
    <w:p w14:paraId="21917C16" w14:textId="77777777" w:rsidR="00D51FDF" w:rsidRDefault="00D51FDF">
      <w:pPr>
        <w:spacing w:line="360" w:lineRule="auto"/>
        <w:rPr>
          <w:rFonts w:asciiTheme="minorEastAsia" w:hAnsiTheme="minorEastAsia"/>
          <w:bCs/>
          <w:sz w:val="24"/>
          <w:szCs w:val="24"/>
        </w:rPr>
      </w:pPr>
    </w:p>
    <w:p w14:paraId="65520A7E" w14:textId="77777777" w:rsidR="00D51FDF" w:rsidRDefault="007F75F6">
      <w:pPr>
        <w:spacing w:line="360" w:lineRule="auto"/>
        <w:rPr>
          <w:rFonts w:asciiTheme="minorEastAsia" w:hAnsiTheme="minorEastAsia" w:cs="Times New Roman"/>
          <w:bCs/>
          <w:sz w:val="24"/>
          <w:szCs w:val="24"/>
        </w:rPr>
      </w:pPr>
      <w:r>
        <w:rPr>
          <w:rFonts w:asciiTheme="minorEastAsia" w:hAnsiTheme="minorEastAsia" w:hint="eastAsia"/>
          <w:bCs/>
          <w:sz w:val="24"/>
          <w:szCs w:val="24"/>
        </w:rPr>
        <w:t>（</w:t>
      </w:r>
      <w:r>
        <w:rPr>
          <w:rFonts w:asciiTheme="minorEastAsia" w:hAnsiTheme="minorEastAsia"/>
          <w:bCs/>
          <w:sz w:val="24"/>
          <w:szCs w:val="24"/>
        </w:rPr>
        <w:t>2）富荣价值精选混合C（基金代码：006110）</w:t>
      </w:r>
    </w:p>
    <w:tbl>
      <w:tblPr>
        <w:tblW w:w="8840" w:type="dxa"/>
        <w:tblInd w:w="-318" w:type="dxa"/>
        <w:tblLook w:val="04A0" w:firstRow="1" w:lastRow="0" w:firstColumn="1" w:lastColumn="0" w:noHBand="0" w:noVBand="1"/>
      </w:tblPr>
      <w:tblGrid>
        <w:gridCol w:w="2421"/>
        <w:gridCol w:w="1196"/>
        <w:gridCol w:w="1015"/>
        <w:gridCol w:w="1106"/>
        <w:gridCol w:w="1015"/>
        <w:gridCol w:w="1059"/>
        <w:gridCol w:w="1028"/>
      </w:tblGrid>
      <w:tr w:rsidR="00D51FDF" w14:paraId="169804EB" w14:textId="77777777" w:rsidTr="00572A69">
        <w:trPr>
          <w:trHeight w:val="1442"/>
        </w:trPr>
        <w:tc>
          <w:tcPr>
            <w:tcW w:w="2049" w:type="dxa"/>
            <w:tcBorders>
              <w:top w:val="single" w:sz="8" w:space="0" w:color="000000"/>
              <w:left w:val="single" w:sz="8" w:space="0" w:color="000000"/>
              <w:bottom w:val="single" w:sz="6" w:space="0" w:color="000000"/>
              <w:right w:val="single" w:sz="8" w:space="0" w:color="000000"/>
            </w:tcBorders>
            <w:vAlign w:val="center"/>
          </w:tcPr>
          <w:p w14:paraId="17696DF3" w14:textId="77777777" w:rsidR="00D51FDF" w:rsidRDefault="007F75F6">
            <w:pPr>
              <w:spacing w:line="360" w:lineRule="auto"/>
              <w:rPr>
                <w:rFonts w:asciiTheme="minorEastAsia" w:hAnsiTheme="minorEastAsia"/>
                <w:bCs/>
                <w:szCs w:val="24"/>
              </w:rPr>
            </w:pPr>
            <w:r>
              <w:rPr>
                <w:rFonts w:asciiTheme="minorEastAsia" w:hAnsiTheme="minorEastAsia" w:hint="eastAsia"/>
                <w:bCs/>
                <w:szCs w:val="24"/>
              </w:rPr>
              <w:t>阶段</w:t>
            </w:r>
          </w:p>
        </w:tc>
        <w:tc>
          <w:tcPr>
            <w:tcW w:w="1263" w:type="dxa"/>
            <w:tcBorders>
              <w:top w:val="single" w:sz="8" w:space="0" w:color="000000"/>
              <w:left w:val="single" w:sz="8" w:space="0" w:color="000000"/>
              <w:bottom w:val="single" w:sz="6" w:space="0" w:color="000000"/>
              <w:right w:val="single" w:sz="8" w:space="0" w:color="000000"/>
            </w:tcBorders>
            <w:vAlign w:val="center"/>
          </w:tcPr>
          <w:p w14:paraId="42ABC584" w14:textId="77777777" w:rsidR="00D51FDF" w:rsidRDefault="007F75F6">
            <w:pPr>
              <w:spacing w:line="360" w:lineRule="auto"/>
              <w:rPr>
                <w:rFonts w:asciiTheme="minorEastAsia" w:hAnsiTheme="minorEastAsia"/>
                <w:bCs/>
                <w:szCs w:val="24"/>
              </w:rPr>
            </w:pPr>
            <w:r>
              <w:rPr>
                <w:rFonts w:asciiTheme="minorEastAsia" w:hAnsiTheme="minorEastAsia" w:hint="eastAsia"/>
                <w:bCs/>
                <w:szCs w:val="24"/>
              </w:rPr>
              <w:t>净值增长率①</w:t>
            </w:r>
          </w:p>
        </w:tc>
        <w:tc>
          <w:tcPr>
            <w:tcW w:w="1088" w:type="dxa"/>
            <w:tcBorders>
              <w:top w:val="single" w:sz="8" w:space="0" w:color="000000"/>
              <w:left w:val="single" w:sz="8" w:space="0" w:color="000000"/>
              <w:bottom w:val="single" w:sz="6" w:space="0" w:color="000000"/>
              <w:right w:val="single" w:sz="8" w:space="0" w:color="000000"/>
            </w:tcBorders>
            <w:vAlign w:val="center"/>
          </w:tcPr>
          <w:p w14:paraId="52C5224F" w14:textId="77777777" w:rsidR="00D51FDF" w:rsidRDefault="007F75F6">
            <w:pPr>
              <w:spacing w:line="360" w:lineRule="auto"/>
              <w:rPr>
                <w:rFonts w:asciiTheme="minorEastAsia" w:hAnsiTheme="minorEastAsia"/>
                <w:bCs/>
                <w:szCs w:val="24"/>
              </w:rPr>
            </w:pPr>
            <w:r>
              <w:rPr>
                <w:rFonts w:asciiTheme="minorEastAsia" w:hAnsiTheme="minorEastAsia" w:hint="eastAsia"/>
                <w:bCs/>
                <w:szCs w:val="24"/>
              </w:rPr>
              <w:t>净值增长率标准差②</w:t>
            </w:r>
          </w:p>
        </w:tc>
        <w:tc>
          <w:tcPr>
            <w:tcW w:w="1176" w:type="dxa"/>
            <w:tcBorders>
              <w:top w:val="single" w:sz="8" w:space="0" w:color="000000"/>
              <w:left w:val="single" w:sz="8" w:space="0" w:color="000000"/>
              <w:bottom w:val="single" w:sz="6" w:space="0" w:color="000000"/>
              <w:right w:val="single" w:sz="8" w:space="0" w:color="000000"/>
            </w:tcBorders>
            <w:vAlign w:val="center"/>
          </w:tcPr>
          <w:p w14:paraId="6FC203DE" w14:textId="77777777" w:rsidR="00D51FDF" w:rsidRDefault="007F75F6">
            <w:pPr>
              <w:spacing w:line="360" w:lineRule="auto"/>
              <w:rPr>
                <w:rFonts w:asciiTheme="minorEastAsia" w:hAnsiTheme="minorEastAsia"/>
                <w:bCs/>
                <w:szCs w:val="24"/>
              </w:rPr>
            </w:pPr>
            <w:r>
              <w:rPr>
                <w:rFonts w:asciiTheme="minorEastAsia" w:hAnsiTheme="minorEastAsia" w:hint="eastAsia"/>
                <w:bCs/>
                <w:szCs w:val="24"/>
              </w:rPr>
              <w:t>业绩比较基准收益率③</w:t>
            </w:r>
          </w:p>
        </w:tc>
        <w:tc>
          <w:tcPr>
            <w:tcW w:w="1088" w:type="dxa"/>
            <w:tcBorders>
              <w:top w:val="single" w:sz="8" w:space="0" w:color="000000"/>
              <w:left w:val="single" w:sz="8" w:space="0" w:color="000000"/>
              <w:bottom w:val="single" w:sz="6" w:space="0" w:color="000000"/>
              <w:right w:val="single" w:sz="8" w:space="0" w:color="000000"/>
            </w:tcBorders>
            <w:vAlign w:val="center"/>
          </w:tcPr>
          <w:p w14:paraId="011B4D52" w14:textId="77777777" w:rsidR="00D51FDF" w:rsidRDefault="007F75F6">
            <w:pPr>
              <w:spacing w:line="360" w:lineRule="auto"/>
              <w:rPr>
                <w:rFonts w:asciiTheme="minorEastAsia" w:hAnsiTheme="minorEastAsia"/>
                <w:bCs/>
                <w:szCs w:val="24"/>
              </w:rPr>
            </w:pPr>
            <w:r>
              <w:rPr>
                <w:rFonts w:asciiTheme="minorEastAsia" w:hAnsiTheme="minorEastAsia" w:hint="eastAsia"/>
                <w:bCs/>
                <w:szCs w:val="24"/>
              </w:rPr>
              <w:t>业绩比较基准收益率标准差④</w:t>
            </w:r>
          </w:p>
        </w:tc>
        <w:tc>
          <w:tcPr>
            <w:tcW w:w="1088" w:type="dxa"/>
            <w:tcBorders>
              <w:top w:val="single" w:sz="8" w:space="0" w:color="000000"/>
              <w:left w:val="single" w:sz="8" w:space="0" w:color="000000"/>
              <w:bottom w:val="single" w:sz="6" w:space="0" w:color="000000"/>
              <w:right w:val="single" w:sz="8" w:space="0" w:color="000000"/>
            </w:tcBorders>
            <w:vAlign w:val="center"/>
          </w:tcPr>
          <w:p w14:paraId="0F71E509" w14:textId="77777777" w:rsidR="00D51FDF" w:rsidRDefault="007F75F6">
            <w:pPr>
              <w:spacing w:line="360" w:lineRule="auto"/>
              <w:rPr>
                <w:rFonts w:asciiTheme="minorEastAsia" w:hAnsiTheme="minorEastAsia"/>
                <w:bCs/>
                <w:szCs w:val="24"/>
              </w:rPr>
            </w:pPr>
            <w:r>
              <w:rPr>
                <w:rFonts w:asciiTheme="minorEastAsia" w:hAnsiTheme="minorEastAsia" w:hint="eastAsia"/>
                <w:bCs/>
                <w:szCs w:val="24"/>
              </w:rPr>
              <w:t>①</w:t>
            </w:r>
            <w:r>
              <w:rPr>
                <w:rFonts w:asciiTheme="minorEastAsia" w:hAnsiTheme="minorEastAsia"/>
                <w:bCs/>
                <w:szCs w:val="24"/>
              </w:rPr>
              <w:t>-③</w:t>
            </w:r>
          </w:p>
        </w:tc>
        <w:tc>
          <w:tcPr>
            <w:tcW w:w="1088" w:type="dxa"/>
            <w:tcBorders>
              <w:top w:val="single" w:sz="8" w:space="0" w:color="000000"/>
              <w:left w:val="single" w:sz="8" w:space="0" w:color="000000"/>
              <w:bottom w:val="single" w:sz="6" w:space="0" w:color="000000"/>
              <w:right w:val="single" w:sz="8" w:space="0" w:color="000000"/>
            </w:tcBorders>
            <w:vAlign w:val="center"/>
          </w:tcPr>
          <w:p w14:paraId="1F6C3E20" w14:textId="77777777" w:rsidR="00D51FDF" w:rsidRDefault="007F75F6">
            <w:pPr>
              <w:spacing w:line="360" w:lineRule="auto"/>
              <w:rPr>
                <w:rFonts w:asciiTheme="minorEastAsia" w:hAnsiTheme="minorEastAsia"/>
                <w:bCs/>
                <w:szCs w:val="24"/>
              </w:rPr>
            </w:pPr>
            <w:r>
              <w:rPr>
                <w:rFonts w:asciiTheme="minorEastAsia" w:hAnsiTheme="minorEastAsia" w:hint="eastAsia"/>
                <w:bCs/>
                <w:szCs w:val="24"/>
              </w:rPr>
              <w:t>②</w:t>
            </w:r>
            <w:r>
              <w:rPr>
                <w:rFonts w:asciiTheme="minorEastAsia" w:hAnsiTheme="minorEastAsia"/>
                <w:bCs/>
                <w:szCs w:val="24"/>
              </w:rPr>
              <w:t>-④</w:t>
            </w:r>
          </w:p>
        </w:tc>
      </w:tr>
      <w:tr w:rsidR="00D51FDF" w14:paraId="3B4BAC9B" w14:textId="77777777" w:rsidTr="00572A69">
        <w:trPr>
          <w:trHeight w:val="475"/>
        </w:trPr>
        <w:tc>
          <w:tcPr>
            <w:tcW w:w="2049" w:type="dxa"/>
            <w:tcBorders>
              <w:top w:val="single" w:sz="8" w:space="0" w:color="000000"/>
              <w:left w:val="single" w:sz="8" w:space="0" w:color="000000"/>
              <w:bottom w:val="single" w:sz="8" w:space="0" w:color="000000"/>
              <w:right w:val="single" w:sz="8" w:space="0" w:color="000000"/>
            </w:tcBorders>
            <w:vAlign w:val="center"/>
          </w:tcPr>
          <w:p w14:paraId="61015870" w14:textId="77777777" w:rsidR="00D51FDF" w:rsidRDefault="007F75F6">
            <w:pPr>
              <w:spacing w:line="360" w:lineRule="auto"/>
              <w:rPr>
                <w:rFonts w:asciiTheme="minorEastAsia" w:hAnsiTheme="minorEastAsia"/>
                <w:bCs/>
                <w:szCs w:val="24"/>
              </w:rPr>
            </w:pPr>
            <w:r>
              <w:rPr>
                <w:rFonts w:asciiTheme="minorEastAsia" w:hAnsiTheme="minorEastAsia"/>
                <w:bCs/>
                <w:szCs w:val="24"/>
              </w:rPr>
              <w:t>2018.8.10~2018.12.31</w:t>
            </w:r>
          </w:p>
        </w:tc>
        <w:tc>
          <w:tcPr>
            <w:tcW w:w="0" w:type="auto"/>
            <w:tcBorders>
              <w:top w:val="single" w:sz="8" w:space="0" w:color="000000"/>
              <w:left w:val="single" w:sz="8" w:space="0" w:color="000000"/>
              <w:bottom w:val="single" w:sz="8" w:space="0" w:color="000000"/>
              <w:right w:val="single" w:sz="8" w:space="0" w:color="000000"/>
            </w:tcBorders>
            <w:vAlign w:val="center"/>
          </w:tcPr>
          <w:p w14:paraId="0BAAB791" w14:textId="77777777" w:rsidR="00D51FDF" w:rsidRDefault="007F75F6">
            <w:pPr>
              <w:spacing w:line="360" w:lineRule="auto"/>
              <w:rPr>
                <w:rFonts w:asciiTheme="minorEastAsia" w:hAnsiTheme="minorEastAsia"/>
                <w:szCs w:val="24"/>
              </w:rPr>
            </w:pPr>
            <w:r>
              <w:rPr>
                <w:rFonts w:asciiTheme="minorEastAsia" w:hAnsiTheme="minorEastAsia"/>
                <w:bCs/>
                <w:szCs w:val="24"/>
              </w:rPr>
              <w:t>-21.51%</w:t>
            </w:r>
          </w:p>
        </w:tc>
        <w:tc>
          <w:tcPr>
            <w:tcW w:w="0" w:type="auto"/>
            <w:tcBorders>
              <w:top w:val="single" w:sz="8" w:space="0" w:color="000000"/>
              <w:left w:val="single" w:sz="8" w:space="0" w:color="000000"/>
              <w:bottom w:val="single" w:sz="8" w:space="0" w:color="000000"/>
              <w:right w:val="single" w:sz="8" w:space="0" w:color="000000"/>
            </w:tcBorders>
            <w:vAlign w:val="center"/>
          </w:tcPr>
          <w:p w14:paraId="2F50DCA4" w14:textId="77777777" w:rsidR="00D51FDF" w:rsidRDefault="007F75F6">
            <w:pPr>
              <w:spacing w:line="360" w:lineRule="auto"/>
              <w:rPr>
                <w:rFonts w:asciiTheme="minorEastAsia" w:hAnsiTheme="minorEastAsia"/>
                <w:szCs w:val="24"/>
              </w:rPr>
            </w:pPr>
            <w:r>
              <w:rPr>
                <w:rFonts w:asciiTheme="minorEastAsia" w:hAnsiTheme="minorEastAsia"/>
                <w:bCs/>
                <w:szCs w:val="24"/>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C2D4470" w14:textId="77777777" w:rsidR="00D51FDF" w:rsidRDefault="007F75F6">
            <w:pPr>
              <w:spacing w:line="360" w:lineRule="auto"/>
              <w:rPr>
                <w:rFonts w:asciiTheme="minorEastAsia" w:hAnsiTheme="minorEastAsia"/>
                <w:szCs w:val="24"/>
              </w:rPr>
            </w:pPr>
            <w:r>
              <w:rPr>
                <w:rFonts w:asciiTheme="minorEastAsia" w:hAnsiTheme="minorEastAsia"/>
                <w:bCs/>
                <w:szCs w:val="24"/>
              </w:rPr>
              <w:t>-5.35%</w:t>
            </w:r>
          </w:p>
        </w:tc>
        <w:tc>
          <w:tcPr>
            <w:tcW w:w="0" w:type="auto"/>
            <w:tcBorders>
              <w:top w:val="single" w:sz="8" w:space="0" w:color="000000"/>
              <w:left w:val="single" w:sz="8" w:space="0" w:color="000000"/>
              <w:bottom w:val="single" w:sz="8" w:space="0" w:color="000000"/>
              <w:right w:val="single" w:sz="8" w:space="0" w:color="000000"/>
            </w:tcBorders>
            <w:vAlign w:val="center"/>
          </w:tcPr>
          <w:p w14:paraId="7FA753C0" w14:textId="77777777" w:rsidR="00D51FDF" w:rsidRDefault="007F75F6">
            <w:pPr>
              <w:spacing w:line="360" w:lineRule="auto"/>
              <w:rPr>
                <w:rFonts w:asciiTheme="minorEastAsia" w:hAnsiTheme="minorEastAsia"/>
                <w:szCs w:val="24"/>
              </w:rPr>
            </w:pPr>
            <w:r>
              <w:rPr>
                <w:rFonts w:asciiTheme="minorEastAsia" w:hAnsiTheme="minorEastAsia"/>
                <w:bCs/>
                <w:szCs w:val="24"/>
              </w:rPr>
              <w:t>0.82%</w:t>
            </w:r>
          </w:p>
        </w:tc>
        <w:tc>
          <w:tcPr>
            <w:tcW w:w="0" w:type="auto"/>
            <w:tcBorders>
              <w:top w:val="single" w:sz="8" w:space="0" w:color="000000"/>
              <w:left w:val="single" w:sz="8" w:space="0" w:color="000000"/>
              <w:bottom w:val="single" w:sz="8" w:space="0" w:color="000000"/>
              <w:right w:val="single" w:sz="8" w:space="0" w:color="000000"/>
            </w:tcBorders>
            <w:vAlign w:val="center"/>
          </w:tcPr>
          <w:p w14:paraId="5144EF80" w14:textId="77777777" w:rsidR="00D51FDF" w:rsidRDefault="007F75F6">
            <w:pPr>
              <w:spacing w:line="360" w:lineRule="auto"/>
              <w:rPr>
                <w:rFonts w:asciiTheme="minorEastAsia" w:hAnsiTheme="minorEastAsia"/>
                <w:szCs w:val="24"/>
              </w:rPr>
            </w:pPr>
            <w:r>
              <w:rPr>
                <w:rFonts w:asciiTheme="minorEastAsia" w:hAnsiTheme="minorEastAsia"/>
                <w:bCs/>
                <w:szCs w:val="24"/>
              </w:rPr>
              <w:t>-16.16%</w:t>
            </w:r>
          </w:p>
        </w:tc>
        <w:tc>
          <w:tcPr>
            <w:tcW w:w="0" w:type="auto"/>
            <w:tcBorders>
              <w:top w:val="single" w:sz="8" w:space="0" w:color="000000"/>
              <w:left w:val="single" w:sz="8" w:space="0" w:color="000000"/>
              <w:bottom w:val="single" w:sz="8" w:space="0" w:color="000000"/>
              <w:right w:val="single" w:sz="8" w:space="0" w:color="000000"/>
            </w:tcBorders>
            <w:vAlign w:val="center"/>
          </w:tcPr>
          <w:p w14:paraId="5CA4D9FD" w14:textId="77777777" w:rsidR="00D51FDF" w:rsidRDefault="007F75F6">
            <w:pPr>
              <w:spacing w:line="360" w:lineRule="auto"/>
              <w:rPr>
                <w:rFonts w:asciiTheme="minorEastAsia" w:hAnsiTheme="minorEastAsia"/>
                <w:szCs w:val="24"/>
              </w:rPr>
            </w:pPr>
            <w:r>
              <w:rPr>
                <w:rFonts w:asciiTheme="minorEastAsia" w:hAnsiTheme="minorEastAsia"/>
                <w:bCs/>
                <w:szCs w:val="24"/>
              </w:rPr>
              <w:t>0.29%</w:t>
            </w:r>
          </w:p>
        </w:tc>
      </w:tr>
      <w:tr w:rsidR="00D51FDF" w14:paraId="1461B59A" w14:textId="77777777" w:rsidTr="00572A69">
        <w:trPr>
          <w:trHeight w:val="475"/>
        </w:trPr>
        <w:tc>
          <w:tcPr>
            <w:tcW w:w="2049" w:type="dxa"/>
            <w:tcBorders>
              <w:top w:val="single" w:sz="8" w:space="0" w:color="000000"/>
              <w:left w:val="single" w:sz="8" w:space="0" w:color="000000"/>
              <w:bottom w:val="single" w:sz="8" w:space="0" w:color="000000"/>
              <w:right w:val="single" w:sz="8" w:space="0" w:color="000000"/>
            </w:tcBorders>
            <w:vAlign w:val="center"/>
          </w:tcPr>
          <w:p w14:paraId="61298D26" w14:textId="77777777" w:rsidR="00D51FDF" w:rsidRDefault="007F75F6">
            <w:pPr>
              <w:spacing w:line="360" w:lineRule="auto"/>
              <w:rPr>
                <w:rFonts w:asciiTheme="minorEastAsia" w:hAnsiTheme="minorEastAsia"/>
                <w:bCs/>
                <w:szCs w:val="24"/>
              </w:rPr>
            </w:pPr>
            <w:r>
              <w:rPr>
                <w:rFonts w:asciiTheme="minorEastAsia" w:hAnsiTheme="minorEastAsia"/>
                <w:bCs/>
                <w:szCs w:val="24"/>
              </w:rPr>
              <w:t>2019.01.01~2019.12.31</w:t>
            </w:r>
          </w:p>
        </w:tc>
        <w:tc>
          <w:tcPr>
            <w:tcW w:w="0" w:type="auto"/>
            <w:tcBorders>
              <w:top w:val="single" w:sz="8" w:space="0" w:color="000000"/>
              <w:left w:val="single" w:sz="8" w:space="0" w:color="000000"/>
              <w:bottom w:val="single" w:sz="8" w:space="0" w:color="000000"/>
              <w:right w:val="single" w:sz="8" w:space="0" w:color="000000"/>
            </w:tcBorders>
            <w:vAlign w:val="center"/>
          </w:tcPr>
          <w:p w14:paraId="1218D8A7" w14:textId="77777777" w:rsidR="00D51FDF" w:rsidRDefault="007F75F6">
            <w:pPr>
              <w:spacing w:line="360" w:lineRule="auto"/>
              <w:rPr>
                <w:rFonts w:asciiTheme="minorEastAsia" w:hAnsiTheme="minorEastAsia"/>
                <w:szCs w:val="24"/>
              </w:rPr>
            </w:pPr>
            <w:r>
              <w:rPr>
                <w:rFonts w:asciiTheme="minorEastAsia" w:hAnsiTheme="minorEastAsia"/>
                <w:szCs w:val="24"/>
              </w:rPr>
              <w:t>16.42%</w:t>
            </w:r>
          </w:p>
        </w:tc>
        <w:tc>
          <w:tcPr>
            <w:tcW w:w="0" w:type="auto"/>
            <w:tcBorders>
              <w:top w:val="single" w:sz="8" w:space="0" w:color="000000"/>
              <w:left w:val="single" w:sz="8" w:space="0" w:color="000000"/>
              <w:bottom w:val="single" w:sz="8" w:space="0" w:color="000000"/>
              <w:right w:val="single" w:sz="8" w:space="0" w:color="000000"/>
            </w:tcBorders>
            <w:vAlign w:val="center"/>
          </w:tcPr>
          <w:p w14:paraId="5E3C3D15" w14:textId="77777777" w:rsidR="00D51FDF" w:rsidRDefault="007F75F6">
            <w:pPr>
              <w:spacing w:line="360" w:lineRule="auto"/>
              <w:rPr>
                <w:rFonts w:asciiTheme="minorEastAsia" w:hAnsiTheme="minorEastAsia"/>
                <w:szCs w:val="24"/>
              </w:rPr>
            </w:pPr>
            <w:r>
              <w:rPr>
                <w:rFonts w:asciiTheme="minorEastAsia" w:hAnsiTheme="minorEastAsia"/>
                <w:szCs w:val="24"/>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4800343B" w14:textId="77777777" w:rsidR="00D51FDF" w:rsidRDefault="007F75F6">
            <w:pPr>
              <w:spacing w:line="360" w:lineRule="auto"/>
              <w:rPr>
                <w:rFonts w:asciiTheme="minorEastAsia" w:hAnsiTheme="minorEastAsia"/>
                <w:szCs w:val="24"/>
              </w:rPr>
            </w:pPr>
            <w:r>
              <w:rPr>
                <w:rFonts w:asciiTheme="minorEastAsia" w:hAnsiTheme="minorEastAsia"/>
                <w:szCs w:val="24"/>
              </w:rPr>
              <w:t>21.32%</w:t>
            </w:r>
          </w:p>
        </w:tc>
        <w:tc>
          <w:tcPr>
            <w:tcW w:w="0" w:type="auto"/>
            <w:tcBorders>
              <w:top w:val="single" w:sz="8" w:space="0" w:color="000000"/>
              <w:left w:val="single" w:sz="8" w:space="0" w:color="000000"/>
              <w:bottom w:val="single" w:sz="8" w:space="0" w:color="000000"/>
              <w:right w:val="single" w:sz="8" w:space="0" w:color="000000"/>
            </w:tcBorders>
            <w:vAlign w:val="center"/>
          </w:tcPr>
          <w:p w14:paraId="4AE0A0F6" w14:textId="77777777" w:rsidR="00D51FDF" w:rsidRDefault="007F75F6">
            <w:pPr>
              <w:spacing w:line="360" w:lineRule="auto"/>
              <w:rPr>
                <w:rFonts w:asciiTheme="minorEastAsia" w:hAnsiTheme="minorEastAsia"/>
                <w:szCs w:val="24"/>
              </w:rPr>
            </w:pPr>
            <w:r>
              <w:rPr>
                <w:rFonts w:asciiTheme="minorEastAsia" w:hAnsiTheme="minorEastAsia"/>
                <w:szCs w:val="24"/>
              </w:rPr>
              <w:t>0.69%</w:t>
            </w:r>
          </w:p>
        </w:tc>
        <w:tc>
          <w:tcPr>
            <w:tcW w:w="0" w:type="auto"/>
            <w:tcBorders>
              <w:top w:val="single" w:sz="8" w:space="0" w:color="000000"/>
              <w:left w:val="single" w:sz="8" w:space="0" w:color="000000"/>
              <w:bottom w:val="single" w:sz="8" w:space="0" w:color="000000"/>
              <w:right w:val="single" w:sz="8" w:space="0" w:color="000000"/>
            </w:tcBorders>
            <w:vAlign w:val="center"/>
          </w:tcPr>
          <w:p w14:paraId="268BDBEE" w14:textId="77777777" w:rsidR="00D51FDF" w:rsidRDefault="007F75F6">
            <w:pPr>
              <w:spacing w:line="360" w:lineRule="auto"/>
              <w:rPr>
                <w:rFonts w:asciiTheme="minorEastAsia" w:hAnsiTheme="minorEastAsia"/>
                <w:szCs w:val="24"/>
              </w:rPr>
            </w:pPr>
            <w:r>
              <w:rPr>
                <w:rFonts w:asciiTheme="minorEastAsia" w:hAnsiTheme="minorEastAsia"/>
                <w:szCs w:val="24"/>
              </w:rPr>
              <w:t>-4.90%</w:t>
            </w:r>
          </w:p>
        </w:tc>
        <w:tc>
          <w:tcPr>
            <w:tcW w:w="0" w:type="auto"/>
            <w:tcBorders>
              <w:top w:val="single" w:sz="8" w:space="0" w:color="000000"/>
              <w:left w:val="single" w:sz="8" w:space="0" w:color="000000"/>
              <w:bottom w:val="single" w:sz="8" w:space="0" w:color="000000"/>
              <w:right w:val="single" w:sz="8" w:space="0" w:color="000000"/>
            </w:tcBorders>
            <w:vAlign w:val="center"/>
          </w:tcPr>
          <w:p w14:paraId="5E80F5C7" w14:textId="77777777" w:rsidR="00D51FDF" w:rsidRDefault="007F75F6">
            <w:pPr>
              <w:spacing w:line="360" w:lineRule="auto"/>
              <w:rPr>
                <w:rFonts w:asciiTheme="minorEastAsia" w:hAnsiTheme="minorEastAsia"/>
                <w:szCs w:val="24"/>
              </w:rPr>
            </w:pPr>
            <w:r>
              <w:rPr>
                <w:rFonts w:asciiTheme="minorEastAsia" w:hAnsiTheme="minorEastAsia"/>
                <w:szCs w:val="24"/>
              </w:rPr>
              <w:t>0.83%</w:t>
            </w:r>
          </w:p>
        </w:tc>
      </w:tr>
      <w:tr w:rsidR="00572A69" w14:paraId="40019D55" w14:textId="77777777" w:rsidTr="00572A69">
        <w:trPr>
          <w:trHeight w:val="475"/>
        </w:trPr>
        <w:tc>
          <w:tcPr>
            <w:tcW w:w="2049" w:type="dxa"/>
            <w:tcBorders>
              <w:top w:val="single" w:sz="8" w:space="0" w:color="000000"/>
              <w:left w:val="single" w:sz="8" w:space="0" w:color="000000"/>
              <w:bottom w:val="single" w:sz="8" w:space="0" w:color="000000"/>
              <w:right w:val="single" w:sz="8" w:space="0" w:color="000000"/>
            </w:tcBorders>
            <w:vAlign w:val="center"/>
          </w:tcPr>
          <w:p w14:paraId="0380946A" w14:textId="1FA1A32B" w:rsidR="00572A69" w:rsidRDefault="00572A69">
            <w:pPr>
              <w:spacing w:line="360" w:lineRule="auto"/>
              <w:rPr>
                <w:rFonts w:asciiTheme="minorEastAsia" w:hAnsiTheme="minorEastAsia"/>
                <w:bCs/>
                <w:szCs w:val="24"/>
              </w:rPr>
            </w:pPr>
            <w:r>
              <w:rPr>
                <w:rFonts w:asciiTheme="minorEastAsia" w:hAnsiTheme="minorEastAsia"/>
                <w:bCs/>
                <w:szCs w:val="24"/>
              </w:rPr>
              <w:t>2020.01.01~2020</w:t>
            </w:r>
            <w:r>
              <w:rPr>
                <w:rFonts w:asciiTheme="minorEastAsia" w:hAnsiTheme="minorEastAsia"/>
                <w:color w:val="000000"/>
                <w:szCs w:val="21"/>
              </w:rPr>
              <w:t>.</w:t>
            </w:r>
            <w:r>
              <w:rPr>
                <w:rFonts w:asciiTheme="minorEastAsia" w:hAnsiTheme="minorEastAsia" w:hint="eastAsia"/>
                <w:color w:val="000000"/>
                <w:szCs w:val="21"/>
              </w:rPr>
              <w:t>12</w:t>
            </w:r>
            <w:r>
              <w:rPr>
                <w:rFonts w:asciiTheme="minorEastAsia" w:hAnsiTheme="minorEastAsia"/>
                <w:color w:val="000000"/>
                <w:szCs w:val="21"/>
              </w:rPr>
              <w:t>.</w:t>
            </w:r>
            <w:r>
              <w:rPr>
                <w:rFonts w:asciiTheme="minorEastAsia" w:hAnsiTheme="minorEastAsia" w:hint="eastAsia"/>
                <w:color w:val="000000"/>
                <w:szCs w:val="21"/>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76CA5436" w14:textId="11F5232B" w:rsidR="00572A69" w:rsidRDefault="00572A69">
            <w:pPr>
              <w:spacing w:line="360" w:lineRule="auto"/>
              <w:rPr>
                <w:rFonts w:asciiTheme="minorEastAsia" w:hAnsiTheme="minorEastAsia"/>
                <w:bCs/>
                <w:szCs w:val="24"/>
              </w:rPr>
            </w:pPr>
            <w:r>
              <w:rPr>
                <w:rFonts w:hint="eastAsia"/>
              </w:rPr>
              <w:t>23.53%</w:t>
            </w:r>
          </w:p>
        </w:tc>
        <w:tc>
          <w:tcPr>
            <w:tcW w:w="0" w:type="auto"/>
            <w:tcBorders>
              <w:top w:val="single" w:sz="8" w:space="0" w:color="000000"/>
              <w:left w:val="single" w:sz="8" w:space="0" w:color="000000"/>
              <w:bottom w:val="single" w:sz="8" w:space="0" w:color="000000"/>
              <w:right w:val="single" w:sz="8" w:space="0" w:color="000000"/>
            </w:tcBorders>
            <w:vAlign w:val="center"/>
          </w:tcPr>
          <w:p w14:paraId="4B0D942D" w14:textId="0452EBFC" w:rsidR="00572A69" w:rsidRDefault="00572A69">
            <w:pPr>
              <w:spacing w:line="360" w:lineRule="auto"/>
              <w:rPr>
                <w:rFonts w:asciiTheme="minorEastAsia" w:hAnsiTheme="minorEastAsia"/>
                <w:bCs/>
                <w:szCs w:val="24"/>
              </w:rPr>
            </w:pPr>
            <w:r>
              <w:rPr>
                <w:rFonts w:hint="eastAsia"/>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62FA663A" w14:textId="7C33E155" w:rsidR="00572A69" w:rsidRDefault="00572A69">
            <w:pPr>
              <w:spacing w:line="360" w:lineRule="auto"/>
              <w:rPr>
                <w:rFonts w:asciiTheme="minorEastAsia" w:hAnsiTheme="minorEastAsia"/>
                <w:bCs/>
                <w:szCs w:val="24"/>
              </w:rPr>
            </w:pPr>
            <w:r>
              <w:rPr>
                <w:rFonts w:hint="eastAsia"/>
              </w:rPr>
              <w:t>16.76%</w:t>
            </w:r>
          </w:p>
        </w:tc>
        <w:tc>
          <w:tcPr>
            <w:tcW w:w="0" w:type="auto"/>
            <w:tcBorders>
              <w:top w:val="single" w:sz="8" w:space="0" w:color="000000"/>
              <w:left w:val="single" w:sz="8" w:space="0" w:color="000000"/>
              <w:bottom w:val="single" w:sz="8" w:space="0" w:color="000000"/>
              <w:right w:val="single" w:sz="8" w:space="0" w:color="000000"/>
            </w:tcBorders>
            <w:vAlign w:val="center"/>
          </w:tcPr>
          <w:p w14:paraId="3B309DC8" w14:textId="6D588252" w:rsidR="00572A69" w:rsidRDefault="00572A69">
            <w:pPr>
              <w:spacing w:line="360" w:lineRule="auto"/>
              <w:rPr>
                <w:rFonts w:asciiTheme="minorEastAsia" w:hAnsiTheme="minorEastAsia"/>
                <w:bCs/>
                <w:szCs w:val="24"/>
              </w:rPr>
            </w:pPr>
            <w:r>
              <w:rPr>
                <w:rFonts w:hint="eastAsia"/>
              </w:rPr>
              <w:t>0.78%</w:t>
            </w:r>
          </w:p>
        </w:tc>
        <w:tc>
          <w:tcPr>
            <w:tcW w:w="0" w:type="auto"/>
            <w:tcBorders>
              <w:top w:val="single" w:sz="8" w:space="0" w:color="000000"/>
              <w:left w:val="single" w:sz="8" w:space="0" w:color="000000"/>
              <w:bottom w:val="single" w:sz="8" w:space="0" w:color="000000"/>
              <w:right w:val="single" w:sz="8" w:space="0" w:color="000000"/>
            </w:tcBorders>
            <w:vAlign w:val="center"/>
          </w:tcPr>
          <w:p w14:paraId="5321CBE9" w14:textId="778C7B26" w:rsidR="00572A69" w:rsidRDefault="00572A69">
            <w:pPr>
              <w:spacing w:line="360" w:lineRule="auto"/>
              <w:rPr>
                <w:rFonts w:asciiTheme="minorEastAsia" w:hAnsiTheme="minorEastAsia"/>
                <w:bCs/>
                <w:szCs w:val="24"/>
              </w:rPr>
            </w:pPr>
            <w:r>
              <w:rPr>
                <w:rFonts w:hint="eastAsia"/>
              </w:rPr>
              <w:t>6.77%</w:t>
            </w:r>
          </w:p>
        </w:tc>
        <w:tc>
          <w:tcPr>
            <w:tcW w:w="0" w:type="auto"/>
            <w:tcBorders>
              <w:top w:val="single" w:sz="8" w:space="0" w:color="000000"/>
              <w:left w:val="single" w:sz="8" w:space="0" w:color="000000"/>
              <w:bottom w:val="single" w:sz="8" w:space="0" w:color="000000"/>
              <w:right w:val="single" w:sz="8" w:space="0" w:color="000000"/>
            </w:tcBorders>
            <w:vAlign w:val="center"/>
          </w:tcPr>
          <w:p w14:paraId="529883B5" w14:textId="635D4847" w:rsidR="00572A69" w:rsidRDefault="00572A69">
            <w:pPr>
              <w:spacing w:line="360" w:lineRule="auto"/>
              <w:rPr>
                <w:rFonts w:asciiTheme="minorEastAsia" w:hAnsiTheme="minorEastAsia"/>
                <w:bCs/>
                <w:szCs w:val="24"/>
              </w:rPr>
            </w:pPr>
            <w:r>
              <w:rPr>
                <w:rFonts w:hint="eastAsia"/>
              </w:rPr>
              <w:t>0.43%</w:t>
            </w:r>
          </w:p>
        </w:tc>
      </w:tr>
      <w:tr w:rsidR="00572A69" w14:paraId="6148B509" w14:textId="77777777" w:rsidTr="00572A69">
        <w:trPr>
          <w:trHeight w:val="475"/>
        </w:trPr>
        <w:tc>
          <w:tcPr>
            <w:tcW w:w="2049" w:type="dxa"/>
            <w:tcBorders>
              <w:top w:val="single" w:sz="8" w:space="0" w:color="000000"/>
              <w:left w:val="single" w:sz="8" w:space="0" w:color="000000"/>
              <w:bottom w:val="single" w:sz="8" w:space="0" w:color="000000"/>
              <w:right w:val="single" w:sz="8" w:space="0" w:color="000000"/>
            </w:tcBorders>
            <w:vAlign w:val="center"/>
          </w:tcPr>
          <w:p w14:paraId="2B4B1884" w14:textId="555C67A5" w:rsidR="00572A69" w:rsidRDefault="00572A69">
            <w:pPr>
              <w:spacing w:line="360" w:lineRule="auto"/>
              <w:rPr>
                <w:rFonts w:asciiTheme="minorEastAsia" w:hAnsiTheme="minorEastAsia"/>
                <w:bCs/>
                <w:szCs w:val="24"/>
              </w:rPr>
            </w:pPr>
            <w:r>
              <w:rPr>
                <w:rFonts w:asciiTheme="minorEastAsia" w:hAnsiTheme="minorEastAsia"/>
                <w:color w:val="000000"/>
                <w:szCs w:val="21"/>
              </w:rPr>
              <w:t>202</w:t>
            </w:r>
            <w:r>
              <w:rPr>
                <w:rFonts w:asciiTheme="minorEastAsia" w:hAnsiTheme="minorEastAsia" w:hint="eastAsia"/>
                <w:color w:val="000000"/>
                <w:szCs w:val="21"/>
              </w:rPr>
              <w:t>1</w:t>
            </w:r>
            <w:r>
              <w:rPr>
                <w:rFonts w:asciiTheme="minorEastAsia" w:hAnsiTheme="minorEastAsia"/>
                <w:color w:val="000000"/>
                <w:szCs w:val="21"/>
              </w:rPr>
              <w:t>.01.01~202</w:t>
            </w:r>
            <w:r>
              <w:rPr>
                <w:rFonts w:asciiTheme="minorEastAsia" w:hAnsiTheme="minorEastAsia" w:hint="eastAsia"/>
                <w:color w:val="000000"/>
                <w:szCs w:val="21"/>
              </w:rPr>
              <w:t>1</w:t>
            </w:r>
            <w:r>
              <w:rPr>
                <w:rFonts w:asciiTheme="minorEastAsia" w:hAnsiTheme="minorEastAsia"/>
                <w:color w:val="000000"/>
                <w:szCs w:val="21"/>
              </w:rPr>
              <w:t>.06.30</w:t>
            </w:r>
          </w:p>
        </w:tc>
        <w:tc>
          <w:tcPr>
            <w:tcW w:w="0" w:type="auto"/>
            <w:tcBorders>
              <w:top w:val="single" w:sz="8" w:space="0" w:color="000000"/>
              <w:left w:val="single" w:sz="8" w:space="0" w:color="000000"/>
              <w:bottom w:val="single" w:sz="8" w:space="0" w:color="000000"/>
              <w:right w:val="single" w:sz="8" w:space="0" w:color="000000"/>
            </w:tcBorders>
            <w:vAlign w:val="center"/>
          </w:tcPr>
          <w:p w14:paraId="7AF855E5" w14:textId="223ED6D9" w:rsidR="00572A69" w:rsidRDefault="00572A69">
            <w:pPr>
              <w:spacing w:line="360" w:lineRule="auto"/>
              <w:rPr>
                <w:rFonts w:asciiTheme="minorEastAsia" w:hAnsiTheme="minorEastAsia"/>
                <w:szCs w:val="24"/>
              </w:rPr>
            </w:pPr>
            <w:r>
              <w:rPr>
                <w:rFonts w:hint="eastAsia"/>
              </w:rPr>
              <w:t>-0.03%</w:t>
            </w:r>
          </w:p>
        </w:tc>
        <w:tc>
          <w:tcPr>
            <w:tcW w:w="0" w:type="auto"/>
            <w:tcBorders>
              <w:top w:val="single" w:sz="8" w:space="0" w:color="000000"/>
              <w:left w:val="single" w:sz="8" w:space="0" w:color="000000"/>
              <w:bottom w:val="single" w:sz="8" w:space="0" w:color="000000"/>
              <w:right w:val="single" w:sz="8" w:space="0" w:color="000000"/>
            </w:tcBorders>
            <w:vAlign w:val="center"/>
          </w:tcPr>
          <w:p w14:paraId="24041925" w14:textId="5FC518EC" w:rsidR="00572A69" w:rsidRDefault="00572A69">
            <w:pPr>
              <w:spacing w:line="360" w:lineRule="auto"/>
              <w:rPr>
                <w:rFonts w:asciiTheme="minorEastAsia" w:hAnsiTheme="minorEastAsia"/>
                <w:szCs w:val="24"/>
              </w:rPr>
            </w:pPr>
            <w:r>
              <w:rPr>
                <w:rFonts w:hint="eastAsia"/>
              </w:rPr>
              <w:t>0.50%</w:t>
            </w:r>
          </w:p>
        </w:tc>
        <w:tc>
          <w:tcPr>
            <w:tcW w:w="0" w:type="auto"/>
            <w:tcBorders>
              <w:top w:val="single" w:sz="8" w:space="0" w:color="000000"/>
              <w:left w:val="single" w:sz="8" w:space="0" w:color="000000"/>
              <w:bottom w:val="single" w:sz="8" w:space="0" w:color="000000"/>
              <w:right w:val="single" w:sz="8" w:space="0" w:color="000000"/>
            </w:tcBorders>
            <w:vAlign w:val="center"/>
          </w:tcPr>
          <w:p w14:paraId="4C4569F2" w14:textId="275A0AA0" w:rsidR="00572A69" w:rsidRDefault="00572A69">
            <w:pPr>
              <w:spacing w:line="360" w:lineRule="auto"/>
              <w:rPr>
                <w:rFonts w:asciiTheme="minorEastAsia" w:hAnsiTheme="minorEastAsia"/>
                <w:szCs w:val="24"/>
              </w:rPr>
            </w:pPr>
            <w:r>
              <w:rPr>
                <w:rFonts w:hint="eastAsia"/>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1DFE4A06" w14:textId="44565D63" w:rsidR="00572A69" w:rsidRDefault="00572A69">
            <w:pPr>
              <w:spacing w:line="360" w:lineRule="auto"/>
              <w:rPr>
                <w:rFonts w:asciiTheme="minorEastAsia" w:hAnsiTheme="minorEastAsia"/>
                <w:szCs w:val="24"/>
              </w:rPr>
            </w:pPr>
            <w:r>
              <w:rPr>
                <w:rFonts w:hint="eastAsia"/>
              </w:rPr>
              <w:t>0.72%</w:t>
            </w:r>
          </w:p>
        </w:tc>
        <w:tc>
          <w:tcPr>
            <w:tcW w:w="0" w:type="auto"/>
            <w:tcBorders>
              <w:top w:val="single" w:sz="8" w:space="0" w:color="000000"/>
              <w:left w:val="single" w:sz="8" w:space="0" w:color="000000"/>
              <w:bottom w:val="single" w:sz="8" w:space="0" w:color="000000"/>
              <w:right w:val="single" w:sz="8" w:space="0" w:color="000000"/>
            </w:tcBorders>
            <w:vAlign w:val="center"/>
          </w:tcPr>
          <w:p w14:paraId="3F6A8B3E" w14:textId="404980D2" w:rsidR="00572A69" w:rsidRDefault="00572A69">
            <w:pPr>
              <w:spacing w:line="360" w:lineRule="auto"/>
              <w:rPr>
                <w:rFonts w:asciiTheme="minorEastAsia" w:hAnsiTheme="minorEastAsia"/>
                <w:szCs w:val="24"/>
              </w:rPr>
            </w:pPr>
            <w:r>
              <w:rPr>
                <w:rFonts w:hint="eastAsia"/>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756C92CD" w14:textId="5EDFDAAB" w:rsidR="00572A69" w:rsidRDefault="00572A69">
            <w:pPr>
              <w:spacing w:line="360" w:lineRule="auto"/>
              <w:rPr>
                <w:rFonts w:asciiTheme="minorEastAsia" w:hAnsiTheme="minorEastAsia"/>
                <w:szCs w:val="24"/>
              </w:rPr>
            </w:pPr>
            <w:r>
              <w:rPr>
                <w:rFonts w:hint="eastAsia"/>
              </w:rPr>
              <w:t>-0.22%</w:t>
            </w:r>
          </w:p>
        </w:tc>
      </w:tr>
      <w:tr w:rsidR="00572A69" w14:paraId="5B8F8DA6" w14:textId="77777777" w:rsidTr="00572A69">
        <w:trPr>
          <w:trHeight w:val="491"/>
        </w:trPr>
        <w:tc>
          <w:tcPr>
            <w:tcW w:w="2049" w:type="dxa"/>
            <w:tcBorders>
              <w:top w:val="single" w:sz="8" w:space="0" w:color="000000"/>
              <w:left w:val="single" w:sz="8" w:space="0" w:color="000000"/>
              <w:bottom w:val="single" w:sz="6" w:space="0" w:color="000000"/>
              <w:right w:val="single" w:sz="8" w:space="0" w:color="000000"/>
            </w:tcBorders>
            <w:vAlign w:val="center"/>
          </w:tcPr>
          <w:p w14:paraId="4CAFF948" w14:textId="77777777" w:rsidR="00572A69" w:rsidRDefault="00572A69">
            <w:pPr>
              <w:spacing w:line="360" w:lineRule="auto"/>
              <w:rPr>
                <w:rFonts w:asciiTheme="minorEastAsia" w:hAnsiTheme="minorEastAsia"/>
                <w:bCs/>
                <w:szCs w:val="24"/>
              </w:rPr>
            </w:pPr>
            <w:r>
              <w:rPr>
                <w:rFonts w:asciiTheme="minorEastAsia" w:hAnsiTheme="minorEastAsia" w:hint="eastAsia"/>
                <w:szCs w:val="24"/>
              </w:rPr>
              <w:t>自基金合同生效起</w:t>
            </w:r>
            <w:r>
              <w:rPr>
                <w:rFonts w:asciiTheme="minorEastAsia" w:hAnsiTheme="minorEastAsia" w:hint="eastAsia"/>
                <w:bCs/>
                <w:szCs w:val="24"/>
              </w:rPr>
              <w:t>至今</w:t>
            </w:r>
          </w:p>
          <w:p w14:paraId="18FD92E8" w14:textId="15FB2A62" w:rsidR="00572A69" w:rsidRDefault="00572A69">
            <w:pPr>
              <w:spacing w:line="360" w:lineRule="auto"/>
              <w:rPr>
                <w:rFonts w:asciiTheme="minorEastAsia" w:hAnsiTheme="minorEastAsia"/>
                <w:bCs/>
                <w:szCs w:val="24"/>
              </w:rPr>
            </w:pPr>
            <w:r>
              <w:rPr>
                <w:rFonts w:asciiTheme="minorEastAsia" w:hAnsiTheme="minorEastAsia"/>
                <w:color w:val="000000"/>
                <w:szCs w:val="21"/>
              </w:rPr>
              <w:t>202</w:t>
            </w:r>
            <w:r>
              <w:rPr>
                <w:rFonts w:asciiTheme="minorEastAsia" w:hAnsiTheme="minorEastAsia" w:hint="eastAsia"/>
                <w:color w:val="000000"/>
                <w:szCs w:val="21"/>
              </w:rPr>
              <w:t>1</w:t>
            </w:r>
            <w:r>
              <w:rPr>
                <w:rFonts w:asciiTheme="minorEastAsia" w:hAnsiTheme="minorEastAsia"/>
                <w:color w:val="000000"/>
                <w:szCs w:val="21"/>
              </w:rPr>
              <w:t>.06.30</w:t>
            </w:r>
          </w:p>
        </w:tc>
        <w:tc>
          <w:tcPr>
            <w:tcW w:w="0" w:type="auto"/>
            <w:tcBorders>
              <w:top w:val="single" w:sz="8" w:space="0" w:color="000000"/>
              <w:left w:val="single" w:sz="8" w:space="0" w:color="000000"/>
              <w:bottom w:val="single" w:sz="6" w:space="0" w:color="000000"/>
              <w:right w:val="single" w:sz="8" w:space="0" w:color="000000"/>
            </w:tcBorders>
            <w:vAlign w:val="center"/>
          </w:tcPr>
          <w:p w14:paraId="52F99DA1" w14:textId="0CAAC628" w:rsidR="00572A69" w:rsidRDefault="00572A69">
            <w:pPr>
              <w:spacing w:line="360" w:lineRule="auto"/>
              <w:rPr>
                <w:rFonts w:asciiTheme="minorEastAsia" w:hAnsiTheme="minorEastAsia"/>
                <w:bCs/>
                <w:szCs w:val="24"/>
              </w:rPr>
            </w:pPr>
            <w:r>
              <w:rPr>
                <w:rFonts w:hint="eastAsia"/>
              </w:rPr>
              <w:t>12.85%</w:t>
            </w:r>
          </w:p>
        </w:tc>
        <w:tc>
          <w:tcPr>
            <w:tcW w:w="0" w:type="auto"/>
            <w:tcBorders>
              <w:top w:val="single" w:sz="8" w:space="0" w:color="000000"/>
              <w:left w:val="single" w:sz="8" w:space="0" w:color="000000"/>
              <w:bottom w:val="single" w:sz="6" w:space="0" w:color="000000"/>
              <w:right w:val="single" w:sz="8" w:space="0" w:color="000000"/>
            </w:tcBorders>
            <w:vAlign w:val="center"/>
          </w:tcPr>
          <w:p w14:paraId="4D21110A" w14:textId="0E809166" w:rsidR="00572A69" w:rsidRDefault="00572A69">
            <w:pPr>
              <w:spacing w:line="360" w:lineRule="auto"/>
              <w:rPr>
                <w:rFonts w:asciiTheme="minorEastAsia" w:hAnsiTheme="minorEastAsia"/>
                <w:bCs/>
                <w:szCs w:val="24"/>
              </w:rPr>
            </w:pPr>
            <w:r>
              <w:rPr>
                <w:rFonts w:hint="eastAsia"/>
              </w:rPr>
              <w:t>1.24%</w:t>
            </w:r>
          </w:p>
        </w:tc>
        <w:tc>
          <w:tcPr>
            <w:tcW w:w="0" w:type="auto"/>
            <w:tcBorders>
              <w:top w:val="single" w:sz="8" w:space="0" w:color="000000"/>
              <w:left w:val="single" w:sz="8" w:space="0" w:color="000000"/>
              <w:bottom w:val="single" w:sz="6" w:space="0" w:color="000000"/>
              <w:right w:val="single" w:sz="8" w:space="0" w:color="000000"/>
            </w:tcBorders>
            <w:vAlign w:val="center"/>
          </w:tcPr>
          <w:p w14:paraId="08978786" w14:textId="7556B79D" w:rsidR="00572A69" w:rsidRDefault="00572A69">
            <w:pPr>
              <w:spacing w:line="360" w:lineRule="auto"/>
              <w:rPr>
                <w:rFonts w:asciiTheme="minorEastAsia" w:hAnsiTheme="minorEastAsia"/>
                <w:bCs/>
                <w:szCs w:val="24"/>
              </w:rPr>
            </w:pPr>
            <w:r>
              <w:rPr>
                <w:rFonts w:hint="eastAsia"/>
              </w:rPr>
              <w:t>35.60%</w:t>
            </w:r>
          </w:p>
        </w:tc>
        <w:tc>
          <w:tcPr>
            <w:tcW w:w="0" w:type="auto"/>
            <w:tcBorders>
              <w:top w:val="single" w:sz="8" w:space="0" w:color="000000"/>
              <w:left w:val="single" w:sz="8" w:space="0" w:color="000000"/>
              <w:bottom w:val="single" w:sz="6" w:space="0" w:color="000000"/>
              <w:right w:val="single" w:sz="8" w:space="0" w:color="000000"/>
            </w:tcBorders>
            <w:vAlign w:val="center"/>
          </w:tcPr>
          <w:p w14:paraId="3836DFD2" w14:textId="1ACEFFC4" w:rsidR="00572A69" w:rsidRDefault="00572A69">
            <w:pPr>
              <w:spacing w:line="360" w:lineRule="auto"/>
              <w:rPr>
                <w:rFonts w:asciiTheme="minorEastAsia" w:hAnsiTheme="minorEastAsia"/>
                <w:bCs/>
                <w:szCs w:val="24"/>
              </w:rPr>
            </w:pPr>
            <w:r>
              <w:rPr>
                <w:rFonts w:hint="eastAsia"/>
              </w:rPr>
              <w:t>0.75%</w:t>
            </w:r>
          </w:p>
        </w:tc>
        <w:tc>
          <w:tcPr>
            <w:tcW w:w="0" w:type="auto"/>
            <w:tcBorders>
              <w:top w:val="single" w:sz="8" w:space="0" w:color="000000"/>
              <w:left w:val="single" w:sz="8" w:space="0" w:color="000000"/>
              <w:bottom w:val="single" w:sz="6" w:space="0" w:color="000000"/>
              <w:right w:val="single" w:sz="8" w:space="0" w:color="000000"/>
            </w:tcBorders>
            <w:vAlign w:val="center"/>
          </w:tcPr>
          <w:p w14:paraId="2C354159" w14:textId="1236D441" w:rsidR="00572A69" w:rsidRDefault="00572A69">
            <w:pPr>
              <w:spacing w:line="360" w:lineRule="auto"/>
              <w:rPr>
                <w:rFonts w:asciiTheme="minorEastAsia" w:hAnsiTheme="minorEastAsia"/>
                <w:bCs/>
                <w:szCs w:val="24"/>
              </w:rPr>
            </w:pPr>
            <w:r>
              <w:rPr>
                <w:rFonts w:hint="eastAsia"/>
              </w:rPr>
              <w:t>-22.75%</w:t>
            </w:r>
          </w:p>
        </w:tc>
        <w:tc>
          <w:tcPr>
            <w:tcW w:w="0" w:type="auto"/>
            <w:tcBorders>
              <w:top w:val="single" w:sz="8" w:space="0" w:color="000000"/>
              <w:left w:val="single" w:sz="8" w:space="0" w:color="000000"/>
              <w:bottom w:val="single" w:sz="6" w:space="0" w:color="000000"/>
              <w:right w:val="single" w:sz="8" w:space="0" w:color="000000"/>
            </w:tcBorders>
            <w:vAlign w:val="center"/>
          </w:tcPr>
          <w:p w14:paraId="1218C6CE" w14:textId="5C79711E" w:rsidR="00572A69" w:rsidRDefault="00572A69">
            <w:pPr>
              <w:spacing w:line="360" w:lineRule="auto"/>
              <w:rPr>
                <w:rFonts w:asciiTheme="minorEastAsia" w:hAnsiTheme="minorEastAsia"/>
                <w:bCs/>
                <w:szCs w:val="24"/>
              </w:rPr>
            </w:pPr>
            <w:r>
              <w:rPr>
                <w:rFonts w:hint="eastAsia"/>
              </w:rPr>
              <w:t>0.49%</w:t>
            </w:r>
          </w:p>
        </w:tc>
      </w:tr>
    </w:tbl>
    <w:p w14:paraId="2D39F7B7" w14:textId="77777777" w:rsidR="00D51FDF" w:rsidRDefault="007F75F6">
      <w:pPr>
        <w:widowControl/>
        <w:spacing w:line="360" w:lineRule="auto"/>
        <w:jc w:val="left"/>
        <w:rPr>
          <w:rFonts w:asciiTheme="minorEastAsia" w:hAnsiTheme="minorEastAsia"/>
          <w:bCs/>
          <w:sz w:val="24"/>
          <w:szCs w:val="24"/>
        </w:rPr>
      </w:pPr>
      <w:r>
        <w:rPr>
          <w:rFonts w:asciiTheme="minorEastAsia" w:hAnsiTheme="minorEastAsia" w:cs="Times New Roman" w:hint="eastAsia"/>
          <w:bCs/>
          <w:sz w:val="24"/>
          <w:szCs w:val="24"/>
        </w:rPr>
        <w:lastRenderedPageBreak/>
        <w:t>注：本基金的业绩比较基准为：沪深</w:t>
      </w:r>
      <w:r>
        <w:rPr>
          <w:rFonts w:asciiTheme="minorEastAsia" w:hAnsiTheme="minorEastAsia" w:cs="Times New Roman"/>
          <w:bCs/>
          <w:sz w:val="24"/>
          <w:szCs w:val="24"/>
        </w:rPr>
        <w:t>300指数收益率×55%+上证国债指数收益率×45%。</w:t>
      </w:r>
    </w:p>
    <w:p w14:paraId="23E0FC3A" w14:textId="77777777" w:rsidR="00D51FDF" w:rsidRDefault="007F75F6">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 xml:space="preserve">2、 </w:t>
      </w:r>
      <w:r>
        <w:rPr>
          <w:rFonts w:asciiTheme="minorEastAsia" w:hAnsiTheme="minorEastAsia" w:cs="宋体" w:hint="eastAsia"/>
          <w:kern w:val="0"/>
          <w:sz w:val="24"/>
          <w:szCs w:val="24"/>
        </w:rPr>
        <w:t>自基金合同生效以来基金累计净值增长率变动及其与同期业绩比较基准收益率变动的比较</w:t>
      </w:r>
    </w:p>
    <w:p w14:paraId="09390142" w14:textId="684E7121" w:rsidR="00D51FDF" w:rsidRDefault="00572A69">
      <w:pPr>
        <w:pStyle w:val="biaogeleft"/>
        <w:spacing w:line="360" w:lineRule="auto"/>
        <w:rPr>
          <w:rFonts w:asciiTheme="minorEastAsia" w:eastAsiaTheme="minorEastAsia" w:hAnsiTheme="minorEastAsia"/>
          <w:sz w:val="21"/>
          <w:szCs w:val="21"/>
        </w:rPr>
      </w:pPr>
      <w:r>
        <w:rPr>
          <w:noProof/>
          <w:color w:val="000000"/>
        </w:rPr>
        <w:drawing>
          <wp:inline distT="0" distB="0" distL="0" distR="0" wp14:anchorId="62CB9B60" wp14:editId="3E1A947D">
            <wp:extent cx="5274310" cy="34265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6AF1FFB0" w14:textId="39F56BE2" w:rsidR="00D51FDF" w:rsidRDefault="00D51FDF">
      <w:pPr>
        <w:pStyle w:val="biaogeleft"/>
        <w:spacing w:line="360" w:lineRule="auto"/>
        <w:rPr>
          <w:rFonts w:asciiTheme="minorEastAsia" w:eastAsiaTheme="minorEastAsia" w:hAnsiTheme="minorEastAsia"/>
          <w:sz w:val="21"/>
          <w:szCs w:val="21"/>
        </w:rPr>
      </w:pPr>
    </w:p>
    <w:p w14:paraId="4E34A048" w14:textId="74AC90EA" w:rsidR="00D51FDF" w:rsidRDefault="00572A69" w:rsidP="00EE54B8">
      <w:pPr>
        <w:pStyle w:val="biaogeleft"/>
        <w:spacing w:line="360" w:lineRule="auto"/>
      </w:pPr>
      <w:r>
        <w:rPr>
          <w:noProof/>
          <w:color w:val="000000"/>
        </w:rPr>
        <w:drawing>
          <wp:inline distT="0" distB="0" distL="0" distR="0" wp14:anchorId="2AC801AF" wp14:editId="1512C856">
            <wp:extent cx="5274310" cy="342650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53F5BEC0" w14:textId="77777777" w:rsidR="00D51FDF" w:rsidRDefault="007F75F6">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注：</w:t>
      </w:r>
      <w:r>
        <w:rPr>
          <w:rFonts w:asciiTheme="minorEastAsia" w:hAnsiTheme="minorEastAsia" w:cs="宋体"/>
          <w:kern w:val="0"/>
          <w:sz w:val="24"/>
          <w:szCs w:val="24"/>
        </w:rPr>
        <w:t xml:space="preserve">本基金建仓期为6个月，建仓期结束时各项资产配置比例符合合同约定。 </w:t>
      </w:r>
    </w:p>
    <w:p w14:paraId="15A3A85D" w14:textId="77777777" w:rsidR="00D51FDF" w:rsidRDefault="00D51FDF">
      <w:pPr>
        <w:widowControl/>
        <w:jc w:val="left"/>
        <w:rPr>
          <w:rFonts w:asciiTheme="minorEastAsia" w:hAnsiTheme="minorEastAsia" w:cs="Times New Roman"/>
          <w:b/>
          <w:color w:val="000000"/>
          <w:kern w:val="0"/>
          <w:sz w:val="30"/>
          <w:szCs w:val="30"/>
        </w:rPr>
      </w:pPr>
    </w:p>
    <w:p w14:paraId="427EBEBE" w14:textId="77777777" w:rsidR="00D51FDF" w:rsidRDefault="007F75F6">
      <w:pPr>
        <w:pStyle w:val="1"/>
        <w:jc w:val="center"/>
        <w:rPr>
          <w:rFonts w:asciiTheme="minorEastAsia" w:eastAsiaTheme="minorEastAsia" w:hAnsiTheme="minorEastAsia"/>
          <w:sz w:val="30"/>
          <w:szCs w:val="30"/>
        </w:rPr>
      </w:pPr>
      <w:bookmarkStart w:id="237" w:name="_Toc2677411"/>
      <w:r>
        <w:rPr>
          <w:rFonts w:asciiTheme="minorEastAsia" w:eastAsiaTheme="minorEastAsia" w:hAnsiTheme="minorEastAsia" w:hint="eastAsia"/>
          <w:sz w:val="30"/>
          <w:szCs w:val="30"/>
        </w:rPr>
        <w:t>第十部分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基金的财产</w:t>
      </w:r>
      <w:bookmarkEnd w:id="216"/>
      <w:bookmarkEnd w:id="237"/>
    </w:p>
    <w:p w14:paraId="13685964" w14:textId="77777777" w:rsidR="00D51FDF" w:rsidRDefault="007F75F6">
      <w:pPr>
        <w:adjustRightInd w:val="0"/>
        <w:snapToGrid w:val="0"/>
        <w:spacing w:line="360" w:lineRule="auto"/>
        <w:ind w:firstLineChars="200" w:firstLine="480"/>
        <w:rPr>
          <w:rFonts w:asciiTheme="minorEastAsia" w:hAnsiTheme="minorEastAsia" w:cs="Arial"/>
          <w:sz w:val="24"/>
          <w:szCs w:val="24"/>
        </w:rPr>
      </w:pPr>
      <w:bookmarkStart w:id="238" w:name="_Toc214873600"/>
      <w:bookmarkStart w:id="239" w:name="_Toc416264547"/>
      <w:bookmarkStart w:id="240" w:name="_Toc263092319"/>
      <w:bookmarkStart w:id="241" w:name="_Toc16437"/>
      <w:bookmarkStart w:id="242" w:name="_Toc2981"/>
      <w:bookmarkStart w:id="243" w:name="_Toc5477"/>
      <w:bookmarkStart w:id="244" w:name="_Toc801"/>
      <w:bookmarkStart w:id="245" w:name="_Toc352229758"/>
      <w:bookmarkStart w:id="246" w:name="_Toc578"/>
      <w:bookmarkStart w:id="247" w:name="_Toc21917"/>
      <w:bookmarkStart w:id="248" w:name="_Toc11395"/>
      <w:bookmarkStart w:id="249" w:name="_Toc3872"/>
      <w:bookmarkStart w:id="250" w:name="_Toc13343"/>
      <w:bookmarkStart w:id="251" w:name="_Toc22538"/>
      <w:bookmarkStart w:id="252" w:name="_Toc1135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asciiTheme="minorEastAsia" w:hAnsiTheme="minorEastAsia" w:cs="Arial" w:hint="eastAsia"/>
          <w:sz w:val="24"/>
          <w:szCs w:val="24"/>
        </w:rPr>
        <w:t>一、基金资产总值</w:t>
      </w:r>
    </w:p>
    <w:p w14:paraId="253A070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基金资产总值是指购买的各类证券及票据价值、银行存款本息和基金应收的申购基金款以及其他投资所形成的价值总和。</w:t>
      </w:r>
    </w:p>
    <w:p w14:paraId="3E2D60A1"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二、基金资产净值</w:t>
      </w:r>
    </w:p>
    <w:p w14:paraId="6DE0D155"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基金资产净值是指基金资产总值减去基金负债后的价值。</w:t>
      </w:r>
    </w:p>
    <w:p w14:paraId="64CBA9B4"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三、基金财产的账户</w:t>
      </w:r>
    </w:p>
    <w:p w14:paraId="743A5A1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53" w:name="_Hlt88841837"/>
      <w:bookmarkEnd w:id="253"/>
    </w:p>
    <w:p w14:paraId="7D9F46A6"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四、基金财产的保管和处分</w:t>
      </w:r>
    </w:p>
    <w:p w14:paraId="626638E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heme="minorEastAsia" w:hAnsiTheme="minorEastAsia" w:hint="eastAsia"/>
          <w:bCs/>
          <w:sz w:val="24"/>
        </w:rPr>
        <w:t>律法规</w:t>
      </w:r>
      <w:proofErr w:type="gramEnd"/>
      <w:r>
        <w:rPr>
          <w:rFonts w:asciiTheme="minorEastAsia" w:hAnsiTheme="minorEastAsia" w:hint="eastAsia"/>
          <w:bCs/>
          <w:sz w:val="24"/>
        </w:rPr>
        <w:t>和《基金合同》的规定处分外，基金财产不得被处分。</w:t>
      </w:r>
    </w:p>
    <w:p w14:paraId="06A2C839" w14:textId="77777777" w:rsidR="00D51FDF" w:rsidRDefault="007F75F6">
      <w:pPr>
        <w:autoSpaceDE w:val="0"/>
        <w:autoSpaceDN w:val="0"/>
        <w:spacing w:line="360" w:lineRule="auto"/>
        <w:ind w:firstLineChars="200" w:firstLine="480"/>
        <w:textAlignment w:val="bottom"/>
        <w:rPr>
          <w:rFonts w:asciiTheme="minorEastAsia" w:hAnsiTheme="minorEastAsia"/>
          <w:b/>
          <w:bCs/>
          <w:kern w:val="44"/>
          <w:sz w:val="18"/>
        </w:rPr>
        <w:sectPr w:rsidR="00D51FDF">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heme="minorEastAsia" w:hAnsiTheme="minorEastAsia" w:hint="eastAsia"/>
          <w:bCs/>
          <w:sz w:val="24"/>
        </w:rPr>
        <w:t>抵销</w:t>
      </w:r>
      <w:proofErr w:type="gramEnd"/>
      <w:r>
        <w:rPr>
          <w:rFonts w:asciiTheme="minorEastAsia" w:hAnsiTheme="minorEastAsia" w:hint="eastAsia"/>
          <w:bCs/>
          <w:sz w:val="24"/>
        </w:rPr>
        <w:t>；基金管理人管理运作不同基金的基金财产所产生的债权债务不得相互</w:t>
      </w:r>
      <w:proofErr w:type="gramStart"/>
      <w:r>
        <w:rPr>
          <w:rFonts w:asciiTheme="minorEastAsia" w:hAnsiTheme="minorEastAsia" w:hint="eastAsia"/>
          <w:bCs/>
          <w:sz w:val="24"/>
        </w:rPr>
        <w:t>抵销</w:t>
      </w:r>
      <w:proofErr w:type="gramEnd"/>
      <w:r>
        <w:rPr>
          <w:rFonts w:asciiTheme="minorEastAsia" w:hAnsiTheme="minorEastAsia" w:hint="eastAsia"/>
          <w:bCs/>
          <w:sz w:val="24"/>
        </w:rPr>
        <w:t>。</w:t>
      </w:r>
    </w:p>
    <w:p w14:paraId="2DE7EA4E" w14:textId="77777777" w:rsidR="00D51FDF" w:rsidRDefault="007F75F6">
      <w:pPr>
        <w:pStyle w:val="1"/>
        <w:jc w:val="center"/>
        <w:rPr>
          <w:rFonts w:asciiTheme="minorEastAsia" w:eastAsiaTheme="minorEastAsia" w:hAnsiTheme="minorEastAsia"/>
          <w:sz w:val="30"/>
          <w:szCs w:val="30"/>
        </w:rPr>
      </w:pPr>
      <w:bookmarkStart w:id="254" w:name="_Toc2677412"/>
      <w:r>
        <w:rPr>
          <w:rFonts w:asciiTheme="minorEastAsia" w:eastAsiaTheme="minorEastAsia" w:hAnsiTheme="minorEastAsia" w:hint="eastAsia"/>
          <w:sz w:val="30"/>
          <w:szCs w:val="30"/>
        </w:rPr>
        <w:lastRenderedPageBreak/>
        <w:t>第十一部分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基金资产的估值</w:t>
      </w:r>
      <w:bookmarkEnd w:id="238"/>
      <w:bookmarkEnd w:id="239"/>
      <w:bookmarkEnd w:id="240"/>
      <w:bookmarkEnd w:id="254"/>
    </w:p>
    <w:p w14:paraId="351483A2"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一、估值日</w:t>
      </w:r>
    </w:p>
    <w:p w14:paraId="6F0ABAC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本基金的估值日为本基金相关的证券交易场所的交易日以及国家法律法规规定需要对外披露基金净值的</w:t>
      </w:r>
      <w:proofErr w:type="gramStart"/>
      <w:r>
        <w:rPr>
          <w:rFonts w:asciiTheme="minorEastAsia" w:hAnsiTheme="minorEastAsia" w:hint="eastAsia"/>
          <w:bCs/>
          <w:sz w:val="24"/>
        </w:rPr>
        <w:t>非交易</w:t>
      </w:r>
      <w:proofErr w:type="gramEnd"/>
      <w:r>
        <w:rPr>
          <w:rFonts w:asciiTheme="minorEastAsia" w:hAnsiTheme="minorEastAsia" w:hint="eastAsia"/>
          <w:bCs/>
          <w:sz w:val="24"/>
        </w:rPr>
        <w:t>日。</w:t>
      </w:r>
    </w:p>
    <w:p w14:paraId="09ABADAD"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二、估值对象</w:t>
      </w:r>
    </w:p>
    <w:p w14:paraId="1A32697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基金所拥有的股票、</w:t>
      </w:r>
      <w:r>
        <w:rPr>
          <w:rFonts w:asciiTheme="minorEastAsia" w:hAnsiTheme="minorEastAsia" w:cs="Times New Roman" w:hint="eastAsia"/>
          <w:bCs/>
          <w:sz w:val="24"/>
          <w:szCs w:val="24"/>
        </w:rPr>
        <w:t>存托凭证、</w:t>
      </w:r>
      <w:r>
        <w:rPr>
          <w:rFonts w:asciiTheme="minorEastAsia" w:hAnsiTheme="minorEastAsia" w:hint="eastAsia"/>
          <w:bCs/>
          <w:sz w:val="24"/>
        </w:rPr>
        <w:t>股指期货合约、国债期货合约、股票期权合约、权证、债券和银行存款本息、应收款项、其它投资等资产及负债。</w:t>
      </w:r>
    </w:p>
    <w:p w14:paraId="1B03D23E"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三、估值方法</w:t>
      </w:r>
    </w:p>
    <w:p w14:paraId="7CA56538"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029073B"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2、交易所市场交易的固定收益品种的估值</w:t>
      </w:r>
    </w:p>
    <w:p w14:paraId="7107663B"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（1）对在交易所市场上市交易或挂牌转让的固定收益品种，选取第三方估值机构提供的相应品种当日的估值净价进行估值；</w:t>
      </w:r>
    </w:p>
    <w:p w14:paraId="43E9D2C1"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（2）对在交易所市场上市交易的可转换债券，按估值日收盘价减去可转换债券收盘价中所含债券应收利息后得到的净价进行估值；</w:t>
      </w:r>
      <w:r>
        <w:rPr>
          <w:rFonts w:asciiTheme="minorEastAsia" w:hAnsiTheme="minorEastAsia" w:hint="eastAsia"/>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C47108C"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（3）对在交易所市场挂牌转让的资产支持证券，采用估值技术确定公允价值，在估值技术难以可靠计量公允价值的情况下，按成本估值；</w:t>
      </w:r>
    </w:p>
    <w:p w14:paraId="4D52D447"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（4）对在交易所市场发行未上市或未挂牌转让的固定收益品种，采用估值技术确定公允价值，在估值技术难以可靠计量公允价值的情况下，按成本估值。</w:t>
      </w:r>
    </w:p>
    <w:p w14:paraId="7DA686B9"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3、银行间市场交易的固定收益品种的估值</w:t>
      </w:r>
    </w:p>
    <w:p w14:paraId="788B6CBA"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（1）银行间市场交易的固定收益品种，选取第三方估值机构提供的相应品</w:t>
      </w:r>
      <w:r>
        <w:rPr>
          <w:rFonts w:asciiTheme="minorEastAsia" w:hAnsiTheme="minorEastAsia" w:hint="eastAsia"/>
          <w:bCs/>
          <w:sz w:val="24"/>
          <w:szCs w:val="24"/>
        </w:rPr>
        <w:lastRenderedPageBreak/>
        <w:t>种当日的估值净价进行估值。</w:t>
      </w:r>
    </w:p>
    <w:p w14:paraId="17D70FC9"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（2）对银行间市场未上市，且第三方估值机构未提供估值价格的固定收益品种，按成本估值。</w:t>
      </w:r>
    </w:p>
    <w:p w14:paraId="3085615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、处于未上市期间的有价证券应区分如下情况处理：</w:t>
      </w:r>
    </w:p>
    <w:p w14:paraId="07F53AB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（1）送股、转增股、配股和公开增发的新股，按估值日在证券交易所挂牌的同一股票的估值方法估值；该日无交易的，以最近一日的市价（收盘价）估值；</w:t>
      </w:r>
    </w:p>
    <w:p w14:paraId="65D9BFE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（2）首次公开发行未上市的股票、债券和权证，采用估值技术确定公允价值，在估值技术难以可靠计量公允价值的情况下，按成本估值；</w:t>
      </w:r>
    </w:p>
    <w:p w14:paraId="6DA45A8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553119A6"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5、同一债券同时在两个或两个以上市场交易的，按债券所处的市场分别估值。</w:t>
      </w:r>
    </w:p>
    <w:p w14:paraId="57B1C8D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6、本基金投资股指期货、国债期货合约，一般以估值当日结算价进行估值，估值当日无结算价的，且最近交易日后经济环境未发生重大变化的，采用最近交易日结算价估值。</w:t>
      </w:r>
    </w:p>
    <w:p w14:paraId="5A731AF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7、中小企业私募债券，采用估值技术确定公允价值。在估值技术难以可靠计量公允价值的情况下，按成本估值。</w:t>
      </w:r>
    </w:p>
    <w:p w14:paraId="0CDEC31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8、本基金投资股票期权，根据相关法律法规以及监管部门的规定估值。</w:t>
      </w:r>
    </w:p>
    <w:p w14:paraId="58EFDE4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9</w:t>
      </w:r>
      <w:r>
        <w:rPr>
          <w:rFonts w:asciiTheme="minorEastAsia" w:hAnsiTheme="minorEastAsia" w:hint="eastAsia"/>
          <w:bCs/>
          <w:sz w:val="24"/>
        </w:rPr>
        <w:t>、本基金投资存托凭证的估值核算，依照境内上市交易的股票执行。</w:t>
      </w:r>
    </w:p>
    <w:p w14:paraId="052FA3E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10、如有确凿证据表明按上述方法进行估值不能客观反映其公允价值的，基金管理人可根据具体情况与基金托管人商定后，按最能反映公允价值的价格估值。</w:t>
      </w:r>
    </w:p>
    <w:p w14:paraId="0FAFF21F" w14:textId="7E299504"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11、当本基金发生大额申购或赎回情形时，基金管理人可以对本基金采用摆动定价机制，以确保基金估值的公平性。</w:t>
      </w:r>
    </w:p>
    <w:p w14:paraId="6BE845E2" w14:textId="1C46C599"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2、相关法律法规以及监管部门有强制规定的，从其规定。如有新增事项，按国家最新规定估值。</w:t>
      </w:r>
    </w:p>
    <w:p w14:paraId="48CDD8E6" w14:textId="77777777" w:rsidR="00D51FDF" w:rsidRDefault="007F75F6">
      <w:pPr>
        <w:autoSpaceDE w:val="0"/>
        <w:autoSpaceDN w:val="0"/>
        <w:spacing w:line="360" w:lineRule="auto"/>
        <w:ind w:firstLineChars="200" w:firstLine="480"/>
        <w:textAlignment w:val="bottom"/>
        <w:rPr>
          <w:rFonts w:asciiTheme="minorEastAsia" w:hAnsiTheme="minorEastAsia"/>
          <w:sz w:val="24"/>
        </w:rPr>
      </w:pPr>
      <w:r>
        <w:rPr>
          <w:rFonts w:asciiTheme="minorEastAsia" w:hAnsiTheme="minorEastAsia"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C06DBA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E2659CF"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四、估值程序</w:t>
      </w:r>
    </w:p>
    <w:p w14:paraId="30502B7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1、各类基金份额净值是按照每个工作日闭市后，该类基金资产净值除以当日该类基金份额的余额数量计算，精确到</w:t>
      </w:r>
      <w:r>
        <w:rPr>
          <w:rFonts w:asciiTheme="minorEastAsia" w:hAnsiTheme="minorEastAsia"/>
          <w:bCs/>
          <w:sz w:val="24"/>
        </w:rPr>
        <w:t>0.0001</w:t>
      </w:r>
      <w:r>
        <w:rPr>
          <w:rFonts w:asciiTheme="minorEastAsia" w:hAnsiTheme="minorEastAsia" w:hint="eastAsia"/>
          <w:bCs/>
          <w:sz w:val="24"/>
        </w:rPr>
        <w:t>元，小数点后第</w:t>
      </w:r>
      <w:r>
        <w:rPr>
          <w:rFonts w:asciiTheme="minorEastAsia" w:hAnsiTheme="minorEastAsia"/>
          <w:bCs/>
          <w:sz w:val="24"/>
        </w:rPr>
        <w:t>5</w:t>
      </w:r>
      <w:r>
        <w:rPr>
          <w:rFonts w:asciiTheme="minorEastAsia" w:hAnsiTheme="minorEastAsia" w:hint="eastAsia"/>
          <w:bCs/>
          <w:sz w:val="24"/>
        </w:rPr>
        <w:t>位四舍五入。国家另有规定的，从其规定。</w:t>
      </w:r>
    </w:p>
    <w:p w14:paraId="0EA1840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基金管理人每个工作日计算基金资产净值及两类基金份额净值，并按规定公告。</w:t>
      </w:r>
    </w:p>
    <w:p w14:paraId="6553A33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w:t>
      </w:r>
      <w:proofErr w:type="gramStart"/>
      <w:r>
        <w:rPr>
          <w:rFonts w:asciiTheme="minorEastAsia" w:hAnsiTheme="minorEastAsia" w:hint="eastAsia"/>
          <w:bCs/>
          <w:sz w:val="24"/>
        </w:rPr>
        <w:t>应每个</w:t>
      </w:r>
      <w:proofErr w:type="gramEnd"/>
      <w:r>
        <w:rPr>
          <w:rFonts w:asciiTheme="minorEastAsia" w:hAnsiTheme="minorEastAsia" w:hint="eastAsia"/>
          <w:bCs/>
          <w:sz w:val="24"/>
        </w:rPr>
        <w:t>工作日对基金资产估值。但基金管理人根据法律法规或基金合同的规定暂停估值时除外。基金管理人每个工作日对基金资产估值后，将两类基金份额净值结果发送基金托管人，经基金托管人复核无误后，由基金管理人按规定对外公布。</w:t>
      </w:r>
    </w:p>
    <w:p w14:paraId="54A858AE"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五、估值错误的处理</w:t>
      </w:r>
    </w:p>
    <w:p w14:paraId="595EE8C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基金管理人和基金托管人将采取必要、适当、合理的措施确保基金资产估值的准确性、及时性。当基金份额净值小数点后</w:t>
      </w:r>
      <w:r>
        <w:rPr>
          <w:rFonts w:asciiTheme="minorEastAsia" w:hAnsiTheme="minorEastAsia"/>
          <w:bCs/>
          <w:sz w:val="24"/>
        </w:rPr>
        <w:t>4</w:t>
      </w:r>
      <w:r>
        <w:rPr>
          <w:rFonts w:asciiTheme="minorEastAsia" w:hAnsiTheme="minorEastAsia" w:hint="eastAsia"/>
          <w:bCs/>
          <w:sz w:val="24"/>
        </w:rPr>
        <w:t>位以内（含第</w:t>
      </w:r>
      <w:r>
        <w:rPr>
          <w:rFonts w:asciiTheme="minorEastAsia" w:hAnsiTheme="minorEastAsia"/>
          <w:bCs/>
          <w:sz w:val="24"/>
        </w:rPr>
        <w:t>4</w:t>
      </w:r>
      <w:r>
        <w:rPr>
          <w:rFonts w:asciiTheme="minorEastAsia" w:hAnsiTheme="minorEastAsia" w:hint="eastAsia"/>
          <w:bCs/>
          <w:sz w:val="24"/>
        </w:rPr>
        <w:t>位）发生估值错误时，视为基金份额净值错误。</w:t>
      </w:r>
    </w:p>
    <w:p w14:paraId="2915AEE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基金合同的当事人应按照以下约定处理：</w:t>
      </w:r>
    </w:p>
    <w:p w14:paraId="3FE4AB9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1、估值错误类型</w:t>
      </w:r>
    </w:p>
    <w:p w14:paraId="429886F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07F99C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上述估值错误的主要类型包括但不限于：资料申报差错、数据传输差错、数据计算差错、系统故障差错、下达指令差错等。</w:t>
      </w:r>
    </w:p>
    <w:p w14:paraId="6A3A9F5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2、估值错误处理原则</w:t>
      </w:r>
    </w:p>
    <w:p w14:paraId="66007E3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（1）估值错误已发生，但尚未给当事人造成损失时，估值错误责任方应及时协调各方，及时进行更正，因更正估值错误发生的费用由估值错误责任方承担；</w:t>
      </w:r>
      <w:r>
        <w:rPr>
          <w:rFonts w:asciiTheme="minorEastAsia" w:hAnsiTheme="minorEastAsia" w:hint="eastAsia"/>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BF7C0A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）估值错误的责任方对有关当事人的直接损失负责，不对间接损失负责，并且仅对估值错误的有关直接当事人负责，不对第三方负责。</w:t>
      </w:r>
    </w:p>
    <w:p w14:paraId="2AA5AB7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）因估值错误而获得不当得利的当事人负有及时返还不当得利的义务。但估值错误责任方仍应对估值错误负责。如果由于获得不当得利的当事人</w:t>
      </w:r>
      <w:proofErr w:type="gramStart"/>
      <w:r>
        <w:rPr>
          <w:rFonts w:asciiTheme="minorEastAsia" w:hAnsiTheme="minorEastAsia" w:hint="eastAsia"/>
          <w:bCs/>
          <w:sz w:val="24"/>
        </w:rPr>
        <w:t>不</w:t>
      </w:r>
      <w:proofErr w:type="gramEnd"/>
      <w:r>
        <w:rPr>
          <w:rFonts w:asciiTheme="minorEastAsia" w:hAnsiTheme="minorEastAsia" w:hint="eastAsia"/>
          <w:bCs/>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0B0D3C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）估值错误调整采用尽量恢复至假设未发生估值错误的正确情形的方式。</w:t>
      </w:r>
    </w:p>
    <w:p w14:paraId="0AB9F67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（5）按法律法规规定的其他原则处理估值错误。</w:t>
      </w:r>
    </w:p>
    <w:p w14:paraId="1B31771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3、估值错误处理程序</w:t>
      </w:r>
    </w:p>
    <w:p w14:paraId="53B2A63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估值错误被发现后，有关的当事人应当及时进行处理，处理的程序如下：</w:t>
      </w:r>
    </w:p>
    <w:p w14:paraId="079F654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（1）查明估值错误发生的原因，列明所有的当事人，并根据估值错误发生的原因确定估值错误的责任方；</w:t>
      </w:r>
    </w:p>
    <w:p w14:paraId="08FDDBD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2</w:t>
      </w:r>
      <w:r>
        <w:rPr>
          <w:rFonts w:asciiTheme="minorEastAsia" w:hAnsiTheme="minorEastAsia" w:hint="eastAsia"/>
          <w:bCs/>
          <w:sz w:val="24"/>
        </w:rPr>
        <w:t>）根据估值错误处理原则或当事人协商的方法对因估值错误造成的损失进行评估；</w:t>
      </w:r>
    </w:p>
    <w:p w14:paraId="0DE8A386"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）根据估值错误处理原则或当事人协商的方法由估值错误的责任方进行更正和赔偿损失；</w:t>
      </w:r>
    </w:p>
    <w:p w14:paraId="30D6174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）根据估值错误处理的方法，需要修改基金登记机构交易数据的，由基金登记机构进行更正，并就估值错误的更正向有关当事人进行确认。</w:t>
      </w:r>
    </w:p>
    <w:p w14:paraId="2048099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4、基金份额净值估值错误处理的方法如下：</w:t>
      </w:r>
    </w:p>
    <w:p w14:paraId="06A39C1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（1）基金份额净值计算出现错误时，基金管理人应当立即予以纠正，通报基金托管人，并采取合理的措施防止损失进一步扩大。</w:t>
      </w:r>
    </w:p>
    <w:p w14:paraId="4DA758A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w:t>
      </w:r>
      <w:r>
        <w:rPr>
          <w:rFonts w:asciiTheme="minorEastAsia" w:hAnsiTheme="minorEastAsia"/>
          <w:bCs/>
          <w:sz w:val="24"/>
        </w:rPr>
        <w:t>2</w:t>
      </w:r>
      <w:r>
        <w:rPr>
          <w:rFonts w:asciiTheme="minorEastAsia" w:hAnsiTheme="minorEastAsia" w:hint="eastAsia"/>
          <w:bCs/>
          <w:sz w:val="24"/>
        </w:rPr>
        <w:t>）错误偏差达到基金份额净值的0.25%时，基金管理人应当通报基金托管人并报中国证监会备案；错误偏差达到基金份额净值的0.5%时，基金管理人应当公告。</w:t>
      </w:r>
    </w:p>
    <w:p w14:paraId="28019B2C"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hint="eastAsia"/>
          <w:bCs/>
          <w:sz w:val="24"/>
        </w:rPr>
        <w:t>（3）前述内容如法律法规或监管机关另有规定的，从其规定处理。如果行业另有通行做法，基金管理人和基金托管人应本着平等和保护基金份额持有人利益的原则进行协商。</w:t>
      </w:r>
    </w:p>
    <w:p w14:paraId="60AAB4E8"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六、暂停估值的情形</w:t>
      </w:r>
    </w:p>
    <w:p w14:paraId="0FEB24E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1、基金投资所涉及的证券、期货交易市场遇法定节假日或因其他原因暂停营业时；</w:t>
      </w:r>
    </w:p>
    <w:p w14:paraId="4AF2F4E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2、因不可抗力致使基金管理人、基金托管人无法准确评估基金资产价值时；</w:t>
      </w:r>
    </w:p>
    <w:p w14:paraId="65AB077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3、当前一估值日基金资产净值</w:t>
      </w:r>
      <w:r>
        <w:rPr>
          <w:rFonts w:asciiTheme="minorEastAsia" w:hAnsiTheme="minorEastAsia"/>
          <w:bCs/>
          <w:sz w:val="24"/>
        </w:rPr>
        <w:t xml:space="preserve"> </w:t>
      </w:r>
      <w:r>
        <w:rPr>
          <w:rFonts w:asciiTheme="minorEastAsia" w:hAnsiTheme="minorEastAsia" w:hint="eastAsia"/>
          <w:bCs/>
          <w:sz w:val="24"/>
        </w:rPr>
        <w:t>50%以上的资产出现无可参考的活跃市场价格且采用估值技术</w:t>
      </w:r>
      <w:proofErr w:type="gramStart"/>
      <w:r>
        <w:rPr>
          <w:rFonts w:asciiTheme="minorEastAsia" w:hAnsiTheme="minorEastAsia" w:hint="eastAsia"/>
          <w:bCs/>
          <w:sz w:val="24"/>
        </w:rPr>
        <w:t>仍导致</w:t>
      </w:r>
      <w:proofErr w:type="gramEnd"/>
      <w:r>
        <w:rPr>
          <w:rFonts w:asciiTheme="minorEastAsia" w:hAnsiTheme="minorEastAsia" w:hint="eastAsia"/>
          <w:bCs/>
          <w:sz w:val="24"/>
        </w:rPr>
        <w:t>公允价值存在重大不确定性时，经与基金托管人协商一致的；</w:t>
      </w:r>
    </w:p>
    <w:p w14:paraId="6D4ADC4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4、中国证监会和基金合同认定的其它情形。</w:t>
      </w:r>
    </w:p>
    <w:p w14:paraId="6BF1DE38"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七、基金净值的确认</w:t>
      </w:r>
    </w:p>
    <w:p w14:paraId="38E6F45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0F3994E4" w14:textId="77777777" w:rsidR="00D51FDF" w:rsidRDefault="007F75F6">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八、特殊情况的处理</w:t>
      </w:r>
    </w:p>
    <w:p w14:paraId="2F11A108" w14:textId="62173DE5" w:rsidR="00D51FDF" w:rsidRDefault="007F75F6">
      <w:pPr>
        <w:autoSpaceDE w:val="0"/>
        <w:autoSpaceDN w:val="0"/>
        <w:spacing w:line="360" w:lineRule="auto"/>
        <w:ind w:firstLineChars="200" w:firstLine="480"/>
        <w:textAlignment w:val="bottom"/>
        <w:rPr>
          <w:rFonts w:asciiTheme="minorEastAsia" w:hAnsiTheme="minorEastAsia"/>
          <w:bCs/>
          <w:sz w:val="24"/>
        </w:rPr>
      </w:pPr>
      <w:bookmarkStart w:id="255" w:name="_Toc416264548"/>
      <w:bookmarkStart w:id="256" w:name="_Toc263092320"/>
      <w:bookmarkEnd w:id="241"/>
      <w:bookmarkEnd w:id="242"/>
      <w:bookmarkEnd w:id="243"/>
      <w:bookmarkEnd w:id="244"/>
      <w:bookmarkEnd w:id="245"/>
      <w:bookmarkEnd w:id="246"/>
      <w:bookmarkEnd w:id="247"/>
      <w:bookmarkEnd w:id="248"/>
      <w:bookmarkEnd w:id="249"/>
      <w:bookmarkEnd w:id="250"/>
      <w:bookmarkEnd w:id="251"/>
      <w:bookmarkEnd w:id="252"/>
      <w:r>
        <w:rPr>
          <w:rFonts w:asciiTheme="minorEastAsia" w:hAnsiTheme="minorEastAsia" w:hint="eastAsia"/>
          <w:bCs/>
          <w:sz w:val="24"/>
        </w:rPr>
        <w:t>1、基金管理人或基金托管人按估值方法的第10项进行估值时，所造成的误差不作为基金资产估值错误处理。</w:t>
      </w:r>
    </w:p>
    <w:p w14:paraId="525B7E35" w14:textId="77777777" w:rsidR="00D51FDF" w:rsidRDefault="007F75F6">
      <w:pPr>
        <w:autoSpaceDE w:val="0"/>
        <w:autoSpaceDN w:val="0"/>
        <w:spacing w:line="360" w:lineRule="auto"/>
        <w:ind w:firstLineChars="200" w:firstLine="480"/>
        <w:textAlignment w:val="bottom"/>
        <w:rPr>
          <w:rFonts w:asciiTheme="minorEastAsia" w:hAnsiTheme="minorEastAsia"/>
          <w:sz w:val="30"/>
          <w:szCs w:val="30"/>
        </w:rPr>
        <w:sectPr w:rsidR="00D51FDF">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2、由于不可抗力原因，或由于证券、期货交易所或登记结算公司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1B0589FA" w14:textId="77777777" w:rsidR="00D51FDF" w:rsidRDefault="007F75F6">
      <w:pPr>
        <w:pStyle w:val="1"/>
        <w:jc w:val="center"/>
        <w:rPr>
          <w:rFonts w:asciiTheme="minorEastAsia" w:eastAsiaTheme="minorEastAsia" w:hAnsiTheme="minorEastAsia"/>
          <w:sz w:val="30"/>
          <w:szCs w:val="30"/>
        </w:rPr>
      </w:pPr>
      <w:bookmarkStart w:id="257" w:name="_Toc2677413"/>
      <w:r>
        <w:rPr>
          <w:rFonts w:asciiTheme="minorEastAsia" w:eastAsiaTheme="minorEastAsia" w:hAnsiTheme="minorEastAsia" w:hint="eastAsia"/>
          <w:sz w:val="30"/>
          <w:szCs w:val="30"/>
        </w:rPr>
        <w:lastRenderedPageBreak/>
        <w:t>第十二部分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基金的收益分配</w:t>
      </w:r>
      <w:bookmarkEnd w:id="255"/>
      <w:bookmarkEnd w:id="256"/>
      <w:bookmarkEnd w:id="257"/>
    </w:p>
    <w:p w14:paraId="3E8B03AD" w14:textId="77777777" w:rsidR="00D51FDF" w:rsidRDefault="007F75F6">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一、基金利润的构成</w:t>
      </w:r>
    </w:p>
    <w:p w14:paraId="7618E51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基金利润指基金利息收入、投资收益、公允价值变动收益和其他收入扣除相关费用后的余额，基金已实现收益指基金利润减去公允价值变动收益后的余额。</w:t>
      </w:r>
    </w:p>
    <w:p w14:paraId="341A0DCF" w14:textId="77777777" w:rsidR="00D51FDF" w:rsidRDefault="007F75F6">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二、基金可供分配利润</w:t>
      </w:r>
    </w:p>
    <w:p w14:paraId="66907F4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基金可供分配利润指截至收益分配基准日基金未分配利润与未分配利润中已实现收益的孰低数。</w:t>
      </w:r>
    </w:p>
    <w:p w14:paraId="5070F3FB" w14:textId="77777777" w:rsidR="00D51FDF" w:rsidRDefault="007F75F6">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三、基金收益分配原则</w:t>
      </w:r>
    </w:p>
    <w:p w14:paraId="184CCEC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1、在符合有关基金分红条件的前提下，本基金管理人可以根据实际情况进行收益分配，具体分配方案以公告为准，若《基金合同》生效不满3个月可不进行收益分配；</w:t>
      </w:r>
    </w:p>
    <w:p w14:paraId="55A6A0E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2、本基金收益分配方式分两种：现金分红与红利再投资，投资者可选择现金红利或将现金红利自动转为相应类别基金份额进行再投资；若投资者不选择，本基金默认的收益分配方式是现金分红；</w:t>
      </w:r>
    </w:p>
    <w:p w14:paraId="7476D51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3、基金收益分配后基金份额净值不能低于面值，即基金收益分配基准日的基金份额净值减去每单位基金份额收益分配金额后不能低于面值；</w:t>
      </w:r>
    </w:p>
    <w:p w14:paraId="0DD9CF2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4、由于A类基金份额不收取销售服务费，而C类基金份额收取销售服务费，将导致在可供分配利润上可能有所不同；本基金同一类别的每份基金份额享有同等分配权；</w:t>
      </w:r>
    </w:p>
    <w:p w14:paraId="77EC4E4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5、法律法规或监管机关另有规定的，从其规定。</w:t>
      </w:r>
    </w:p>
    <w:p w14:paraId="3F82D39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在对基金份额持有人利益无实质不利影响的前提下，基金管理人可与基金托管人协商一致后调整基金收益分配原则和支付方式，不需召开基金份额持有人大会。</w:t>
      </w:r>
    </w:p>
    <w:p w14:paraId="18FC9995" w14:textId="77777777" w:rsidR="00D51FDF" w:rsidRDefault="007F75F6">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四、收益分配方案</w:t>
      </w:r>
    </w:p>
    <w:p w14:paraId="2D9CAC6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基金收益分配方案中应载明截止收益分配基准日的可供分配利润、基金收益分配对象、分配时间、分配数额及比例、分配方式等内容。</w:t>
      </w:r>
    </w:p>
    <w:p w14:paraId="6E8F3CB1" w14:textId="77777777" w:rsidR="00D51FDF" w:rsidRDefault="007F75F6">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五、收益分配方案的确定、公告与实施</w:t>
      </w:r>
    </w:p>
    <w:p w14:paraId="08183882" w14:textId="77777777" w:rsidR="00D51FDF" w:rsidRDefault="007F75F6">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本基金收益分配方案由基金管理人拟定，并由基金托管人复核，依据相关规定在指定媒介公告。</w:t>
      </w:r>
    </w:p>
    <w:p w14:paraId="243C7D6A" w14:textId="77777777" w:rsidR="00D51FDF" w:rsidRDefault="007F75F6">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基金红利发放</w:t>
      </w:r>
      <w:proofErr w:type="gramStart"/>
      <w:r>
        <w:rPr>
          <w:rFonts w:asciiTheme="minorEastAsia" w:hAnsiTheme="minorEastAsia" w:cs="Times New Roman" w:hint="eastAsia"/>
          <w:bCs/>
          <w:sz w:val="24"/>
          <w:szCs w:val="24"/>
        </w:rPr>
        <w:t>日距离</w:t>
      </w:r>
      <w:proofErr w:type="gramEnd"/>
      <w:r>
        <w:rPr>
          <w:rFonts w:asciiTheme="minorEastAsia" w:hAnsiTheme="minorEastAsia" w:cs="Times New Roman" w:hint="eastAsia"/>
          <w:bCs/>
          <w:sz w:val="24"/>
          <w:szCs w:val="24"/>
        </w:rPr>
        <w:t>收益分配基准日（即可供分配利润计算截止日）的时间不得超过</w:t>
      </w:r>
      <w:r>
        <w:rPr>
          <w:rFonts w:asciiTheme="minorEastAsia" w:hAnsiTheme="minorEastAsia" w:cs="Times New Roman"/>
          <w:bCs/>
          <w:sz w:val="24"/>
          <w:szCs w:val="24"/>
        </w:rPr>
        <w:t>15个工作日。</w:t>
      </w:r>
    </w:p>
    <w:p w14:paraId="3FA40919" w14:textId="77777777" w:rsidR="00D51FDF" w:rsidRDefault="007F75F6">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六、基金收益分配中发生的费用</w:t>
      </w:r>
    </w:p>
    <w:p w14:paraId="12FDE9C3" w14:textId="77777777" w:rsidR="00D51FDF" w:rsidRDefault="007F75F6">
      <w:pPr>
        <w:autoSpaceDE w:val="0"/>
        <w:autoSpaceDN w:val="0"/>
        <w:spacing w:line="360" w:lineRule="auto"/>
        <w:ind w:firstLineChars="200" w:firstLine="480"/>
        <w:textAlignment w:val="bottom"/>
        <w:rPr>
          <w:rFonts w:asciiTheme="minorEastAsia" w:hAnsiTheme="minorEastAsia"/>
          <w:b/>
          <w:bCs/>
          <w:kern w:val="44"/>
          <w:sz w:val="18"/>
        </w:rPr>
        <w:sectPr w:rsidR="00D51FDF">
          <w:pgSz w:w="11906" w:h="16838"/>
          <w:pgMar w:top="1440" w:right="1800" w:bottom="1440" w:left="1800" w:header="851" w:footer="992" w:gutter="0"/>
          <w:pgNumType w:chapStyle="1"/>
          <w:cols w:space="720"/>
          <w:docGrid w:type="lines" w:linePitch="312"/>
        </w:sectPr>
      </w:pPr>
      <w:bookmarkStart w:id="258" w:name="_Toc263092321"/>
      <w:bookmarkStart w:id="259" w:name="_Toc416264549"/>
      <w:bookmarkStart w:id="260" w:name="_Toc21073401"/>
      <w:bookmarkStart w:id="261" w:name="_Toc12357181"/>
      <w:bookmarkStart w:id="262" w:name="_Toc147463128"/>
      <w:bookmarkStart w:id="263" w:name="_Toc214873602"/>
      <w:bookmarkStart w:id="264" w:name="_Toc27832"/>
      <w:bookmarkStart w:id="265" w:name="_Toc871"/>
      <w:bookmarkStart w:id="266" w:name="_Toc2623"/>
      <w:bookmarkStart w:id="267" w:name="_Toc19714"/>
      <w:bookmarkStart w:id="268" w:name="_Toc31917"/>
      <w:bookmarkStart w:id="269" w:name="_Toc139991744"/>
      <w:bookmarkStart w:id="270" w:name="_Toc141703894"/>
      <w:bookmarkStart w:id="271" w:name="_Toc7802"/>
      <w:bookmarkStart w:id="272" w:name="_Toc17782"/>
      <w:bookmarkStart w:id="273" w:name="_Toc352229760"/>
      <w:r>
        <w:rPr>
          <w:rFonts w:asciiTheme="minorEastAsia" w:hAnsiTheme="minorEastAsia"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31FDA3F9" w14:textId="77777777" w:rsidR="00D51FDF" w:rsidRDefault="007F75F6">
      <w:pPr>
        <w:pStyle w:val="1"/>
        <w:jc w:val="center"/>
        <w:rPr>
          <w:rFonts w:asciiTheme="minorEastAsia" w:eastAsiaTheme="minorEastAsia" w:hAnsiTheme="minorEastAsia"/>
          <w:sz w:val="30"/>
          <w:szCs w:val="30"/>
        </w:rPr>
      </w:pPr>
      <w:bookmarkStart w:id="274" w:name="_Toc2677414"/>
      <w:r>
        <w:rPr>
          <w:rFonts w:asciiTheme="minorEastAsia" w:eastAsiaTheme="minorEastAsia" w:hAnsiTheme="minorEastAsia" w:hint="eastAsia"/>
          <w:sz w:val="30"/>
          <w:szCs w:val="30"/>
        </w:rPr>
        <w:lastRenderedPageBreak/>
        <w:t>第十三部分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基金费用与税收</w:t>
      </w:r>
      <w:bookmarkEnd w:id="258"/>
      <w:bookmarkEnd w:id="259"/>
      <w:bookmarkEnd w:id="260"/>
      <w:bookmarkEnd w:id="261"/>
      <w:bookmarkEnd w:id="262"/>
      <w:bookmarkEnd w:id="263"/>
      <w:bookmarkEnd w:id="274"/>
    </w:p>
    <w:p w14:paraId="6A8861E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一、基金费用的种类</w:t>
      </w:r>
    </w:p>
    <w:p w14:paraId="0D20714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1、基金管理人的管理费；</w:t>
      </w:r>
    </w:p>
    <w:p w14:paraId="30A55CA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52E103B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3、C类基金份额的销售服务费；</w:t>
      </w:r>
    </w:p>
    <w:p w14:paraId="1D580CB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、《基金合同》生效后与基金相关的信息披露费用；</w:t>
      </w:r>
    </w:p>
    <w:p w14:paraId="55EBEF9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、《基金合同》生效后与基金相关的会计师费、律师费、诉讼费和仲裁费；</w:t>
      </w:r>
    </w:p>
    <w:p w14:paraId="575449E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6</w:t>
      </w:r>
      <w:r>
        <w:rPr>
          <w:rFonts w:asciiTheme="minorEastAsia" w:hAnsiTheme="minorEastAsia" w:hint="eastAsia"/>
          <w:bCs/>
          <w:sz w:val="24"/>
        </w:rPr>
        <w:t>、基金份额持有人大会费用；</w:t>
      </w:r>
    </w:p>
    <w:p w14:paraId="57A40406"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7</w:t>
      </w:r>
      <w:r>
        <w:rPr>
          <w:rFonts w:asciiTheme="minorEastAsia" w:hAnsiTheme="minorEastAsia" w:hint="eastAsia"/>
          <w:bCs/>
          <w:sz w:val="24"/>
        </w:rPr>
        <w:t>、基金的证券、期货交易费用；</w:t>
      </w:r>
    </w:p>
    <w:p w14:paraId="4A3B439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8</w:t>
      </w:r>
      <w:r>
        <w:rPr>
          <w:rFonts w:asciiTheme="minorEastAsia" w:hAnsiTheme="minorEastAsia" w:hint="eastAsia"/>
          <w:bCs/>
          <w:sz w:val="24"/>
        </w:rPr>
        <w:t>、基金的银行汇划费用；</w:t>
      </w:r>
    </w:p>
    <w:p w14:paraId="5E9D5A96"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9</w:t>
      </w:r>
      <w:r>
        <w:rPr>
          <w:rFonts w:asciiTheme="minorEastAsia" w:hAnsiTheme="minorEastAsia" w:hint="eastAsia"/>
          <w:bCs/>
          <w:sz w:val="24"/>
        </w:rPr>
        <w:t>、基金的账户开户费用、账户维护费用；</w:t>
      </w:r>
    </w:p>
    <w:p w14:paraId="55A91F0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10、按照国家有关规定和《基金合同》约定，可以在基金财产中列支的其他费用。</w:t>
      </w:r>
    </w:p>
    <w:p w14:paraId="541951D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二、基金费用计提方法、计提标准和支付方式</w:t>
      </w:r>
    </w:p>
    <w:p w14:paraId="6A66C68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 xml:space="preserve">1、基金管理人的管理费 </w:t>
      </w:r>
    </w:p>
    <w:p w14:paraId="03DB262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本基金的管理费按前一日基金资产净值的</w:t>
      </w:r>
      <w:r>
        <w:rPr>
          <w:rFonts w:asciiTheme="minorEastAsia" w:hAnsiTheme="minorEastAsia"/>
          <w:bCs/>
          <w:sz w:val="24"/>
        </w:rPr>
        <w:t>0.6</w:t>
      </w:r>
      <w:r>
        <w:rPr>
          <w:rFonts w:asciiTheme="minorEastAsia" w:hAnsiTheme="minorEastAsia" w:hint="eastAsia"/>
          <w:bCs/>
          <w:sz w:val="24"/>
        </w:rPr>
        <w:t>%年费率计提。管理费的计算方法如下：</w:t>
      </w:r>
    </w:p>
    <w:p w14:paraId="09544CD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0.6</w:t>
      </w:r>
      <w:r>
        <w:rPr>
          <w:rFonts w:asciiTheme="minorEastAsia" w:hAnsiTheme="minorEastAsia" w:hint="eastAsia"/>
          <w:bCs/>
          <w:sz w:val="24"/>
        </w:rPr>
        <w:t>%÷当年天数</w:t>
      </w:r>
    </w:p>
    <w:p w14:paraId="02157CD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H为每日应计提的基金管理费</w:t>
      </w:r>
    </w:p>
    <w:p w14:paraId="0D62698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E为前一日的基金资产净值</w:t>
      </w:r>
    </w:p>
    <w:p w14:paraId="1376D60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14:paraId="50FCC82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2、基金托管人的托管费</w:t>
      </w:r>
    </w:p>
    <w:p w14:paraId="0C97F15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本基金的托管费按前一日基金资产净值的</w:t>
      </w:r>
      <w:r>
        <w:rPr>
          <w:rFonts w:asciiTheme="minorEastAsia" w:hAnsiTheme="minorEastAsia"/>
          <w:bCs/>
          <w:sz w:val="24"/>
        </w:rPr>
        <w:t>0.1</w:t>
      </w:r>
      <w:r>
        <w:rPr>
          <w:rFonts w:asciiTheme="minorEastAsia" w:hAnsiTheme="minorEastAsia" w:hint="eastAsia"/>
          <w:bCs/>
          <w:sz w:val="24"/>
        </w:rPr>
        <w:t>%的年费率计提。托管费的计算方法如下：</w:t>
      </w:r>
    </w:p>
    <w:p w14:paraId="3C134B2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H＝E×</w:t>
      </w:r>
      <w:r>
        <w:rPr>
          <w:rFonts w:asciiTheme="minorEastAsia" w:hAnsiTheme="minorEastAsia"/>
          <w:bCs/>
          <w:sz w:val="24"/>
        </w:rPr>
        <w:t>0.1%</w:t>
      </w:r>
      <w:r>
        <w:rPr>
          <w:rFonts w:asciiTheme="minorEastAsia" w:hAnsiTheme="minorEastAsia" w:hint="eastAsia"/>
          <w:bCs/>
          <w:sz w:val="24"/>
        </w:rPr>
        <w:t>÷当年天数</w:t>
      </w:r>
    </w:p>
    <w:p w14:paraId="4B373D9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H为每日应计提的基金托管费</w:t>
      </w:r>
    </w:p>
    <w:p w14:paraId="2142673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E为前一日的基金资产净值</w:t>
      </w:r>
    </w:p>
    <w:p w14:paraId="0B7EFDB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21D7AFD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、C类基金份额的销售服务费</w:t>
      </w:r>
    </w:p>
    <w:p w14:paraId="6A82AA7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本基金A类基金份额不收取销售服务费，</w:t>
      </w:r>
      <w:r>
        <w:rPr>
          <w:rFonts w:asciiTheme="minorEastAsia" w:hAnsiTheme="minorEastAsia"/>
          <w:bCs/>
          <w:sz w:val="24"/>
        </w:rPr>
        <w:t>C</w:t>
      </w:r>
      <w:r>
        <w:rPr>
          <w:rFonts w:asciiTheme="minorEastAsia" w:hAnsiTheme="minorEastAsia" w:hint="eastAsia"/>
          <w:bCs/>
          <w:sz w:val="24"/>
        </w:rPr>
        <w:t>类基金份额的销售服务费年费率为</w:t>
      </w:r>
      <w:r>
        <w:rPr>
          <w:rFonts w:asciiTheme="minorEastAsia" w:hAnsiTheme="minorEastAsia"/>
          <w:bCs/>
          <w:sz w:val="24"/>
        </w:rPr>
        <w:t>0.3%</w:t>
      </w:r>
      <w:r>
        <w:rPr>
          <w:rFonts w:asciiTheme="minorEastAsia" w:hAnsiTheme="minorEastAsia" w:hint="eastAsia"/>
          <w:bCs/>
          <w:sz w:val="24"/>
        </w:rPr>
        <w:t>。</w:t>
      </w:r>
    </w:p>
    <w:p w14:paraId="31D1A63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本基金销售服务费将专门用于本基金的销售与基金份额持有人服务，销售服务费计提的计算公式如下：</w:t>
      </w:r>
      <w:r>
        <w:rPr>
          <w:rFonts w:asciiTheme="minorEastAsia" w:hAnsiTheme="minorEastAsia"/>
          <w:bCs/>
          <w:sz w:val="24"/>
        </w:rPr>
        <w:t xml:space="preserve"> </w:t>
      </w:r>
    </w:p>
    <w:p w14:paraId="52E34F4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H=E</w:t>
      </w:r>
      <w:r>
        <w:rPr>
          <w:rFonts w:asciiTheme="minorEastAsia" w:hAnsiTheme="minorEastAsia" w:hint="eastAsia"/>
          <w:bCs/>
          <w:sz w:val="24"/>
        </w:rPr>
        <w:t>×</w:t>
      </w:r>
      <w:r>
        <w:rPr>
          <w:rFonts w:asciiTheme="minorEastAsia" w:hAnsiTheme="minorEastAsia"/>
          <w:bCs/>
          <w:sz w:val="24"/>
        </w:rPr>
        <w:t>0.3%</w:t>
      </w:r>
      <w:r>
        <w:rPr>
          <w:rFonts w:asciiTheme="minorEastAsia" w:hAnsiTheme="minorEastAsia" w:hint="eastAsia"/>
          <w:bCs/>
          <w:sz w:val="24"/>
        </w:rPr>
        <w:t>÷当年天数</w:t>
      </w:r>
    </w:p>
    <w:p w14:paraId="7565E7F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H</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类基金份额每日应计提的销售服务费</w:t>
      </w:r>
    </w:p>
    <w:p w14:paraId="61816C1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E</w:t>
      </w:r>
      <w:r>
        <w:rPr>
          <w:rFonts w:asciiTheme="minorEastAsia" w:hAnsiTheme="minorEastAsia" w:hint="eastAsia"/>
          <w:bCs/>
          <w:sz w:val="24"/>
        </w:rPr>
        <w:t>为</w:t>
      </w:r>
      <w:r>
        <w:rPr>
          <w:rFonts w:asciiTheme="minorEastAsia" w:hAnsiTheme="minorEastAsia"/>
          <w:bCs/>
          <w:sz w:val="24"/>
        </w:rPr>
        <w:t>C</w:t>
      </w:r>
      <w:r>
        <w:rPr>
          <w:rFonts w:asciiTheme="minorEastAsia" w:hAnsiTheme="minorEastAsia" w:hint="eastAsia"/>
          <w:bCs/>
          <w:sz w:val="24"/>
        </w:rPr>
        <w:t>类基金份额前一日基金资产净值</w:t>
      </w:r>
    </w:p>
    <w:p w14:paraId="3D1B809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销售服务费每日计算，逐日累计至每月月末，按月支付。由基金管理人向基金托管人发送基金销售服务费划付指令，基金托管人复核后于次月前5个工作日内从基金财产中一次性支付给基金管理人。若遇法定节假日、公休假等，支付日期顺延。</w:t>
      </w:r>
    </w:p>
    <w:p w14:paraId="63213EC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上述“一、基金费用的种类”中第</w:t>
      </w:r>
      <w:r>
        <w:rPr>
          <w:rFonts w:asciiTheme="minorEastAsia" w:hAnsiTheme="minorEastAsia"/>
          <w:bCs/>
          <w:sz w:val="24"/>
        </w:rPr>
        <w:t>4</w:t>
      </w: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项费用，根据有关法规及相应协议规定，按费用实际支出金额列入当期费用，由基金托管人从基金财产中支付。</w:t>
      </w:r>
    </w:p>
    <w:p w14:paraId="0D733AC8" w14:textId="77777777" w:rsidR="00D51FDF" w:rsidRDefault="007F75F6">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三、不列入基金费用的项目</w:t>
      </w:r>
    </w:p>
    <w:p w14:paraId="18A2CB3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下列费用不列入基金费用：</w:t>
      </w:r>
    </w:p>
    <w:p w14:paraId="385BF96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1、基金管理人和基金托管人因未履行或未完全履行义务导致的费用支出或基金财产的损失；</w:t>
      </w:r>
    </w:p>
    <w:p w14:paraId="3B7B527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2、基金管理人和基金托管人处理与基金运作无关的事项发生的费用；</w:t>
      </w:r>
    </w:p>
    <w:p w14:paraId="051655C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3、《基金合同》生效前的相关费用；</w:t>
      </w:r>
    </w:p>
    <w:p w14:paraId="44E4700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4、其他根据相关法律法规及中国证监会的有关规定不得列入基金费用的项目。</w:t>
      </w:r>
      <w:bookmarkStart w:id="275" w:name="_Hlt88827255"/>
      <w:bookmarkEnd w:id="275"/>
    </w:p>
    <w:p w14:paraId="0AAAAF1D" w14:textId="77777777" w:rsidR="00D51FDF" w:rsidRDefault="007F75F6">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四、基金税收</w:t>
      </w:r>
    </w:p>
    <w:p w14:paraId="510C949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bookmarkStart w:id="276" w:name="_Toc263092322"/>
      <w:bookmarkStart w:id="277" w:name="_Toc214873603"/>
      <w:bookmarkStart w:id="278" w:name="_Toc416264550"/>
      <w:bookmarkStart w:id="279" w:name="_Toc13987"/>
      <w:bookmarkStart w:id="280" w:name="_Toc12105"/>
      <w:bookmarkStart w:id="281" w:name="_Toc32046"/>
      <w:bookmarkStart w:id="282" w:name="_Toc3365"/>
      <w:bookmarkStart w:id="283" w:name="_Toc139991745"/>
      <w:bookmarkStart w:id="284" w:name="_Toc24601"/>
      <w:bookmarkStart w:id="285" w:name="_Toc19706"/>
      <w:bookmarkStart w:id="286" w:name="_Toc141703895"/>
      <w:bookmarkStart w:id="287" w:name="_Toc19752"/>
      <w:bookmarkStart w:id="288" w:name="_Toc32041"/>
      <w:bookmarkStart w:id="289" w:name="_Toc15779"/>
      <w:bookmarkStart w:id="290" w:name="_Toc352229761"/>
      <w:bookmarkStart w:id="291" w:name="_Toc6493"/>
      <w:bookmarkStart w:id="292" w:name="_Toc32227"/>
      <w:bookmarkEnd w:id="264"/>
      <w:bookmarkEnd w:id="265"/>
      <w:bookmarkEnd w:id="266"/>
      <w:bookmarkEnd w:id="267"/>
      <w:bookmarkEnd w:id="268"/>
      <w:bookmarkEnd w:id="269"/>
      <w:bookmarkEnd w:id="270"/>
      <w:bookmarkEnd w:id="271"/>
      <w:bookmarkEnd w:id="272"/>
      <w:bookmarkEnd w:id="273"/>
      <w:r>
        <w:rPr>
          <w:rFonts w:asciiTheme="minorEastAsia" w:hAnsiTheme="minorEastAsia" w:hint="eastAsia"/>
          <w:bCs/>
          <w:sz w:val="24"/>
        </w:rPr>
        <w:t>本基金运作过程中涉及的各纳税主体，其纳税义务按国家税收法律、法规执行。</w:t>
      </w:r>
    </w:p>
    <w:p w14:paraId="6AAD79BC" w14:textId="77777777" w:rsidR="00D51FDF" w:rsidRDefault="007F75F6">
      <w:pPr>
        <w:autoSpaceDE w:val="0"/>
        <w:autoSpaceDN w:val="0"/>
        <w:spacing w:line="360" w:lineRule="auto"/>
        <w:ind w:firstLineChars="200" w:firstLine="480"/>
        <w:textAlignment w:val="bottom"/>
        <w:rPr>
          <w:rFonts w:asciiTheme="minorEastAsia" w:hAnsiTheme="minorEastAsia" w:cs="Times New Roman"/>
          <w:b/>
          <w:color w:val="000000"/>
          <w:kern w:val="0"/>
          <w:sz w:val="24"/>
          <w:szCs w:val="20"/>
        </w:rPr>
      </w:pPr>
      <w:r>
        <w:rPr>
          <w:rFonts w:asciiTheme="minorEastAsia" w:hAnsiTheme="minorEastAsia" w:hint="eastAsia"/>
          <w:bCs/>
          <w:sz w:val="24"/>
        </w:rPr>
        <w:lastRenderedPageBreak/>
        <w:t>基金财产投资的相关税收，由基金份额持有人承担，基金管理人或者其他扣缴义务人按照国家有关税收征收的规定代扣代缴。</w:t>
      </w:r>
      <w:r>
        <w:rPr>
          <w:rFonts w:asciiTheme="minorEastAsia" w:hAnsiTheme="minorEastAsia"/>
        </w:rPr>
        <w:br w:type="page"/>
      </w:r>
    </w:p>
    <w:p w14:paraId="1C241E6E" w14:textId="77777777" w:rsidR="00D51FDF" w:rsidRDefault="007F75F6">
      <w:pPr>
        <w:pStyle w:val="1"/>
        <w:jc w:val="center"/>
        <w:rPr>
          <w:rFonts w:asciiTheme="minorEastAsia" w:eastAsiaTheme="minorEastAsia" w:hAnsiTheme="minorEastAsia"/>
          <w:sz w:val="30"/>
          <w:szCs w:val="30"/>
        </w:rPr>
      </w:pPr>
      <w:bookmarkStart w:id="293" w:name="_Toc2677415"/>
      <w:r>
        <w:rPr>
          <w:rFonts w:asciiTheme="minorEastAsia" w:eastAsiaTheme="minorEastAsia" w:hAnsiTheme="minorEastAsia" w:hint="eastAsia"/>
          <w:sz w:val="30"/>
          <w:szCs w:val="30"/>
        </w:rPr>
        <w:lastRenderedPageBreak/>
        <w:t>第十四部分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基金的会计与审计</w:t>
      </w:r>
      <w:bookmarkEnd w:id="276"/>
      <w:bookmarkEnd w:id="277"/>
      <w:bookmarkEnd w:id="278"/>
      <w:bookmarkEnd w:id="293"/>
    </w:p>
    <w:p w14:paraId="30B0227A"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一、基金会计政策</w:t>
      </w:r>
    </w:p>
    <w:p w14:paraId="702764DB"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1、基金管理人为本基金的基金会计责任方；</w:t>
      </w:r>
    </w:p>
    <w:p w14:paraId="32550ACA"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2、基金的会计年度为公历年度的1月1日至12月31日；基金首次募集的会计年度按如下原则：如果《基金合同》生效少于2个月，可以并入下一个会计年度披露；</w:t>
      </w:r>
    </w:p>
    <w:p w14:paraId="038BAA26"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3、基金核算以人民币为记账本位币，以人民币元为记账单位；</w:t>
      </w:r>
    </w:p>
    <w:p w14:paraId="200B2137"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4、会计制度执行国家有关会计制度；</w:t>
      </w:r>
    </w:p>
    <w:p w14:paraId="6605F14D"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5、本基金独立建账、独立核算；</w:t>
      </w:r>
    </w:p>
    <w:p w14:paraId="0D070B44"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6、基金管理人及基金托管人各自保留完整的会计账目、凭证并进行日常的会计核算，按照有关规定编制基金会计报表；</w:t>
      </w:r>
    </w:p>
    <w:p w14:paraId="6247DF95"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7、基金托管人每月与基金管理人就基金的会计核算、报表编制等进行核对并以书面方式确认。</w:t>
      </w:r>
    </w:p>
    <w:p w14:paraId="7A593396"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二、基金的年度审计</w:t>
      </w:r>
    </w:p>
    <w:p w14:paraId="4B1D073D"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1、基金管理人聘请与基金管理人、基金托管人相互独立的</w:t>
      </w:r>
      <w:r>
        <w:rPr>
          <w:rFonts w:asciiTheme="minorEastAsia" w:hAnsiTheme="minorEastAsia" w:cs="Times New Roman" w:hint="eastAsia"/>
          <w:sz w:val="24"/>
          <w:szCs w:val="24"/>
        </w:rPr>
        <w:t>具有证券、期货相关业务资格的会计师事务所及其注册会计师对本基金的年度财务报表进行审计。</w:t>
      </w:r>
    </w:p>
    <w:p w14:paraId="33AB91D7"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2、会计师事务所更换经办注册会计师，应事先征得基金管理人同意。</w:t>
      </w:r>
    </w:p>
    <w:p w14:paraId="5806C769"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3、基金管理人认为有充足理由更换会计师事务所，须通报基金托管人。更换会计师事务所需在2个工作日内在指定媒介公告</w:t>
      </w:r>
      <w:r>
        <w:rPr>
          <w:rFonts w:asciiTheme="minorEastAsia" w:hAnsiTheme="minorEastAsia" w:cs="Times New Roman" w:hint="eastAsia"/>
          <w:sz w:val="24"/>
          <w:szCs w:val="24"/>
        </w:rPr>
        <w:t>。</w:t>
      </w:r>
    </w:p>
    <w:p w14:paraId="171CECFA" w14:textId="77777777" w:rsidR="00D51FDF" w:rsidRDefault="00D51FDF">
      <w:pPr>
        <w:widowControl/>
        <w:spacing w:line="360" w:lineRule="auto"/>
        <w:jc w:val="left"/>
        <w:rPr>
          <w:rFonts w:asciiTheme="minorEastAsia" w:hAnsiTheme="minorEastAsia" w:cs="Times New Roman"/>
          <w:b/>
          <w:kern w:val="0"/>
          <w:sz w:val="24"/>
          <w:szCs w:val="24"/>
        </w:rPr>
        <w:sectPr w:rsidR="00D51FDF">
          <w:footerReference w:type="default" r:id="rId21"/>
          <w:pgSz w:w="11906" w:h="16838"/>
          <w:pgMar w:top="1440" w:right="1800" w:bottom="1440" w:left="1800" w:header="851" w:footer="992" w:gutter="0"/>
          <w:pgNumType w:chapStyle="1"/>
          <w:cols w:space="720"/>
          <w:docGrid w:type="lines" w:linePitch="312"/>
        </w:sectPr>
      </w:pPr>
    </w:p>
    <w:p w14:paraId="4BBBE087" w14:textId="77777777" w:rsidR="00D51FDF" w:rsidRDefault="007F75F6">
      <w:pPr>
        <w:pStyle w:val="1"/>
        <w:jc w:val="center"/>
        <w:rPr>
          <w:rFonts w:asciiTheme="minorEastAsia" w:eastAsiaTheme="minorEastAsia" w:hAnsiTheme="minorEastAsia"/>
          <w:sz w:val="30"/>
          <w:szCs w:val="30"/>
        </w:rPr>
      </w:pPr>
      <w:bookmarkStart w:id="294" w:name="_Toc79978642"/>
      <w:bookmarkStart w:id="295" w:name="_Toc214873604"/>
      <w:bookmarkStart w:id="296" w:name="_Toc416264551"/>
      <w:bookmarkStart w:id="297" w:name="_Toc2677416"/>
      <w:bookmarkStart w:id="298" w:name="_Toc263092323"/>
      <w:bookmarkStart w:id="299" w:name="_Toc128310499"/>
      <w:bookmarkStart w:id="300" w:name="_Toc93226149"/>
      <w:bookmarkStart w:id="301" w:name="_Toc20052"/>
      <w:bookmarkStart w:id="302" w:name="_Toc141703896"/>
      <w:bookmarkStart w:id="303" w:name="_Toc15351"/>
      <w:bookmarkStart w:id="304" w:name="_Toc25883"/>
      <w:bookmarkStart w:id="305" w:name="_Toc15525"/>
      <w:bookmarkStart w:id="306" w:name="_Toc3656"/>
      <w:bookmarkStart w:id="307" w:name="_Toc21829"/>
      <w:bookmarkStart w:id="308" w:name="_Toc19558"/>
      <w:bookmarkStart w:id="309" w:name="_Toc352229762"/>
      <w:bookmarkStart w:id="310" w:name="_Toc178"/>
      <w:bookmarkStart w:id="311" w:name="_Toc92662707"/>
      <w:bookmarkStart w:id="312" w:name="_Toc12761"/>
      <w:bookmarkStart w:id="313" w:name="_Toc1617"/>
      <w:bookmarkStart w:id="314" w:name="_Toc22552"/>
      <w:bookmarkStart w:id="315" w:name="_Toc139991746"/>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Fonts w:asciiTheme="minorEastAsia" w:eastAsiaTheme="minorEastAsia" w:hAnsiTheme="minorEastAsia" w:hint="eastAsia"/>
          <w:sz w:val="30"/>
          <w:szCs w:val="30"/>
        </w:rPr>
        <w:lastRenderedPageBreak/>
        <w:t>第十五部分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基金的信息披露</w:t>
      </w:r>
      <w:bookmarkEnd w:id="294"/>
      <w:bookmarkEnd w:id="295"/>
      <w:bookmarkEnd w:id="296"/>
      <w:bookmarkEnd w:id="297"/>
      <w:bookmarkEnd w:id="298"/>
    </w:p>
    <w:p w14:paraId="01A16D3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bookmarkStart w:id="316" w:name="_Toc147463125"/>
      <w:bookmarkStart w:id="317" w:name="_Toc263092324"/>
      <w:bookmarkStart w:id="318" w:name="_Toc214873605"/>
      <w:bookmarkStart w:id="319" w:name="_Toc21073398"/>
      <w:bookmarkStart w:id="320" w:name="_Toc416264552"/>
      <w:bookmarkStart w:id="321" w:name="_Toc12357178"/>
      <w:bookmarkStart w:id="322" w:name="_Toc92662708"/>
      <w:bookmarkStart w:id="323" w:name="_Toc93226150"/>
      <w:bookmarkStart w:id="324" w:name="_Toc13255"/>
      <w:bookmarkStart w:id="325" w:name="_Toc23859"/>
      <w:bookmarkStart w:id="326" w:name="_Toc18007"/>
      <w:bookmarkStart w:id="327" w:name="_Toc18747"/>
      <w:bookmarkStart w:id="328" w:name="_Toc17499"/>
      <w:bookmarkStart w:id="329" w:name="_Toc1043"/>
      <w:bookmarkStart w:id="330" w:name="_Toc128310500"/>
      <w:bookmarkStart w:id="331" w:name="_Toc29695"/>
      <w:bookmarkStart w:id="332" w:name="_Toc28961"/>
      <w:bookmarkStart w:id="333" w:name="_Toc10894"/>
      <w:bookmarkStart w:id="334" w:name="_Toc352229763"/>
      <w:bookmarkStart w:id="335" w:name="_Toc141703897"/>
      <w:bookmarkStart w:id="336" w:name="_Toc31736"/>
      <w:bookmarkStart w:id="337" w:name="_Toc139991747"/>
      <w:bookmarkStart w:id="338" w:name="_Toc21206"/>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Fonts w:asciiTheme="minorEastAsia" w:hAnsiTheme="minorEastAsia" w:hint="eastAsia"/>
          <w:bCs/>
          <w:sz w:val="24"/>
        </w:rPr>
        <w:t>一、本基金的信息披露应符合《基金法》、《运作办法》、《信息披露办法》、《基金合同》及其他有关规定。</w:t>
      </w:r>
    </w:p>
    <w:p w14:paraId="28E8A0F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二、信息披露义务人</w:t>
      </w:r>
    </w:p>
    <w:p w14:paraId="7F73FB7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本基金信息披露义务人包括基金管理人、基金托管人、召集基金份额持有人大会的基金份额持有人等法律法规和中国证监会规定的自然人、法人和非法人组织。</w:t>
      </w:r>
    </w:p>
    <w:p w14:paraId="1F832AD6"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60F15C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0BC267E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三、本基金信息披露义务人承诺公开披露的基金信息，不得有下列行为：</w:t>
      </w:r>
    </w:p>
    <w:p w14:paraId="3C19CEA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1、虚假记载、误导性陈述或者重大遗漏；</w:t>
      </w:r>
    </w:p>
    <w:p w14:paraId="4518E70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2、对证券投资业绩进行预测；</w:t>
      </w:r>
    </w:p>
    <w:p w14:paraId="6763F10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3、违规承诺收益或者承担损失；</w:t>
      </w:r>
    </w:p>
    <w:p w14:paraId="002177B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4、诋毁其他基金管理人、基金托管人或者基金销售机构；</w:t>
      </w:r>
    </w:p>
    <w:p w14:paraId="1EF9DAA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5、登载任何自然人、法人或者非法人组织的祝贺性、恭维性或推荐性的文字；</w:t>
      </w:r>
    </w:p>
    <w:p w14:paraId="7247181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6、中国证监会禁止的其他行为。</w:t>
      </w:r>
    </w:p>
    <w:p w14:paraId="2C73C1C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四、本基金公开披露的信息应采用中文文本。如同时采用外文文本的，基金信息披露义务人应保证不同文本的内容一致。不同文本之间发生歧义的，以中文文本为准。</w:t>
      </w:r>
    </w:p>
    <w:p w14:paraId="6FDEF67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本基金公开披露的信息采用阿拉伯数字；除特别说明外，货币单位为人民币元。</w:t>
      </w:r>
    </w:p>
    <w:p w14:paraId="57A326E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五、公开披露的基金信息</w:t>
      </w:r>
    </w:p>
    <w:p w14:paraId="291736D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公开披露的基金信息包括：</w:t>
      </w:r>
    </w:p>
    <w:p w14:paraId="7A9EC8C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（一）基金招募说明书、《基金合同》、基金托管协议、基金产品资料概要</w:t>
      </w:r>
    </w:p>
    <w:p w14:paraId="3889D78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1、《基金合同》是界定《基金合同》当事人的各项权利、义务关系，明确基金份额持有人大会召开的规则及具体程序，说明基金产品的特性等涉及基金投资者重大利益的事项的法律文件。</w:t>
      </w:r>
    </w:p>
    <w:p w14:paraId="1B1F4B4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A9719A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3、基金托管协议是界定基金托管人和基金管理人在基金财产保管及基金运作监督等活动中的权利、义务关系的法律文件。</w:t>
      </w:r>
    </w:p>
    <w:p w14:paraId="31C05DC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BDB99E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72AB11B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（二）基金份额发售公告</w:t>
      </w:r>
    </w:p>
    <w:p w14:paraId="27D4B16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基金管理人应当就基金份额发售的具体事宜编制基金份额发售公告，并在披露招募说明书的当日登载于指定媒介上。</w:t>
      </w:r>
    </w:p>
    <w:p w14:paraId="25A61D7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（三）《基金合同》生效公告</w:t>
      </w:r>
    </w:p>
    <w:p w14:paraId="70C5841E" w14:textId="77777777" w:rsidR="00D51FDF" w:rsidRDefault="007F75F6">
      <w:pPr>
        <w:autoSpaceDE w:val="0"/>
        <w:autoSpaceDN w:val="0"/>
        <w:spacing w:line="360" w:lineRule="auto"/>
        <w:ind w:firstLineChars="200" w:firstLine="480"/>
        <w:textAlignment w:val="bottom"/>
        <w:rPr>
          <w:rFonts w:asciiTheme="minorEastAsia" w:hAnsiTheme="minorEastAsia"/>
        </w:rPr>
      </w:pPr>
      <w:r>
        <w:rPr>
          <w:rFonts w:asciiTheme="minorEastAsia" w:hAnsiTheme="minorEastAsia" w:hint="eastAsia"/>
          <w:bCs/>
          <w:sz w:val="24"/>
        </w:rPr>
        <w:t>基金管理人应当在收到中国证监会确认文件的次日在指定媒介上登载《基金</w:t>
      </w:r>
      <w:r>
        <w:rPr>
          <w:rFonts w:asciiTheme="minorEastAsia" w:hAnsiTheme="minorEastAsia" w:hint="eastAsia"/>
          <w:bCs/>
          <w:sz w:val="24"/>
        </w:rPr>
        <w:lastRenderedPageBreak/>
        <w:t>合同》生效公告</w:t>
      </w:r>
      <w:r>
        <w:rPr>
          <w:rFonts w:asciiTheme="minorEastAsia" w:hAnsiTheme="minorEastAsia" w:hint="eastAsia"/>
        </w:rPr>
        <w:t>。</w:t>
      </w:r>
    </w:p>
    <w:p w14:paraId="646A78F1"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sz w:val="24"/>
          <w:szCs w:val="24"/>
        </w:rPr>
        <w:t>基金合同生效公告中应说明基金募集情况及基金管理人、基金管理人高级管理人员、基金经理等人员以及基金管理</w:t>
      </w:r>
      <w:proofErr w:type="gramStart"/>
      <w:r>
        <w:rPr>
          <w:rFonts w:asciiTheme="minorEastAsia" w:hAnsiTheme="minorEastAsia"/>
          <w:sz w:val="24"/>
          <w:szCs w:val="24"/>
        </w:rPr>
        <w:t>人股东</w:t>
      </w:r>
      <w:proofErr w:type="gramEnd"/>
      <w:r>
        <w:rPr>
          <w:rFonts w:asciiTheme="minorEastAsia" w:hAnsiTheme="minorEastAsia"/>
          <w:sz w:val="24"/>
          <w:szCs w:val="24"/>
        </w:rPr>
        <w:t>持有的基金份额、承诺持有的期限等情况。</w:t>
      </w:r>
    </w:p>
    <w:p w14:paraId="63AEB41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（四）基金净值信息</w:t>
      </w:r>
    </w:p>
    <w:p w14:paraId="404041A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《基金合同》生效后，在开始办理基金份额申购或者赎回前，基金管理人应当至少每周在指定网站披露一次基金份额净值和基金份额累计净值。</w:t>
      </w:r>
    </w:p>
    <w:p w14:paraId="7C22A4D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在开始办理基金份额申购或者赎回后，基金管理人应当在不晚于每个开放日的次日，通过其指定网站、基金销售机构网站或营业网点披露开放日的基金份额净值和基金份额累计净值。</w:t>
      </w:r>
    </w:p>
    <w:p w14:paraId="5819ABE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基金管理人应在不晚于半年度和年度最后一日的次日，在指定网站披露半年度和年度最后一日的基金份额净值和基金份额累计净值。</w:t>
      </w:r>
    </w:p>
    <w:p w14:paraId="6BE4D64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（五）基金份额申购、赎回价格</w:t>
      </w:r>
    </w:p>
    <w:p w14:paraId="44FDF47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基金管理人应当在《基金合同》、招募说明书等信息披露文件上载</w:t>
      </w:r>
      <w:proofErr w:type="gramStart"/>
      <w:r>
        <w:rPr>
          <w:rFonts w:asciiTheme="minorEastAsia" w:hAnsiTheme="minorEastAsia" w:hint="eastAsia"/>
          <w:bCs/>
          <w:sz w:val="24"/>
        </w:rPr>
        <w:t>明基金</w:t>
      </w:r>
      <w:proofErr w:type="gramEnd"/>
      <w:r>
        <w:rPr>
          <w:rFonts w:asciiTheme="minorEastAsia" w:hAnsiTheme="minorEastAsia" w:hint="eastAsia"/>
          <w:bCs/>
          <w:sz w:val="24"/>
        </w:rPr>
        <w:t>份额申购、赎回价格的计算方式及有关申购、赎回费率，并保证投资者能够在基金销售机构网站或营业网点查阅或者复制前述信息库资料。</w:t>
      </w:r>
    </w:p>
    <w:p w14:paraId="5D98E8A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（六）基金定期报告，包括基金年度报告、基金中期报告和基金季度报告</w:t>
      </w:r>
    </w:p>
    <w:p w14:paraId="4E21291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14:paraId="6931ADC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基金管理人应当在上半年结束之日起两个月内，编制完成基金中期报告，将中期报告登载在指定网站上，并将中期报告提示性公告登载在指定报刊上。</w:t>
      </w:r>
    </w:p>
    <w:p w14:paraId="31E43FA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基金管理人应当在每个季度结束之日起15个工作日内，编制完成基金季度报告，将季度报告登载在指定网站上，并将季度报告提示性公告登载在指定报刊上。</w:t>
      </w:r>
    </w:p>
    <w:p w14:paraId="1C6B92E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基金管理人应在年度报告、中期报告、季度报告中分别披露基金管理人、基金管理人高级管理人员、基金经理等人员以及基金管理</w:t>
      </w:r>
      <w:proofErr w:type="gramStart"/>
      <w:r>
        <w:rPr>
          <w:rFonts w:asciiTheme="minorEastAsia" w:hAnsiTheme="minorEastAsia" w:hint="eastAsia"/>
          <w:bCs/>
          <w:sz w:val="24"/>
        </w:rPr>
        <w:t>人股东</w:t>
      </w:r>
      <w:proofErr w:type="gramEnd"/>
      <w:r>
        <w:rPr>
          <w:rFonts w:asciiTheme="minorEastAsia" w:hAnsiTheme="minorEastAsia" w:hint="eastAsia"/>
          <w:bCs/>
          <w:sz w:val="24"/>
        </w:rPr>
        <w:t>持有基金的份额、期限</w:t>
      </w:r>
      <w:proofErr w:type="gramStart"/>
      <w:r>
        <w:rPr>
          <w:rFonts w:asciiTheme="minorEastAsia" w:hAnsiTheme="minorEastAsia" w:hint="eastAsia"/>
          <w:bCs/>
          <w:sz w:val="24"/>
        </w:rPr>
        <w:t>及期间</w:t>
      </w:r>
      <w:proofErr w:type="gramEnd"/>
      <w:r>
        <w:rPr>
          <w:rFonts w:asciiTheme="minorEastAsia" w:hAnsiTheme="minorEastAsia" w:hint="eastAsia"/>
          <w:bCs/>
          <w:sz w:val="24"/>
        </w:rPr>
        <w:t>的变动情况。</w:t>
      </w:r>
    </w:p>
    <w:p w14:paraId="65EFBDE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《基金合同》生效不足2个月的，基金管理人可以不编制当期季度报告、中</w:t>
      </w:r>
      <w:r>
        <w:rPr>
          <w:rFonts w:asciiTheme="minorEastAsia" w:hAnsiTheme="minorEastAsia" w:hint="eastAsia"/>
          <w:bCs/>
          <w:sz w:val="24"/>
        </w:rPr>
        <w:lastRenderedPageBreak/>
        <w:t>期报告或者年度报告。</w:t>
      </w:r>
    </w:p>
    <w:p w14:paraId="3955F94D" w14:textId="77777777" w:rsidR="00D51FDF" w:rsidRDefault="00D51FDF">
      <w:pPr>
        <w:autoSpaceDE w:val="0"/>
        <w:autoSpaceDN w:val="0"/>
        <w:spacing w:line="360" w:lineRule="auto"/>
        <w:ind w:firstLineChars="200" w:firstLine="480"/>
        <w:textAlignment w:val="bottom"/>
        <w:rPr>
          <w:rFonts w:asciiTheme="minorEastAsia" w:hAnsiTheme="minorEastAsia"/>
          <w:bCs/>
          <w:sz w:val="24"/>
        </w:rPr>
      </w:pPr>
    </w:p>
    <w:p w14:paraId="3249CE66" w14:textId="77777777" w:rsidR="00D51FDF" w:rsidRDefault="007F75F6">
      <w:pPr>
        <w:autoSpaceDE w:val="0"/>
        <w:autoSpaceDN w:val="0"/>
        <w:spacing w:line="360" w:lineRule="auto"/>
        <w:ind w:firstLineChars="200" w:firstLine="480"/>
        <w:textAlignment w:val="bottom"/>
        <w:rPr>
          <w:rFonts w:asciiTheme="minorEastAsia" w:hAnsiTheme="minorEastAsia"/>
          <w:sz w:val="24"/>
          <w:szCs w:val="24"/>
        </w:rPr>
      </w:pPr>
      <w:r>
        <w:rPr>
          <w:rFonts w:asciiTheme="minorEastAsia" w:hAnsiTheme="minorEastAsia" w:hint="eastAsia"/>
          <w:sz w:val="24"/>
          <w:szCs w:val="24"/>
        </w:rPr>
        <w:t>如报告期内出现单一投资者持有基金份额达到或超过基金总份额</w:t>
      </w:r>
      <w:r>
        <w:rPr>
          <w:rFonts w:asciiTheme="minorEastAsia" w:hAnsiTheme="minorEastAsia"/>
          <w:sz w:val="24"/>
          <w:szCs w:val="24"/>
        </w:rPr>
        <w:t>20%的情形，为保障其他投资者利益，基金管理人至少应当在定期报告“影响投资者决策的其他重要信息”项下披露该投资者的类别、报告期末持有份额及占比、报告期内持有份额变化情况及本基金的特有风险。</w:t>
      </w:r>
    </w:p>
    <w:p w14:paraId="547FE736"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本基金持续运作过程中，应当在基金年度报告和中期报告中披露基金组合资产情况及其流动性风险分析等。</w:t>
      </w:r>
    </w:p>
    <w:p w14:paraId="49D5D96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（七）临时报告</w:t>
      </w:r>
    </w:p>
    <w:p w14:paraId="2C016B7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本基金发生重大事件，有关信息披露义务人应在2日内编制临时报告书，并登载在指定报刊和指定网站上。</w:t>
      </w:r>
    </w:p>
    <w:p w14:paraId="4D85103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前款所称重大事件，是指可能对基金份额持有人权益或者基金份额的价格产生重大影响的下列事件：</w:t>
      </w:r>
    </w:p>
    <w:p w14:paraId="04CC199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1、基金份额持有人大会的召开及决定的事项；</w:t>
      </w:r>
    </w:p>
    <w:p w14:paraId="24FDDF1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2、基金终止上市交易、基金合同终止、基金清算；</w:t>
      </w:r>
    </w:p>
    <w:p w14:paraId="3A64422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3、转换基金运作方式、基金合并；</w:t>
      </w:r>
    </w:p>
    <w:p w14:paraId="334AD95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4、更换基金管理人、基金托管人、基金份额登记机构，基金改聘会计师事务所；</w:t>
      </w:r>
    </w:p>
    <w:p w14:paraId="5980AC2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5、基金管理人委托基金服务机构代为办理基金的份额登记、核算、估值等事项，基金托管人委托基金服务机构代为办理基金的核算、估值、复核等事项；</w:t>
      </w:r>
    </w:p>
    <w:p w14:paraId="3859544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6、基金管理人、基金托管人的法定名称、住所发生变更；</w:t>
      </w:r>
    </w:p>
    <w:p w14:paraId="5603B25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7、基金管理人变更持有百分之五以上股权的股东、基金管理人的实际控制人变更；</w:t>
      </w:r>
    </w:p>
    <w:p w14:paraId="66DC849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8、基金募集期延长或提前结束募集；</w:t>
      </w:r>
    </w:p>
    <w:p w14:paraId="34D6C94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9、基金管理人的高级管理人员、基金经理和基金托管人专门基金托管部门负责人发生变动；</w:t>
      </w:r>
    </w:p>
    <w:p w14:paraId="2EF391E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10、基金管理人的董事在最近12个月内变更超过百分之五十，基金管理人、基金托管人专门基金托管部门的主要业务人员在最近12个月内，变动超过百分之三十；</w:t>
      </w:r>
    </w:p>
    <w:p w14:paraId="5130920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11、涉及基金财产、基金管理业务、基金托管业务的诉讼或仲裁；</w:t>
      </w:r>
    </w:p>
    <w:p w14:paraId="4F5FB55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5BDBD4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7B13165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14、基金收益分配事项；</w:t>
      </w:r>
    </w:p>
    <w:p w14:paraId="264E229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15、管理费、托管费、申购费、赎回费等费用计提标准、计提方式和费率发生变更；</w:t>
      </w:r>
    </w:p>
    <w:p w14:paraId="1E91B9D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16、基金份额净值计价错误</w:t>
      </w:r>
      <w:proofErr w:type="gramStart"/>
      <w:r>
        <w:rPr>
          <w:rFonts w:asciiTheme="minorEastAsia" w:hAnsiTheme="minorEastAsia" w:hint="eastAsia"/>
          <w:bCs/>
          <w:sz w:val="24"/>
        </w:rPr>
        <w:t>达基金</w:t>
      </w:r>
      <w:proofErr w:type="gramEnd"/>
      <w:r>
        <w:rPr>
          <w:rFonts w:asciiTheme="minorEastAsia" w:hAnsiTheme="minorEastAsia" w:hint="eastAsia"/>
          <w:bCs/>
          <w:sz w:val="24"/>
        </w:rPr>
        <w:t>份额净值百分之零点五；</w:t>
      </w:r>
    </w:p>
    <w:p w14:paraId="579470A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17、本基金开始办理申购、赎回；</w:t>
      </w:r>
    </w:p>
    <w:p w14:paraId="74B1E1C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18、本基金暂定接受申购、赎回申请或重新接受申购、赎回申请；</w:t>
      </w:r>
    </w:p>
    <w:p w14:paraId="672F4A7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19、基金变更标的指数；</w:t>
      </w:r>
    </w:p>
    <w:p w14:paraId="1C49641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20、基金份额停牌、复牌、暂停上市、恢复上市或终止上市交易；</w:t>
      </w:r>
    </w:p>
    <w:p w14:paraId="4690C50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21、调整最小申购赎回单位、申购赎回方式及申购对价、赎回对价组成；</w:t>
      </w:r>
    </w:p>
    <w:p w14:paraId="3AE38A1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22、调整基金份额类别的设置；</w:t>
      </w:r>
    </w:p>
    <w:p w14:paraId="46365BF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23、基金推出新业务或服务；</w:t>
      </w:r>
    </w:p>
    <w:p w14:paraId="2E720B7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24、基金信息披露义务人认为可能对基金份额持有人权益或者基金份额的价格产生重大影响的其他事项或中国证监会规定的其他事项。</w:t>
      </w:r>
    </w:p>
    <w:p w14:paraId="682F733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（八）澄清公告</w:t>
      </w:r>
    </w:p>
    <w:p w14:paraId="7F6385F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816C95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（九）清算报告</w:t>
      </w:r>
    </w:p>
    <w:p w14:paraId="0D36F76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基金合同终止的，基金管理人应当依法组织基金财产清算小组对基金财产进行清算并</w:t>
      </w:r>
      <w:proofErr w:type="gramStart"/>
      <w:r>
        <w:rPr>
          <w:rFonts w:asciiTheme="minorEastAsia" w:hAnsiTheme="minorEastAsia" w:hint="eastAsia"/>
          <w:bCs/>
          <w:sz w:val="24"/>
        </w:rPr>
        <w:t>作出</w:t>
      </w:r>
      <w:proofErr w:type="gramEnd"/>
      <w:r>
        <w:rPr>
          <w:rFonts w:asciiTheme="minorEastAsia" w:hAnsiTheme="minorEastAsia" w:hint="eastAsia"/>
          <w:bCs/>
          <w:sz w:val="24"/>
        </w:rPr>
        <w:t>清算报告。基金财产清算小组应当将清算报告登载在指定网站上，并将清算报告提示性公告登载在指定报刊上。</w:t>
      </w:r>
    </w:p>
    <w:p w14:paraId="10BF153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（十）基金份额持有人大会决议</w:t>
      </w:r>
    </w:p>
    <w:p w14:paraId="0D9DF28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基金份额持有人大会决定的事项，应当依法报中国证监会备案，并予以公告。</w:t>
      </w:r>
    </w:p>
    <w:p w14:paraId="7F6D7E6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（十一）投资股指期货的信息披露</w:t>
      </w:r>
    </w:p>
    <w:p w14:paraId="2696339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B4523E8"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（十二）投资国债期货的信息披露</w:t>
      </w:r>
    </w:p>
    <w:p w14:paraId="567F5A24"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6EB1EF6B"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（十三）投资股票期权的信息披露</w:t>
      </w:r>
    </w:p>
    <w:p w14:paraId="3B3ABBA1"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73CEEB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（十四）投资中小企业私募债券的信息披露</w:t>
      </w:r>
    </w:p>
    <w:p w14:paraId="579F03E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0A648BF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（十五）投资资产支持证券的信息披露</w:t>
      </w:r>
    </w:p>
    <w:p w14:paraId="4E59F8D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6CAC2AD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（十六）中国证监会规定的其他信息。</w:t>
      </w:r>
    </w:p>
    <w:p w14:paraId="23F4790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六、信息披露事务管理</w:t>
      </w:r>
    </w:p>
    <w:p w14:paraId="74D41CB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基金管理人、基金托管人应当建立健全信息披露管理制度，指定专门部门及高级管理人员负责管理信息披露事务。</w:t>
      </w:r>
    </w:p>
    <w:p w14:paraId="085E9F8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基金信息披露义务人公开披露基金信息，应当符合中国证监会相关基金信息披露内容与格式准则等法规的规定。</w:t>
      </w:r>
    </w:p>
    <w:p w14:paraId="3119D7A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w:t>
      </w:r>
      <w:proofErr w:type="gramStart"/>
      <w:r>
        <w:rPr>
          <w:rFonts w:asciiTheme="minorEastAsia" w:hAnsiTheme="minorEastAsia" w:hint="eastAsia"/>
          <w:bCs/>
          <w:sz w:val="24"/>
        </w:rPr>
        <w:t>进行进行</w:t>
      </w:r>
      <w:proofErr w:type="gramEnd"/>
      <w:r>
        <w:rPr>
          <w:rFonts w:asciiTheme="minorEastAsia" w:hAnsiTheme="minorEastAsia" w:hint="eastAsia"/>
          <w:bCs/>
          <w:sz w:val="24"/>
        </w:rPr>
        <w:t>复核、审查，并向基金管理人进行书面或电子确认。</w:t>
      </w:r>
    </w:p>
    <w:p w14:paraId="4772051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7C39453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3C228D8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基金管理人、基金托管人除按法律法规要求披露信息外、也可着眼于为投资者决策提供有用信息的角度，在保证公平对待投资者、</w:t>
      </w:r>
      <w:proofErr w:type="gramStart"/>
      <w:r>
        <w:rPr>
          <w:rFonts w:asciiTheme="minorEastAsia" w:hAnsiTheme="minorEastAsia" w:hint="eastAsia"/>
          <w:bCs/>
          <w:sz w:val="24"/>
        </w:rPr>
        <w:t>不</w:t>
      </w:r>
      <w:proofErr w:type="gramEnd"/>
      <w:r>
        <w:rPr>
          <w:rFonts w:asciiTheme="minorEastAsia" w:hAnsiTheme="minorEastAsia"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49D4A3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为基金信息披露义务人公开披露的基金信息出具审计报告、法律意见书的专业机构，应当制作工作底稿，并将相关档案至少保存到《基金合同》终止后</w:t>
      </w:r>
      <w:r>
        <w:rPr>
          <w:rFonts w:asciiTheme="minorEastAsia" w:hAnsiTheme="minorEastAsia"/>
          <w:bCs/>
          <w:sz w:val="24"/>
        </w:rPr>
        <w:t>10</w:t>
      </w:r>
      <w:r>
        <w:rPr>
          <w:rFonts w:asciiTheme="minorEastAsia" w:hAnsiTheme="minorEastAsia" w:hint="eastAsia"/>
          <w:bCs/>
          <w:sz w:val="24"/>
        </w:rPr>
        <w:t>年。</w:t>
      </w:r>
    </w:p>
    <w:p w14:paraId="7135F53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七、信息披露文件的存放与查阅</w:t>
      </w:r>
    </w:p>
    <w:p w14:paraId="3E0CAD13" w14:textId="77777777" w:rsidR="00D51FDF" w:rsidRDefault="007F75F6">
      <w:pPr>
        <w:autoSpaceDE w:val="0"/>
        <w:autoSpaceDN w:val="0"/>
        <w:spacing w:line="360" w:lineRule="auto"/>
        <w:ind w:firstLineChars="200" w:firstLine="480"/>
        <w:textAlignment w:val="bottom"/>
        <w:rPr>
          <w:rFonts w:asciiTheme="minorEastAsia" w:hAnsiTheme="minorEastAsia" w:cs="Times New Roman"/>
          <w:b/>
          <w:kern w:val="0"/>
          <w:sz w:val="24"/>
          <w:szCs w:val="24"/>
        </w:rPr>
        <w:sectPr w:rsidR="00D51FDF">
          <w:footerReference w:type="default" r:id="rId22"/>
          <w:pgSz w:w="11906" w:h="16838"/>
          <w:pgMar w:top="1440" w:right="1800" w:bottom="1440" w:left="1800" w:header="851" w:footer="992" w:gutter="0"/>
          <w:pgNumType w:chapStyle="1"/>
          <w:cols w:space="720"/>
          <w:docGrid w:type="lines" w:linePitch="312"/>
        </w:sectPr>
      </w:pPr>
      <w:r>
        <w:rPr>
          <w:rFonts w:asciiTheme="minorEastAsia" w:hAnsiTheme="minorEastAsia" w:hint="eastAsia"/>
          <w:bCs/>
          <w:sz w:val="24"/>
        </w:rPr>
        <w:t>依法必须披露的信息发布后，基金管理人、基金托管人应当按照相关法律法规规定将信息置备于公司住所、基金上市交易的证券交易所，供社会公众查阅、复制。</w:t>
      </w:r>
    </w:p>
    <w:p w14:paraId="07587C03" w14:textId="77777777" w:rsidR="00D51FDF" w:rsidRDefault="007F75F6">
      <w:pPr>
        <w:pStyle w:val="1"/>
        <w:jc w:val="center"/>
        <w:rPr>
          <w:rFonts w:asciiTheme="minorEastAsia" w:eastAsiaTheme="minorEastAsia" w:hAnsiTheme="minorEastAsia"/>
          <w:sz w:val="30"/>
          <w:szCs w:val="30"/>
        </w:rPr>
      </w:pPr>
      <w:bookmarkStart w:id="339" w:name="_Toc2677417"/>
      <w:r>
        <w:rPr>
          <w:rFonts w:asciiTheme="minorEastAsia" w:eastAsiaTheme="minorEastAsia" w:hAnsiTheme="minorEastAsia" w:hint="eastAsia"/>
          <w:sz w:val="30"/>
          <w:szCs w:val="30"/>
        </w:rPr>
        <w:lastRenderedPageBreak/>
        <w:t>第十六部分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风险揭示</w:t>
      </w:r>
      <w:bookmarkEnd w:id="316"/>
      <w:bookmarkEnd w:id="317"/>
      <w:bookmarkEnd w:id="318"/>
      <w:bookmarkEnd w:id="319"/>
      <w:bookmarkEnd w:id="320"/>
      <w:bookmarkEnd w:id="321"/>
      <w:bookmarkEnd w:id="339"/>
    </w:p>
    <w:p w14:paraId="689A24DA"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7C84AE03"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09149BBC"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76A72B79"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063BB94C"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3C40414C"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0815CC4A"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74AF7E4"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2214CAD5"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12B62187"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7030EAD7"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1FAE4028"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7ADFF05B"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1）拟投资市场、行业及资产的流动性风险评估</w:t>
      </w:r>
    </w:p>
    <w:p w14:paraId="7C14CB3D"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44C5F0D9"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 xml:space="preserve">2）巨额赎回情形下的流动性风险管理措施 </w:t>
      </w:r>
    </w:p>
    <w:p w14:paraId="78B5A140"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AF80E15"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3）实施备用的流动性风险管理工具的情形、程序及对投资者的潜在影响</w:t>
      </w:r>
    </w:p>
    <w:p w14:paraId="494122F4"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62E6D70F"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4CD55448"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2F0F3555"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757DDC49"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7878D7A0"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4EF4FFBF"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28042E83"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43790F30" w14:textId="77777777" w:rsidR="00D51FDF" w:rsidRDefault="007F75F6">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cs="Arial"/>
          <w:bCs/>
          <w:sz w:val="24"/>
          <w:szCs w:val="24"/>
        </w:rPr>
        <w:t>1</w:t>
      </w:r>
      <w:r>
        <w:rPr>
          <w:rFonts w:asciiTheme="minorEastAsia" w:hAnsiTheme="minorEastAsia" w:cs="Arial" w:hint="eastAsia"/>
          <w:bCs/>
          <w:sz w:val="24"/>
          <w:szCs w:val="24"/>
        </w:rPr>
        <w:t>、</w:t>
      </w:r>
      <w:r>
        <w:rPr>
          <w:rFonts w:asciiTheme="minorEastAsia" w:hAnsiTheme="minorEastAsia" w:hint="eastAsia"/>
          <w:sz w:val="24"/>
          <w:szCs w:val="24"/>
        </w:rPr>
        <w:t>本基金属于混合型基金，将根据资本市场情况灵活选择权益类、固定收益类</w:t>
      </w:r>
      <w:r>
        <w:rPr>
          <w:rFonts w:asciiTheme="minorEastAsia" w:hAnsiTheme="minorEastAsia"/>
          <w:sz w:val="24"/>
          <w:szCs w:val="24"/>
        </w:rPr>
        <w:t xml:space="preserve"> </w:t>
      </w:r>
      <w:r>
        <w:rPr>
          <w:rFonts w:asciiTheme="minorEastAsia" w:hAnsiTheme="minorEastAsia" w:hint="eastAsia"/>
          <w:sz w:val="24"/>
          <w:szCs w:val="24"/>
        </w:rPr>
        <w:t>资产投资比例及策略，因此本基金将受到来自权益市场及固定收益市场两方面风险：一方面如果固定收益市场系统性风险爆发或对各类固定收益金融工具的选择</w:t>
      </w:r>
      <w:r>
        <w:rPr>
          <w:rFonts w:asciiTheme="minorEastAsia" w:hAnsiTheme="minorEastAsia"/>
          <w:sz w:val="24"/>
          <w:szCs w:val="24"/>
        </w:rPr>
        <w:t xml:space="preserve"> </w:t>
      </w:r>
      <w:r>
        <w:rPr>
          <w:rFonts w:asciiTheme="minorEastAsia" w:hAnsiTheme="minorEastAsia" w:hint="eastAsia"/>
          <w:sz w:val="24"/>
          <w:szCs w:val="24"/>
        </w:rPr>
        <w:t>不</w:t>
      </w:r>
      <w:proofErr w:type="gramStart"/>
      <w:r>
        <w:rPr>
          <w:rFonts w:asciiTheme="minorEastAsia" w:hAnsiTheme="minorEastAsia" w:hint="eastAsia"/>
          <w:sz w:val="24"/>
          <w:szCs w:val="24"/>
        </w:rPr>
        <w:t>准确都</w:t>
      </w:r>
      <w:proofErr w:type="gramEnd"/>
      <w:r>
        <w:rPr>
          <w:rFonts w:asciiTheme="minorEastAsia" w:hAnsiTheme="minorEastAsia" w:hint="eastAsia"/>
          <w:sz w:val="24"/>
          <w:szCs w:val="24"/>
        </w:rPr>
        <w:t>将对本基金的净值表现造成不利影响；另一方面，对股票市场</w:t>
      </w:r>
      <w:r>
        <w:rPr>
          <w:rFonts w:asciiTheme="minorEastAsia" w:hAnsiTheme="minorEastAsia" w:hint="eastAsia"/>
          <w:sz w:val="24"/>
          <w:szCs w:val="24"/>
        </w:rPr>
        <w:lastRenderedPageBreak/>
        <w:t>的筛选与</w:t>
      </w:r>
      <w:r>
        <w:rPr>
          <w:rFonts w:asciiTheme="minorEastAsia" w:hAnsiTheme="minorEastAsia"/>
          <w:sz w:val="24"/>
          <w:szCs w:val="24"/>
        </w:rPr>
        <w:t xml:space="preserve"> </w:t>
      </w:r>
      <w:r>
        <w:rPr>
          <w:rFonts w:asciiTheme="minorEastAsia" w:hAnsiTheme="minorEastAsia" w:hint="eastAsia"/>
          <w:sz w:val="24"/>
          <w:szCs w:val="24"/>
        </w:rPr>
        <w:t>判断是否科学、准确，基本面研究以及定量分析的准确性，也将影响到本基金所</w:t>
      </w:r>
      <w:r>
        <w:rPr>
          <w:rFonts w:asciiTheme="minorEastAsia" w:hAnsiTheme="minorEastAsia"/>
          <w:sz w:val="24"/>
          <w:szCs w:val="24"/>
        </w:rPr>
        <w:t xml:space="preserve"> </w:t>
      </w:r>
      <w:r>
        <w:rPr>
          <w:rFonts w:asciiTheme="minorEastAsia" w:hAnsiTheme="minorEastAsia" w:hint="eastAsia"/>
          <w:sz w:val="24"/>
          <w:szCs w:val="24"/>
        </w:rPr>
        <w:t>选券种能否符合预期投资目标。</w:t>
      </w:r>
    </w:p>
    <w:p w14:paraId="164875BD"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hint="eastAsia"/>
          <w:sz w:val="24"/>
          <w:szCs w:val="24"/>
        </w:rPr>
        <w:t>本基金是发起式基金，在基金合同生效之日起三年后的对应日，</w:t>
      </w:r>
      <w:proofErr w:type="gramStart"/>
      <w:r>
        <w:rPr>
          <w:rFonts w:asciiTheme="minorEastAsia" w:hAnsiTheme="minorEastAsia" w:hint="eastAsia"/>
          <w:sz w:val="24"/>
          <w:szCs w:val="24"/>
        </w:rPr>
        <w:t>若基金</w:t>
      </w:r>
      <w:proofErr w:type="gramEnd"/>
      <w:r>
        <w:rPr>
          <w:rFonts w:asciiTheme="minorEastAsia" w:hAnsiTheme="minorEastAsia" w:hint="eastAsia"/>
          <w:sz w:val="24"/>
          <w:szCs w:val="24"/>
        </w:rPr>
        <w:t>资产规模低于</w:t>
      </w:r>
      <w:r>
        <w:rPr>
          <w:rFonts w:asciiTheme="minorEastAsia" w:hAnsiTheme="minorEastAsia"/>
          <w:sz w:val="24"/>
          <w:szCs w:val="24"/>
        </w:rPr>
        <w:t>2</w:t>
      </w:r>
      <w:r>
        <w:rPr>
          <w:rFonts w:asciiTheme="minorEastAsia" w:hAnsiTheme="minorEastAsia" w:hint="eastAsia"/>
          <w:sz w:val="24"/>
          <w:szCs w:val="24"/>
        </w:rPr>
        <w:t>亿元，基金合同应当按照基金合同约定的程序自动终止，且不得通过召开基金份额持有人大会的方式延续，投资者将面临基金合同可能自动终止的不确定性风险。</w:t>
      </w:r>
    </w:p>
    <w:p w14:paraId="74D98A34"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5897F615"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58C873F2"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1D14EF78"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hint="eastAsia"/>
          <w:sz w:val="24"/>
          <w:szCs w:val="24"/>
        </w:rPr>
        <w:t>股票期权交易采用保证金交易的方式，投资者的潜在损失和收益都可能成倍</w:t>
      </w:r>
      <w:r>
        <w:rPr>
          <w:rFonts w:asciiTheme="minorEastAsia" w:hAnsiTheme="minorEastAsia"/>
          <w:sz w:val="24"/>
          <w:szCs w:val="24"/>
        </w:rPr>
        <w:t xml:space="preserve"> </w:t>
      </w:r>
      <w:r>
        <w:rPr>
          <w:rFonts w:asciiTheme="minorEastAsia" w:hAnsiTheme="minorEastAsia" w:hint="eastAsia"/>
          <w:sz w:val="24"/>
          <w:szCs w:val="24"/>
        </w:rPr>
        <w:t>放大，尤其是卖出开仓期权的投资者面临的损失总额可能超过其支付的全部初始</w:t>
      </w:r>
      <w:r>
        <w:rPr>
          <w:rFonts w:asciiTheme="minorEastAsia" w:hAnsiTheme="minorEastAsia"/>
          <w:sz w:val="24"/>
          <w:szCs w:val="24"/>
        </w:rPr>
        <w:t xml:space="preserve"> </w:t>
      </w:r>
      <w:r>
        <w:rPr>
          <w:rFonts w:asciiTheme="minorEastAsia" w:hAnsiTheme="minorEastAsia" w:hint="eastAsia"/>
          <w:sz w:val="24"/>
          <w:szCs w:val="24"/>
        </w:rPr>
        <w:t>保证金以及追加的保证金，具有杠杆性风险。在参与股票期权交易时，应当关注</w:t>
      </w:r>
      <w:r>
        <w:rPr>
          <w:rFonts w:asciiTheme="minorEastAsia" w:hAnsiTheme="minorEastAsia"/>
          <w:sz w:val="24"/>
          <w:szCs w:val="24"/>
        </w:rPr>
        <w:t xml:space="preserve"> </w:t>
      </w:r>
      <w:r>
        <w:rPr>
          <w:rFonts w:asciiTheme="minorEastAsia" w:hAnsiTheme="minorEastAsia" w:hint="eastAsia"/>
          <w:sz w:val="24"/>
          <w:szCs w:val="24"/>
        </w:rPr>
        <w:t>股票现货市场的价格波动、股票期权的价格波动和其他市场风险以及可能造成的</w:t>
      </w:r>
      <w:r>
        <w:rPr>
          <w:rFonts w:asciiTheme="minorEastAsia" w:hAnsiTheme="minorEastAsia"/>
          <w:sz w:val="24"/>
          <w:szCs w:val="24"/>
        </w:rPr>
        <w:t xml:space="preserve"> </w:t>
      </w:r>
      <w:r>
        <w:rPr>
          <w:rFonts w:asciiTheme="minorEastAsia" w:hAnsiTheme="minorEastAsia" w:hint="eastAsia"/>
          <w:sz w:val="24"/>
          <w:szCs w:val="24"/>
        </w:rPr>
        <w:t>损失。</w:t>
      </w:r>
    </w:p>
    <w:p w14:paraId="47339F4B"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2272CBC7"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2900485E"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4、资产支持证券投资风险</w:t>
      </w:r>
    </w:p>
    <w:p w14:paraId="0AE50509"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w:t>
      </w:r>
      <w:r>
        <w:rPr>
          <w:rFonts w:asciiTheme="minorEastAsia" w:hAnsiTheme="minorEastAsia" w:cs="Arial"/>
          <w:bCs/>
          <w:sz w:val="24"/>
          <w:szCs w:val="24"/>
        </w:rPr>
        <w:t>ABS）或资产支持票据（ABN）是</w:t>
      </w:r>
      <w:r>
        <w:rPr>
          <w:rFonts w:asciiTheme="minorEastAsia" w:hAnsiTheme="minorEastAsia" w:cs="Arial" w:hint="eastAsia"/>
          <w:bCs/>
          <w:sz w:val="24"/>
          <w:szCs w:val="24"/>
        </w:rPr>
        <w:lastRenderedPageBreak/>
        <w:t>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EFED74E"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6196852E"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6680183D"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5B2ED6E4"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2EF6D6E6"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4E9F08E0"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4624529D"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7A8237AF"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709F2EEE" w14:textId="77777777" w:rsidR="00D51FDF" w:rsidRDefault="007F75F6">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w:t>
      </w:r>
      <w:r>
        <w:rPr>
          <w:rFonts w:asciiTheme="minorEastAsia" w:hAnsiTheme="minorEastAsia" w:cs="Arial" w:hint="eastAsia"/>
          <w:bCs/>
          <w:sz w:val="24"/>
          <w:szCs w:val="24"/>
        </w:rPr>
        <w:lastRenderedPageBreak/>
        <w:t>超出基金管理人自身直接控制能力之外的风险，可能导致基金或者基金份额持有人利益受损。</w:t>
      </w:r>
    </w:p>
    <w:p w14:paraId="25D85221" w14:textId="77777777" w:rsidR="00D51FDF" w:rsidRDefault="00D51FDF">
      <w:pPr>
        <w:widowControl/>
        <w:spacing w:line="360" w:lineRule="auto"/>
        <w:jc w:val="left"/>
        <w:rPr>
          <w:rFonts w:asciiTheme="minorEastAsia" w:hAnsiTheme="minorEastAsia" w:cs="Times New Roman"/>
          <w:b/>
          <w:bCs/>
          <w:kern w:val="44"/>
          <w:sz w:val="24"/>
          <w:szCs w:val="24"/>
        </w:rPr>
        <w:sectPr w:rsidR="00D51FDF">
          <w:pgSz w:w="11906" w:h="16838"/>
          <w:pgMar w:top="1440" w:right="1800" w:bottom="1440" w:left="1800" w:header="851" w:footer="992" w:gutter="0"/>
          <w:pgNumType w:chapStyle="1"/>
          <w:cols w:space="720"/>
          <w:docGrid w:type="lines" w:linePitch="312"/>
        </w:sectPr>
      </w:pPr>
    </w:p>
    <w:p w14:paraId="76D38497" w14:textId="77777777" w:rsidR="00D51FDF" w:rsidRDefault="007F75F6">
      <w:pPr>
        <w:pStyle w:val="1"/>
        <w:jc w:val="center"/>
        <w:rPr>
          <w:rFonts w:asciiTheme="minorEastAsia" w:hAnsiTheme="minorEastAsia"/>
        </w:rPr>
      </w:pPr>
      <w:bookmarkStart w:id="340" w:name="_Toc2677418"/>
      <w:r>
        <w:rPr>
          <w:rFonts w:asciiTheme="minorEastAsia" w:eastAsiaTheme="minorEastAsia" w:hAnsiTheme="minorEastAsia" w:hint="eastAsia"/>
          <w:sz w:val="30"/>
          <w:szCs w:val="30"/>
        </w:rPr>
        <w:lastRenderedPageBreak/>
        <w:t>第十七部分</w:t>
      </w:r>
      <w:r>
        <w:rPr>
          <w:rFonts w:asciiTheme="minorEastAsia" w:eastAsiaTheme="minorEastAsia" w:hAnsiTheme="minorEastAsia"/>
          <w:sz w:val="30"/>
          <w:szCs w:val="30"/>
        </w:rPr>
        <w:t xml:space="preserve">  </w:t>
      </w:r>
      <w:bookmarkEnd w:id="322"/>
      <w:bookmarkEnd w:id="323"/>
      <w:r>
        <w:rPr>
          <w:rFonts w:asciiTheme="minorEastAsia" w:eastAsiaTheme="minorEastAsia" w:hAnsiTheme="minorEastAsia" w:hint="eastAsia"/>
          <w:sz w:val="30"/>
          <w:szCs w:val="30"/>
        </w:rPr>
        <w:t>基金合同的变更、终止与基金财产的清算</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40"/>
    </w:p>
    <w:p w14:paraId="2B92956F"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bookmarkStart w:id="341" w:name="_Toc29289"/>
      <w:bookmarkStart w:id="342" w:name="_Toc352229764"/>
      <w:bookmarkStart w:id="343" w:name="_Toc1421"/>
      <w:bookmarkStart w:id="344" w:name="_Toc139991748"/>
      <w:bookmarkStart w:id="345" w:name="_Toc93226151"/>
      <w:bookmarkStart w:id="346" w:name="_Toc11802"/>
      <w:bookmarkStart w:id="347" w:name="_Toc1173"/>
      <w:bookmarkStart w:id="348" w:name="_Toc141703898"/>
      <w:bookmarkStart w:id="349" w:name="_Toc128310501"/>
      <w:bookmarkStart w:id="350" w:name="_Toc92662709"/>
      <w:bookmarkStart w:id="351" w:name="_Toc193"/>
      <w:bookmarkStart w:id="352" w:name="_Toc31866"/>
      <w:bookmarkStart w:id="353" w:name="_Toc3056"/>
      <w:bookmarkStart w:id="354" w:name="_Toc21351"/>
      <w:bookmarkStart w:id="355" w:name="_Toc11049"/>
      <w:bookmarkStart w:id="356" w:name="_Toc12028"/>
      <w:bookmarkStart w:id="357" w:name="_Toc8512"/>
      <w:r>
        <w:rPr>
          <w:rFonts w:asciiTheme="minorEastAsia" w:hAnsiTheme="minorEastAsia" w:cs="Times New Roman" w:hint="eastAsia"/>
          <w:sz w:val="24"/>
          <w:szCs w:val="24"/>
        </w:rPr>
        <w:t>一、《基金合同》的变更</w:t>
      </w:r>
    </w:p>
    <w:p w14:paraId="317B917A"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、变更基金合同涉及法律法规规定或基金合同约定应经基金份额持有人大会决议通过的事项的，应召</w:t>
      </w:r>
      <w:proofErr w:type="gramStart"/>
      <w:r>
        <w:rPr>
          <w:rFonts w:asciiTheme="minorEastAsia" w:hAnsiTheme="minorEastAsia" w:cs="Times New Roman" w:hint="eastAsia"/>
          <w:sz w:val="24"/>
          <w:szCs w:val="24"/>
        </w:rPr>
        <w:t>开基金</w:t>
      </w:r>
      <w:proofErr w:type="gramEnd"/>
      <w:r>
        <w:rPr>
          <w:rFonts w:asciiTheme="minorEastAsia" w:hAnsiTheme="minorEastAsia" w:cs="Times New Roman" w:hint="eastAsia"/>
          <w:sz w:val="24"/>
          <w:szCs w:val="24"/>
        </w:rPr>
        <w:t>份额持有人大会决议通过。对于可不经基金份额持有人大会决议通过的事项，由基金管理人和基金托管人同意后变更并公告，并报中国证监会备案。</w:t>
      </w:r>
    </w:p>
    <w:p w14:paraId="6C88BA1A"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 2、关于《基金合同》变更的基金份额持有人大会决议自生效后方可执行，并</w:t>
      </w:r>
      <w:proofErr w:type="gramStart"/>
      <w:r>
        <w:rPr>
          <w:rFonts w:asciiTheme="minorEastAsia" w:hAnsiTheme="minorEastAsia" w:cs="Times New Roman" w:hint="eastAsia"/>
          <w:sz w:val="24"/>
          <w:szCs w:val="24"/>
        </w:rPr>
        <w:t>自决议</w:t>
      </w:r>
      <w:proofErr w:type="gramEnd"/>
      <w:r>
        <w:rPr>
          <w:rFonts w:asciiTheme="minorEastAsia" w:hAnsiTheme="minorEastAsia" w:cs="Times New Roman" w:hint="eastAsia"/>
          <w:sz w:val="24"/>
          <w:szCs w:val="24"/>
        </w:rPr>
        <w:t>生效后两个工作日内在指定媒介公告。</w:t>
      </w:r>
    </w:p>
    <w:p w14:paraId="54586DE8"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二、《基金合同》的终止事由</w:t>
      </w:r>
    </w:p>
    <w:p w14:paraId="5F7D3DD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有下列情形之一的，《基金合同》应当终止：</w:t>
      </w:r>
    </w:p>
    <w:p w14:paraId="62BB264B"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1、基金份额持有人大会决定终止的；</w:t>
      </w:r>
    </w:p>
    <w:p w14:paraId="40B8F16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2、基金管理人、基金托管人职责终止，在6个月内没有新基金管理人、新基金托管人承接的；</w:t>
      </w:r>
    </w:p>
    <w:p w14:paraId="1210B975"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rPr>
        <w:t>3、</w:t>
      </w:r>
      <w:r>
        <w:rPr>
          <w:rFonts w:asciiTheme="minorEastAsia" w:hAnsiTheme="minorEastAsia" w:hint="eastAsia"/>
          <w:sz w:val="24"/>
          <w:szCs w:val="24"/>
        </w:rPr>
        <w:t>基金合同生效满三年之日（指自然日），</w:t>
      </w:r>
      <w:proofErr w:type="gramStart"/>
      <w:r>
        <w:rPr>
          <w:rFonts w:asciiTheme="minorEastAsia" w:hAnsiTheme="minorEastAsia" w:hint="eastAsia"/>
          <w:sz w:val="24"/>
          <w:szCs w:val="24"/>
        </w:rPr>
        <w:t>若基金</w:t>
      </w:r>
      <w:proofErr w:type="gramEnd"/>
      <w:r>
        <w:rPr>
          <w:rFonts w:asciiTheme="minorEastAsia" w:hAnsiTheme="minorEastAsia" w:hint="eastAsia"/>
          <w:sz w:val="24"/>
          <w:szCs w:val="24"/>
        </w:rPr>
        <w:t>资产净值低于两亿元的；</w:t>
      </w:r>
      <w:r>
        <w:rPr>
          <w:rFonts w:asciiTheme="minorEastAsia" w:hAnsiTheme="minorEastAsia"/>
          <w:sz w:val="24"/>
          <w:szCs w:val="24"/>
        </w:rPr>
        <w:t xml:space="preserve"> </w:t>
      </w:r>
      <w:r>
        <w:rPr>
          <w:rFonts w:asciiTheme="minorEastAsia" w:hAnsiTheme="minorEastAsia" w:hint="eastAsia"/>
          <w:sz w:val="24"/>
          <w:szCs w:val="24"/>
        </w:rPr>
        <w:t>或《基金合同》生效三年后继续存续的，连续六十个工作日出现基金份额持有人</w:t>
      </w:r>
      <w:r>
        <w:rPr>
          <w:rFonts w:asciiTheme="minorEastAsia" w:hAnsiTheme="minorEastAsia"/>
          <w:sz w:val="24"/>
          <w:szCs w:val="24"/>
        </w:rPr>
        <w:t xml:space="preserve"> </w:t>
      </w:r>
      <w:r>
        <w:rPr>
          <w:rFonts w:asciiTheme="minorEastAsia" w:hAnsiTheme="minorEastAsia" w:hint="eastAsia"/>
          <w:sz w:val="24"/>
          <w:szCs w:val="24"/>
        </w:rPr>
        <w:t>数量</w:t>
      </w:r>
      <w:proofErr w:type="gramStart"/>
      <w:r>
        <w:rPr>
          <w:rFonts w:asciiTheme="minorEastAsia" w:hAnsiTheme="minorEastAsia" w:hint="eastAsia"/>
          <w:sz w:val="24"/>
          <w:szCs w:val="24"/>
        </w:rPr>
        <w:t>不满二百</w:t>
      </w:r>
      <w:proofErr w:type="gramEnd"/>
      <w:r>
        <w:rPr>
          <w:rFonts w:asciiTheme="minorEastAsia" w:hAnsiTheme="minorEastAsia" w:hint="eastAsia"/>
          <w:sz w:val="24"/>
          <w:szCs w:val="24"/>
        </w:rPr>
        <w:t>人或者基金资产净值低于五千万元情形的；</w:t>
      </w:r>
    </w:p>
    <w:p w14:paraId="26A77F3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4、《基金合同》约定的其他情形；</w:t>
      </w:r>
    </w:p>
    <w:p w14:paraId="02C8464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5、相关法律法规和中国证监会规定的其他情况。</w:t>
      </w:r>
    </w:p>
    <w:p w14:paraId="583D282C"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三、基金财产的清算</w:t>
      </w:r>
    </w:p>
    <w:p w14:paraId="3D3B0F08"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1、基金财产清算小组：自出现《基金合同》终止事由之日起30个工作日内成立清算小组，基金管理人组织基金财产清算小组并在中国证监会的监督下进行基金清算。</w:t>
      </w:r>
    </w:p>
    <w:p w14:paraId="1DBC77BB"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2、基金财产清算小组组成：基金财产清算小组成员由基金管理人、基金托管人、</w:t>
      </w:r>
      <w:r>
        <w:rPr>
          <w:rFonts w:asciiTheme="minorEastAsia" w:hAnsiTheme="minorEastAsia" w:cs="Times New Roman" w:hint="eastAsia"/>
          <w:sz w:val="24"/>
          <w:szCs w:val="24"/>
        </w:rPr>
        <w:t>具有证券、期货相关业务资格的注册会计师、律师以及中国证监会指定的人员组成。基金财产清算小组可以聘用必要的工作人员。</w:t>
      </w:r>
    </w:p>
    <w:p w14:paraId="624A01E5"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3、基金财产清算小组职责：基金财产清算小组负责基金财产的保管、清理、估价、变现和分配。基金财产清算小组可以依法进行必要的民事活动。</w:t>
      </w:r>
    </w:p>
    <w:p w14:paraId="4C379A8A"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4、基金财产清算程序：</w:t>
      </w:r>
    </w:p>
    <w:p w14:paraId="0C306CA3"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1）《基金合同》终止情形出现时，由基金财产清算小组统一接管基金；</w:t>
      </w:r>
    </w:p>
    <w:p w14:paraId="38C46E26"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w:t>
      </w:r>
      <w:r>
        <w:rPr>
          <w:rFonts w:asciiTheme="minorEastAsia" w:hAnsiTheme="minorEastAsia" w:cs="Times New Roman"/>
          <w:sz w:val="24"/>
          <w:szCs w:val="24"/>
        </w:rPr>
        <w:t>2）对基金财产和债权债务进行清理和确认；</w:t>
      </w:r>
    </w:p>
    <w:p w14:paraId="62C285D7"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3）对基金财产进行估值和变现；</w:t>
      </w:r>
    </w:p>
    <w:p w14:paraId="5B95615F"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4）制作清算报告；</w:t>
      </w:r>
    </w:p>
    <w:p w14:paraId="0CC5524E"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5）聘请</w:t>
      </w:r>
      <w:r>
        <w:rPr>
          <w:rFonts w:asciiTheme="minorEastAsia" w:hAnsiTheme="minorEastAsia" w:cs="Times New Roman" w:hint="eastAsia"/>
          <w:sz w:val="24"/>
          <w:szCs w:val="24"/>
        </w:rPr>
        <w:t>具有证券、期货相关业务资格的会计师事务所对清算报告进行外部审计，聘请律师事务所对清算报告出具法律意见书；</w:t>
      </w:r>
    </w:p>
    <w:p w14:paraId="08F3372E"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6）将清算报告报中国证监会备案并公告；</w:t>
      </w:r>
    </w:p>
    <w:p w14:paraId="7598A611"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7）对基金剩余财产进行分配。</w:t>
      </w:r>
    </w:p>
    <w:p w14:paraId="7C27C98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5、基金财产清算的期限为</w:t>
      </w:r>
      <w:r>
        <w:rPr>
          <w:rFonts w:asciiTheme="minorEastAsia" w:hAnsiTheme="minorEastAsia"/>
          <w:bCs/>
          <w:sz w:val="24"/>
        </w:rPr>
        <w:t>6</w:t>
      </w:r>
      <w:r>
        <w:rPr>
          <w:rFonts w:asciiTheme="minorEastAsia" w:hAnsiTheme="minorEastAsia" w:hint="eastAsia"/>
          <w:bCs/>
          <w:sz w:val="24"/>
        </w:rPr>
        <w:t>个月，但因本基金所持证券的流动性受到限制而不能及时变现的，清算期限相应顺延。</w:t>
      </w:r>
    </w:p>
    <w:p w14:paraId="1D6ACA29"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四、清算费用</w:t>
      </w:r>
    </w:p>
    <w:p w14:paraId="24DA4E74"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清算费用是指基金财产清算小组在进行基金清算过程中发生的所有合理费用，清算费用由基金财产清算小组优先从基金财产中支付。</w:t>
      </w:r>
    </w:p>
    <w:p w14:paraId="66007D86"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五、基金财产清算剩余资产的分配</w:t>
      </w:r>
    </w:p>
    <w:p w14:paraId="3BDC5F29"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103B8DCD"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六、基金财产清算的公告</w:t>
      </w:r>
    </w:p>
    <w:p w14:paraId="57BBA625"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hAnsiTheme="minorEastAsia" w:cs="Times New Roman"/>
          <w:sz w:val="24"/>
          <w:szCs w:val="24"/>
        </w:rPr>
        <w:t>5个工作日内由基金财产清算小组进行公告。</w:t>
      </w:r>
    </w:p>
    <w:p w14:paraId="54E1CDE1"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七、基金财产清算账册及文件的保存</w:t>
      </w:r>
    </w:p>
    <w:p w14:paraId="75A414EA" w14:textId="77777777" w:rsidR="00D51FDF" w:rsidRDefault="007F75F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基金财产清算账册及有关文件由基金托管人保存</w:t>
      </w:r>
      <w:r>
        <w:rPr>
          <w:rFonts w:asciiTheme="minorEastAsia" w:hAnsiTheme="minorEastAsia" w:cs="Times New Roman"/>
          <w:sz w:val="24"/>
          <w:szCs w:val="24"/>
        </w:rPr>
        <w:t>15年以上</w:t>
      </w:r>
      <w:r>
        <w:rPr>
          <w:rFonts w:asciiTheme="minorEastAsia" w:hAnsiTheme="minorEastAsia" w:cs="Times New Roman" w:hint="eastAsia"/>
          <w:sz w:val="24"/>
          <w:szCs w:val="24"/>
        </w:rPr>
        <w:t>。</w:t>
      </w:r>
    </w:p>
    <w:p w14:paraId="32C34F97" w14:textId="77777777" w:rsidR="00D51FDF" w:rsidRDefault="00D51FDF">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D51FDF">
          <w:pgSz w:w="11906" w:h="16838"/>
          <w:pgMar w:top="1440" w:right="1800" w:bottom="1440" w:left="1800" w:header="851" w:footer="992" w:gutter="0"/>
          <w:pgNumType w:chapStyle="1"/>
          <w:cols w:space="720"/>
          <w:docGrid w:type="lines" w:linePitch="312"/>
        </w:sectPr>
      </w:pPr>
      <w:bookmarkStart w:id="358" w:name="_Toc263092326"/>
      <w:bookmarkStart w:id="359" w:name="_Toc416264553"/>
      <w:bookmarkStart w:id="360" w:name="_Toc214873607"/>
      <w:bookmarkStart w:id="361" w:name="_Toc9005"/>
      <w:bookmarkStart w:id="362" w:name="_Toc7170"/>
      <w:bookmarkStart w:id="363" w:name="_Toc25647"/>
      <w:bookmarkStart w:id="364" w:name="_Toc352229765"/>
      <w:bookmarkStart w:id="365" w:name="_Toc123112247"/>
      <w:bookmarkStart w:id="366" w:name="_Toc98560364"/>
      <w:bookmarkStart w:id="367" w:name="_Toc6237"/>
      <w:bookmarkStart w:id="368" w:name="_Toc27464"/>
      <w:bookmarkStart w:id="369" w:name="_Toc11113"/>
      <w:bookmarkStart w:id="370" w:name="_Toc141703899"/>
      <w:bookmarkStart w:id="371" w:name="_Toc123051465"/>
      <w:bookmarkStart w:id="372" w:name="_Toc139991749"/>
      <w:bookmarkStart w:id="373" w:name="_Toc8059"/>
      <w:bookmarkStart w:id="374" w:name="_Toc22978"/>
      <w:bookmarkStart w:id="375" w:name="_Toc8049"/>
      <w:bookmarkStart w:id="376" w:name="_Toc10006"/>
      <w:bookmarkStart w:id="377" w:name="_Toc29891"/>
      <w:bookmarkStart w:id="378" w:name="_Toc12310246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9D133FE" w14:textId="77777777" w:rsidR="00D51FDF" w:rsidRDefault="007F75F6">
      <w:pPr>
        <w:pStyle w:val="1"/>
        <w:jc w:val="center"/>
        <w:rPr>
          <w:rFonts w:asciiTheme="minorEastAsia" w:eastAsiaTheme="minorEastAsia" w:hAnsiTheme="minorEastAsia"/>
          <w:sz w:val="30"/>
          <w:szCs w:val="30"/>
        </w:rPr>
      </w:pPr>
      <w:bookmarkStart w:id="379" w:name="_Toc2677419"/>
      <w:r>
        <w:rPr>
          <w:rFonts w:asciiTheme="minorEastAsia" w:eastAsiaTheme="minorEastAsia" w:hAnsiTheme="minorEastAsia" w:hint="eastAsia"/>
          <w:sz w:val="30"/>
          <w:szCs w:val="30"/>
        </w:rPr>
        <w:lastRenderedPageBreak/>
        <w:t>第十八部分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基金合同的内容摘要</w:t>
      </w:r>
      <w:bookmarkEnd w:id="358"/>
      <w:bookmarkEnd w:id="359"/>
      <w:bookmarkEnd w:id="360"/>
      <w:bookmarkEnd w:id="379"/>
    </w:p>
    <w:p w14:paraId="39C44C7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一、基金份额持有人、基金管理人和基金托管人的权利、义务</w:t>
      </w:r>
    </w:p>
    <w:p w14:paraId="3AB6967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w:t>
      </w:r>
      <w:r>
        <w:rPr>
          <w:rFonts w:asciiTheme="minorEastAsia" w:hAnsiTheme="minorEastAsia"/>
          <w:bCs/>
          <w:sz w:val="24"/>
        </w:rPr>
        <w:tab/>
      </w:r>
      <w:r>
        <w:rPr>
          <w:rFonts w:asciiTheme="minorEastAsia" w:hAnsiTheme="minorEastAsia" w:hint="eastAsia"/>
          <w:bCs/>
          <w:sz w:val="24"/>
        </w:rPr>
        <w:t>基金管理人的权利与义务</w:t>
      </w:r>
    </w:p>
    <w:p w14:paraId="09B6811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1、根据《基金法》、《运作办法》及其他有关规定，基金管理人的权利包括但不限于：</w:t>
      </w:r>
    </w:p>
    <w:p w14:paraId="3983E60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（1）依法募集</w:t>
      </w:r>
      <w:r>
        <w:rPr>
          <w:rFonts w:asciiTheme="minorEastAsia" w:hAnsiTheme="minorEastAsia" w:hint="eastAsia"/>
          <w:bCs/>
          <w:sz w:val="24"/>
          <w:szCs w:val="24"/>
        </w:rPr>
        <w:t>资</w:t>
      </w:r>
      <w:r>
        <w:rPr>
          <w:rFonts w:asciiTheme="minorEastAsia" w:hAnsiTheme="minorEastAsia"/>
          <w:bCs/>
          <w:sz w:val="24"/>
          <w:szCs w:val="24"/>
        </w:rPr>
        <w:t>金；</w:t>
      </w:r>
    </w:p>
    <w:p w14:paraId="141BEEF0"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（2）自《基金合同》生效之日起，根据法律法规和《基金合同》独立运用并管理基金财产；</w:t>
      </w:r>
    </w:p>
    <w:p w14:paraId="0EAA2B9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（3）依照《基金合同》收取基金管理费以及法律法规规定或中国证监会批准的其他费用；</w:t>
      </w:r>
    </w:p>
    <w:p w14:paraId="3157988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（4）销售基金份额；</w:t>
      </w:r>
    </w:p>
    <w:p w14:paraId="0884186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w:t>
      </w:r>
      <w:r>
        <w:rPr>
          <w:rFonts w:asciiTheme="minorEastAsia" w:hAnsiTheme="minorEastAsia" w:hint="eastAsia"/>
          <w:bCs/>
          <w:sz w:val="24"/>
          <w:szCs w:val="24"/>
        </w:rPr>
        <w:t>按照规定</w:t>
      </w:r>
      <w:r>
        <w:rPr>
          <w:rFonts w:asciiTheme="minorEastAsia" w:hAnsiTheme="minorEastAsia"/>
          <w:bCs/>
          <w:sz w:val="24"/>
          <w:szCs w:val="24"/>
        </w:rPr>
        <w:t>召集基金份额持有人大会；</w:t>
      </w:r>
    </w:p>
    <w:p w14:paraId="4EA86C8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2E58335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（7）在基金托管人更换时，提名新的基金托管人；</w:t>
      </w:r>
    </w:p>
    <w:p w14:paraId="08B732BB"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（8）选择、更换基金销售机构，对基金销售机构的相关行为进行监督和处理；</w:t>
      </w:r>
    </w:p>
    <w:p w14:paraId="7721EF65"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（9）担任或委托其他符合条件的机构担任基金登记机构办理基金登记业务并获得《基金合同》规定的费用；</w:t>
      </w:r>
    </w:p>
    <w:p w14:paraId="6BE9F01F"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（10）依据《基金合同》及有关法律规定决定基金收益的分配方案；</w:t>
      </w:r>
      <w:r>
        <w:rPr>
          <w:rFonts w:asciiTheme="minorEastAsia" w:hAnsiTheme="minorEastAsia"/>
          <w:bCs/>
          <w:sz w:val="24"/>
          <w:szCs w:val="24"/>
        </w:rPr>
        <w:tab/>
      </w:r>
    </w:p>
    <w:p w14:paraId="08ADCDFA"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（11）在《基金合同》约定的范围内，拒绝或暂停受理申购与赎回申请；</w:t>
      </w:r>
    </w:p>
    <w:p w14:paraId="0EC394EA"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（12）依照法律法规为基金的利益对被投资公司行使股东权利，为基金的利益行使因基金财产投资于证券所产生的权利；</w:t>
      </w:r>
      <w:r>
        <w:rPr>
          <w:rFonts w:asciiTheme="minorEastAsia" w:hAnsiTheme="minorEastAsia"/>
          <w:bCs/>
          <w:sz w:val="24"/>
          <w:szCs w:val="24"/>
        </w:rPr>
        <w:tab/>
      </w:r>
    </w:p>
    <w:p w14:paraId="0034851E"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（13）在法律法规允许的前提下，为基金的利益依法为基金进行融资</w:t>
      </w:r>
      <w:r>
        <w:rPr>
          <w:rFonts w:asciiTheme="minorEastAsia" w:hAnsiTheme="minorEastAsia" w:hint="eastAsia"/>
          <w:bCs/>
          <w:sz w:val="24"/>
          <w:szCs w:val="24"/>
        </w:rPr>
        <w:t>、融券</w:t>
      </w:r>
      <w:r>
        <w:rPr>
          <w:rFonts w:asciiTheme="minorEastAsia" w:hAnsiTheme="minorEastAsia"/>
          <w:bCs/>
          <w:sz w:val="24"/>
          <w:szCs w:val="24"/>
        </w:rPr>
        <w:t>；</w:t>
      </w:r>
    </w:p>
    <w:p w14:paraId="79E37489"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（14）以基金管理人的名义，代表基金份额持有人的利益行使诉讼权利或者实施其他法律行为；</w:t>
      </w:r>
      <w:r>
        <w:rPr>
          <w:rFonts w:asciiTheme="minorEastAsia" w:hAnsiTheme="minorEastAsia"/>
          <w:bCs/>
          <w:sz w:val="24"/>
          <w:szCs w:val="24"/>
        </w:rPr>
        <w:tab/>
      </w:r>
    </w:p>
    <w:p w14:paraId="25FAA528"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（15）选择、更换律师事务所、会计师事务所、证券经纪商或其他为基金提供服务的外部机构；</w:t>
      </w:r>
      <w:r>
        <w:rPr>
          <w:rFonts w:asciiTheme="minorEastAsia" w:hAnsiTheme="minorEastAsia"/>
          <w:bCs/>
          <w:sz w:val="24"/>
          <w:szCs w:val="24"/>
        </w:rPr>
        <w:tab/>
      </w:r>
    </w:p>
    <w:p w14:paraId="1B9EBB49"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lastRenderedPageBreak/>
        <w:t>（16）在符合有关法律、法规的前提下，制订和调整有关基金认购、申购、赎回、转换和</w:t>
      </w:r>
      <w:proofErr w:type="gramStart"/>
      <w:r>
        <w:rPr>
          <w:rFonts w:asciiTheme="minorEastAsia" w:hAnsiTheme="minorEastAsia"/>
          <w:bCs/>
          <w:sz w:val="24"/>
          <w:szCs w:val="24"/>
        </w:rPr>
        <w:t>非交易</w:t>
      </w:r>
      <w:proofErr w:type="gramEnd"/>
      <w:r>
        <w:rPr>
          <w:rFonts w:asciiTheme="minorEastAsia" w:hAnsiTheme="minorEastAsia"/>
          <w:bCs/>
          <w:sz w:val="24"/>
          <w:szCs w:val="24"/>
        </w:rPr>
        <w:t>过户</w:t>
      </w:r>
      <w:r>
        <w:rPr>
          <w:rFonts w:asciiTheme="minorEastAsia" w:hAnsiTheme="minorEastAsia" w:hint="eastAsia"/>
          <w:bCs/>
          <w:sz w:val="24"/>
          <w:szCs w:val="24"/>
        </w:rPr>
        <w:t>等</w:t>
      </w:r>
      <w:r>
        <w:rPr>
          <w:rFonts w:asciiTheme="minorEastAsia" w:hAnsiTheme="minorEastAsia"/>
          <w:bCs/>
          <w:sz w:val="24"/>
          <w:szCs w:val="24"/>
        </w:rPr>
        <w:t>业务规则；</w:t>
      </w:r>
    </w:p>
    <w:p w14:paraId="3383AB7F"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bCs/>
          <w:sz w:val="24"/>
          <w:szCs w:val="24"/>
        </w:rPr>
        <w:t>（17）法律法规及中国证监会规定的和《基金合同》约定的其他权利。</w:t>
      </w:r>
    </w:p>
    <w:p w14:paraId="5D57080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2、根据《基金法》、《运作办法》及其他有关规定，基金管理人的义务包括但不限于：</w:t>
      </w:r>
    </w:p>
    <w:p w14:paraId="6EDB7C5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（1）依法</w:t>
      </w:r>
      <w:r>
        <w:rPr>
          <w:rFonts w:asciiTheme="minorEastAsia" w:hAnsiTheme="minorEastAsia" w:hint="eastAsia"/>
          <w:bCs/>
          <w:sz w:val="24"/>
          <w:szCs w:val="24"/>
        </w:rPr>
        <w:t>募集资金，</w:t>
      </w:r>
      <w:r>
        <w:rPr>
          <w:rFonts w:asciiTheme="minorEastAsia" w:hAnsiTheme="minorEastAsia" w:hint="eastAsia"/>
          <w:sz w:val="24"/>
          <w:szCs w:val="24"/>
        </w:rPr>
        <w:t>办理或者委托经中国证监会认定的其他机构代为办理基金份额的</w:t>
      </w:r>
      <w:r>
        <w:rPr>
          <w:rFonts w:asciiTheme="minorEastAsia" w:hAnsiTheme="minorEastAsia" w:hint="eastAsia"/>
          <w:bCs/>
          <w:sz w:val="24"/>
          <w:szCs w:val="24"/>
        </w:rPr>
        <w:t>发售、</w:t>
      </w:r>
      <w:r>
        <w:rPr>
          <w:rFonts w:asciiTheme="minorEastAsia" w:hAnsiTheme="minorEastAsia" w:hint="eastAsia"/>
          <w:sz w:val="24"/>
          <w:szCs w:val="24"/>
        </w:rPr>
        <w:t>申购、赎回和登记事宜；</w:t>
      </w:r>
    </w:p>
    <w:p w14:paraId="753DC4E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（2）办理基金备案手续；</w:t>
      </w:r>
    </w:p>
    <w:p w14:paraId="5DB7039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（3）自《基金合同》生效之日起，以诚实信用、谨慎勤勉的原则管理和运用基金财产；</w:t>
      </w:r>
    </w:p>
    <w:p w14:paraId="5112A56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（4）配备足够的具有专业资格的人员进行基金投资分析、决策，以专业化的经营方式管理和运作基金财产；</w:t>
      </w:r>
    </w:p>
    <w:p w14:paraId="53614F6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5730894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（6）除依据《基金法》、《基金合同》及其他有关规定外，不得利用基金财产为自己及任何第三人谋取利益，不得委托第三人运作基金财产；</w:t>
      </w:r>
    </w:p>
    <w:p w14:paraId="7C0F0E4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（7）依法接受基金托管人的监督；</w:t>
      </w:r>
    </w:p>
    <w:p w14:paraId="68A2CCE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489C569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（9）进行基金会计核算并编制基金财务会计报告；</w:t>
      </w:r>
    </w:p>
    <w:p w14:paraId="30B1FAE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（10）编制季度报告、中期报告和年度报告；</w:t>
      </w:r>
    </w:p>
    <w:p w14:paraId="36F33DE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（11）严格按照《基金法》、《基金合同》及其他有关规定，履行信息披露及报告义务；</w:t>
      </w:r>
    </w:p>
    <w:p w14:paraId="2C9B3D9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（12）保守基金商业秘密，不泄露基金投资计划、投资意向等。除《基金法》、《基金合同》及其他有关规定另有规定外，在基金信息公开披露前应予保密，不向他人泄露；</w:t>
      </w:r>
    </w:p>
    <w:p w14:paraId="5A96557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（13）按《基金合同》的约定确定基金收益分配方案，及时向基金份额持有人分配基金收益；</w:t>
      </w:r>
    </w:p>
    <w:p w14:paraId="5459BC5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lastRenderedPageBreak/>
        <w:t>（14）按规定受理申购与赎回申请，及时、足额支付赎回款项；</w:t>
      </w:r>
    </w:p>
    <w:p w14:paraId="119BA7C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（15）依据《基金法》、《基金合同》及其他有关规定召集基金份额持有人大会或配合基金托管人、基金份额持有人依法召集基金份额持有人大会；</w:t>
      </w:r>
    </w:p>
    <w:p w14:paraId="1B806A6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（16）按规定保存基金财产管理业务活动的会计账册、报表、记录和其他相关资料</w:t>
      </w:r>
      <w:r>
        <w:rPr>
          <w:rFonts w:asciiTheme="minorEastAsia" w:hAnsiTheme="minorEastAsia"/>
          <w:bCs/>
          <w:sz w:val="24"/>
          <w:szCs w:val="24"/>
        </w:rPr>
        <w:t>15</w:t>
      </w:r>
      <w:r>
        <w:rPr>
          <w:rFonts w:asciiTheme="minorEastAsia" w:hAnsiTheme="minorEastAsia" w:hint="eastAsia"/>
          <w:bCs/>
          <w:sz w:val="24"/>
          <w:szCs w:val="24"/>
        </w:rPr>
        <w:t>年以上；</w:t>
      </w:r>
    </w:p>
    <w:p w14:paraId="287E43C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EFB5E7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（18）组织并参加基金财产清算小组，参与基金财产的保管、清理、估价、变现和分配；</w:t>
      </w:r>
    </w:p>
    <w:p w14:paraId="5C640360"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（19）面临解散、依法被撤销或者被依法宣告破产时，及时报告中国证监会并通知基金托管人；</w:t>
      </w:r>
    </w:p>
    <w:p w14:paraId="03E2554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（20）因违反《基金合同》导致基金财产的损失或损害基金份额持有人合法权益时，应当承担赔偿责任，其赔偿责任不因其退任而免除；</w:t>
      </w:r>
    </w:p>
    <w:p w14:paraId="1CEEC270"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0EA6124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（22）当基金管理人将其义务委托第三方处理时，应当对第三方处理有关基金事务的行为承担责任；</w:t>
      </w:r>
    </w:p>
    <w:p w14:paraId="14176A6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（23）以基金管理人名义，代表基金份额持有人利益行使诉讼权利或实施其他法律行为；</w:t>
      </w:r>
    </w:p>
    <w:p w14:paraId="615AF2D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sz w:val="24"/>
          <w:szCs w:val="24"/>
        </w:rPr>
        <w:t>（24）</w:t>
      </w:r>
      <w:r>
        <w:rPr>
          <w:rFonts w:asciiTheme="minorEastAsia" w:hAnsiTheme="minorEastAsia" w:hint="eastAsia"/>
          <w:bCs/>
          <w:sz w:val="24"/>
          <w:szCs w:val="24"/>
        </w:rPr>
        <w:t>基金管理人在募集期间未能达到基金的备案条件，《基金合同》不能生效，基金管理人承担全部募集费用，将已募集资金加计银行同期活期存款利息在基金募集期结束后</w:t>
      </w:r>
      <w:r>
        <w:rPr>
          <w:rFonts w:asciiTheme="minorEastAsia" w:hAnsiTheme="minorEastAsia"/>
          <w:bCs/>
          <w:sz w:val="24"/>
          <w:szCs w:val="24"/>
        </w:rPr>
        <w:t>30</w:t>
      </w:r>
      <w:r>
        <w:rPr>
          <w:rFonts w:asciiTheme="minorEastAsia" w:hAnsiTheme="minorEastAsia" w:hint="eastAsia"/>
          <w:bCs/>
          <w:sz w:val="24"/>
          <w:szCs w:val="24"/>
        </w:rPr>
        <w:t>日内退还基金认购人；</w:t>
      </w:r>
    </w:p>
    <w:p w14:paraId="7923567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w:t>
      </w:r>
      <w:r>
        <w:rPr>
          <w:rFonts w:asciiTheme="minorEastAsia" w:hAnsiTheme="minorEastAsia"/>
          <w:bCs/>
          <w:sz w:val="24"/>
          <w:szCs w:val="24"/>
        </w:rPr>
        <w:t>5</w:t>
      </w:r>
      <w:r>
        <w:rPr>
          <w:rFonts w:asciiTheme="minorEastAsia" w:hAnsiTheme="minorEastAsia" w:hint="eastAsia"/>
          <w:bCs/>
          <w:sz w:val="24"/>
          <w:szCs w:val="24"/>
        </w:rPr>
        <w:t>）执行生效的基金份额持有人大会的决议；</w:t>
      </w:r>
    </w:p>
    <w:p w14:paraId="5BB8A85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w:t>
      </w:r>
      <w:r>
        <w:rPr>
          <w:rFonts w:asciiTheme="minorEastAsia" w:hAnsiTheme="minorEastAsia"/>
          <w:bCs/>
          <w:sz w:val="24"/>
          <w:szCs w:val="24"/>
        </w:rPr>
        <w:t>6</w:t>
      </w:r>
      <w:r>
        <w:rPr>
          <w:rFonts w:asciiTheme="minorEastAsia" w:hAnsiTheme="minorEastAsia" w:hint="eastAsia"/>
          <w:bCs/>
          <w:sz w:val="24"/>
          <w:szCs w:val="24"/>
        </w:rPr>
        <w:t>）建立并保存基金份额持有人名册；</w:t>
      </w:r>
    </w:p>
    <w:p w14:paraId="561FB3F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w:t>
      </w:r>
      <w:r>
        <w:rPr>
          <w:rFonts w:asciiTheme="minorEastAsia" w:hAnsiTheme="minorEastAsia"/>
          <w:bCs/>
          <w:sz w:val="24"/>
          <w:szCs w:val="24"/>
        </w:rPr>
        <w:t>7</w:t>
      </w:r>
      <w:r>
        <w:rPr>
          <w:rFonts w:asciiTheme="minorEastAsia" w:hAnsiTheme="minorEastAsia" w:hint="eastAsia"/>
          <w:bCs/>
          <w:sz w:val="24"/>
          <w:szCs w:val="24"/>
        </w:rPr>
        <w:t>）法律法规及中国证监会规定的和《基金合同》约定的其他义务。</w:t>
      </w:r>
    </w:p>
    <w:p w14:paraId="19476C0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w:t>
      </w:r>
      <w:r>
        <w:rPr>
          <w:rFonts w:asciiTheme="minorEastAsia" w:hAnsiTheme="minorEastAsia"/>
          <w:bCs/>
          <w:sz w:val="24"/>
        </w:rPr>
        <w:tab/>
      </w:r>
      <w:r>
        <w:rPr>
          <w:rFonts w:asciiTheme="minorEastAsia" w:hAnsiTheme="minorEastAsia" w:hint="eastAsia"/>
          <w:bCs/>
          <w:sz w:val="24"/>
        </w:rPr>
        <w:t>基金托管人的权利与义务</w:t>
      </w:r>
    </w:p>
    <w:p w14:paraId="640776C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1、根据《基金法》、《运作办法》及其他有关规定，基金托管人的权利包括</w:t>
      </w:r>
      <w:r>
        <w:rPr>
          <w:rFonts w:asciiTheme="minorEastAsia" w:hAnsiTheme="minorEastAsia" w:hint="eastAsia"/>
          <w:bCs/>
          <w:sz w:val="24"/>
          <w:szCs w:val="24"/>
        </w:rPr>
        <w:lastRenderedPageBreak/>
        <w:t>但不限于：</w:t>
      </w:r>
    </w:p>
    <w:p w14:paraId="0D65436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（1）自《基金合同》生效之日起，依法</w:t>
      </w:r>
      <w:proofErr w:type="gramStart"/>
      <w:r>
        <w:rPr>
          <w:rFonts w:asciiTheme="minorEastAsia" w:hAnsiTheme="minorEastAsia" w:hint="eastAsia"/>
          <w:bCs/>
          <w:sz w:val="24"/>
          <w:szCs w:val="24"/>
        </w:rPr>
        <w:t>律法规</w:t>
      </w:r>
      <w:proofErr w:type="gramEnd"/>
      <w:r>
        <w:rPr>
          <w:rFonts w:asciiTheme="minorEastAsia" w:hAnsiTheme="minorEastAsia" w:hint="eastAsia"/>
          <w:bCs/>
          <w:sz w:val="24"/>
          <w:szCs w:val="24"/>
        </w:rPr>
        <w:t>和《基金合同》的规定安全保管基金财产；</w:t>
      </w:r>
    </w:p>
    <w:p w14:paraId="00D8AC3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（2）依《基金合同》约定获得基金托管费以及法律法规规定或监管部门批准的其他费用；</w:t>
      </w:r>
    </w:p>
    <w:p w14:paraId="1353072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4743B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（4）根据相关市场规则，为基金开设资金账户、证券账户等投资所需账户，为基金办理证券交易资金清算；</w:t>
      </w:r>
    </w:p>
    <w:p w14:paraId="0FFD4D7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（5）提议召开或召集基金份额持有人大会；</w:t>
      </w:r>
    </w:p>
    <w:p w14:paraId="03925E4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（6）在基金管理人更换时，提名新的基金管理人；</w:t>
      </w:r>
    </w:p>
    <w:p w14:paraId="213851B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（7）法律法规及中国证监会规定的和《基金合同》约定的其他权利。</w:t>
      </w:r>
    </w:p>
    <w:p w14:paraId="08A2C31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2、根据《基金法》、《运作办法》及其他有关规定，基金托管人的义务包括但不限于：</w:t>
      </w:r>
    </w:p>
    <w:p w14:paraId="6723811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（1）以诚实信用、勤勉尽责的原则持有并安全保管基金财产；</w:t>
      </w:r>
    </w:p>
    <w:p w14:paraId="581BC4C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（2）设立专门的基金托管部门，具有符合要求的营业场所，配备足够的、合格的熟悉基金托管业务的专职人员，负责基金财产托管事宜；</w:t>
      </w:r>
    </w:p>
    <w:p w14:paraId="3C59622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C1689A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（4）除依据《基金法》、《基金合同》及其他有关规定外，不得利用基金财产为自己及任何第三人谋取利益，不得委托第三人托管基金财产；</w:t>
      </w:r>
    </w:p>
    <w:p w14:paraId="17AB49D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（5）保管由基金管理人代表基金签订的与基金有关的重大合同及有关凭证；</w:t>
      </w:r>
    </w:p>
    <w:p w14:paraId="213DBC1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（6）按规定开设基金财产的资金账户、证券账户等投资所需账户，按照《基金合同》的约定，根据基金管理人的投资指令，及时办理清算、交割事宜；</w:t>
      </w:r>
    </w:p>
    <w:p w14:paraId="586499A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（7）保守基金商业秘密，除《基金法》、《基金合同》及其他有关规定另有规定外，在基金信息公开披露前予以保密，不得向他人泄露；</w:t>
      </w:r>
    </w:p>
    <w:p w14:paraId="2667DF2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lastRenderedPageBreak/>
        <w:t>（8）复核、审查基金管理人计算的基金资产净值、基金份额净值、基金份额申购、赎回价格；</w:t>
      </w:r>
    </w:p>
    <w:p w14:paraId="79E8D78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（9）办理与基金托管业务活动有关的信息披露事项；</w:t>
      </w:r>
    </w:p>
    <w:p w14:paraId="74A203C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677D51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（11）保存基金托管业务活动的记录、账册、报表和其他相关资料</w:t>
      </w:r>
      <w:r>
        <w:rPr>
          <w:rFonts w:asciiTheme="minorEastAsia" w:hAnsiTheme="minorEastAsia"/>
          <w:sz w:val="24"/>
          <w:szCs w:val="24"/>
        </w:rPr>
        <w:t>15</w:t>
      </w:r>
      <w:r>
        <w:rPr>
          <w:rFonts w:asciiTheme="minorEastAsia" w:hAnsiTheme="minorEastAsia" w:hint="eastAsia"/>
          <w:bCs/>
          <w:sz w:val="24"/>
          <w:szCs w:val="24"/>
        </w:rPr>
        <w:t>年以上；</w:t>
      </w:r>
    </w:p>
    <w:p w14:paraId="3E37A210"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（12）从基金管理人或其委托的登记机构处接收并保存基金份额持有人名册；</w:t>
      </w:r>
    </w:p>
    <w:p w14:paraId="7751023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（13）按规定制作相关账册并与基金管理人核对；</w:t>
      </w:r>
    </w:p>
    <w:p w14:paraId="79CE35D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（14）依据基金管理人的指令或有关规定向基金份额持有人支付基金收益和赎回款项；</w:t>
      </w:r>
    </w:p>
    <w:p w14:paraId="76F3844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（15）依据《基金法》、《基金合同》及其他有关规定，召集基金份额持有人大会或配合基金管理人、基金份额持有人依法召集基金份额持有人大会；</w:t>
      </w:r>
    </w:p>
    <w:p w14:paraId="7727045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（16）按照法律法规和《基金合同》的规定监督基金管理人的投资运作；</w:t>
      </w:r>
    </w:p>
    <w:p w14:paraId="2EDE686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（17）参加基金财产清算小组，参与基金财产的保管、清理、估价、变现和分配；</w:t>
      </w:r>
    </w:p>
    <w:p w14:paraId="255724E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（18）面临解散、依法被撤销或者被依法宣告破产时，及时报告中国证监会和银行监管机构，并通知基金管理人；</w:t>
      </w:r>
    </w:p>
    <w:p w14:paraId="1B30BA8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（19）因违反《基金合同》导致基金财产损失时，应承担赔偿责任，其赔偿责任不因其退任而免除；</w:t>
      </w:r>
    </w:p>
    <w:p w14:paraId="3771388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（20）监督基金管理人按法律法规和《基金合同》规定履行自己的义务，基金管理人因违反《基金合同》造成基金财产损失时，应为基金份额持有人利益向基金管理人追偿；</w:t>
      </w:r>
    </w:p>
    <w:p w14:paraId="0D93025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（21）执行生效的基金份额持有人大会的决议；</w:t>
      </w:r>
    </w:p>
    <w:p w14:paraId="5BCE89C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（22）法律法规及中国证监会规定的和《基金合同》约定的其他义务。</w:t>
      </w:r>
    </w:p>
    <w:p w14:paraId="1D88183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（三）基金份额持有人的权利和义务</w:t>
      </w:r>
    </w:p>
    <w:p w14:paraId="0914F08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基金投资者</w:t>
      </w:r>
      <w:r>
        <w:rPr>
          <w:rFonts w:asciiTheme="minorEastAsia" w:hAnsiTheme="minorEastAsia" w:hint="eastAsia"/>
          <w:bCs/>
          <w:sz w:val="24"/>
          <w:szCs w:val="24"/>
        </w:rPr>
        <w:t>持有</w:t>
      </w:r>
      <w:r>
        <w:rPr>
          <w:rFonts w:asciiTheme="minorEastAsia" w:hAnsiTheme="minorEastAsia"/>
          <w:bCs/>
          <w:sz w:val="24"/>
          <w:szCs w:val="24"/>
        </w:rPr>
        <w:t>本</w:t>
      </w:r>
      <w:proofErr w:type="gramStart"/>
      <w:r>
        <w:rPr>
          <w:rFonts w:asciiTheme="minorEastAsia" w:hAnsiTheme="minorEastAsia"/>
          <w:bCs/>
          <w:sz w:val="24"/>
          <w:szCs w:val="24"/>
        </w:rPr>
        <w:t>基金基金</w:t>
      </w:r>
      <w:proofErr w:type="gramEnd"/>
      <w:r>
        <w:rPr>
          <w:rFonts w:asciiTheme="minorEastAsia" w:hAnsiTheme="minorEastAsia"/>
          <w:bCs/>
          <w:sz w:val="24"/>
          <w:szCs w:val="24"/>
        </w:rPr>
        <w:t>份额的行为即视为对《基金合同》的承认和接受，</w:t>
      </w:r>
      <w:r>
        <w:rPr>
          <w:rFonts w:asciiTheme="minorEastAsia" w:hAnsiTheme="minorEastAsia"/>
          <w:bCs/>
          <w:sz w:val="24"/>
          <w:szCs w:val="24"/>
        </w:rPr>
        <w:lastRenderedPageBreak/>
        <w:t>基金投资者</w:t>
      </w:r>
      <w:proofErr w:type="gramStart"/>
      <w:r>
        <w:rPr>
          <w:rFonts w:asciiTheme="minorEastAsia" w:hAnsiTheme="minorEastAsia"/>
          <w:bCs/>
          <w:sz w:val="24"/>
          <w:szCs w:val="24"/>
        </w:rPr>
        <w:t>自依据</w:t>
      </w:r>
      <w:proofErr w:type="gramEnd"/>
      <w:r>
        <w:rPr>
          <w:rFonts w:asciiTheme="minorEastAsia" w:hAnsiTheme="minor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35C7E5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同一类别</w:t>
      </w:r>
      <w:r>
        <w:rPr>
          <w:rFonts w:asciiTheme="minorEastAsia" w:hAnsiTheme="minorEastAsia"/>
          <w:bCs/>
          <w:sz w:val="24"/>
          <w:szCs w:val="24"/>
        </w:rPr>
        <w:t>每份基金份额具有同等的合法权益。</w:t>
      </w:r>
    </w:p>
    <w:p w14:paraId="0E68209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1、根据《基金法》、《运作办法》及其他有关规定，基金份额持有人的权利包括但不限于：</w:t>
      </w:r>
    </w:p>
    <w:p w14:paraId="4BB6BE7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（1）分享基金财产收益；</w:t>
      </w:r>
    </w:p>
    <w:p w14:paraId="3CB56F8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（2）参与分配清算后的剩余基金财产；</w:t>
      </w:r>
    </w:p>
    <w:p w14:paraId="1784BD3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（3）依法申请赎回其持有的基金份额；</w:t>
      </w:r>
    </w:p>
    <w:p w14:paraId="5A5C277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（4）按照规定要求召开基金份额持有人大会</w:t>
      </w:r>
      <w:r>
        <w:rPr>
          <w:rFonts w:asciiTheme="minorEastAsia" w:hAnsiTheme="minorEastAsia" w:hint="eastAsia"/>
          <w:bCs/>
          <w:sz w:val="24"/>
          <w:szCs w:val="24"/>
        </w:rPr>
        <w:t>或者召集基金份额持有人大会</w:t>
      </w:r>
      <w:r>
        <w:rPr>
          <w:rFonts w:asciiTheme="minorEastAsia" w:hAnsiTheme="minorEastAsia"/>
          <w:bCs/>
          <w:sz w:val="24"/>
          <w:szCs w:val="24"/>
        </w:rPr>
        <w:t>；</w:t>
      </w:r>
    </w:p>
    <w:p w14:paraId="1C6318C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（5）出席或者委派代表出席基金份额持有人大会，对基金份额持有人大会审议事项行使表决权；</w:t>
      </w:r>
    </w:p>
    <w:p w14:paraId="20BAA9F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（6）查阅或者复制公开披露的基金信息资料；</w:t>
      </w:r>
    </w:p>
    <w:p w14:paraId="3417457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（7）监督基金管理人的投资运作；</w:t>
      </w:r>
    </w:p>
    <w:p w14:paraId="7BD1C7A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（8）对基金管理人、基金托管人、基金</w:t>
      </w:r>
      <w:r>
        <w:rPr>
          <w:rFonts w:asciiTheme="minorEastAsia" w:hAnsiTheme="minorEastAsia" w:hint="eastAsia"/>
          <w:bCs/>
          <w:sz w:val="24"/>
          <w:szCs w:val="24"/>
        </w:rPr>
        <w:t>服务</w:t>
      </w:r>
      <w:r>
        <w:rPr>
          <w:rFonts w:asciiTheme="minorEastAsia" w:hAnsiTheme="minorEastAsia"/>
          <w:bCs/>
          <w:sz w:val="24"/>
          <w:szCs w:val="24"/>
        </w:rPr>
        <w:t>机构损害其合法权益的行为依法提起诉讼或仲裁；</w:t>
      </w:r>
    </w:p>
    <w:p w14:paraId="39E5BD3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（9）法律法规及中国证监会规定的和《基金合同》约定的其他权利。</w:t>
      </w:r>
    </w:p>
    <w:p w14:paraId="3D99D05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2、根据《基金法》、《运作办法》及其他有关规定，基金份额持有人的义务包括但不限于：</w:t>
      </w:r>
    </w:p>
    <w:p w14:paraId="50DB354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（1）认真阅读并遵守《基金合同》</w:t>
      </w:r>
      <w:r>
        <w:rPr>
          <w:rFonts w:asciiTheme="minorEastAsia" w:hAnsiTheme="minorEastAsia" w:hint="eastAsia"/>
          <w:bCs/>
          <w:sz w:val="24"/>
          <w:szCs w:val="24"/>
        </w:rPr>
        <w:t>、招募说明书等信息披露文件</w:t>
      </w:r>
      <w:r>
        <w:rPr>
          <w:rFonts w:asciiTheme="minorEastAsia" w:hAnsiTheme="minorEastAsia"/>
          <w:bCs/>
          <w:sz w:val="24"/>
          <w:szCs w:val="24"/>
        </w:rPr>
        <w:t>；</w:t>
      </w:r>
    </w:p>
    <w:p w14:paraId="0497FF8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（2）了解所投资基金产品，了解自身风险承受能力，</w:t>
      </w:r>
      <w:r>
        <w:rPr>
          <w:rFonts w:asciiTheme="minorEastAsia" w:hAnsiTheme="minorEastAsia" w:hint="eastAsia"/>
          <w:bCs/>
          <w:sz w:val="24"/>
          <w:szCs w:val="24"/>
        </w:rPr>
        <w:t>自主判断基金的投资价值，自主做出投资决策，</w:t>
      </w:r>
      <w:r>
        <w:rPr>
          <w:rFonts w:asciiTheme="minorEastAsia" w:hAnsiTheme="minorEastAsia"/>
          <w:bCs/>
          <w:sz w:val="24"/>
          <w:szCs w:val="24"/>
        </w:rPr>
        <w:t>自行承担投资风险；</w:t>
      </w:r>
    </w:p>
    <w:p w14:paraId="56326E8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（3）关注基金信息披露，及时行使权利和履行义务；</w:t>
      </w:r>
    </w:p>
    <w:p w14:paraId="67C7096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（4）缴纳基金认购、申购款项及法律法规和《基金合同》所规定的费用；</w:t>
      </w:r>
    </w:p>
    <w:p w14:paraId="59BFD45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（5）在其持有的基金份额范围内，承担基金亏损或者《基金合同》终止的有限责任；</w:t>
      </w:r>
    </w:p>
    <w:p w14:paraId="2F42AC8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（6）不从事任何有损基金及其他《基金合同》当事人合法权益的活动；</w:t>
      </w:r>
    </w:p>
    <w:p w14:paraId="2BE0BDF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（7）执行生效的基金份额持有人大会的决</w:t>
      </w:r>
      <w:r>
        <w:rPr>
          <w:rFonts w:asciiTheme="minorEastAsia" w:hAnsiTheme="minorEastAsia" w:hint="eastAsia"/>
          <w:bCs/>
          <w:sz w:val="24"/>
          <w:szCs w:val="24"/>
        </w:rPr>
        <w:t>议</w:t>
      </w:r>
      <w:r>
        <w:rPr>
          <w:rFonts w:asciiTheme="minorEastAsia" w:hAnsiTheme="minorEastAsia"/>
          <w:bCs/>
          <w:sz w:val="24"/>
          <w:szCs w:val="24"/>
        </w:rPr>
        <w:t>；</w:t>
      </w:r>
    </w:p>
    <w:p w14:paraId="67E44BD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bCs/>
          <w:sz w:val="24"/>
          <w:szCs w:val="24"/>
        </w:rPr>
        <w:t>（8）返还在基金交易过程中因任何原因获得的不当得利；</w:t>
      </w:r>
    </w:p>
    <w:p w14:paraId="3C3DC61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lastRenderedPageBreak/>
        <w:t>（</w:t>
      </w:r>
      <w:r>
        <w:rPr>
          <w:rFonts w:asciiTheme="minorEastAsia" w:hAnsiTheme="minorEastAsia"/>
          <w:bCs/>
          <w:sz w:val="24"/>
          <w:szCs w:val="24"/>
        </w:rPr>
        <w:t>9）发起资金提供方持有认购的基金份额不少于3</w:t>
      </w:r>
      <w:r>
        <w:rPr>
          <w:rFonts w:asciiTheme="minorEastAsia" w:hAnsiTheme="minorEastAsia" w:hint="eastAsia"/>
          <w:bCs/>
          <w:sz w:val="24"/>
          <w:szCs w:val="24"/>
        </w:rPr>
        <w:t>年；</w:t>
      </w:r>
    </w:p>
    <w:p w14:paraId="28E5B53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10）法律法规及中国证监会规定的和《基金合同》约定的其他义务。</w:t>
      </w:r>
    </w:p>
    <w:p w14:paraId="0F664D7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二、基金份额持有人大会召集、议事及表决的程序和规则</w:t>
      </w:r>
    </w:p>
    <w:p w14:paraId="62B7589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ECEDB8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本基金份额持有人大会不设日常机构。</w:t>
      </w:r>
    </w:p>
    <w:p w14:paraId="50C85369"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（一）召开事由</w:t>
      </w:r>
    </w:p>
    <w:p w14:paraId="3034B1A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1、当出现或需要决定下列事由之一的，应当召开基金份额持有人大会：</w:t>
      </w:r>
    </w:p>
    <w:p w14:paraId="7090D4BF"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（1）终止《基金合同》，但《基金合同》另有约定的除外；</w:t>
      </w:r>
    </w:p>
    <w:p w14:paraId="7F3E853D"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（2）更换基金管理人；</w:t>
      </w:r>
    </w:p>
    <w:p w14:paraId="1C8A7E0E"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（3）更换基金托管人；</w:t>
      </w:r>
    </w:p>
    <w:p w14:paraId="0812B389"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（4）转换基金运作方式；</w:t>
      </w:r>
    </w:p>
    <w:p w14:paraId="507E3715"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（5）调整基金管理人、基金托管人的报酬标准或调高销售服务费率；</w:t>
      </w:r>
    </w:p>
    <w:p w14:paraId="1513EFD5"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（6）变更基金类别；</w:t>
      </w:r>
    </w:p>
    <w:p w14:paraId="38E471A1" w14:textId="77777777" w:rsidR="00D51FDF" w:rsidRDefault="007F75F6">
      <w:pPr>
        <w:spacing w:line="440" w:lineRule="atLeast"/>
        <w:ind w:firstLineChars="200" w:firstLine="480"/>
        <w:rPr>
          <w:rFonts w:asciiTheme="minorEastAsia" w:hAnsiTheme="minorEastAsia"/>
          <w:sz w:val="24"/>
          <w:szCs w:val="24"/>
        </w:rPr>
      </w:pPr>
      <w:r>
        <w:rPr>
          <w:rFonts w:asciiTheme="minorEastAsia" w:hAnsiTheme="minorEastAsia" w:hint="eastAsia"/>
          <w:sz w:val="24"/>
          <w:szCs w:val="24"/>
        </w:rPr>
        <w:t>（7）本基金与其他基金的合并；</w:t>
      </w:r>
    </w:p>
    <w:p w14:paraId="2EE8109F"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（8）变更基金投资目标、范围或策略；</w:t>
      </w:r>
    </w:p>
    <w:p w14:paraId="17D26327"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（9）变更基金份额持有人大会程序；</w:t>
      </w:r>
    </w:p>
    <w:p w14:paraId="7D329C44"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（10）基金管理人或基金托管人要求召开基金份额持有人大会；</w:t>
      </w:r>
    </w:p>
    <w:p w14:paraId="19A1D963"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711D6807"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（12）对基金合同当事人权利和义务产生重大</w:t>
      </w:r>
      <w:r>
        <w:rPr>
          <w:rFonts w:asciiTheme="minorEastAsia" w:hAnsiTheme="minorEastAsia" w:hint="eastAsia"/>
          <w:sz w:val="24"/>
          <w:szCs w:val="24"/>
        </w:rPr>
        <w:t>影响</w:t>
      </w:r>
      <w:r>
        <w:rPr>
          <w:rFonts w:asciiTheme="minorEastAsia" w:hAnsiTheme="minorEastAsia" w:hint="eastAsia"/>
          <w:bCs/>
          <w:sz w:val="24"/>
          <w:szCs w:val="24"/>
        </w:rPr>
        <w:t>的其他事项；</w:t>
      </w:r>
    </w:p>
    <w:p w14:paraId="102CD62C" w14:textId="77777777" w:rsidR="00D51FDF" w:rsidRDefault="007F75F6">
      <w:pPr>
        <w:spacing w:line="440" w:lineRule="atLeast"/>
        <w:ind w:firstLineChars="200" w:firstLine="480"/>
        <w:rPr>
          <w:rFonts w:asciiTheme="minorEastAsia" w:hAnsiTheme="minorEastAsia"/>
          <w:bCs/>
          <w:sz w:val="24"/>
          <w:szCs w:val="24"/>
        </w:rPr>
      </w:pPr>
      <w:r>
        <w:rPr>
          <w:rFonts w:asciiTheme="minorEastAsia" w:hAnsiTheme="minorEastAsia" w:hint="eastAsia"/>
          <w:bCs/>
          <w:sz w:val="24"/>
          <w:szCs w:val="24"/>
        </w:rPr>
        <w:t>（13）法律法规、《基金合同》或中国证监会规定的其他应当召开基金份额持有人大会的事项。</w:t>
      </w:r>
    </w:p>
    <w:p w14:paraId="232112C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2、以下情况可由基金管理人和基金托管人协商后修改，不需召开基金份额持有人大会：</w:t>
      </w:r>
    </w:p>
    <w:p w14:paraId="46D9358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（1）调低销售服务费；</w:t>
      </w:r>
    </w:p>
    <w:p w14:paraId="15E662F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（2）法律法规要求增加的基金费用的收取；</w:t>
      </w:r>
    </w:p>
    <w:p w14:paraId="426F740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bCs/>
          <w:sz w:val="24"/>
          <w:szCs w:val="24"/>
        </w:rPr>
        <w:t>（3）在法律法规和《基金合同》规定的范围内且对</w:t>
      </w:r>
      <w:r>
        <w:rPr>
          <w:rFonts w:asciiTheme="minorEastAsia" w:hAnsiTheme="minorEastAsia" w:hint="eastAsia"/>
          <w:sz w:val="24"/>
          <w:szCs w:val="24"/>
        </w:rPr>
        <w:t>现有基金份额持有人利</w:t>
      </w:r>
      <w:r>
        <w:rPr>
          <w:rFonts w:asciiTheme="minorEastAsia" w:hAnsiTheme="minorEastAsia" w:hint="eastAsia"/>
          <w:sz w:val="24"/>
          <w:szCs w:val="24"/>
        </w:rPr>
        <w:lastRenderedPageBreak/>
        <w:t>益</w:t>
      </w:r>
      <w:r>
        <w:rPr>
          <w:rFonts w:asciiTheme="minorEastAsia" w:hAnsiTheme="minorEastAsia" w:hint="eastAsia"/>
          <w:bCs/>
          <w:sz w:val="24"/>
          <w:szCs w:val="24"/>
        </w:rPr>
        <w:t>无实质性不利影响</w:t>
      </w:r>
      <w:r>
        <w:rPr>
          <w:rFonts w:asciiTheme="minorEastAsia" w:hAnsiTheme="minorEastAsia" w:hint="eastAsia"/>
          <w:sz w:val="24"/>
          <w:szCs w:val="24"/>
        </w:rPr>
        <w:t>的前提下</w:t>
      </w:r>
      <w:r>
        <w:rPr>
          <w:rFonts w:asciiTheme="minorEastAsia" w:hAnsiTheme="minorEastAsia" w:hint="eastAsia"/>
          <w:bCs/>
          <w:sz w:val="24"/>
          <w:szCs w:val="24"/>
        </w:rPr>
        <w:t>调整本基金的申购费率、调低赎回费率或</w:t>
      </w:r>
      <w:r>
        <w:rPr>
          <w:rFonts w:asciiTheme="minorEastAsia" w:hAnsiTheme="minorEastAsia" w:hint="eastAsia"/>
          <w:sz w:val="24"/>
          <w:szCs w:val="24"/>
        </w:rPr>
        <w:t>变更收费方式、增加、减少或调整基金份额类别设置、对基金份额分类办法及规则进行调整、推出新业务或新服务；</w:t>
      </w:r>
    </w:p>
    <w:p w14:paraId="48C3D3C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w:t>
      </w:r>
      <w:proofErr w:type="gramStart"/>
      <w:r>
        <w:rPr>
          <w:rFonts w:asciiTheme="minorEastAsia" w:hAnsiTheme="minorEastAsia" w:hint="eastAsia"/>
          <w:bCs/>
          <w:sz w:val="24"/>
          <w:szCs w:val="24"/>
        </w:rPr>
        <w:t>因相应</w:t>
      </w:r>
      <w:proofErr w:type="gramEnd"/>
      <w:r>
        <w:rPr>
          <w:rFonts w:asciiTheme="minorEastAsia" w:hAnsiTheme="minorEastAsia" w:hint="eastAsia"/>
          <w:bCs/>
          <w:sz w:val="24"/>
          <w:szCs w:val="24"/>
        </w:rPr>
        <w:t>的法律法规发生变动而应当对《基金合同》进行修改；</w:t>
      </w:r>
    </w:p>
    <w:p w14:paraId="1BA0C7A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（5）对《基金合同》的修改对基金份额持有人利益无实质性不利影响或修改不涉及《基金合同》当事人权利义务关系发生重大变化；</w:t>
      </w:r>
    </w:p>
    <w:p w14:paraId="0217E7E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（6）按照法律法规和《基金合同》规定不需召开基金份额持有人大会的其他情形。</w:t>
      </w:r>
    </w:p>
    <w:p w14:paraId="6A29208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（二）会议召集人及召集方式</w:t>
      </w:r>
    </w:p>
    <w:p w14:paraId="46D2969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1、除法律法规规定或《基金合同》另有约定外，基金份额持有人大会由基金管理人召集；</w:t>
      </w:r>
    </w:p>
    <w:p w14:paraId="17E72540"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2、基金管理人未按规定召集或不能召集时，由基金托管人召集；</w:t>
      </w:r>
    </w:p>
    <w:p w14:paraId="198CC34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bCs/>
          <w:sz w:val="24"/>
          <w:szCs w:val="24"/>
        </w:rPr>
        <w:t>3、基金托管人认为有必要召开基金份额持有人大会的，应当向基金管理人提出书面提议。基金管理人应当自收到书面提议之日起</w:t>
      </w:r>
      <w:r>
        <w:rPr>
          <w:rFonts w:asciiTheme="minorEastAsia" w:hAnsiTheme="minorEastAsia"/>
          <w:bCs/>
          <w:sz w:val="24"/>
          <w:szCs w:val="24"/>
        </w:rPr>
        <w:t>10</w:t>
      </w:r>
      <w:r>
        <w:rPr>
          <w:rFonts w:asciiTheme="minorEastAsia" w:hAnsiTheme="minorEastAsia" w:hint="eastAsia"/>
          <w:bCs/>
          <w:sz w:val="24"/>
          <w:szCs w:val="24"/>
        </w:rPr>
        <w:t>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82CF32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4、代表基金份额</w:t>
      </w:r>
      <w:r>
        <w:rPr>
          <w:rFonts w:asciiTheme="minorEastAsia" w:hAnsiTheme="minorEastAsia"/>
          <w:bCs/>
          <w:sz w:val="24"/>
          <w:szCs w:val="24"/>
        </w:rPr>
        <w:t>10%</w:t>
      </w:r>
      <w:r>
        <w:rPr>
          <w:rFonts w:asciiTheme="minorEastAsia" w:hAnsiTheme="minorEastAsia" w:hint="eastAsia"/>
          <w:bCs/>
          <w:sz w:val="24"/>
          <w:szCs w:val="24"/>
        </w:rPr>
        <w:t>以上（含</w:t>
      </w:r>
      <w:r>
        <w:rPr>
          <w:rFonts w:asciiTheme="minorEastAsia" w:hAnsiTheme="minorEastAsia"/>
          <w:bCs/>
          <w:sz w:val="24"/>
          <w:szCs w:val="24"/>
        </w:rPr>
        <w:t>10%</w:t>
      </w:r>
      <w:r>
        <w:rPr>
          <w:rFonts w:asciiTheme="minorEastAsia" w:hAnsiTheme="minorEastAsia" w:hint="eastAsia"/>
          <w:bCs/>
          <w:sz w:val="24"/>
          <w:szCs w:val="24"/>
        </w:rPr>
        <w:t>）的基金份额持有人就同一事项书面要求召开基金份额持有人大会，应当向基金管理人提出书面提议。基金管理人应当自收到书面提议之日起</w:t>
      </w:r>
      <w:r>
        <w:rPr>
          <w:rFonts w:asciiTheme="minorEastAsia" w:hAnsiTheme="minorEastAsia"/>
          <w:bCs/>
          <w:sz w:val="24"/>
          <w:szCs w:val="24"/>
        </w:rPr>
        <w:t>10</w:t>
      </w:r>
      <w:r>
        <w:rPr>
          <w:rFonts w:asciiTheme="minorEastAsia" w:hAnsiTheme="minorEastAsia" w:hint="eastAsia"/>
          <w:bCs/>
          <w:sz w:val="24"/>
          <w:szCs w:val="24"/>
        </w:rPr>
        <w:t>日内决定是否召集，并书面告知提出提议的基金份额持有人代表和基金托管人。基金管理人决定召集的，应当自出具书面决定之日起</w:t>
      </w:r>
      <w:r>
        <w:rPr>
          <w:rFonts w:asciiTheme="minorEastAsia" w:hAnsiTheme="minorEastAsia"/>
          <w:bCs/>
          <w:sz w:val="24"/>
          <w:szCs w:val="24"/>
        </w:rPr>
        <w:t>60</w:t>
      </w:r>
      <w:r>
        <w:rPr>
          <w:rFonts w:asciiTheme="minorEastAsia" w:hAnsiTheme="minorEastAsia" w:hint="eastAsia"/>
          <w:bCs/>
          <w:sz w:val="24"/>
          <w:szCs w:val="24"/>
        </w:rPr>
        <w:t>日内召开；基金管理人决定不召集，代表基金份额</w:t>
      </w:r>
      <w:r>
        <w:rPr>
          <w:rFonts w:asciiTheme="minorEastAsia" w:hAnsiTheme="minorEastAsia"/>
          <w:bCs/>
          <w:sz w:val="24"/>
          <w:szCs w:val="24"/>
        </w:rPr>
        <w:t>10%</w:t>
      </w:r>
      <w:r>
        <w:rPr>
          <w:rFonts w:asciiTheme="minorEastAsia" w:hAnsiTheme="minorEastAsia" w:hint="eastAsia"/>
          <w:bCs/>
          <w:sz w:val="24"/>
          <w:szCs w:val="24"/>
        </w:rPr>
        <w:t>以上（含</w:t>
      </w:r>
      <w:r>
        <w:rPr>
          <w:rFonts w:asciiTheme="minorEastAsia" w:hAnsiTheme="minorEastAsia"/>
          <w:bCs/>
          <w:sz w:val="24"/>
          <w:szCs w:val="24"/>
        </w:rPr>
        <w:t>10%</w:t>
      </w:r>
      <w:r>
        <w:rPr>
          <w:rFonts w:asciiTheme="minorEastAsia" w:hAnsiTheme="minorEastAsia" w:hint="eastAsia"/>
          <w:bCs/>
          <w:sz w:val="24"/>
          <w:szCs w:val="24"/>
        </w:rPr>
        <w:t>）的基金份额持有人仍认为有必要召开的，应当向基金托管人提出书面提议。基金托管人应当自收到书面提议之日起</w:t>
      </w:r>
      <w:r>
        <w:rPr>
          <w:rFonts w:asciiTheme="minorEastAsia" w:hAnsiTheme="minorEastAsia"/>
          <w:bCs/>
          <w:sz w:val="24"/>
          <w:szCs w:val="24"/>
        </w:rPr>
        <w:t>10</w:t>
      </w:r>
      <w:r>
        <w:rPr>
          <w:rFonts w:asciiTheme="minorEastAsia" w:hAnsiTheme="minorEastAsia" w:hint="eastAsia"/>
          <w:bCs/>
          <w:sz w:val="24"/>
          <w:szCs w:val="24"/>
        </w:rPr>
        <w:t>日内决定是否召集，并书面告知提出提议的基金份额持有人代表和基金管理人；基金托管人决定召集的，应当自出具书面决定之日起60日内召开并告知基金管理人，基金管理人应当配合；</w:t>
      </w:r>
    </w:p>
    <w:p w14:paraId="7F7A0AD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5、代表基金份额</w:t>
      </w:r>
      <w:r>
        <w:rPr>
          <w:rFonts w:asciiTheme="minorEastAsia" w:hAnsiTheme="minorEastAsia"/>
          <w:bCs/>
          <w:sz w:val="24"/>
          <w:szCs w:val="24"/>
        </w:rPr>
        <w:t>10%</w:t>
      </w:r>
      <w:r>
        <w:rPr>
          <w:rFonts w:asciiTheme="minorEastAsia" w:hAnsiTheme="minorEastAsia" w:hint="eastAsia"/>
          <w:bCs/>
          <w:sz w:val="24"/>
          <w:szCs w:val="24"/>
        </w:rPr>
        <w:t>以上（含</w:t>
      </w:r>
      <w:r>
        <w:rPr>
          <w:rFonts w:asciiTheme="minorEastAsia" w:hAnsiTheme="minorEastAsia"/>
          <w:bCs/>
          <w:sz w:val="24"/>
          <w:szCs w:val="24"/>
        </w:rPr>
        <w:t>10%</w:t>
      </w:r>
      <w:r>
        <w:rPr>
          <w:rFonts w:asciiTheme="minorEastAsia" w:hAnsiTheme="minorEastAsia" w:hint="eastAsia"/>
          <w:bCs/>
          <w:sz w:val="24"/>
          <w:szCs w:val="24"/>
        </w:rPr>
        <w:t>）的基金份额持有人就同一事项要求召开基金份额持有人大会，而基金管理人、基金托管人都不召集的，单独或合计代表</w:t>
      </w:r>
      <w:r>
        <w:rPr>
          <w:rFonts w:asciiTheme="minorEastAsia" w:hAnsiTheme="minorEastAsia" w:hint="eastAsia"/>
          <w:bCs/>
          <w:sz w:val="24"/>
          <w:szCs w:val="24"/>
        </w:rPr>
        <w:lastRenderedPageBreak/>
        <w:t>基金份额</w:t>
      </w:r>
      <w:r>
        <w:rPr>
          <w:rFonts w:asciiTheme="minorEastAsia" w:hAnsiTheme="minorEastAsia"/>
          <w:bCs/>
          <w:sz w:val="24"/>
          <w:szCs w:val="24"/>
        </w:rPr>
        <w:t>10%</w:t>
      </w:r>
      <w:r>
        <w:rPr>
          <w:rFonts w:asciiTheme="minorEastAsia" w:hAnsiTheme="minorEastAsia" w:hint="eastAsia"/>
          <w:bCs/>
          <w:sz w:val="24"/>
          <w:szCs w:val="24"/>
        </w:rPr>
        <w:t>以上（含</w:t>
      </w:r>
      <w:r>
        <w:rPr>
          <w:rFonts w:asciiTheme="minorEastAsia" w:hAnsiTheme="minorEastAsia"/>
          <w:bCs/>
          <w:sz w:val="24"/>
          <w:szCs w:val="24"/>
        </w:rPr>
        <w:t>10%</w:t>
      </w:r>
      <w:r>
        <w:rPr>
          <w:rFonts w:asciiTheme="minorEastAsia" w:hAnsiTheme="minorEastAsia" w:hint="eastAsia"/>
          <w:bCs/>
          <w:sz w:val="24"/>
          <w:szCs w:val="24"/>
        </w:rPr>
        <w:t>）的基金份额持有人有权自行召集，并至少提前30日报中国证监会备案。基金份额持有人依法自行召集基金份额持有人大会的，基金管理人、基金托管人应当配合，不得阻碍、干扰；</w:t>
      </w:r>
    </w:p>
    <w:p w14:paraId="07FFDAB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6、基金份额持有人会议的召集人负责选择确定开会时间、地点、方式和权益登记日。</w:t>
      </w:r>
    </w:p>
    <w:p w14:paraId="7D765FE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（三）召开基金份额持有人大会的通知时间、通知内容、通知方式</w:t>
      </w:r>
    </w:p>
    <w:p w14:paraId="41499D9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1、召开基金份额持有人大会，召集人应于会议召开前</w:t>
      </w:r>
      <w:r>
        <w:rPr>
          <w:rFonts w:asciiTheme="minorEastAsia" w:hAnsiTheme="minorEastAsia"/>
          <w:bCs/>
          <w:sz w:val="24"/>
          <w:szCs w:val="24"/>
        </w:rPr>
        <w:t>30</w:t>
      </w:r>
      <w:r>
        <w:rPr>
          <w:rFonts w:asciiTheme="minorEastAsia" w:hAnsiTheme="minorEastAsia" w:hint="eastAsia"/>
          <w:bCs/>
          <w:sz w:val="24"/>
          <w:szCs w:val="24"/>
        </w:rPr>
        <w:t>日，在指定媒介公告。基金份额持有人大会通知应至少载明以下内容：</w:t>
      </w:r>
    </w:p>
    <w:p w14:paraId="4030B6E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（1）会议召开的时间、地点和会议形式；</w:t>
      </w:r>
    </w:p>
    <w:p w14:paraId="27E5831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（2）会议</w:t>
      </w:r>
      <w:proofErr w:type="gramStart"/>
      <w:r>
        <w:rPr>
          <w:rFonts w:asciiTheme="minorEastAsia" w:hAnsiTheme="minorEastAsia" w:hint="eastAsia"/>
          <w:bCs/>
          <w:sz w:val="24"/>
          <w:szCs w:val="24"/>
        </w:rPr>
        <w:t>拟审议</w:t>
      </w:r>
      <w:proofErr w:type="gramEnd"/>
      <w:r>
        <w:rPr>
          <w:rFonts w:asciiTheme="minorEastAsia" w:hAnsiTheme="minorEastAsia" w:hint="eastAsia"/>
          <w:bCs/>
          <w:sz w:val="24"/>
          <w:szCs w:val="24"/>
        </w:rPr>
        <w:t>的事项、议事程序和表决方式；</w:t>
      </w:r>
    </w:p>
    <w:p w14:paraId="2AE3455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（3）有权出席基金份额持有人大会的基金份额持有人的权益登记日；</w:t>
      </w:r>
    </w:p>
    <w:p w14:paraId="6BE85D6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（4）授权委托证明的内容要求（包括但不限于代理人身份，代理权限和代理有效期限等）、送达时间和地点；</w:t>
      </w:r>
    </w:p>
    <w:p w14:paraId="4C54B5E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（5）会务常设联系人姓名及联系电话；</w:t>
      </w:r>
    </w:p>
    <w:p w14:paraId="68D3254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（6）出席会议者必须准备的文件和必须履行的手续；</w:t>
      </w:r>
    </w:p>
    <w:p w14:paraId="0749DDC7"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（7）召集人需要通知的其他事项。</w:t>
      </w:r>
    </w:p>
    <w:p w14:paraId="37CDCB9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D0972A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hAnsiTheme="minorEastAsia" w:hint="eastAsia"/>
          <w:bCs/>
          <w:sz w:val="24"/>
          <w:szCs w:val="24"/>
        </w:rPr>
        <w:t>拒不派</w:t>
      </w:r>
      <w:proofErr w:type="gramEnd"/>
      <w:r>
        <w:rPr>
          <w:rFonts w:asciiTheme="minorEastAsia" w:hAnsiTheme="minorEastAsia" w:hint="eastAsia"/>
          <w:bCs/>
          <w:sz w:val="24"/>
          <w:szCs w:val="24"/>
        </w:rPr>
        <w:t>代表对表决意见的计票进行监督的，不影响表决意见的计票效力。</w:t>
      </w:r>
    </w:p>
    <w:p w14:paraId="1E80F72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（四）基金份额持有人出席会议的方式</w:t>
      </w:r>
    </w:p>
    <w:p w14:paraId="5496050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基金份额持有人大会可通过现场开会方式、通讯开会方式或法律法规、监管机构允许的其他方式召开，会议的召开方式由会议召集人确定。</w:t>
      </w:r>
    </w:p>
    <w:p w14:paraId="1A4AEAE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1、现场开会。由基金份额持有人本人出席或以代理投票授权委托证明委派</w:t>
      </w:r>
      <w:r>
        <w:rPr>
          <w:rFonts w:asciiTheme="minorEastAsia" w:hAnsiTheme="minorEastAsia" w:hint="eastAsia"/>
          <w:bCs/>
          <w:sz w:val="24"/>
          <w:szCs w:val="24"/>
        </w:rPr>
        <w:lastRenderedPageBreak/>
        <w:t>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7227D3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12A133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62F672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2、通讯开会。通讯开会系指基金份额持有人将其对表决事项的投票以书面形式</w:t>
      </w:r>
      <w:proofErr w:type="gramStart"/>
      <w:r>
        <w:rPr>
          <w:rFonts w:asciiTheme="minorEastAsia" w:hAnsiTheme="minorEastAsia" w:hint="eastAsia"/>
          <w:bCs/>
          <w:sz w:val="24"/>
        </w:rPr>
        <w:t>或大会</w:t>
      </w:r>
      <w:proofErr w:type="gramEnd"/>
      <w:r>
        <w:rPr>
          <w:rFonts w:asciiTheme="minorEastAsia" w:hAnsiTheme="minorEastAsia" w:hint="eastAsia"/>
          <w:bCs/>
          <w:sz w:val="24"/>
        </w:rPr>
        <w:t>公告载明的其他方式</w:t>
      </w:r>
      <w:r>
        <w:rPr>
          <w:rFonts w:asciiTheme="minorEastAsia" w:hAnsiTheme="minorEastAsia" w:hint="eastAsia"/>
          <w:bCs/>
          <w:sz w:val="24"/>
          <w:szCs w:val="24"/>
        </w:rPr>
        <w:t>在表决截至日以前送达至召集人指定的地址。通讯开会应以书面方式</w:t>
      </w:r>
      <w:proofErr w:type="gramStart"/>
      <w:r>
        <w:rPr>
          <w:rFonts w:asciiTheme="minorEastAsia" w:hAnsiTheme="minorEastAsia" w:hint="eastAsia"/>
          <w:bCs/>
          <w:sz w:val="24"/>
        </w:rPr>
        <w:t>或大会</w:t>
      </w:r>
      <w:proofErr w:type="gramEnd"/>
      <w:r>
        <w:rPr>
          <w:rFonts w:asciiTheme="minorEastAsia" w:hAnsiTheme="minorEastAsia" w:hint="eastAsia"/>
          <w:bCs/>
          <w:sz w:val="24"/>
        </w:rPr>
        <w:t>公告载明的其他方式</w:t>
      </w:r>
      <w:r>
        <w:rPr>
          <w:rFonts w:asciiTheme="minorEastAsia" w:hAnsiTheme="minorEastAsia" w:hint="eastAsia"/>
          <w:bCs/>
          <w:sz w:val="24"/>
          <w:szCs w:val="24"/>
        </w:rPr>
        <w:t>进行表决。</w:t>
      </w:r>
    </w:p>
    <w:p w14:paraId="339595B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在同时符合以下条件时，通讯开会的方式视为有效：</w:t>
      </w:r>
    </w:p>
    <w:p w14:paraId="0C9D770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（1）会议召集人按《基金合同》约定公布会议通知后，在</w:t>
      </w:r>
      <w:r>
        <w:rPr>
          <w:rFonts w:asciiTheme="minorEastAsia" w:hAnsiTheme="minorEastAsia"/>
          <w:bCs/>
          <w:sz w:val="24"/>
          <w:szCs w:val="24"/>
        </w:rPr>
        <w:t>2</w:t>
      </w:r>
      <w:r>
        <w:rPr>
          <w:rFonts w:asciiTheme="minorEastAsia" w:hAnsiTheme="minorEastAsia" w:hint="eastAsia"/>
          <w:bCs/>
          <w:sz w:val="24"/>
          <w:szCs w:val="24"/>
        </w:rPr>
        <w:t>个工作日内连续公布相关提示性公告；</w:t>
      </w:r>
    </w:p>
    <w:p w14:paraId="0FED2B4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8A3134C" w14:textId="77777777" w:rsidR="00D51FDF" w:rsidRDefault="007F75F6">
      <w:pPr>
        <w:spacing w:line="360" w:lineRule="auto"/>
        <w:ind w:firstLineChars="225" w:firstLine="540"/>
        <w:rPr>
          <w:rFonts w:asciiTheme="minorEastAsia" w:hAnsiTheme="minorEastAsia"/>
          <w:bCs/>
          <w:sz w:val="24"/>
          <w:szCs w:val="24"/>
        </w:rPr>
      </w:pPr>
      <w:r>
        <w:rPr>
          <w:rFonts w:asciiTheme="minorEastAsia" w:hAnsiTheme="minorEastAsia"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w:t>
      </w:r>
      <w:r>
        <w:rPr>
          <w:rFonts w:asciiTheme="minorEastAsia" w:hAnsiTheme="minorEastAsia" w:hint="eastAsia"/>
          <w:bCs/>
          <w:sz w:val="24"/>
          <w:szCs w:val="24"/>
        </w:rPr>
        <w:lastRenderedPageBreak/>
        <w:t>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43281AC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498522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1293B64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bCs/>
          <w:sz w:val="24"/>
          <w:szCs w:val="24"/>
        </w:rPr>
        <w:t>4</w:t>
      </w:r>
      <w:r>
        <w:rPr>
          <w:rFonts w:asciiTheme="minorEastAsia" w:hAnsiTheme="minorEastAsia"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47C45FB0"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（五）议事内容与程序</w:t>
      </w:r>
    </w:p>
    <w:p w14:paraId="5397CEF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1、议事内容及提案权</w:t>
      </w:r>
    </w:p>
    <w:p w14:paraId="01EC708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A6338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基金份额持有人大会的召集人发出召集会议的通知后，对原有提案的修改应当在基金份额持有人大会召开前及时公告。</w:t>
      </w:r>
    </w:p>
    <w:p w14:paraId="111484C4"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基金份额持有人大会不得对未事先公告的议事内容进行表决。</w:t>
      </w:r>
    </w:p>
    <w:p w14:paraId="5B3603D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2、议事程序</w:t>
      </w:r>
    </w:p>
    <w:p w14:paraId="423DD7CC"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（1）现场开会</w:t>
      </w:r>
    </w:p>
    <w:p w14:paraId="598C89A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Pr>
          <w:rFonts w:asciiTheme="minorEastAsia" w:hAnsiTheme="minorEastAsia" w:hint="eastAsia"/>
          <w:bCs/>
          <w:sz w:val="24"/>
          <w:szCs w:val="24"/>
        </w:rPr>
        <w:lastRenderedPageBreak/>
        <w:t>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hint="eastAsia"/>
          <w:bCs/>
          <w:sz w:val="24"/>
          <w:szCs w:val="24"/>
        </w:rPr>
        <w:t>作出</w:t>
      </w:r>
      <w:proofErr w:type="gramEnd"/>
      <w:r>
        <w:rPr>
          <w:rFonts w:asciiTheme="minorEastAsia" w:hAnsiTheme="minorEastAsia" w:hint="eastAsia"/>
          <w:bCs/>
          <w:sz w:val="24"/>
          <w:szCs w:val="24"/>
        </w:rPr>
        <w:t>的决议的效力。</w:t>
      </w:r>
    </w:p>
    <w:p w14:paraId="7F89654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会议召集人应当制作出席会议人员的签名册。签名</w:t>
      </w:r>
      <w:proofErr w:type="gramStart"/>
      <w:r>
        <w:rPr>
          <w:rFonts w:asciiTheme="minorEastAsia" w:hAnsiTheme="minorEastAsia" w:hint="eastAsia"/>
          <w:bCs/>
          <w:sz w:val="24"/>
          <w:szCs w:val="24"/>
        </w:rPr>
        <w:t>册</w:t>
      </w:r>
      <w:proofErr w:type="gramEnd"/>
      <w:r>
        <w:rPr>
          <w:rFonts w:asciiTheme="minorEastAsia" w:hAnsiTheme="minorEastAsia" w:hint="eastAsia"/>
          <w:bCs/>
          <w:sz w:val="24"/>
          <w:szCs w:val="24"/>
        </w:rPr>
        <w:t>载明参加会议人员姓名（或单位名称）、身份证明文件号码、持有或代表有表决权的基金份额、委托人姓名（或单位名称）和联系方式等事项。</w:t>
      </w:r>
    </w:p>
    <w:p w14:paraId="54FFCCB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（2）通讯开会</w:t>
      </w:r>
    </w:p>
    <w:p w14:paraId="745DFDB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在通讯开会的情况下，首先由召集人提前</w:t>
      </w:r>
      <w:r>
        <w:rPr>
          <w:rFonts w:asciiTheme="minorEastAsia" w:hAnsiTheme="minorEastAsia"/>
          <w:bCs/>
          <w:sz w:val="24"/>
          <w:szCs w:val="24"/>
        </w:rPr>
        <w:t>30</w:t>
      </w:r>
      <w:r>
        <w:rPr>
          <w:rFonts w:asciiTheme="minorEastAsia" w:hAnsiTheme="minorEastAsia" w:hint="eastAsia"/>
          <w:bCs/>
          <w:sz w:val="24"/>
          <w:szCs w:val="24"/>
        </w:rPr>
        <w:t>日公布提案，在所通知的表决截止日期后</w:t>
      </w:r>
      <w:r>
        <w:rPr>
          <w:rFonts w:asciiTheme="minorEastAsia" w:hAnsiTheme="minorEastAsia"/>
          <w:bCs/>
          <w:sz w:val="24"/>
          <w:szCs w:val="24"/>
        </w:rPr>
        <w:t>2</w:t>
      </w:r>
      <w:r>
        <w:rPr>
          <w:rFonts w:asciiTheme="minorEastAsia" w:hAnsiTheme="minorEastAsia" w:hint="eastAsia"/>
          <w:bCs/>
          <w:sz w:val="24"/>
          <w:szCs w:val="24"/>
        </w:rPr>
        <w:t>个工作日内在公证机关监督下由召集人统计全部有效表决，在公证机关监督下形成决议。</w:t>
      </w:r>
    </w:p>
    <w:p w14:paraId="54DB693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（六）表决</w:t>
      </w:r>
    </w:p>
    <w:p w14:paraId="00612A7F"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基金份额持有人所持每份基金份额有一票表决权。</w:t>
      </w:r>
    </w:p>
    <w:p w14:paraId="2AA7FBB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基金份额持有人大会决议分为一般决议和特别决议：</w:t>
      </w:r>
    </w:p>
    <w:p w14:paraId="097164F2"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5E3A4D4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sz w:val="24"/>
          <w:szCs w:val="24"/>
        </w:rPr>
        <w:t>2、特别决议，特别决议应当经参加大会的基金份额持有人或其代理人所持表决权的三分之二以上（含三分之二）通过方可做出。除《基金合同》另有约定外，</w:t>
      </w:r>
      <w:r>
        <w:rPr>
          <w:rFonts w:asciiTheme="minorEastAsia" w:hAnsiTheme="minorEastAsia" w:hint="eastAsia"/>
          <w:bCs/>
          <w:sz w:val="24"/>
          <w:szCs w:val="24"/>
        </w:rPr>
        <w:t>转换基金运作方式、更换基金管理人或者基金托管人、终止《基金合同》、本基金与其他基金合并以特别决议通过方为有效。</w:t>
      </w:r>
    </w:p>
    <w:p w14:paraId="7DB2E9C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基金份额持有人大会采取记名方式进行投票表决。</w:t>
      </w:r>
    </w:p>
    <w:p w14:paraId="53BEE9A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E16A9C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基金份额持有人大会的各项提案或同一项提案内并列的各项议题应当分开审议、逐项表决。</w:t>
      </w:r>
    </w:p>
    <w:p w14:paraId="267BDF4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lastRenderedPageBreak/>
        <w:t>（七）计票</w:t>
      </w:r>
    </w:p>
    <w:p w14:paraId="79328D06"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1、现场开会</w:t>
      </w:r>
    </w:p>
    <w:p w14:paraId="2359094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hint="eastAsia"/>
          <w:bCs/>
          <w:sz w:val="24"/>
          <w:szCs w:val="24"/>
        </w:rPr>
        <w:t>或大会</w:t>
      </w:r>
      <w:proofErr w:type="gramEnd"/>
      <w:r>
        <w:rPr>
          <w:rFonts w:asciiTheme="minorEastAsia" w:hAnsiTheme="minorEastAsia"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9C5CA6D"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（2）监票人应当在基金份额持有人表决后立即进行清点并由大会主持人当场公布计票结果。</w:t>
      </w:r>
    </w:p>
    <w:p w14:paraId="23F3851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（3）如果会议主持人或基金份额持有人或代理人对于提交的表决结果有怀疑，可以在宣布表决结果后立即对所投票</w:t>
      </w:r>
      <w:proofErr w:type="gramStart"/>
      <w:r>
        <w:rPr>
          <w:rFonts w:asciiTheme="minorEastAsia" w:hAnsiTheme="minorEastAsia" w:hint="eastAsia"/>
          <w:bCs/>
          <w:sz w:val="24"/>
          <w:szCs w:val="24"/>
        </w:rPr>
        <w:t>数要求</w:t>
      </w:r>
      <w:proofErr w:type="gramEnd"/>
      <w:r>
        <w:rPr>
          <w:rFonts w:asciiTheme="minorEastAsia" w:hAnsiTheme="minorEastAsia" w:hint="eastAsia"/>
          <w:bCs/>
          <w:sz w:val="24"/>
          <w:szCs w:val="24"/>
        </w:rPr>
        <w:t>进行重新清点。监票人应当进行重新清点，重新清点以一次为限。重新清点后，大会主持人应当当场公布重新清点结果。</w:t>
      </w:r>
    </w:p>
    <w:p w14:paraId="5044FCB3"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（4）计票过程应由公证机关予以公证，基金管理人或基金托管人拒不出席大会的，不影响计票的效力。</w:t>
      </w:r>
    </w:p>
    <w:p w14:paraId="019F2DDB"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2、通讯开会</w:t>
      </w:r>
    </w:p>
    <w:p w14:paraId="52AEE155"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hint="eastAsia"/>
          <w:bCs/>
          <w:sz w:val="24"/>
          <w:szCs w:val="24"/>
        </w:rPr>
        <w:t>人拒派</w:t>
      </w:r>
      <w:proofErr w:type="gramEnd"/>
      <w:r>
        <w:rPr>
          <w:rFonts w:asciiTheme="minorEastAsia" w:hAnsiTheme="minorEastAsia" w:hint="eastAsia"/>
          <w:bCs/>
          <w:sz w:val="24"/>
          <w:szCs w:val="24"/>
        </w:rPr>
        <w:t>代表对表决意见的计票进行监督的，不影响计票和表决结果。</w:t>
      </w:r>
    </w:p>
    <w:p w14:paraId="1A074B41"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（八）生效与公告</w:t>
      </w:r>
    </w:p>
    <w:p w14:paraId="24DEC598"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基金份额持有人大会的</w:t>
      </w:r>
      <w:r>
        <w:rPr>
          <w:rFonts w:asciiTheme="minorEastAsia" w:hAnsiTheme="minorEastAsia" w:hint="eastAsia"/>
          <w:sz w:val="24"/>
          <w:szCs w:val="24"/>
        </w:rPr>
        <w:t>决议</w:t>
      </w:r>
      <w:r>
        <w:rPr>
          <w:rFonts w:asciiTheme="minorEastAsia" w:hAnsiTheme="minorEastAsia" w:hint="eastAsia"/>
          <w:bCs/>
          <w:sz w:val="24"/>
          <w:szCs w:val="24"/>
        </w:rPr>
        <w:t>，召集人应当</w:t>
      </w:r>
      <w:r>
        <w:rPr>
          <w:rFonts w:asciiTheme="minorEastAsia" w:hAnsiTheme="minorEastAsia" w:hint="eastAsia"/>
          <w:sz w:val="24"/>
          <w:szCs w:val="24"/>
        </w:rPr>
        <w:t>自</w:t>
      </w:r>
      <w:r>
        <w:rPr>
          <w:rFonts w:asciiTheme="minorEastAsia" w:hAnsiTheme="minorEastAsia" w:hint="eastAsia"/>
          <w:bCs/>
          <w:sz w:val="24"/>
          <w:szCs w:val="24"/>
        </w:rPr>
        <w:t>通过之日起</w:t>
      </w:r>
      <w:r>
        <w:rPr>
          <w:rFonts w:asciiTheme="minorEastAsia" w:hAnsiTheme="minorEastAsia"/>
          <w:bCs/>
          <w:sz w:val="24"/>
          <w:szCs w:val="24"/>
        </w:rPr>
        <w:t>5</w:t>
      </w:r>
      <w:r>
        <w:rPr>
          <w:rFonts w:asciiTheme="minorEastAsia" w:hAnsiTheme="minorEastAsia" w:hint="eastAsia"/>
          <w:bCs/>
          <w:sz w:val="24"/>
          <w:szCs w:val="24"/>
        </w:rPr>
        <w:t>日内报中国证监会备案。</w:t>
      </w:r>
    </w:p>
    <w:p w14:paraId="114F2EEA"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基金份额持有人大会的决议自表决通过</w:t>
      </w:r>
      <w:r>
        <w:rPr>
          <w:rFonts w:asciiTheme="minorEastAsia" w:hAnsiTheme="minorEastAsia" w:hint="eastAsia"/>
          <w:sz w:val="24"/>
          <w:szCs w:val="24"/>
        </w:rPr>
        <w:t>之日起</w:t>
      </w:r>
      <w:r>
        <w:rPr>
          <w:rFonts w:asciiTheme="minorEastAsia" w:hAnsiTheme="minorEastAsia" w:hint="eastAsia"/>
          <w:bCs/>
          <w:sz w:val="24"/>
          <w:szCs w:val="24"/>
        </w:rPr>
        <w:t>生效。</w:t>
      </w:r>
    </w:p>
    <w:p w14:paraId="25C7808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719B8E3E" w14:textId="77777777" w:rsidR="00D51FDF" w:rsidRDefault="007F75F6">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77ACC560"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（九）本部</w:t>
      </w:r>
      <w:proofErr w:type="gramStart"/>
      <w:r>
        <w:rPr>
          <w:rFonts w:asciiTheme="minorEastAsia" w:hAnsiTheme="minorEastAsia" w:hint="eastAsia"/>
          <w:bCs/>
          <w:sz w:val="24"/>
          <w:szCs w:val="24"/>
        </w:rPr>
        <w:t>分关于</w:t>
      </w:r>
      <w:proofErr w:type="gramEnd"/>
      <w:r>
        <w:rPr>
          <w:rFonts w:asciiTheme="minorEastAsia" w:hAnsiTheme="minorEastAsia"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A1CE09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三、基金合同解除和终止的事由、程序以及基金财产清算方式</w:t>
      </w:r>
    </w:p>
    <w:p w14:paraId="00E116A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（一）《基金合同》的变更</w:t>
      </w:r>
    </w:p>
    <w:p w14:paraId="562E48E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1、变更基金合同涉及法律法规规定或本基金合同约定应经基金份额持有人大会决议通过的事项的，应召</w:t>
      </w:r>
      <w:proofErr w:type="gramStart"/>
      <w:r>
        <w:rPr>
          <w:rFonts w:asciiTheme="minorEastAsia" w:hAnsiTheme="minorEastAsia" w:hint="eastAsia"/>
          <w:bCs/>
          <w:sz w:val="24"/>
        </w:rPr>
        <w:t>开基金</w:t>
      </w:r>
      <w:proofErr w:type="gramEnd"/>
      <w:r>
        <w:rPr>
          <w:rFonts w:asciiTheme="minorEastAsia" w:hAnsiTheme="minorEastAsia" w:hint="eastAsia"/>
          <w:bCs/>
          <w:sz w:val="24"/>
        </w:rPr>
        <w:t>份额持有人大会决议通过。对于可不经基金份额持有人大会决议通过的事项，由基金管理人和基金托管人同意后变更并公告，并报中国证监会备案。</w:t>
      </w:r>
    </w:p>
    <w:p w14:paraId="48AE952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bCs/>
          <w:sz w:val="24"/>
        </w:rPr>
        <w:t xml:space="preserve"> </w:t>
      </w:r>
      <w:r>
        <w:rPr>
          <w:rFonts w:asciiTheme="minorEastAsia" w:hAnsiTheme="minorEastAsia" w:hint="eastAsia"/>
          <w:bCs/>
          <w:sz w:val="24"/>
        </w:rPr>
        <w:t>2、关于《基金合同》变更的基金份额持有人大会决议自生效后方可执行，并</w:t>
      </w:r>
      <w:proofErr w:type="gramStart"/>
      <w:r>
        <w:rPr>
          <w:rFonts w:asciiTheme="minorEastAsia" w:hAnsiTheme="minorEastAsia" w:hint="eastAsia"/>
          <w:bCs/>
          <w:sz w:val="24"/>
        </w:rPr>
        <w:t>自决议</w:t>
      </w:r>
      <w:proofErr w:type="gramEnd"/>
      <w:r>
        <w:rPr>
          <w:rFonts w:asciiTheme="minorEastAsia" w:hAnsiTheme="minorEastAsia" w:hint="eastAsia"/>
          <w:bCs/>
          <w:sz w:val="24"/>
        </w:rPr>
        <w:t>生效后两个工作日内在指定媒介公告。</w:t>
      </w:r>
    </w:p>
    <w:p w14:paraId="6C9D3EC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（二）《基金合同》的终止事由</w:t>
      </w:r>
    </w:p>
    <w:p w14:paraId="677D4B6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有下列情形之一的，《基金合同》应当终止：</w:t>
      </w:r>
    </w:p>
    <w:p w14:paraId="4CC3823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1、基金份额持有人大会决定终止的；</w:t>
      </w:r>
    </w:p>
    <w:p w14:paraId="03676E39"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2、基金管理人、基金托管人职责终止，在6个月内没有新基金管理人、新基金托管人承接的；</w:t>
      </w:r>
    </w:p>
    <w:p w14:paraId="31FC25F3" w14:textId="77777777" w:rsidR="00D51FDF" w:rsidRDefault="007F75F6">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rPr>
        <w:t>3、</w:t>
      </w:r>
      <w:r>
        <w:rPr>
          <w:rFonts w:asciiTheme="minorEastAsia" w:hAnsiTheme="minorEastAsia" w:hint="eastAsia"/>
          <w:sz w:val="24"/>
          <w:szCs w:val="24"/>
        </w:rPr>
        <w:t>基金合同生效满三年之日（指自然日），</w:t>
      </w:r>
      <w:proofErr w:type="gramStart"/>
      <w:r>
        <w:rPr>
          <w:rFonts w:asciiTheme="minorEastAsia" w:hAnsiTheme="minorEastAsia" w:hint="eastAsia"/>
          <w:sz w:val="24"/>
          <w:szCs w:val="24"/>
        </w:rPr>
        <w:t>若基金</w:t>
      </w:r>
      <w:proofErr w:type="gramEnd"/>
      <w:r>
        <w:rPr>
          <w:rFonts w:asciiTheme="minorEastAsia" w:hAnsiTheme="minorEastAsia" w:hint="eastAsia"/>
          <w:sz w:val="24"/>
          <w:szCs w:val="24"/>
        </w:rPr>
        <w:t>资产净值低于两亿元的；</w:t>
      </w:r>
      <w:r>
        <w:rPr>
          <w:rFonts w:asciiTheme="minorEastAsia" w:hAnsiTheme="minorEastAsia"/>
          <w:sz w:val="24"/>
          <w:szCs w:val="24"/>
        </w:rPr>
        <w:t xml:space="preserve"> </w:t>
      </w:r>
      <w:r>
        <w:rPr>
          <w:rFonts w:asciiTheme="minorEastAsia" w:hAnsiTheme="minorEastAsia" w:hint="eastAsia"/>
          <w:sz w:val="24"/>
          <w:szCs w:val="24"/>
        </w:rPr>
        <w:t>或《基金合同》生效三年后继续存续的，连续六十个工作日出现基金份额持有人</w:t>
      </w:r>
      <w:r>
        <w:rPr>
          <w:rFonts w:asciiTheme="minorEastAsia" w:hAnsiTheme="minorEastAsia"/>
          <w:sz w:val="24"/>
          <w:szCs w:val="24"/>
        </w:rPr>
        <w:t xml:space="preserve"> </w:t>
      </w:r>
      <w:r>
        <w:rPr>
          <w:rFonts w:asciiTheme="minorEastAsia" w:hAnsiTheme="minorEastAsia" w:hint="eastAsia"/>
          <w:sz w:val="24"/>
          <w:szCs w:val="24"/>
        </w:rPr>
        <w:t>数量</w:t>
      </w:r>
      <w:proofErr w:type="gramStart"/>
      <w:r>
        <w:rPr>
          <w:rFonts w:asciiTheme="minorEastAsia" w:hAnsiTheme="minorEastAsia" w:hint="eastAsia"/>
          <w:sz w:val="24"/>
          <w:szCs w:val="24"/>
        </w:rPr>
        <w:t>不满二百</w:t>
      </w:r>
      <w:proofErr w:type="gramEnd"/>
      <w:r>
        <w:rPr>
          <w:rFonts w:asciiTheme="minorEastAsia" w:hAnsiTheme="minorEastAsia" w:hint="eastAsia"/>
          <w:sz w:val="24"/>
          <w:szCs w:val="24"/>
        </w:rPr>
        <w:t>人或者基金资产净值低于五千万元情形的；</w:t>
      </w:r>
    </w:p>
    <w:p w14:paraId="3148995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4、《基金合同》约定的其他情形；</w:t>
      </w:r>
    </w:p>
    <w:p w14:paraId="492EA18D"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5、相关法律法规和中国证监会规定的其他情况。</w:t>
      </w:r>
    </w:p>
    <w:p w14:paraId="1CF871FF"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（三）基金财产的清算</w:t>
      </w:r>
    </w:p>
    <w:p w14:paraId="0239F9F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1、基金财产清算小组：自出现《基金合同》终止事由之日起30个工作日内成立清算小组，基金管理人组织基金财产清算小组并在中国证监会的监督下进行基金清算。</w:t>
      </w:r>
    </w:p>
    <w:p w14:paraId="0537204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2、基金财产清算小组组成：基金财产清算小组成员由基金管理人、基金托管人、具有证券、期货相关业务资格的注册会计师、律师以及中国证监会指定的人员组成。基金财产清算小组可以聘用必要的工作人员。</w:t>
      </w:r>
    </w:p>
    <w:p w14:paraId="2EDEB37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3、基金财产清算小组职责：基金财产清算小组负责基金财产的保管、清理、估价、变现和分配。基金财产清算小组可以依法进行必要的民事活动。</w:t>
      </w:r>
    </w:p>
    <w:p w14:paraId="3098B5DE"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4、基金财产清算程序：</w:t>
      </w:r>
    </w:p>
    <w:p w14:paraId="6D85CCB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（1）《基金合同》终止情形出现时，由基金财产清算小组统一接管基金；</w:t>
      </w:r>
    </w:p>
    <w:p w14:paraId="410B807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（2）对基金财产和债权债务进行清理和确认；</w:t>
      </w:r>
    </w:p>
    <w:p w14:paraId="714CB17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（3）对基金财产进行估值和变现；</w:t>
      </w:r>
    </w:p>
    <w:p w14:paraId="2640363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（4）制作清算报告；</w:t>
      </w:r>
    </w:p>
    <w:p w14:paraId="086B85E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（5）聘请具有证券、期货相关业务资格的会计师事务所对清算报告进行外部审计，聘请律师事务所对清算报告出具法律意见书；</w:t>
      </w:r>
    </w:p>
    <w:p w14:paraId="1FFD178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（6）将清算报告报中国证监会备案并公告；</w:t>
      </w:r>
    </w:p>
    <w:p w14:paraId="4B7BA43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（7）对基金剩余财产进行分配。</w:t>
      </w:r>
    </w:p>
    <w:p w14:paraId="6158224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5、基金财产清算的期限为</w:t>
      </w:r>
      <w:r>
        <w:rPr>
          <w:rFonts w:asciiTheme="minorEastAsia" w:hAnsiTheme="minorEastAsia"/>
          <w:bCs/>
          <w:sz w:val="24"/>
        </w:rPr>
        <w:t>6</w:t>
      </w:r>
      <w:r>
        <w:rPr>
          <w:rFonts w:asciiTheme="minorEastAsia" w:hAnsiTheme="minorEastAsia" w:hint="eastAsia"/>
          <w:bCs/>
          <w:sz w:val="24"/>
        </w:rPr>
        <w:t>个月，但因本基金所持证券的流动性受到限制而不能及时变现的，清算期限相应顺延。</w:t>
      </w:r>
    </w:p>
    <w:p w14:paraId="0D27FC8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四、争议解决方式</w:t>
      </w:r>
    </w:p>
    <w:p w14:paraId="520E73E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各方当事人同意，因《基金合同》而产生的或与《基金合同》有关的一切争议，如经友好协商未能解决的，任何一方均有权将争议提交中国国际经济贸易仲裁委员会，按照该会当时有效的仲裁规则进行仲裁，仲裁的地点为北京市，仲裁裁决是终局性的并对各方当事人具有约束力，仲裁费由败诉方承担。</w:t>
      </w:r>
    </w:p>
    <w:p w14:paraId="0F80F74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争议处理期间，基金管理人、基金托管人应恪守各自的职责，继续忠实、勤勉、尽责地履行基金合同规定的义务，维护基金份额持有人的合法权益。</w:t>
      </w:r>
    </w:p>
    <w:p w14:paraId="619B2586"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《基金合同》受中国法律管辖。</w:t>
      </w:r>
    </w:p>
    <w:p w14:paraId="17FB7181"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五、基金合同存放地和投资人取得基金合同的方式</w:t>
      </w:r>
    </w:p>
    <w:p w14:paraId="243E23F4"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《基金合同》可印制成册，供投资者在基金管理人、基金托管人、销售机构的办公场所和营业场所查阅。</w:t>
      </w:r>
    </w:p>
    <w:p w14:paraId="7EF6030E" w14:textId="77777777" w:rsidR="00D51FDF" w:rsidRDefault="00D51FDF">
      <w:pPr>
        <w:autoSpaceDE w:val="0"/>
        <w:autoSpaceDN w:val="0"/>
        <w:spacing w:line="360" w:lineRule="auto"/>
        <w:ind w:firstLineChars="200" w:firstLine="480"/>
        <w:textAlignment w:val="bottom"/>
        <w:rPr>
          <w:rFonts w:asciiTheme="minorEastAsia" w:hAnsiTheme="minorEastAsia"/>
          <w:bCs/>
          <w:sz w:val="24"/>
        </w:rPr>
        <w:sectPr w:rsidR="00D51FDF">
          <w:pgSz w:w="11906" w:h="16838"/>
          <w:pgMar w:top="1440" w:right="1800" w:bottom="1440" w:left="1800" w:header="851" w:footer="992" w:gutter="0"/>
          <w:pgNumType w:chapStyle="1"/>
          <w:cols w:space="720"/>
          <w:docGrid w:type="lines" w:linePitch="312"/>
        </w:sectPr>
      </w:pPr>
    </w:p>
    <w:p w14:paraId="3EE031DD" w14:textId="77777777" w:rsidR="00D51FDF" w:rsidRDefault="007F75F6">
      <w:pPr>
        <w:pStyle w:val="1"/>
        <w:jc w:val="center"/>
        <w:rPr>
          <w:rFonts w:asciiTheme="minorEastAsia" w:eastAsiaTheme="minorEastAsia" w:hAnsiTheme="minorEastAsia"/>
          <w:sz w:val="30"/>
          <w:szCs w:val="30"/>
        </w:rPr>
      </w:pPr>
      <w:bookmarkStart w:id="380" w:name="_Toc263092327"/>
      <w:bookmarkStart w:id="381" w:name="_Toc214873614"/>
      <w:bookmarkStart w:id="382" w:name="_Toc2677420"/>
      <w:bookmarkStart w:id="383" w:name="_Toc416264554"/>
      <w:bookmarkStart w:id="384" w:name="_Toc8710"/>
      <w:bookmarkStart w:id="385" w:name="_Toc23166"/>
      <w:bookmarkStart w:id="386" w:name="_Toc141703901"/>
      <w:bookmarkStart w:id="387" w:name="_Toc123112248"/>
      <w:bookmarkStart w:id="388" w:name="_Toc352229766"/>
      <w:bookmarkStart w:id="389" w:name="_Toc98560365"/>
      <w:bookmarkStart w:id="390" w:name="_Toc7367"/>
      <w:bookmarkStart w:id="391" w:name="_Toc123102467"/>
      <w:bookmarkStart w:id="392" w:name="_Toc13398"/>
      <w:bookmarkStart w:id="393" w:name="_Toc27058"/>
      <w:bookmarkStart w:id="394" w:name="_Toc9708"/>
      <w:bookmarkStart w:id="395" w:name="_Toc23022"/>
      <w:bookmarkStart w:id="396" w:name="_Toc48649720"/>
      <w:bookmarkStart w:id="397" w:name="_Toc12191"/>
      <w:bookmarkStart w:id="398" w:name="_Toc123051466"/>
      <w:bookmarkStart w:id="399" w:name="_Toc79392641"/>
      <w:bookmarkStart w:id="400" w:name="_Toc139991750"/>
      <w:bookmarkStart w:id="401" w:name="_Toc30645"/>
      <w:bookmarkStart w:id="402" w:name="_Toc21240"/>
      <w:bookmarkStart w:id="403" w:name="_Toc2854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asciiTheme="minorEastAsia" w:eastAsiaTheme="minorEastAsia" w:hAnsiTheme="minorEastAsia" w:hint="eastAsia"/>
          <w:sz w:val="30"/>
          <w:szCs w:val="30"/>
        </w:rPr>
        <w:lastRenderedPageBreak/>
        <w:t>第十九部分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基金托管协议的内容摘要</w:t>
      </w:r>
      <w:bookmarkEnd w:id="380"/>
      <w:bookmarkEnd w:id="381"/>
      <w:bookmarkEnd w:id="382"/>
      <w:bookmarkEnd w:id="383"/>
    </w:p>
    <w:p w14:paraId="39E5B5D7" w14:textId="77777777" w:rsidR="00D51FDF" w:rsidRDefault="007F75F6">
      <w:pPr>
        <w:numPr>
          <w:ilvl w:val="0"/>
          <w:numId w:val="3"/>
        </w:numPr>
        <w:tabs>
          <w:tab w:val="left" w:pos="851"/>
        </w:tabs>
        <w:adjustRightInd w:val="0"/>
        <w:snapToGrid w:val="0"/>
        <w:spacing w:line="360" w:lineRule="auto"/>
        <w:rPr>
          <w:rFonts w:asciiTheme="minorEastAsia" w:hAnsiTheme="minorEastAsia" w:cs="Arial"/>
          <w:b/>
          <w:sz w:val="24"/>
          <w:szCs w:val="24"/>
        </w:rPr>
      </w:pPr>
      <w:r>
        <w:rPr>
          <w:rFonts w:asciiTheme="minorEastAsia" w:hAnsiTheme="minorEastAsia" w:cs="Arial" w:hint="eastAsia"/>
          <w:b/>
          <w:sz w:val="24"/>
          <w:szCs w:val="24"/>
        </w:rPr>
        <w:t>托管协议当事人</w:t>
      </w:r>
    </w:p>
    <w:p w14:paraId="3C7DC8AE"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w:t>
      </w:r>
    </w:p>
    <w:p w14:paraId="4088914E"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523B2BDC"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w:t>
      </w:r>
      <w:r>
        <w:rPr>
          <w:rFonts w:asciiTheme="minorEastAsia" w:hAnsiTheme="minorEastAsia" w:cs="Arial"/>
          <w:kern w:val="0"/>
          <w:sz w:val="24"/>
          <w:szCs w:val="24"/>
        </w:rPr>
        <w:t>171号南沙金融大厦11楼1101之一J20室</w:t>
      </w:r>
    </w:p>
    <w:p w14:paraId="430E7E8C"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办公地址：广东省深圳市福田区八卦四路52号安吉</w:t>
      </w:r>
      <w:proofErr w:type="gramStart"/>
      <w:r>
        <w:rPr>
          <w:rFonts w:asciiTheme="minorEastAsia" w:hAnsiTheme="minorEastAsia" w:cs="Arial" w:hint="eastAsia"/>
          <w:kern w:val="0"/>
          <w:sz w:val="24"/>
          <w:szCs w:val="24"/>
        </w:rPr>
        <w:t>尔大厦</w:t>
      </w:r>
      <w:proofErr w:type="gramEnd"/>
      <w:r>
        <w:rPr>
          <w:rFonts w:asciiTheme="minorEastAsia" w:hAnsiTheme="minorEastAsia" w:cs="Arial" w:hint="eastAsia"/>
          <w:kern w:val="0"/>
          <w:sz w:val="24"/>
          <w:szCs w:val="24"/>
        </w:rPr>
        <w:t>24层</w:t>
      </w:r>
    </w:p>
    <w:p w14:paraId="1E19A2B8"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邮政编码：</w:t>
      </w:r>
      <w:r>
        <w:rPr>
          <w:rFonts w:asciiTheme="minorEastAsia" w:hAnsiTheme="minorEastAsia" w:cs="Arial"/>
          <w:kern w:val="0"/>
          <w:sz w:val="24"/>
          <w:szCs w:val="24"/>
        </w:rPr>
        <w:t>518038</w:t>
      </w:r>
    </w:p>
    <w:p w14:paraId="588428DC"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61206CB7"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w:t>
      </w:r>
      <w:r>
        <w:rPr>
          <w:rFonts w:asciiTheme="minorEastAsia" w:hAnsiTheme="minorEastAsia" w:cs="Arial"/>
          <w:kern w:val="0"/>
          <w:sz w:val="24"/>
          <w:szCs w:val="24"/>
        </w:rPr>
        <w:t>2016年1月25日</w:t>
      </w:r>
      <w:r>
        <w:rPr>
          <w:rFonts w:asciiTheme="minorEastAsia" w:hAnsiTheme="minorEastAsia" w:cs="Arial"/>
          <w:kern w:val="0"/>
          <w:sz w:val="24"/>
          <w:szCs w:val="24"/>
        </w:rPr>
        <w:tab/>
      </w:r>
    </w:p>
    <w:p w14:paraId="33F79ECB"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w:t>
      </w:r>
      <w:r>
        <w:rPr>
          <w:rFonts w:asciiTheme="minorEastAsia" w:hAnsiTheme="minorEastAsia" w:cs="Arial"/>
          <w:kern w:val="0"/>
          <w:sz w:val="24"/>
          <w:szCs w:val="24"/>
        </w:rPr>
        <w:t>2015】3118号</w:t>
      </w:r>
    </w:p>
    <w:p w14:paraId="3D93A451"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641397B5"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5EAFE440" w14:textId="77777777" w:rsidR="00D51FDF" w:rsidRDefault="007F75F6">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1CD461D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经营范围：基金募集、基金销售、资产管理、特定客户资产管理和中国证监会许可的其他业务</w:t>
      </w:r>
    </w:p>
    <w:p w14:paraId="1ABB235E" w14:textId="77777777" w:rsidR="00D51FDF" w:rsidRDefault="007F75F6">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18489CF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名称：中国光大银行股份有限公司</w:t>
      </w:r>
    </w:p>
    <w:p w14:paraId="34B9DAE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住所：北京市西城区太平桥大街</w:t>
      </w:r>
      <w:r>
        <w:rPr>
          <w:rFonts w:asciiTheme="minorEastAsia" w:hAnsiTheme="minorEastAsia"/>
          <w:sz w:val="24"/>
          <w:szCs w:val="24"/>
        </w:rPr>
        <w:t xml:space="preserve">25 </w:t>
      </w:r>
      <w:proofErr w:type="gramStart"/>
      <w:r>
        <w:rPr>
          <w:rFonts w:asciiTheme="minorEastAsia" w:hAnsiTheme="minorEastAsia" w:hint="eastAsia"/>
          <w:sz w:val="24"/>
          <w:szCs w:val="24"/>
        </w:rPr>
        <w:t>号甲</w:t>
      </w:r>
      <w:proofErr w:type="gramEnd"/>
      <w:r>
        <w:rPr>
          <w:rFonts w:asciiTheme="minorEastAsia" w:hAnsiTheme="minorEastAsia"/>
          <w:sz w:val="24"/>
          <w:szCs w:val="24"/>
        </w:rPr>
        <w:t xml:space="preserve">25 </w:t>
      </w:r>
      <w:r>
        <w:rPr>
          <w:rFonts w:asciiTheme="minorEastAsia" w:hAnsiTheme="minorEastAsia" w:hint="eastAsia"/>
          <w:sz w:val="24"/>
          <w:szCs w:val="24"/>
        </w:rPr>
        <w:t>号中国光大中心</w:t>
      </w:r>
    </w:p>
    <w:p w14:paraId="5910052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邮政编码：</w:t>
      </w:r>
      <w:r>
        <w:rPr>
          <w:rFonts w:asciiTheme="minorEastAsia" w:hAnsiTheme="minorEastAsia"/>
          <w:sz w:val="24"/>
          <w:szCs w:val="24"/>
        </w:rPr>
        <w:t>100033</w:t>
      </w:r>
    </w:p>
    <w:p w14:paraId="56A32B5F"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法定代表人：李晓鹏</w:t>
      </w:r>
    </w:p>
    <w:p w14:paraId="4CC3B2C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成立日期：</w:t>
      </w:r>
      <w:r>
        <w:rPr>
          <w:rFonts w:asciiTheme="minorEastAsia" w:hAnsiTheme="minorEastAsia"/>
          <w:sz w:val="24"/>
          <w:szCs w:val="24"/>
        </w:rPr>
        <w:t>1992</w:t>
      </w:r>
      <w:r>
        <w:rPr>
          <w:rFonts w:asciiTheme="minorEastAsia" w:hAnsiTheme="minorEastAsia" w:hint="eastAsia"/>
          <w:sz w:val="24"/>
          <w:szCs w:val="24"/>
        </w:rPr>
        <w:t>年</w:t>
      </w:r>
      <w:r>
        <w:rPr>
          <w:rFonts w:asciiTheme="minorEastAsia" w:hAnsiTheme="minorEastAsia"/>
          <w:sz w:val="24"/>
          <w:szCs w:val="24"/>
        </w:rPr>
        <w:t>6</w:t>
      </w:r>
      <w:r>
        <w:rPr>
          <w:rFonts w:asciiTheme="minorEastAsia" w:hAnsiTheme="minorEastAsia" w:hint="eastAsia"/>
          <w:sz w:val="24"/>
          <w:szCs w:val="24"/>
        </w:rPr>
        <w:t>月</w:t>
      </w:r>
      <w:r>
        <w:rPr>
          <w:rFonts w:asciiTheme="minorEastAsia" w:hAnsiTheme="minorEastAsia"/>
          <w:sz w:val="24"/>
          <w:szCs w:val="24"/>
        </w:rPr>
        <w:t>18</w:t>
      </w:r>
      <w:r>
        <w:rPr>
          <w:rFonts w:asciiTheme="minorEastAsia" w:hAnsiTheme="minorEastAsia" w:hint="eastAsia"/>
          <w:sz w:val="24"/>
          <w:szCs w:val="24"/>
        </w:rPr>
        <w:t>日</w:t>
      </w:r>
    </w:p>
    <w:p w14:paraId="0AAF53C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批准设立机关和批准设立文号：国务院、国函</w:t>
      </w:r>
      <w:r>
        <w:rPr>
          <w:rFonts w:asciiTheme="minorEastAsia" w:hAnsiTheme="minorEastAsia"/>
          <w:sz w:val="24"/>
          <w:szCs w:val="24"/>
        </w:rPr>
        <w:t>[1992]7</w:t>
      </w:r>
      <w:r>
        <w:rPr>
          <w:rFonts w:asciiTheme="minorEastAsia" w:hAnsiTheme="minorEastAsia" w:hint="eastAsia"/>
          <w:sz w:val="24"/>
          <w:szCs w:val="24"/>
        </w:rPr>
        <w:t>号</w:t>
      </w:r>
    </w:p>
    <w:p w14:paraId="032D524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组织形式：股份有限公司</w:t>
      </w:r>
    </w:p>
    <w:p w14:paraId="7CB96F7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注册资本：</w:t>
      </w:r>
      <w:r>
        <w:rPr>
          <w:rFonts w:asciiTheme="minorEastAsia" w:hAnsiTheme="minorEastAsia"/>
          <w:sz w:val="24"/>
          <w:szCs w:val="24"/>
        </w:rPr>
        <w:t>466.79095亿元人民币</w:t>
      </w:r>
    </w:p>
    <w:p w14:paraId="70F5F8A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存续期间：持续经营</w:t>
      </w:r>
    </w:p>
    <w:p w14:paraId="2750258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经营范围：吸收公众存款；发放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r>
        <w:rPr>
          <w:rFonts w:asciiTheme="minorEastAsia" w:hAnsiTheme="minorEastAsia"/>
          <w:sz w:val="24"/>
          <w:szCs w:val="24"/>
        </w:rPr>
        <w:tab/>
      </w:r>
    </w:p>
    <w:p w14:paraId="48BBD128" w14:textId="77777777" w:rsidR="00D51FDF" w:rsidRDefault="007F75F6">
      <w:pPr>
        <w:pStyle w:val="aff"/>
        <w:numPr>
          <w:ilvl w:val="0"/>
          <w:numId w:val="4"/>
        </w:numPr>
        <w:adjustRightInd w:val="0"/>
        <w:snapToGrid w:val="0"/>
        <w:spacing w:line="360" w:lineRule="auto"/>
        <w:ind w:firstLineChars="0"/>
        <w:rPr>
          <w:rFonts w:asciiTheme="minorEastAsia" w:hAnsiTheme="minorEastAsia" w:cs="Arial"/>
          <w:b/>
          <w:sz w:val="24"/>
          <w:szCs w:val="24"/>
        </w:rPr>
      </w:pPr>
      <w:r>
        <w:rPr>
          <w:rFonts w:asciiTheme="minorEastAsia" w:hAnsiTheme="minorEastAsia" w:cs="Arial" w:hint="eastAsia"/>
          <w:b/>
          <w:sz w:val="24"/>
          <w:szCs w:val="24"/>
        </w:rPr>
        <w:lastRenderedPageBreak/>
        <w:t>基金托管人对基金管理人的业务监督和核查</w:t>
      </w:r>
    </w:p>
    <w:p w14:paraId="6853B8B5" w14:textId="77777777" w:rsidR="00D51FDF" w:rsidRDefault="007F75F6">
      <w:pPr>
        <w:pStyle w:val="a8"/>
        <w:tabs>
          <w:tab w:val="left" w:pos="1680"/>
        </w:tabs>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（一）基金托管人根据有关法律法规的规定及基金合同的约定，对基金投资范围、投资对象进行监督。</w:t>
      </w:r>
    </w:p>
    <w:p w14:paraId="6EE1D509"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68B6BFF0" w14:textId="77777777" w:rsidR="00D51FDF" w:rsidRDefault="007F75F6">
      <w:pPr>
        <w:pStyle w:val="a8"/>
        <w:tabs>
          <w:tab w:val="left" w:pos="1680"/>
        </w:tabs>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本基金的投资范围主要为具有良好流动性的金融工具，包括国内依法发行上市的股票（包括中小板、创业板及其他经中国证监会核准上市的股票）</w:t>
      </w:r>
      <w:r>
        <w:rPr>
          <w:rFonts w:asciiTheme="minorEastAsia" w:hAnsiTheme="minorEastAsia" w:cs="Arial" w:hint="eastAsia"/>
          <w:color w:val="000000"/>
          <w:sz w:val="24"/>
          <w:szCs w:val="24"/>
        </w:rPr>
        <w:t>、存托凭证</w:t>
      </w:r>
      <w:r>
        <w:rPr>
          <w:rFonts w:asciiTheme="minorEastAsia" w:eastAsiaTheme="minorEastAsia" w:hAnsiTheme="minorEastAsia" w:hint="eastAsia"/>
          <w:sz w:val="24"/>
          <w:szCs w:val="24"/>
        </w:rPr>
        <w:t>、债券（含国债、金融债、企业债、公司债、央行票据、中期票据、短期融资</w:t>
      </w:r>
      <w:proofErr w:type="gramStart"/>
      <w:r>
        <w:rPr>
          <w:rFonts w:asciiTheme="minorEastAsia" w:eastAsiaTheme="minorEastAsia" w:hAnsiTheme="minorEastAsia" w:hint="eastAsia"/>
          <w:sz w:val="24"/>
          <w:szCs w:val="24"/>
        </w:rPr>
        <w:t>券</w:t>
      </w:r>
      <w:proofErr w:type="gramEnd"/>
      <w:r>
        <w:rPr>
          <w:rFonts w:asciiTheme="minorEastAsia" w:eastAsiaTheme="minorEastAsia" w:hAnsiTheme="minorEastAsia" w:hint="eastAsia"/>
          <w:sz w:val="24"/>
          <w:szCs w:val="24"/>
        </w:rPr>
        <w:t>、超短期融资</w:t>
      </w:r>
      <w:proofErr w:type="gramStart"/>
      <w:r>
        <w:rPr>
          <w:rFonts w:asciiTheme="minorEastAsia" w:eastAsiaTheme="minorEastAsia" w:hAnsiTheme="minorEastAsia" w:hint="eastAsia"/>
          <w:sz w:val="24"/>
          <w:szCs w:val="24"/>
        </w:rPr>
        <w:t>券</w:t>
      </w:r>
      <w:proofErr w:type="gramEnd"/>
      <w:r>
        <w:rPr>
          <w:rFonts w:asciiTheme="minorEastAsia" w:eastAsiaTheme="minorEastAsia" w:hAnsiTheme="minorEastAsia" w:hint="eastAsia"/>
          <w:sz w:val="24"/>
          <w:szCs w:val="24"/>
        </w:rPr>
        <w:t>、政府支持机构债、地方政府债、次级债、可转换债券、可交换债券、中小企业私募</w:t>
      </w:r>
      <w:proofErr w:type="gramStart"/>
      <w:r>
        <w:rPr>
          <w:rFonts w:asciiTheme="minorEastAsia" w:eastAsiaTheme="minorEastAsia" w:hAnsiTheme="minorEastAsia" w:hint="eastAsia"/>
          <w:sz w:val="24"/>
          <w:szCs w:val="24"/>
        </w:rPr>
        <w:t>债及其</w:t>
      </w:r>
      <w:proofErr w:type="gramEnd"/>
      <w:r>
        <w:rPr>
          <w:rFonts w:asciiTheme="minorEastAsia" w:eastAsiaTheme="minorEastAsia" w:hAnsiTheme="minorEastAsia" w:hint="eastAsia"/>
          <w:sz w:val="24"/>
          <w:szCs w:val="24"/>
        </w:rPr>
        <w:t>他经中国证监会允许投资的债券）、货币市场工具、同业存单、资产支持证券、衍生品（包括权证、股指期货、股票期权、国债期货等）以及法律法规或中国证监会允许基金投资的其他金融工具（但须符合中国证监会的相关规定）。</w:t>
      </w:r>
    </w:p>
    <w:p w14:paraId="45EE5C30" w14:textId="77777777" w:rsidR="00D51FDF" w:rsidRDefault="007F75F6">
      <w:pPr>
        <w:pStyle w:val="a8"/>
        <w:tabs>
          <w:tab w:val="left" w:pos="1680"/>
        </w:tabs>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如法律法规或监管机构以后允许基金投资其他品种，基金管理人在履行适当程序后，可以将其纳入投资范围。</w:t>
      </w:r>
    </w:p>
    <w:p w14:paraId="64537CE5" w14:textId="77777777" w:rsidR="00D51FDF" w:rsidRDefault="007F75F6">
      <w:pPr>
        <w:autoSpaceDE w:val="0"/>
        <w:autoSpaceDN w:val="0"/>
        <w:spacing w:line="360" w:lineRule="auto"/>
        <w:ind w:firstLineChars="200" w:firstLine="480"/>
        <w:textAlignment w:val="bottom"/>
        <w:rPr>
          <w:rFonts w:asciiTheme="minorEastAsia" w:hAnsiTheme="minorEastAsia"/>
          <w:color w:val="262626"/>
          <w:sz w:val="24"/>
          <w:szCs w:val="24"/>
        </w:rPr>
      </w:pPr>
      <w:r>
        <w:rPr>
          <w:rFonts w:asciiTheme="minorEastAsia" w:hAnsiTheme="minorEastAsia" w:hint="eastAsia"/>
          <w:sz w:val="24"/>
          <w:szCs w:val="24"/>
        </w:rPr>
        <w:t>基金的投资组合比例为：股票资产占基金资产的</w:t>
      </w:r>
      <w:r>
        <w:rPr>
          <w:rFonts w:asciiTheme="minorEastAsia" w:hAnsiTheme="minorEastAsia"/>
          <w:sz w:val="24"/>
          <w:szCs w:val="24"/>
        </w:rPr>
        <w:t>0%-95%；每个交易日日终在扣除股指期货、国债期货合约需缴纳的保证金以后，本基金保留的</w:t>
      </w:r>
      <w:r>
        <w:rPr>
          <w:rFonts w:asciiTheme="minorEastAsia" w:hAnsiTheme="minorEastAsia" w:hint="eastAsia"/>
          <w:color w:val="262626"/>
          <w:sz w:val="24"/>
          <w:szCs w:val="24"/>
        </w:rPr>
        <w:t>现金或到期日在一年以内的政府债券不低于基金资产净值的</w:t>
      </w:r>
      <w:r>
        <w:rPr>
          <w:rFonts w:asciiTheme="minorEastAsia" w:hAnsiTheme="minorEastAsia"/>
          <w:color w:val="262626"/>
          <w:sz w:val="24"/>
          <w:szCs w:val="24"/>
        </w:rPr>
        <w:t>5%，其中现金不包括结算备付金、存出保证金、应收申购款等；权证投资占基金资产净值的0-3%。</w:t>
      </w:r>
    </w:p>
    <w:p w14:paraId="71EB46C3" w14:textId="77777777" w:rsidR="00D51FDF" w:rsidRDefault="007F75F6">
      <w:pPr>
        <w:pStyle w:val="a8"/>
        <w:tabs>
          <w:tab w:val="left" w:pos="1680"/>
        </w:tabs>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基金管理人在进行股票期权等投资前，务必与基金托管人就交收结算、核算估值等业务规则和流程进行沟通确定，在系统测试通过后才可投资，否则，由此产生的风险由基金管理人承担。</w:t>
      </w:r>
    </w:p>
    <w:p w14:paraId="6A06A46B" w14:textId="77777777" w:rsidR="00D51FDF" w:rsidRDefault="007F75F6">
      <w:pPr>
        <w:pStyle w:val="a8"/>
        <w:tabs>
          <w:tab w:val="left" w:pos="1680"/>
        </w:tabs>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如果法律法规或中国证监会变更投资品种的投资比例限制，基金管理人在履行适当程序后，可以调整上述投资品种的投资比例。</w:t>
      </w:r>
    </w:p>
    <w:p w14:paraId="1BDE8732" w14:textId="77777777" w:rsidR="00D51FDF" w:rsidRDefault="007F75F6">
      <w:pPr>
        <w:pStyle w:val="a8"/>
        <w:tabs>
          <w:tab w:val="left" w:pos="1680"/>
        </w:tabs>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（二）基金托管人根据有关法律法规的规定及基金合同的约定，对基金投资、融资比例进行监督。基金托管人按下述比例和调整期限进行监督：</w:t>
      </w:r>
    </w:p>
    <w:p w14:paraId="42F55956"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（1）股票投资占基金资产的比例为</w:t>
      </w:r>
      <w:r>
        <w:rPr>
          <w:rFonts w:asciiTheme="minorEastAsia" w:hAnsiTheme="minorEastAsia"/>
          <w:bCs/>
          <w:sz w:val="24"/>
        </w:rPr>
        <w:t>0%</w:t>
      </w:r>
      <w:r>
        <w:rPr>
          <w:rFonts w:asciiTheme="minorEastAsia" w:hAnsiTheme="minorEastAsia" w:hint="eastAsia"/>
          <w:bCs/>
          <w:sz w:val="24"/>
        </w:rPr>
        <w:t>–</w:t>
      </w:r>
      <w:r>
        <w:rPr>
          <w:rFonts w:asciiTheme="minorEastAsia" w:hAnsiTheme="minorEastAsia"/>
          <w:bCs/>
          <w:sz w:val="24"/>
        </w:rPr>
        <w:t>95%</w:t>
      </w:r>
      <w:r>
        <w:rPr>
          <w:rFonts w:asciiTheme="minorEastAsia" w:hAnsiTheme="minorEastAsia" w:hint="eastAsia"/>
          <w:bCs/>
          <w:sz w:val="24"/>
        </w:rPr>
        <w:t>；</w:t>
      </w:r>
    </w:p>
    <w:p w14:paraId="59711FB8"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lastRenderedPageBreak/>
        <w:t>（</w:t>
      </w:r>
      <w:r>
        <w:rPr>
          <w:rFonts w:asciiTheme="minorEastAsia" w:hAnsiTheme="minorEastAsia"/>
          <w:bCs/>
          <w:sz w:val="24"/>
        </w:rPr>
        <w:t>2</w:t>
      </w:r>
      <w:r>
        <w:rPr>
          <w:rFonts w:asciiTheme="minorEastAsia" w:hAnsiTheme="minorEastAsia" w:hint="eastAsia"/>
          <w:bCs/>
          <w:sz w:val="24"/>
        </w:rPr>
        <w:t>）每个交易日日终在扣除股指期货、国债期货合约需缴纳的交易保证金后，保持不低于基金资产净值5％的现金或者到期日在一年以内的政府债券，其中现金不包括结算备付金、存出保证金、应收申购款等；</w:t>
      </w:r>
    </w:p>
    <w:p w14:paraId="63DAA9C3"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w:t>
      </w:r>
      <w:r>
        <w:rPr>
          <w:rStyle w:val="fontstyle01"/>
          <w:rFonts w:asciiTheme="minorEastAsia" w:eastAsiaTheme="minorEastAsia" w:hAnsiTheme="minorEastAsia" w:hint="default"/>
        </w:rPr>
        <w:t>本基金持有一家公司发行的证券</w:t>
      </w:r>
      <w:r>
        <w:rPr>
          <w:rFonts w:asciiTheme="minorEastAsia" w:hAnsiTheme="minorEastAsia" w:hint="eastAsia"/>
          <w:bCs/>
          <w:sz w:val="24"/>
        </w:rPr>
        <w:t>，其市值不超过基金资产净值的</w:t>
      </w:r>
      <w:r>
        <w:rPr>
          <w:rFonts w:asciiTheme="minorEastAsia" w:hAnsiTheme="minorEastAsia"/>
          <w:bCs/>
          <w:sz w:val="24"/>
        </w:rPr>
        <w:t>10</w:t>
      </w:r>
      <w:r>
        <w:rPr>
          <w:rFonts w:asciiTheme="minorEastAsia" w:hAnsiTheme="minorEastAsia" w:hint="eastAsia"/>
          <w:bCs/>
          <w:sz w:val="24"/>
        </w:rPr>
        <w:t>％；</w:t>
      </w:r>
    </w:p>
    <w:p w14:paraId="56AF8876"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）本基金管理人管理的全部基金持有一家公司发行的证券，不超过该证券的</w:t>
      </w:r>
      <w:r>
        <w:rPr>
          <w:rFonts w:asciiTheme="minorEastAsia" w:hAnsiTheme="minorEastAsia"/>
          <w:bCs/>
          <w:sz w:val="24"/>
        </w:rPr>
        <w:t>10</w:t>
      </w:r>
      <w:r>
        <w:rPr>
          <w:rFonts w:asciiTheme="minorEastAsia" w:hAnsiTheme="minorEastAsia" w:hint="eastAsia"/>
          <w:bCs/>
          <w:sz w:val="24"/>
        </w:rPr>
        <w:t>％；</w:t>
      </w:r>
    </w:p>
    <w:p w14:paraId="271302EA" w14:textId="77777777" w:rsidR="00D51FDF" w:rsidRDefault="007F75F6">
      <w:pPr>
        <w:pStyle w:val="aff"/>
        <w:numPr>
          <w:ilvl w:val="0"/>
          <w:numId w:val="5"/>
        </w:numPr>
        <w:spacing w:line="360" w:lineRule="auto"/>
        <w:ind w:firstLineChars="0"/>
        <w:rPr>
          <w:rFonts w:asciiTheme="minorEastAsia" w:hAnsiTheme="minorEastAsia"/>
          <w:bCs/>
          <w:sz w:val="24"/>
        </w:rPr>
      </w:pPr>
      <w:r>
        <w:rPr>
          <w:rFonts w:asciiTheme="minorEastAsia" w:hAnsiTheme="minorEastAsia" w:hint="eastAsia"/>
          <w:bCs/>
          <w:sz w:val="24"/>
        </w:rPr>
        <w:t>本基金持有的全部权证，其市值不得超过基金资产净值的</w:t>
      </w:r>
      <w:r>
        <w:rPr>
          <w:rFonts w:asciiTheme="minorEastAsia" w:hAnsiTheme="minorEastAsia"/>
          <w:bCs/>
          <w:sz w:val="24"/>
        </w:rPr>
        <w:t>3</w:t>
      </w:r>
      <w:r>
        <w:rPr>
          <w:rFonts w:asciiTheme="minorEastAsia" w:hAnsiTheme="minorEastAsia" w:hint="eastAsia"/>
          <w:bCs/>
          <w:sz w:val="24"/>
        </w:rPr>
        <w:t>％；</w:t>
      </w:r>
    </w:p>
    <w:p w14:paraId="1F63A200" w14:textId="77777777" w:rsidR="00D51FDF" w:rsidRDefault="007F75F6">
      <w:pPr>
        <w:pStyle w:val="aff"/>
        <w:spacing w:line="360" w:lineRule="auto"/>
        <w:ind w:left="120" w:firstLineChars="150" w:firstLine="36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6</w:t>
      </w:r>
      <w:r>
        <w:rPr>
          <w:rFonts w:asciiTheme="minorEastAsia" w:hAnsiTheme="minorEastAsia" w:hint="eastAsia"/>
          <w:bCs/>
          <w:sz w:val="24"/>
        </w:rPr>
        <w:t>）本基金管理人管理的全部基金持有的同一权证，不得超过该权证的</w:t>
      </w:r>
      <w:r>
        <w:rPr>
          <w:rFonts w:asciiTheme="minorEastAsia" w:hAnsiTheme="minorEastAsia"/>
          <w:bCs/>
          <w:sz w:val="24"/>
        </w:rPr>
        <w:t xml:space="preserve">   10</w:t>
      </w:r>
      <w:r>
        <w:rPr>
          <w:rFonts w:asciiTheme="minorEastAsia" w:hAnsiTheme="minorEastAsia" w:hint="eastAsia"/>
          <w:bCs/>
          <w:sz w:val="24"/>
        </w:rPr>
        <w:t>％；</w:t>
      </w:r>
    </w:p>
    <w:p w14:paraId="4C4AAF6B"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7</w:t>
      </w:r>
      <w:r>
        <w:rPr>
          <w:rFonts w:asciiTheme="minorEastAsia" w:hAnsiTheme="minorEastAsia" w:hint="eastAsia"/>
          <w:bCs/>
          <w:sz w:val="24"/>
        </w:rPr>
        <w:t>）本基金在任何交易日买入权证的总金额，不得超过上一交易日基金资产净值的</w:t>
      </w:r>
      <w:r>
        <w:rPr>
          <w:rFonts w:asciiTheme="minorEastAsia" w:hAnsiTheme="minorEastAsia"/>
          <w:bCs/>
          <w:sz w:val="24"/>
        </w:rPr>
        <w:t>0.5</w:t>
      </w:r>
      <w:r>
        <w:rPr>
          <w:rFonts w:asciiTheme="minorEastAsia" w:hAnsiTheme="minorEastAsia" w:hint="eastAsia"/>
          <w:bCs/>
          <w:sz w:val="24"/>
        </w:rPr>
        <w:t>％；</w:t>
      </w:r>
    </w:p>
    <w:p w14:paraId="68387868"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8</w:t>
      </w:r>
      <w:r>
        <w:rPr>
          <w:rFonts w:asciiTheme="minorEastAsia" w:hAnsiTheme="minorEastAsia" w:hint="eastAsia"/>
          <w:bCs/>
          <w:sz w:val="24"/>
        </w:rPr>
        <w:t>）本基金投资于同一原始权益人的各类资产支持证券的比例，不得超过基金资产净值的</w:t>
      </w:r>
      <w:r>
        <w:rPr>
          <w:rFonts w:asciiTheme="minorEastAsia" w:hAnsiTheme="minorEastAsia"/>
          <w:bCs/>
          <w:sz w:val="24"/>
        </w:rPr>
        <w:t>10</w:t>
      </w:r>
      <w:r>
        <w:rPr>
          <w:rFonts w:asciiTheme="minorEastAsia" w:hAnsiTheme="minorEastAsia" w:hint="eastAsia"/>
          <w:bCs/>
          <w:sz w:val="24"/>
        </w:rPr>
        <w:t>％；</w:t>
      </w:r>
    </w:p>
    <w:p w14:paraId="59701422"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9</w:t>
      </w:r>
      <w:r>
        <w:rPr>
          <w:rFonts w:asciiTheme="minorEastAsia" w:hAnsiTheme="minorEastAsia" w:hint="eastAsia"/>
          <w:bCs/>
          <w:sz w:val="24"/>
        </w:rPr>
        <w:t>）本基金持有的全部资产支持证券，其市值不得超过基金资产净值的</w:t>
      </w:r>
      <w:r>
        <w:rPr>
          <w:rFonts w:asciiTheme="minorEastAsia" w:hAnsiTheme="minorEastAsia"/>
          <w:bCs/>
          <w:sz w:val="24"/>
        </w:rPr>
        <w:t>20</w:t>
      </w:r>
      <w:r>
        <w:rPr>
          <w:rFonts w:asciiTheme="minorEastAsia" w:hAnsiTheme="minorEastAsia" w:hint="eastAsia"/>
          <w:bCs/>
          <w:sz w:val="24"/>
        </w:rPr>
        <w:t>％，中国证监会规定的特殊品种除外；</w:t>
      </w:r>
    </w:p>
    <w:p w14:paraId="3BC13AD6"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10</w:t>
      </w:r>
      <w:r>
        <w:rPr>
          <w:rFonts w:asciiTheme="minorEastAsia" w:hAnsiTheme="minorEastAsia" w:hint="eastAsia"/>
          <w:bCs/>
          <w:sz w:val="24"/>
        </w:rPr>
        <w:t>）本基金持有的同一</w:t>
      </w:r>
      <w:r>
        <w:rPr>
          <w:rFonts w:asciiTheme="minorEastAsia" w:hAnsiTheme="minorEastAsia"/>
          <w:bCs/>
          <w:sz w:val="24"/>
        </w:rPr>
        <w:t>(</w:t>
      </w:r>
      <w:r>
        <w:rPr>
          <w:rFonts w:asciiTheme="minorEastAsia" w:hAnsiTheme="minorEastAsia" w:hint="eastAsia"/>
          <w:bCs/>
          <w:sz w:val="24"/>
        </w:rPr>
        <w:t>指同一信用级别</w:t>
      </w:r>
      <w:r>
        <w:rPr>
          <w:rFonts w:asciiTheme="minorEastAsia" w:hAnsiTheme="minorEastAsia"/>
          <w:bCs/>
          <w:sz w:val="24"/>
        </w:rPr>
        <w:t>)</w:t>
      </w:r>
      <w:r>
        <w:rPr>
          <w:rFonts w:asciiTheme="minorEastAsia" w:hAnsiTheme="minorEastAsia" w:hint="eastAsia"/>
          <w:bCs/>
          <w:sz w:val="24"/>
        </w:rPr>
        <w:t>资产支持证券的比例，不得超过该资产支持证券规模的</w:t>
      </w:r>
      <w:r>
        <w:rPr>
          <w:rFonts w:asciiTheme="minorEastAsia" w:hAnsiTheme="minorEastAsia"/>
          <w:bCs/>
          <w:sz w:val="24"/>
        </w:rPr>
        <w:t>10</w:t>
      </w:r>
      <w:r>
        <w:rPr>
          <w:rFonts w:asciiTheme="minorEastAsia" w:hAnsiTheme="minorEastAsia" w:hint="eastAsia"/>
          <w:bCs/>
          <w:sz w:val="24"/>
        </w:rPr>
        <w:t>％；</w:t>
      </w:r>
    </w:p>
    <w:p w14:paraId="7EFAFF73"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11</w:t>
      </w:r>
      <w:r>
        <w:rPr>
          <w:rFonts w:asciiTheme="minorEastAsia" w:hAnsiTheme="minorEastAsia" w:hint="eastAsia"/>
          <w:bCs/>
          <w:sz w:val="24"/>
        </w:rPr>
        <w:t>）本基金管理人管理的全部基金投资于同一原始权益人的各类资产支持证券，不得超过其各类资产支持证券合计规模的</w:t>
      </w:r>
      <w:r>
        <w:rPr>
          <w:rFonts w:asciiTheme="minorEastAsia" w:hAnsiTheme="minorEastAsia"/>
          <w:bCs/>
          <w:sz w:val="24"/>
        </w:rPr>
        <w:t>10</w:t>
      </w:r>
      <w:r>
        <w:rPr>
          <w:rFonts w:asciiTheme="minorEastAsia" w:hAnsiTheme="minorEastAsia" w:hint="eastAsia"/>
          <w:bCs/>
          <w:sz w:val="24"/>
        </w:rPr>
        <w:t>％；</w:t>
      </w:r>
    </w:p>
    <w:p w14:paraId="7E26EB90"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12</w:t>
      </w:r>
      <w:r>
        <w:rPr>
          <w:rFonts w:asciiTheme="minorEastAsia" w:hAnsiTheme="minorEastAsia" w:hint="eastAsia"/>
          <w:bCs/>
          <w:sz w:val="24"/>
        </w:rPr>
        <w:t>）本基金应投资于信用级别评级为</w:t>
      </w:r>
      <w:r>
        <w:rPr>
          <w:rFonts w:asciiTheme="minorEastAsia" w:hAnsiTheme="minorEastAsia"/>
          <w:bCs/>
          <w:sz w:val="24"/>
        </w:rPr>
        <w:t>BBB</w:t>
      </w:r>
      <w:r>
        <w:rPr>
          <w:rFonts w:asciiTheme="minorEastAsia" w:hAnsiTheme="minorEastAsia" w:hint="eastAsia"/>
          <w:bCs/>
          <w:sz w:val="24"/>
        </w:rPr>
        <w:t>以上</w:t>
      </w:r>
      <w:r>
        <w:rPr>
          <w:rFonts w:asciiTheme="minorEastAsia" w:hAnsiTheme="minorEastAsia"/>
          <w:bCs/>
          <w:sz w:val="24"/>
        </w:rPr>
        <w:t>(</w:t>
      </w:r>
      <w:r>
        <w:rPr>
          <w:rFonts w:asciiTheme="minorEastAsia" w:hAnsiTheme="minorEastAsia" w:hint="eastAsia"/>
          <w:bCs/>
          <w:sz w:val="24"/>
        </w:rPr>
        <w:t>含</w:t>
      </w:r>
      <w:r>
        <w:rPr>
          <w:rFonts w:asciiTheme="minorEastAsia" w:hAnsiTheme="minorEastAsia"/>
          <w:bCs/>
          <w:sz w:val="24"/>
        </w:rPr>
        <w:t>BBB)</w:t>
      </w:r>
      <w:r>
        <w:rPr>
          <w:rFonts w:asciiTheme="minorEastAsia" w:hAnsiTheme="minorEastAsia" w:hint="eastAsia"/>
          <w:bCs/>
          <w:sz w:val="24"/>
        </w:rPr>
        <w:t>的资产支持证券。基金持有资产支持证券期间，如果其信用等级下降、不再符合投资标准，应在评级报告发布之日起</w:t>
      </w:r>
      <w:r>
        <w:rPr>
          <w:rFonts w:asciiTheme="minorEastAsia" w:hAnsiTheme="minorEastAsia"/>
          <w:bCs/>
          <w:sz w:val="24"/>
        </w:rPr>
        <w:t>3</w:t>
      </w:r>
      <w:r>
        <w:rPr>
          <w:rFonts w:asciiTheme="minorEastAsia" w:hAnsiTheme="minorEastAsia" w:hint="eastAsia"/>
          <w:bCs/>
          <w:sz w:val="24"/>
        </w:rPr>
        <w:t>个月内予以全部卖出；</w:t>
      </w:r>
    </w:p>
    <w:p w14:paraId="3627FF34"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13</w:t>
      </w:r>
      <w:r>
        <w:rPr>
          <w:rFonts w:asciiTheme="minorEastAsia" w:hAnsiTheme="minorEastAsia" w:hint="eastAsia"/>
          <w:bCs/>
          <w:sz w:val="24"/>
        </w:rPr>
        <w:t>）基金财产参与股票发行申购，本基金所申报的金额不超过本基金的总资产，本基金所申报的股票数量不超过拟发行股票公司本次发行股票的总量；</w:t>
      </w:r>
    </w:p>
    <w:p w14:paraId="37764C87"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14</w:t>
      </w:r>
      <w:r>
        <w:rPr>
          <w:rFonts w:asciiTheme="minorEastAsia" w:hAnsiTheme="minorEastAsia" w:hint="eastAsia"/>
          <w:bCs/>
          <w:sz w:val="24"/>
        </w:rPr>
        <w:t>）本基金进入全国银行间同业市场进行债券回购的资金余额不得超过基金资产净值的</w:t>
      </w:r>
      <w:r>
        <w:rPr>
          <w:rFonts w:asciiTheme="minorEastAsia" w:hAnsiTheme="minorEastAsia"/>
          <w:bCs/>
          <w:sz w:val="24"/>
        </w:rPr>
        <w:t>40%</w:t>
      </w:r>
      <w:r>
        <w:rPr>
          <w:rFonts w:asciiTheme="minorEastAsia" w:hAnsiTheme="minorEastAsia" w:hint="eastAsia"/>
          <w:bCs/>
          <w:sz w:val="24"/>
        </w:rPr>
        <w:t>，在全国银行间同业市场的债券回购最长期限为</w:t>
      </w:r>
      <w:r>
        <w:rPr>
          <w:rFonts w:asciiTheme="minorEastAsia" w:hAnsiTheme="minorEastAsia"/>
          <w:bCs/>
          <w:sz w:val="24"/>
        </w:rPr>
        <w:t>1</w:t>
      </w:r>
      <w:r>
        <w:rPr>
          <w:rFonts w:asciiTheme="minorEastAsia" w:hAnsiTheme="minorEastAsia" w:hint="eastAsia"/>
          <w:bCs/>
          <w:sz w:val="24"/>
        </w:rPr>
        <w:t>年，债券回购到期后不得展期；</w:t>
      </w:r>
    </w:p>
    <w:p w14:paraId="50629A54" w14:textId="77777777" w:rsidR="00D51FDF" w:rsidRDefault="007F75F6">
      <w:pPr>
        <w:pStyle w:val="aff"/>
        <w:numPr>
          <w:ilvl w:val="0"/>
          <w:numId w:val="6"/>
        </w:numPr>
        <w:spacing w:line="360" w:lineRule="auto"/>
        <w:ind w:firstLineChars="0"/>
        <w:rPr>
          <w:rFonts w:asciiTheme="minorEastAsia" w:hAnsiTheme="minorEastAsia"/>
          <w:bCs/>
          <w:sz w:val="24"/>
        </w:rPr>
      </w:pPr>
      <w:r>
        <w:rPr>
          <w:rFonts w:asciiTheme="minorEastAsia" w:hAnsiTheme="minorEastAsia" w:hint="eastAsia"/>
          <w:bCs/>
          <w:sz w:val="24"/>
        </w:rPr>
        <w:t>本基金总资产不得超过基金净资产的</w:t>
      </w:r>
      <w:r>
        <w:rPr>
          <w:rFonts w:asciiTheme="minorEastAsia" w:hAnsiTheme="minorEastAsia"/>
          <w:bCs/>
          <w:sz w:val="24"/>
        </w:rPr>
        <w:t xml:space="preserve"> 140%</w:t>
      </w:r>
      <w:r>
        <w:rPr>
          <w:rFonts w:asciiTheme="minorEastAsia" w:hAnsiTheme="minorEastAsia" w:hint="eastAsia"/>
          <w:bCs/>
          <w:sz w:val="24"/>
        </w:rPr>
        <w:t>；</w:t>
      </w:r>
    </w:p>
    <w:p w14:paraId="71C766B3" w14:textId="77777777" w:rsidR="00D51FDF" w:rsidRDefault="007F75F6">
      <w:pPr>
        <w:pStyle w:val="aff"/>
        <w:numPr>
          <w:ilvl w:val="0"/>
          <w:numId w:val="6"/>
        </w:numPr>
        <w:spacing w:line="360" w:lineRule="auto"/>
        <w:ind w:firstLineChars="0"/>
        <w:rPr>
          <w:rFonts w:asciiTheme="minorEastAsia" w:hAnsiTheme="minorEastAsia"/>
          <w:bCs/>
          <w:sz w:val="24"/>
        </w:rPr>
      </w:pPr>
      <w:r>
        <w:rPr>
          <w:rFonts w:asciiTheme="minorEastAsia" w:hAnsiTheme="minorEastAsia" w:hint="eastAsia"/>
          <w:bCs/>
          <w:sz w:val="24"/>
        </w:rPr>
        <w:t>本基金投资于中小企业私募债的比例不超过基金资产净值的</w:t>
      </w:r>
      <w:r>
        <w:rPr>
          <w:rFonts w:asciiTheme="minorEastAsia" w:hAnsiTheme="minorEastAsia"/>
          <w:bCs/>
          <w:sz w:val="24"/>
        </w:rPr>
        <w:t>20%</w:t>
      </w:r>
      <w:r>
        <w:rPr>
          <w:rFonts w:asciiTheme="minorEastAsia" w:hAnsiTheme="minorEastAsia" w:hint="eastAsia"/>
          <w:bCs/>
          <w:sz w:val="24"/>
        </w:rPr>
        <w:t>；</w:t>
      </w:r>
    </w:p>
    <w:p w14:paraId="09BBC73C" w14:textId="77777777" w:rsidR="00D51FDF" w:rsidRDefault="007F75F6">
      <w:pPr>
        <w:pStyle w:val="aff"/>
        <w:numPr>
          <w:ilvl w:val="0"/>
          <w:numId w:val="6"/>
        </w:numPr>
        <w:autoSpaceDE w:val="0"/>
        <w:autoSpaceDN w:val="0"/>
        <w:spacing w:line="360" w:lineRule="auto"/>
        <w:ind w:firstLineChars="0"/>
        <w:textAlignment w:val="bottom"/>
        <w:rPr>
          <w:rFonts w:asciiTheme="minorEastAsia" w:hAnsiTheme="minorEastAsia"/>
          <w:bCs/>
          <w:sz w:val="24"/>
        </w:rPr>
      </w:pPr>
      <w:r>
        <w:rPr>
          <w:rFonts w:asciiTheme="minorEastAsia" w:hAnsiTheme="minorEastAsia" w:hint="eastAsia"/>
          <w:bCs/>
          <w:sz w:val="24"/>
        </w:rPr>
        <w:lastRenderedPageBreak/>
        <w:t>本基金参与股指期货、国债期货交易，需遵守下列规定：</w:t>
      </w:r>
    </w:p>
    <w:p w14:paraId="03D6F2FC" w14:textId="77777777" w:rsidR="00D51FDF" w:rsidRDefault="007F75F6">
      <w:pPr>
        <w:spacing w:line="360" w:lineRule="auto"/>
        <w:ind w:firstLineChars="250" w:firstLine="600"/>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）本基金在任何交易日日终，持有的买入股指期货合约价值，不得超过基金资产净值的</w:t>
      </w:r>
      <w:r>
        <w:rPr>
          <w:rFonts w:asciiTheme="minorEastAsia" w:hAnsiTheme="minorEastAsia"/>
          <w:bCs/>
          <w:sz w:val="24"/>
        </w:rPr>
        <w:t>10%</w:t>
      </w:r>
      <w:r>
        <w:rPr>
          <w:rFonts w:asciiTheme="minorEastAsia" w:hAnsiTheme="minorEastAsia" w:hint="eastAsia"/>
          <w:bCs/>
          <w:sz w:val="24"/>
        </w:rPr>
        <w:t>；</w:t>
      </w:r>
    </w:p>
    <w:p w14:paraId="68346B23" w14:textId="77777777" w:rsidR="00D51FDF" w:rsidRDefault="007F75F6">
      <w:pPr>
        <w:spacing w:line="360" w:lineRule="auto"/>
        <w:ind w:firstLineChars="250" w:firstLine="600"/>
        <w:rPr>
          <w:rFonts w:asciiTheme="minorEastAsia" w:hAnsiTheme="minorEastAsia"/>
          <w:bCs/>
          <w:sz w:val="24"/>
        </w:rPr>
      </w:pPr>
      <w:r>
        <w:rPr>
          <w:rFonts w:asciiTheme="minorEastAsia" w:hAnsiTheme="minorEastAsia"/>
          <w:bCs/>
          <w:sz w:val="24"/>
        </w:rPr>
        <w:t>2</w:t>
      </w:r>
      <w:r>
        <w:rPr>
          <w:rFonts w:asciiTheme="minorEastAsia" w:hAnsiTheme="minorEastAsia" w:hint="eastAsia"/>
          <w:bCs/>
          <w:sz w:val="24"/>
        </w:rPr>
        <w:t>）本基金在任何交易日日终，持有的买入股指期货、国债期货合约价值与有价证券市值之和，不得超过基金资产净值的</w:t>
      </w:r>
      <w:r>
        <w:rPr>
          <w:rFonts w:asciiTheme="minorEastAsia" w:hAnsiTheme="minorEastAsia"/>
          <w:bCs/>
          <w:sz w:val="24"/>
        </w:rPr>
        <w:t>95%</w:t>
      </w:r>
      <w:r>
        <w:rPr>
          <w:rFonts w:asciiTheme="minorEastAsia" w:hAnsiTheme="minorEastAsia" w:hint="eastAsia"/>
          <w:bCs/>
          <w:sz w:val="24"/>
        </w:rPr>
        <w:t>，其中，有价证券指股票、债券（不含到期日在一年以内的政府债券）、权证、资产支持证券、买入返售金融资产（不含质押式回购）等；</w:t>
      </w:r>
    </w:p>
    <w:p w14:paraId="3DFF0365" w14:textId="77777777" w:rsidR="00D51FDF" w:rsidRDefault="007F75F6">
      <w:pPr>
        <w:spacing w:line="360" w:lineRule="auto"/>
        <w:ind w:firstLineChars="250" w:firstLine="600"/>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）本基金在任何交易日日终，持有的卖出股指期货合约价值不得超过基金持有的股票总市值的</w:t>
      </w:r>
      <w:r>
        <w:rPr>
          <w:rFonts w:asciiTheme="minorEastAsia" w:hAnsiTheme="minorEastAsia"/>
          <w:bCs/>
          <w:sz w:val="24"/>
        </w:rPr>
        <w:t>20%</w:t>
      </w:r>
      <w:r>
        <w:rPr>
          <w:rFonts w:asciiTheme="minorEastAsia" w:hAnsiTheme="minorEastAsia" w:hint="eastAsia"/>
          <w:bCs/>
          <w:sz w:val="24"/>
        </w:rPr>
        <w:t>；</w:t>
      </w:r>
    </w:p>
    <w:p w14:paraId="7B31FFD2" w14:textId="77777777" w:rsidR="00D51FDF" w:rsidRDefault="007F75F6">
      <w:pPr>
        <w:spacing w:line="360" w:lineRule="auto"/>
        <w:ind w:firstLineChars="250" w:firstLine="600"/>
        <w:rPr>
          <w:rFonts w:asciiTheme="minorEastAsia" w:hAnsiTheme="minorEastAsia"/>
          <w:bCs/>
          <w:sz w:val="24"/>
        </w:rPr>
      </w:pPr>
      <w:r>
        <w:rPr>
          <w:rFonts w:asciiTheme="minorEastAsia" w:hAnsiTheme="minorEastAsia"/>
          <w:bCs/>
          <w:sz w:val="24"/>
        </w:rPr>
        <w:t>4</w:t>
      </w:r>
      <w:r>
        <w:rPr>
          <w:rFonts w:asciiTheme="minorEastAsia" w:hAnsiTheme="minorEastAsia" w:hint="eastAsia"/>
          <w:bCs/>
          <w:sz w:val="24"/>
        </w:rPr>
        <w:t>）本基金在任何交易日内交易（不包括平仓）的股指期货合约的成交金额不得超过上一交易日基金资产净值的</w:t>
      </w:r>
      <w:r>
        <w:rPr>
          <w:rFonts w:asciiTheme="minorEastAsia" w:hAnsiTheme="minorEastAsia"/>
          <w:bCs/>
          <w:sz w:val="24"/>
        </w:rPr>
        <w:t>20%</w:t>
      </w:r>
      <w:r>
        <w:rPr>
          <w:rFonts w:asciiTheme="minorEastAsia" w:hAnsiTheme="minorEastAsia" w:hint="eastAsia"/>
          <w:bCs/>
          <w:sz w:val="24"/>
        </w:rPr>
        <w:t>；</w:t>
      </w:r>
    </w:p>
    <w:p w14:paraId="48301C17" w14:textId="77777777" w:rsidR="00D51FDF" w:rsidRDefault="007F75F6">
      <w:pPr>
        <w:spacing w:line="360" w:lineRule="auto"/>
        <w:ind w:firstLineChars="250" w:firstLine="600"/>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）本基金所持有的股票市值和买入、卖出股指期货合约价值，合计（轧差计算）应当符合基金合同关于股票投资比例的有关规定；</w:t>
      </w:r>
    </w:p>
    <w:p w14:paraId="78B2817C" w14:textId="77777777" w:rsidR="00D51FDF" w:rsidRDefault="007F75F6">
      <w:pPr>
        <w:spacing w:line="360" w:lineRule="auto"/>
        <w:ind w:firstLineChars="250" w:firstLine="600"/>
        <w:rPr>
          <w:rFonts w:asciiTheme="minorEastAsia" w:hAnsiTheme="minorEastAsia"/>
          <w:bCs/>
          <w:sz w:val="24"/>
        </w:rPr>
      </w:pPr>
      <w:r>
        <w:rPr>
          <w:rFonts w:asciiTheme="minorEastAsia" w:hAnsiTheme="minorEastAsia"/>
          <w:bCs/>
          <w:sz w:val="24"/>
        </w:rPr>
        <w:t>6</w:t>
      </w:r>
      <w:r>
        <w:rPr>
          <w:rFonts w:asciiTheme="minorEastAsia" w:hAnsiTheme="minorEastAsia" w:hint="eastAsia"/>
          <w:bCs/>
          <w:sz w:val="24"/>
        </w:rPr>
        <w:t>）本基金在任何交易日日终，持有的买入国债期货合约价值，不得超过基金资产净值的</w:t>
      </w:r>
      <w:r>
        <w:rPr>
          <w:rFonts w:asciiTheme="minorEastAsia" w:hAnsiTheme="minorEastAsia"/>
          <w:bCs/>
          <w:sz w:val="24"/>
        </w:rPr>
        <w:t>15%</w:t>
      </w:r>
      <w:r>
        <w:rPr>
          <w:rFonts w:asciiTheme="minorEastAsia" w:hAnsiTheme="minorEastAsia" w:hint="eastAsia"/>
          <w:bCs/>
          <w:sz w:val="24"/>
        </w:rPr>
        <w:t>；</w:t>
      </w:r>
    </w:p>
    <w:p w14:paraId="731E57CC" w14:textId="77777777" w:rsidR="00D51FDF" w:rsidRDefault="007F75F6">
      <w:pPr>
        <w:spacing w:line="360" w:lineRule="auto"/>
        <w:ind w:firstLineChars="250" w:firstLine="600"/>
        <w:rPr>
          <w:rFonts w:asciiTheme="minorEastAsia" w:hAnsiTheme="minorEastAsia"/>
          <w:bCs/>
          <w:sz w:val="24"/>
        </w:rPr>
      </w:pPr>
      <w:r>
        <w:rPr>
          <w:rFonts w:asciiTheme="minorEastAsia" w:hAnsiTheme="minorEastAsia"/>
          <w:bCs/>
          <w:sz w:val="24"/>
        </w:rPr>
        <w:t>7</w:t>
      </w:r>
      <w:r>
        <w:rPr>
          <w:rFonts w:asciiTheme="minorEastAsia" w:hAnsiTheme="minorEastAsia" w:hint="eastAsia"/>
          <w:bCs/>
          <w:sz w:val="24"/>
        </w:rPr>
        <w:t>）本基金在任何交易日日终，持有的卖出国债期货合约价值不得超过基金持有的债券总市值的</w:t>
      </w:r>
      <w:r>
        <w:rPr>
          <w:rFonts w:asciiTheme="minorEastAsia" w:hAnsiTheme="minorEastAsia"/>
          <w:bCs/>
          <w:sz w:val="24"/>
        </w:rPr>
        <w:t>30%</w:t>
      </w:r>
      <w:r>
        <w:rPr>
          <w:rFonts w:asciiTheme="minorEastAsia" w:hAnsiTheme="minorEastAsia" w:hint="eastAsia"/>
          <w:bCs/>
          <w:sz w:val="24"/>
        </w:rPr>
        <w:t>；</w:t>
      </w:r>
    </w:p>
    <w:p w14:paraId="6E1B20B9" w14:textId="77777777" w:rsidR="00D51FDF" w:rsidRDefault="007F75F6">
      <w:pPr>
        <w:spacing w:line="360" w:lineRule="auto"/>
        <w:ind w:firstLineChars="250" w:firstLine="600"/>
        <w:rPr>
          <w:rFonts w:asciiTheme="minorEastAsia" w:hAnsiTheme="minorEastAsia"/>
          <w:bCs/>
          <w:sz w:val="24"/>
        </w:rPr>
      </w:pPr>
      <w:r>
        <w:rPr>
          <w:rFonts w:asciiTheme="minorEastAsia" w:hAnsiTheme="minorEastAsia"/>
          <w:bCs/>
          <w:sz w:val="24"/>
        </w:rPr>
        <w:t>8</w:t>
      </w:r>
      <w:r>
        <w:rPr>
          <w:rFonts w:asciiTheme="minorEastAsia" w:hAnsiTheme="minorEastAsia" w:hint="eastAsia"/>
          <w:bCs/>
          <w:sz w:val="24"/>
        </w:rPr>
        <w:t>）本基金在任何交易日内交易（不包括平仓）的国债期货合约的成交金额不得超过上一交易日基金资产净值的</w:t>
      </w:r>
      <w:r>
        <w:rPr>
          <w:rFonts w:asciiTheme="minorEastAsia" w:hAnsiTheme="minorEastAsia"/>
          <w:bCs/>
          <w:sz w:val="24"/>
        </w:rPr>
        <w:t>30%</w:t>
      </w:r>
      <w:r>
        <w:rPr>
          <w:rFonts w:asciiTheme="minorEastAsia" w:hAnsiTheme="minorEastAsia" w:hint="eastAsia"/>
          <w:bCs/>
          <w:sz w:val="24"/>
        </w:rPr>
        <w:t>；</w:t>
      </w:r>
    </w:p>
    <w:p w14:paraId="21C33D8A" w14:textId="77777777" w:rsidR="00D51FDF" w:rsidRDefault="007F75F6">
      <w:pPr>
        <w:pStyle w:val="aff"/>
        <w:numPr>
          <w:ilvl w:val="0"/>
          <w:numId w:val="6"/>
        </w:numPr>
        <w:spacing w:line="360" w:lineRule="auto"/>
        <w:ind w:firstLineChars="0"/>
        <w:rPr>
          <w:rFonts w:asciiTheme="minorEastAsia" w:hAnsiTheme="minorEastAsia"/>
          <w:sz w:val="24"/>
        </w:rPr>
      </w:pPr>
      <w:r>
        <w:rPr>
          <w:rFonts w:asciiTheme="minorEastAsia" w:hAnsiTheme="minorEastAsia" w:hint="eastAsia"/>
          <w:sz w:val="24"/>
        </w:rPr>
        <w:t>本基金参与股票期权交易，需遵守下列投资比例限制：</w:t>
      </w:r>
    </w:p>
    <w:p w14:paraId="5A1C9300" w14:textId="77777777" w:rsidR="00D51FDF" w:rsidRDefault="007F75F6">
      <w:pPr>
        <w:spacing w:line="360" w:lineRule="auto"/>
        <w:ind w:firstLineChars="250" w:firstLine="600"/>
        <w:rPr>
          <w:rFonts w:asciiTheme="minorEastAsia" w:hAnsiTheme="minorEastAsia"/>
          <w:sz w:val="24"/>
        </w:rPr>
      </w:pPr>
      <w:r>
        <w:rPr>
          <w:rFonts w:asciiTheme="minorEastAsia" w:hAnsiTheme="minorEastAsia"/>
          <w:sz w:val="24"/>
        </w:rPr>
        <w:t>1</w:t>
      </w:r>
      <w:r>
        <w:rPr>
          <w:rFonts w:asciiTheme="minorEastAsia" w:hAnsiTheme="minorEastAsia" w:hint="eastAsia"/>
          <w:sz w:val="24"/>
        </w:rPr>
        <w:t>）本基金因未平仓的期权合约支付和收取的权利金总额不得超过基金资产净值的</w:t>
      </w:r>
      <w:r>
        <w:rPr>
          <w:rFonts w:asciiTheme="minorEastAsia" w:hAnsiTheme="minorEastAsia"/>
          <w:sz w:val="24"/>
        </w:rPr>
        <w:t>10%</w:t>
      </w:r>
      <w:r>
        <w:rPr>
          <w:rFonts w:asciiTheme="minorEastAsia" w:hAnsiTheme="minorEastAsia" w:hint="eastAsia"/>
          <w:sz w:val="24"/>
        </w:rPr>
        <w:t>；</w:t>
      </w:r>
    </w:p>
    <w:p w14:paraId="154045DD" w14:textId="77777777" w:rsidR="00D51FDF" w:rsidRDefault="007F75F6">
      <w:pPr>
        <w:spacing w:line="360" w:lineRule="auto"/>
        <w:ind w:firstLineChars="250" w:firstLine="600"/>
        <w:rPr>
          <w:rFonts w:asciiTheme="minorEastAsia" w:hAnsiTheme="minorEastAsia"/>
          <w:sz w:val="24"/>
        </w:rPr>
      </w:pPr>
      <w:r>
        <w:rPr>
          <w:rFonts w:asciiTheme="minorEastAsia" w:hAnsiTheme="minorEastAsia"/>
          <w:sz w:val="24"/>
        </w:rPr>
        <w:t>2</w:t>
      </w:r>
      <w:r>
        <w:rPr>
          <w:rFonts w:asciiTheme="minorEastAsia" w:hAnsiTheme="minorEastAsia" w:hint="eastAsia"/>
          <w:sz w:val="24"/>
        </w:rPr>
        <w:t>）本基金开仓卖出认购期权的，应持有足额标的证券；开仓卖出认沽期权的，应持有合约行权所需的全额现金或交易所规则认可的可冲抵期权保证金的现金等价物；</w:t>
      </w:r>
    </w:p>
    <w:p w14:paraId="5DC4E11C" w14:textId="77777777" w:rsidR="00D51FDF" w:rsidRDefault="007F75F6">
      <w:pPr>
        <w:spacing w:line="360" w:lineRule="auto"/>
        <w:ind w:firstLineChars="250" w:firstLine="600"/>
        <w:rPr>
          <w:rFonts w:asciiTheme="minorEastAsia" w:hAnsiTheme="minorEastAsia"/>
          <w:sz w:val="24"/>
        </w:rPr>
      </w:pPr>
      <w:r>
        <w:rPr>
          <w:rFonts w:asciiTheme="minorEastAsia" w:hAnsiTheme="minorEastAsia"/>
          <w:sz w:val="24"/>
        </w:rPr>
        <w:t>3</w:t>
      </w:r>
      <w:r>
        <w:rPr>
          <w:rFonts w:asciiTheme="minorEastAsia" w:hAnsiTheme="minorEastAsia" w:hint="eastAsia"/>
          <w:sz w:val="24"/>
        </w:rPr>
        <w:t>）本基金未平仓的期权合约面值不得超过基金资产净值的</w:t>
      </w:r>
      <w:r>
        <w:rPr>
          <w:rFonts w:asciiTheme="minorEastAsia" w:hAnsiTheme="minorEastAsia"/>
          <w:sz w:val="24"/>
        </w:rPr>
        <w:t>20%</w:t>
      </w:r>
      <w:r>
        <w:rPr>
          <w:rFonts w:asciiTheme="minorEastAsia" w:hAnsiTheme="minorEastAsia" w:hint="eastAsia"/>
          <w:sz w:val="24"/>
        </w:rPr>
        <w:t>。其中，合约面值按照行权价乘以合约乘数计算；</w:t>
      </w:r>
    </w:p>
    <w:p w14:paraId="64FCE75B"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（19）本基金管理人管理的全部开放式基金持有一家上市公司发行的可流通股票，不得超过该上市公司可流通股票的15%；本基金管理人管理的全部投资组</w:t>
      </w:r>
      <w:r>
        <w:rPr>
          <w:rFonts w:asciiTheme="minorEastAsia" w:hAnsiTheme="minorEastAsia" w:hint="eastAsia"/>
          <w:sz w:val="24"/>
        </w:rPr>
        <w:lastRenderedPageBreak/>
        <w:t>合持有一家上市公司发行的可流通股票，不得超过该上市公司可流通股票的</w:t>
      </w:r>
      <w:r>
        <w:rPr>
          <w:rFonts w:asciiTheme="minorEastAsia" w:hAnsiTheme="minorEastAsia"/>
          <w:sz w:val="24"/>
        </w:rPr>
        <w:t>30 %</w:t>
      </w:r>
      <w:r>
        <w:rPr>
          <w:rFonts w:asciiTheme="minorEastAsia" w:hAnsiTheme="minorEastAsia" w:hint="eastAsia"/>
          <w:sz w:val="24"/>
        </w:rPr>
        <w:t>；</w:t>
      </w:r>
    </w:p>
    <w:p w14:paraId="55447562"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（20）本基金主动投资于流动性受限资产的市值合计不得超过该基金资产净值的15%；</w:t>
      </w:r>
    </w:p>
    <w:p w14:paraId="3E581CF3"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因证券市场波动、上市公司股票停牌、基金规模变动等基金管理人之外的因素致使基金不符合前款所规定比例限制的，</w:t>
      </w:r>
      <w:r>
        <w:rPr>
          <w:rFonts w:asciiTheme="minorEastAsia" w:hAnsiTheme="minorEastAsia"/>
          <w:sz w:val="24"/>
        </w:rPr>
        <w:t xml:space="preserve"> </w:t>
      </w:r>
      <w:r>
        <w:rPr>
          <w:rFonts w:asciiTheme="minorEastAsia" w:hAnsiTheme="minorEastAsia" w:hint="eastAsia"/>
          <w:sz w:val="24"/>
        </w:rPr>
        <w:t>基金管理人不得主动新增流动性受限资产的投资。</w:t>
      </w:r>
    </w:p>
    <w:p w14:paraId="555B62C7"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（21）基金与私募类</w:t>
      </w:r>
      <w:proofErr w:type="gramStart"/>
      <w:r>
        <w:rPr>
          <w:rFonts w:asciiTheme="minorEastAsia" w:hAnsiTheme="minorEastAsia" w:hint="eastAsia"/>
          <w:sz w:val="24"/>
        </w:rPr>
        <w:t>证券资管产品</w:t>
      </w:r>
      <w:proofErr w:type="gramEnd"/>
      <w:r>
        <w:rPr>
          <w:rFonts w:asciiTheme="minorEastAsia" w:hAnsiTheme="minorEastAsia" w:hint="eastAsia"/>
          <w:sz w:val="24"/>
        </w:rPr>
        <w:t>及中国证监会认定的其他主体为交易对手开展逆回购交易的，</w:t>
      </w:r>
      <w:r>
        <w:rPr>
          <w:rFonts w:asciiTheme="minorEastAsia" w:hAnsiTheme="minorEastAsia"/>
          <w:sz w:val="24"/>
        </w:rPr>
        <w:t xml:space="preserve"> </w:t>
      </w:r>
      <w:r>
        <w:rPr>
          <w:rFonts w:asciiTheme="minorEastAsia" w:hAnsiTheme="minorEastAsia" w:hint="eastAsia"/>
          <w:sz w:val="24"/>
        </w:rPr>
        <w:t>可接受质押品的资质要求应当与基金合同约定的投资范围保持一致；</w:t>
      </w:r>
    </w:p>
    <w:p w14:paraId="2DE9579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（22）本基金投资存托凭证的比例限制依照境内上市交易的股票执行，与境内上市交易的股票合并计算；</w:t>
      </w:r>
    </w:p>
    <w:p w14:paraId="6BD219E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（23）法律法规及中国证监会规定的和《基金合同》约定的其他投资限制。</w:t>
      </w:r>
    </w:p>
    <w:p w14:paraId="7638181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除上述第（2）、（1</w:t>
      </w:r>
      <w:r>
        <w:rPr>
          <w:rFonts w:asciiTheme="minorEastAsia" w:hAnsiTheme="minorEastAsia"/>
          <w:bCs/>
          <w:sz w:val="24"/>
        </w:rPr>
        <w:t>2</w:t>
      </w:r>
      <w:r>
        <w:rPr>
          <w:rFonts w:asciiTheme="minorEastAsia" w:hAnsiTheme="minorEastAsia" w:hint="eastAsia"/>
          <w:bCs/>
          <w:sz w:val="24"/>
        </w:rPr>
        <w:t>）、（</w:t>
      </w:r>
      <w:r>
        <w:rPr>
          <w:rFonts w:asciiTheme="minorEastAsia" w:hAnsiTheme="minorEastAsia"/>
          <w:bCs/>
          <w:sz w:val="24"/>
        </w:rPr>
        <w:t>20</w:t>
      </w:r>
      <w:r>
        <w:rPr>
          <w:rFonts w:asciiTheme="minorEastAsia" w:hAnsiTheme="minorEastAsia" w:hint="eastAsia"/>
          <w:bCs/>
          <w:sz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610129A8"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基金管理人应当自基金合同生效之日起</w:t>
      </w:r>
      <w:r>
        <w:rPr>
          <w:rFonts w:asciiTheme="minorEastAsia" w:hAnsiTheme="minorEastAsia"/>
          <w:bCs/>
          <w:sz w:val="24"/>
        </w:rPr>
        <w:t>6</w:t>
      </w:r>
      <w:r>
        <w:rPr>
          <w:rFonts w:asciiTheme="minorEastAsia" w:hAnsiTheme="minorEastAsia"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4A8034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法律法规或监管部门取消或调整上述限制，如适用于本基金，基金管理人在履行适当程序后，则本基金投资不再受相关限制或按调整后的规定执行。</w:t>
      </w:r>
    </w:p>
    <w:p w14:paraId="3C91735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（三）基金托管人根据有关法律法规的规定及基金合同的约定，对本托管协议第十五条第九款基金投资禁止行为进行监督。</w:t>
      </w:r>
    </w:p>
    <w:p w14:paraId="33026FDA" w14:textId="77777777" w:rsidR="00D51FDF" w:rsidRDefault="007F75F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为维护基金份额持有人的合法权益，基金财产不得用于下列投资或者活动：</w:t>
      </w:r>
    </w:p>
    <w:p w14:paraId="7F89CE3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（1）承销证券；</w:t>
      </w:r>
    </w:p>
    <w:p w14:paraId="64B913E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（2）违反规定向他人贷款或者提供担保；</w:t>
      </w:r>
    </w:p>
    <w:p w14:paraId="2B3CA157"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（3）从事承担无限责任的投资；</w:t>
      </w:r>
    </w:p>
    <w:p w14:paraId="50065115"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（4）买卖其他基金份额，但是中国证监会另有规定的除外；</w:t>
      </w:r>
    </w:p>
    <w:p w14:paraId="1D61819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lastRenderedPageBreak/>
        <w:t>（5）向其基金管理人、基金托管人出资；</w:t>
      </w:r>
    </w:p>
    <w:p w14:paraId="40B5A4CC"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（6）从事内幕交易、操纵证券交易价格及其他不正当的证券交易活动；</w:t>
      </w:r>
    </w:p>
    <w:p w14:paraId="137FF443"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（7）法律、行政法规和中国证监会规定禁止的其他活动。</w:t>
      </w:r>
    </w:p>
    <w:p w14:paraId="2ECA7320"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7AF62BA"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法律、行政法规或监管部门取消上述禁止性规定，如适用于本基金，则本基金投资不再受相关限制。</w:t>
      </w:r>
    </w:p>
    <w:p w14:paraId="0E6B33B8"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（四）基金托管人根据有关法律法规的规定及基金合同的约定，对基金管理人参与银行间债券市场进行监督。</w:t>
      </w:r>
    </w:p>
    <w:p w14:paraId="41ABCB8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Theme="minorEastAsia" w:hAnsiTheme="minorEastAsia"/>
          <w:sz w:val="24"/>
          <w:szCs w:val="24"/>
        </w:rPr>
        <w:t>3个工作日内与基金托管人协商解决。</w:t>
      </w:r>
    </w:p>
    <w:p w14:paraId="76AB9790"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FE25EE2"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（五）基金托管人根据有关法律法规的规定及基金合同的约定，对基金投资流通受限证券进行监督。</w:t>
      </w:r>
    </w:p>
    <w:p w14:paraId="1A5EC96A"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1．基金投资流通受限证券，应遵守《关于基金投资非公开发行股票等流通受限证券有关问题的通知》等有关法律法规规定。</w:t>
      </w:r>
    </w:p>
    <w:p w14:paraId="41619BA8"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Theme="minorEastAsia" w:hAnsiTheme="minorEastAsia" w:cs="宋体" w:hint="eastAsia"/>
          <w:color w:val="000000"/>
          <w:sz w:val="24"/>
          <w:szCs w:val="24"/>
        </w:rPr>
        <w:t>券</w:t>
      </w:r>
      <w:proofErr w:type="gramEnd"/>
      <w:r>
        <w:rPr>
          <w:rFonts w:asciiTheme="minorEastAsia" w:hAnsiTheme="minorEastAsia" w:cs="宋体" w:hint="eastAsia"/>
          <w:color w:val="000000"/>
          <w:sz w:val="24"/>
          <w:szCs w:val="24"/>
        </w:rPr>
        <w:t>等流通受限证券。</w:t>
      </w:r>
    </w:p>
    <w:p w14:paraId="589D660E"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296101C0"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上述规章制度须经基金管理人董事会批准。上述规章制度经董事会通过之后，基金管理人应至少</w:t>
      </w:r>
      <w:proofErr w:type="gramStart"/>
      <w:r>
        <w:rPr>
          <w:rFonts w:asciiTheme="minorEastAsia" w:hAnsiTheme="minorEastAsia" w:cs="宋体" w:hint="eastAsia"/>
          <w:color w:val="000000"/>
          <w:sz w:val="24"/>
          <w:szCs w:val="24"/>
        </w:rPr>
        <w:t>于首次</w:t>
      </w:r>
      <w:proofErr w:type="gramEnd"/>
      <w:r>
        <w:rPr>
          <w:rFonts w:asciiTheme="minorEastAsia" w:hAnsiTheme="minorEastAsia" w:cs="宋体" w:hint="eastAsia"/>
          <w:color w:val="000000"/>
          <w:sz w:val="24"/>
          <w:szCs w:val="24"/>
        </w:rPr>
        <w:t>投资流通受限证券之前两个工作日将上述资料书面发至基金托管人，保证基金托管人有足够的时间进行审核。</w:t>
      </w:r>
    </w:p>
    <w:p w14:paraId="098CF45A"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7F86CCC0"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5.基金投资流通受限证券，基金管理人应根据本协议的规定与基金托管银行签订风险控制补充协议。协议应包括基金托管人对于基金管理人是否遵守相关制度、流动性风险处置预案以及相关投资额度和比例的情况进行监督等内容。</w:t>
      </w:r>
    </w:p>
    <w:p w14:paraId="7169DA75"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6．基金管理人应在基金投资非公开发行股票后两个交易日内，在中国证监会指定媒介披露所投资非公开发行股票的名称、数量、总成本、账面价值，以及总成本和账面价值占基金资产净值的比例、锁定期等信息。</w:t>
      </w:r>
    </w:p>
    <w:p w14:paraId="04EEAC53" w14:textId="77777777" w:rsidR="00D51FDF" w:rsidRDefault="007F75F6">
      <w:pPr>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lastRenderedPageBreak/>
        <w:t>7．基金托管人应对基金管理人是否遵守法律法规、投资决策流程、风险控制制度、流动性风险处置预案情况进行监督，并审核基金管理人提供的有关书面</w:t>
      </w:r>
      <w:r>
        <w:rPr>
          <w:rFonts w:asciiTheme="minorEastAsia" w:hAnsiTheme="minorEastAsia" w:cs="宋体" w:hint="eastAsia"/>
          <w:color w:val="000000"/>
          <w:sz w:val="24"/>
          <w:szCs w:val="24"/>
        </w:rPr>
        <w:t>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53559C55" w14:textId="77777777" w:rsidR="00D51FDF" w:rsidRDefault="007F75F6">
      <w:pPr>
        <w:pStyle w:val="23"/>
        <w:ind w:firstLine="480"/>
        <w:rPr>
          <w:rFonts w:asciiTheme="minorEastAsia" w:eastAsiaTheme="minorEastAsia" w:hAnsiTheme="minorEastAsia"/>
        </w:rPr>
      </w:pPr>
      <w:r>
        <w:rPr>
          <w:rFonts w:asciiTheme="minorEastAsia" w:eastAsiaTheme="minorEastAsia" w:hAnsiTheme="minorEastAsia" w:hint="eastAsia"/>
        </w:rPr>
        <w:t>（六）基金管理人投资银行定期存款应符合相关法律法规约定。开立定期存款账户时，定期存款账户的户名应与托管账户户名一致，本着便于委托资产的安全保管和日常监督核查的原则，存款行应尽量选择托管账户所在地的分支机构。对于跨行定期存款投资，基金管理人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如定期存款协议中未体现前述条款，基金托管人有权拒绝定期存款投资的划款指令。对于跨行存款，基金管理人需提前</w:t>
      </w:r>
      <w:r>
        <w:rPr>
          <w:rFonts w:asciiTheme="minorEastAsia" w:eastAsiaTheme="minorEastAsia" w:hAnsiTheme="minorEastAsia"/>
        </w:rPr>
        <w:t>5日与基金托管人就定期存款协议及存单交接流程进行沟通。除非存款协议中规定存款证实书由存款行保管或存款协议作为存款支取的依据，存单交接原则上采用存款行上门服务、基金管理人负责监交的方式。特殊情况下，采用基金管理人交接存单的方式。在取得存款证实书后，托管人保管证实书正本。基金管理人需对跨行存款的利率政策风险、存款行的选择及存款协议承担责任，并指定专人在核实存款行授权人员身份信息后，负责印鉴卡与存款证实书等凭证的监交或交接，以确保与基金托管人所交接凭证的真实性、准确性和完整性。基金托管人对投资后处于基金托管人实际控制之外的资产不承担保管责任。跨行定期存款账户的预留印鉴为基金托管人托管业务专用章与托管业务授权人名章。</w:t>
      </w:r>
    </w:p>
    <w:p w14:paraId="165B3AD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七）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w:t>
      </w:r>
      <w:r>
        <w:rPr>
          <w:rFonts w:asciiTheme="minorEastAsia" w:hAnsiTheme="minorEastAsia" w:hint="eastAsia"/>
          <w:sz w:val="24"/>
          <w:szCs w:val="24"/>
        </w:rPr>
        <w:lastRenderedPageBreak/>
        <w:t>投资过程中，基金托管人将严格按照补充协议中的约定对相关业务进行监督和审核。</w:t>
      </w:r>
    </w:p>
    <w:p w14:paraId="44ED8C18"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八）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682458D2" w14:textId="77777777" w:rsidR="00D51FDF" w:rsidRDefault="007F75F6">
      <w:pPr>
        <w:pStyle w:val="23"/>
        <w:ind w:firstLine="480"/>
        <w:rPr>
          <w:rFonts w:asciiTheme="minorEastAsia" w:eastAsiaTheme="minorEastAsia" w:hAnsiTheme="minorEastAsia"/>
        </w:rPr>
      </w:pPr>
      <w:r>
        <w:rPr>
          <w:rFonts w:asciiTheme="minorEastAsia" w:eastAsiaTheme="minorEastAsia" w:hAnsiTheme="minorEastAsia" w:hint="eastAsia"/>
        </w:rPr>
        <w:t>（九）基金管理人投资中小企业</w:t>
      </w:r>
      <w:proofErr w:type="gramStart"/>
      <w:r>
        <w:rPr>
          <w:rFonts w:asciiTheme="minorEastAsia" w:eastAsiaTheme="minorEastAsia" w:hAnsiTheme="minorEastAsia" w:hint="eastAsia"/>
        </w:rPr>
        <w:t>私募债应符合</w:t>
      </w:r>
      <w:proofErr w:type="gramEnd"/>
      <w:r>
        <w:rPr>
          <w:rFonts w:asciiTheme="minorEastAsia" w:eastAsiaTheme="minorEastAsia" w:hAnsiTheme="minorEastAsia" w:hint="eastAsia"/>
        </w:rPr>
        <w:t>相关法律法规约定。基金管理人应根据本协议的规定与基金托管人签订投资中小企业私募</w:t>
      </w:r>
      <w:proofErr w:type="gramStart"/>
      <w:r>
        <w:rPr>
          <w:rFonts w:asciiTheme="minorEastAsia" w:eastAsiaTheme="minorEastAsia" w:hAnsiTheme="minorEastAsia" w:hint="eastAsia"/>
        </w:rPr>
        <w:t>债风险</w:t>
      </w:r>
      <w:proofErr w:type="gramEnd"/>
      <w:r>
        <w:rPr>
          <w:rFonts w:asciiTheme="minorEastAsia" w:eastAsiaTheme="minorEastAsia" w:hAnsiTheme="minorEastAsia" w:hint="eastAsia"/>
        </w:rPr>
        <w:t>控制补充协议。基金管理人在投资中小企业私募债前，应向基金托管人提供经资产管理人董事会批准的投资中小企业私募债券的相关制度。在投资中小企业私募债券的过程中，基金管理人应合</w:t>
      </w:r>
      <w:proofErr w:type="gramStart"/>
      <w:r>
        <w:rPr>
          <w:rFonts w:asciiTheme="minorEastAsia" w:eastAsiaTheme="minorEastAsia" w:hAnsiTheme="minorEastAsia" w:hint="eastAsia"/>
        </w:rPr>
        <w:t>理控制</w:t>
      </w:r>
      <w:proofErr w:type="gramEnd"/>
      <w:r>
        <w:rPr>
          <w:rFonts w:asciiTheme="minorEastAsia" w:eastAsiaTheme="minorEastAsia" w:hAnsiTheme="minorEastAsia" w:hint="eastAsia"/>
        </w:rPr>
        <w:t>投资中小企业私募债的比例。基金托管人按照补充协议中的约定对相关投资进行监督和审核。</w:t>
      </w:r>
    </w:p>
    <w:p w14:paraId="557063E7"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（十）基金托管人发现基金管理人的上述事项及投资指令或实际投资运作违反法律法规、基金合同和本托管协议的规定，应及时以电话提醒或书面提示等方式通知基金管理人限期纠正。</w:t>
      </w:r>
    </w:p>
    <w:p w14:paraId="53B5792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3F6682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（十一）基金管理人有义务配合和协助基金托管人依照法律法规、基金合同和本托管协议对基金业务执行核查。</w:t>
      </w:r>
    </w:p>
    <w:p w14:paraId="4F073BFF"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395819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（十二）</w:t>
      </w:r>
      <w:proofErr w:type="gramStart"/>
      <w:r>
        <w:rPr>
          <w:rFonts w:asciiTheme="minorEastAsia" w:hAnsiTheme="minorEastAsia" w:hint="eastAsia"/>
          <w:sz w:val="24"/>
          <w:szCs w:val="24"/>
        </w:rPr>
        <w:t>若基金</w:t>
      </w:r>
      <w:proofErr w:type="gramEnd"/>
      <w:r>
        <w:rPr>
          <w:rFonts w:asciiTheme="minorEastAsia" w:hAnsiTheme="minorEastAsia" w:hint="eastAsia"/>
          <w:sz w:val="24"/>
          <w:szCs w:val="24"/>
        </w:rPr>
        <w:t>托管人发现基金管理人依据交易程序已经生效的指令违反法律、行政法规和其他有关规定，或者违反基金合同约定的，应当立即通知基金管</w:t>
      </w:r>
      <w:r>
        <w:rPr>
          <w:rFonts w:asciiTheme="minorEastAsia" w:hAnsiTheme="minorEastAsia" w:hint="eastAsia"/>
          <w:sz w:val="24"/>
          <w:szCs w:val="24"/>
        </w:rPr>
        <w:lastRenderedPageBreak/>
        <w:t>理人。</w:t>
      </w:r>
    </w:p>
    <w:p w14:paraId="7998B95E"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（十三）基金托管人发现基金管理人有重大违规行为，有权报告中国证监会，同时通知基金管理人限期纠正，并将纠正结果报告中国证监会。</w:t>
      </w:r>
    </w:p>
    <w:p w14:paraId="730C4A99"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3996CEBC" w14:textId="77777777" w:rsidR="00D51FDF" w:rsidRDefault="007F75F6">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6985E59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基金管理人对基金托管人履行托管职责情况进行核查，核查事项包括基金托管人安全保管基金财产、开设基金财产的资金账户、证券账户以及投资所需其他账户、复核基金管理人计算的基金资产净值和各类基金份额净值、根据基金管理人指令办理清算交收、相关信息披露和监督基金投资运作等行为。</w:t>
      </w:r>
    </w:p>
    <w:p w14:paraId="50C52C17"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3739599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Theme="minorEastAsia" w:hAnsiTheme="minorEastAsia" w:hint="eastAsia"/>
          <w:sz w:val="24"/>
          <w:szCs w:val="24"/>
        </w:rPr>
        <w:t>供基金</w:t>
      </w:r>
      <w:proofErr w:type="gramEnd"/>
      <w:r>
        <w:rPr>
          <w:rFonts w:asciiTheme="minorEastAsia" w:hAnsiTheme="minorEastAsia" w:hint="eastAsia"/>
          <w:sz w:val="24"/>
          <w:szCs w:val="24"/>
        </w:rPr>
        <w:t>管理人核查托管财产的完整性和真实性，在规定时间内答复基金管理人并改正。</w:t>
      </w:r>
    </w:p>
    <w:p w14:paraId="2E2E59D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（三）基金管理人发现基金托管人有重大违规行为，应及时报告中国证监会，同时通知基金托管人限期纠正，并将纠正结果报告中国证监会。</w:t>
      </w:r>
    </w:p>
    <w:p w14:paraId="43391CC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0111639F" w14:textId="77777777" w:rsidR="00D51FDF" w:rsidRDefault="007F75F6">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13278B2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（一）基金财产保管的原则</w:t>
      </w:r>
    </w:p>
    <w:p w14:paraId="6F11259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1．基金财产应独立于基金管理人、基金托管人的固有财产；</w:t>
      </w:r>
    </w:p>
    <w:p w14:paraId="7FDBE47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2．基金托管人应安全保管基金财产；</w:t>
      </w:r>
    </w:p>
    <w:p w14:paraId="31D879EE"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3．基金托管人按照规定开设基金财产的资金账户、证券账户以及投资所需其他账户；</w:t>
      </w:r>
    </w:p>
    <w:p w14:paraId="58CA6B10"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 xml:space="preserve">4．基金托管人对所托管的不同基金财产分别设置账户，确保基金财产的完整与独立； </w:t>
      </w:r>
    </w:p>
    <w:p w14:paraId="687A2937"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5．基金托管人根据基金管理人的指令，按照基金合同和本协议的约定保管基金财产，如有特殊情况双方可另行协商解决；</w:t>
      </w:r>
    </w:p>
    <w:p w14:paraId="318C0C1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w:t>
      </w:r>
    </w:p>
    <w:p w14:paraId="64B93B9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7．除依据法律法规和基金合同的规定外，基金托管人不得委托第三人托管基金财产。</w:t>
      </w:r>
    </w:p>
    <w:p w14:paraId="312F797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（二）基金募集期间及募集资金的验资</w:t>
      </w:r>
    </w:p>
    <w:p w14:paraId="0553251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1．基金募集期间募集的资金应存于基金管理人在基金托管人的营业机构开立的“基金募集专户”，该账户由基金管理人委托的登记机构开立并管理。</w:t>
      </w:r>
    </w:p>
    <w:p w14:paraId="61C1D36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w:t>
      </w:r>
    </w:p>
    <w:p w14:paraId="63D88C5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3．</w:t>
      </w:r>
      <w:proofErr w:type="gramStart"/>
      <w:r>
        <w:rPr>
          <w:rFonts w:asciiTheme="minorEastAsia" w:hAnsiTheme="minorEastAsia" w:hint="eastAsia"/>
          <w:sz w:val="24"/>
          <w:szCs w:val="24"/>
        </w:rPr>
        <w:t>若基金</w:t>
      </w:r>
      <w:proofErr w:type="gramEnd"/>
      <w:r>
        <w:rPr>
          <w:rFonts w:asciiTheme="minorEastAsia" w:hAnsiTheme="minorEastAsia" w:hint="eastAsia"/>
          <w:sz w:val="24"/>
          <w:szCs w:val="24"/>
        </w:rPr>
        <w:t>募集期限届满，未能达到基金合同生效的条件，由基金管理人按规定办理退款等事宜。</w:t>
      </w:r>
    </w:p>
    <w:p w14:paraId="058C7844" w14:textId="77777777" w:rsidR="00D51FDF" w:rsidRDefault="007F75F6">
      <w:pPr>
        <w:spacing w:line="360" w:lineRule="auto"/>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（三）</w:t>
      </w:r>
      <w:r>
        <w:rPr>
          <w:rFonts w:asciiTheme="minorEastAsia" w:hAnsiTheme="minorEastAsia" w:cs="宋体" w:hint="eastAsia"/>
          <w:sz w:val="24"/>
          <w:szCs w:val="24"/>
          <w:shd w:val="clear" w:color="auto" w:fill="FFFFFF"/>
        </w:rPr>
        <w:t>基金托管专户</w:t>
      </w:r>
      <w:r>
        <w:rPr>
          <w:rFonts w:asciiTheme="minorEastAsia" w:hAnsiTheme="minorEastAsia" w:hint="eastAsia"/>
          <w:sz w:val="24"/>
          <w:szCs w:val="24"/>
          <w:shd w:val="clear" w:color="auto" w:fill="FFFFFF"/>
        </w:rPr>
        <w:t>的开立和管理</w:t>
      </w:r>
    </w:p>
    <w:p w14:paraId="78EE84F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基金托管专户的名称：富荣价值精选</w:t>
      </w:r>
      <w:r>
        <w:rPr>
          <w:rFonts w:asciiTheme="minorEastAsia" w:hAnsiTheme="minorEastAsia"/>
          <w:sz w:val="24"/>
          <w:szCs w:val="24"/>
        </w:rPr>
        <w:t>灵活配置混合型</w:t>
      </w:r>
      <w:r>
        <w:rPr>
          <w:rFonts w:asciiTheme="minorEastAsia" w:hAnsiTheme="minorEastAsia" w:hint="eastAsia"/>
          <w:sz w:val="24"/>
          <w:szCs w:val="24"/>
        </w:rPr>
        <w:t>发起式证券投资基金</w:t>
      </w:r>
    </w:p>
    <w:p w14:paraId="716F1340"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托管账户开户行：中国光大银行深圳分行营业部</w:t>
      </w:r>
    </w:p>
    <w:p w14:paraId="4D42684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基金托管人以本基金的名义在其营业机构开设基金托管专户，保管基金的银行存款。本基金的一切货币收支活动，包括但不限于投资、支付赎回金额、支付基金收益、收取申购款，均需通过基金托管专户进行。</w:t>
      </w:r>
    </w:p>
    <w:p w14:paraId="07A7202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2．基金托管专户的开立和使用，限于满足开展本基金业务的需要。基金托管人和基金管理人不得假借本基金的名义开立任何其他银行账户；亦不得使用基</w:t>
      </w:r>
      <w:r>
        <w:rPr>
          <w:rFonts w:asciiTheme="minorEastAsia" w:hAnsiTheme="minorEastAsia" w:hint="eastAsia"/>
          <w:sz w:val="24"/>
          <w:szCs w:val="24"/>
        </w:rPr>
        <w:t>金的任何账户进行本基金业务以外的活动。</w:t>
      </w:r>
    </w:p>
    <w:p w14:paraId="3189EA30"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3．基金托管专户的开立和管理应符合有关法律法规以及银行业监督管理机构的其他有关规定。</w:t>
      </w:r>
    </w:p>
    <w:p w14:paraId="12EA01BE"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（四）基金证券账户和结算备付金账户的开立和管理</w:t>
      </w:r>
    </w:p>
    <w:p w14:paraId="3651826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1．基金托管人在中国证券登记结算有限责任公司上海分公司、深圳分公司为基金开立基金托管人与本基金联名的证券账户。</w:t>
      </w:r>
    </w:p>
    <w:p w14:paraId="7003B17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8BBB6C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3．基金证券账户的开立和证券账户卡的保管由基金托管人负责，账户资产的管理和运用由基金管理人负责。</w:t>
      </w:r>
    </w:p>
    <w:p w14:paraId="345F27F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4．基金托管人以基金托管人的名义在中国证券登记结算有限责任公司开立结算备付金账户，并代表本基金完成与中国证券登记结算有限责任公司的一级法人清算工作，基金管理人应予以积极协助。结算备付金、交收价差资金等的收取按照中国证券登记结算有限责任公司的规定执行。</w:t>
      </w:r>
    </w:p>
    <w:p w14:paraId="418DE3E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5．若中国证监会或其他监管机构在本托管协议订立日之后允许基金从事其他投资品种的投资业务，涉及相关账户的开立、使用的，若无相关规定，</w:t>
      </w:r>
      <w:proofErr w:type="gramStart"/>
      <w:r>
        <w:rPr>
          <w:rFonts w:asciiTheme="minorEastAsia" w:hAnsiTheme="minorEastAsia" w:hint="eastAsia"/>
          <w:sz w:val="24"/>
          <w:szCs w:val="24"/>
        </w:rPr>
        <w:t>则基金</w:t>
      </w:r>
      <w:proofErr w:type="gramEnd"/>
      <w:r>
        <w:rPr>
          <w:rFonts w:asciiTheme="minorEastAsia" w:hAnsiTheme="minorEastAsia" w:hint="eastAsia"/>
          <w:sz w:val="24"/>
          <w:szCs w:val="24"/>
        </w:rPr>
        <w:t>托管人比照上述关于账户开立、使用的规定执行。</w:t>
      </w:r>
    </w:p>
    <w:p w14:paraId="7B6C402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（五）银行间债券托管专户的开设和管理</w:t>
      </w:r>
    </w:p>
    <w:p w14:paraId="02E6C77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账户，并代表基金进行银行间市场债券的结算。基金管理人和基金托管人共同代表本基金签订全国银行间债券市场债券回购主协议，基金托管人保管协议正本，基金管理人保存协议副本。</w:t>
      </w:r>
    </w:p>
    <w:p w14:paraId="6A7F77F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（六）其他账户的开立和管理</w:t>
      </w:r>
    </w:p>
    <w:p w14:paraId="37297CF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在本托管协议签订日之后，本基金被允许从事符合法律法规规定和《基金合</w:t>
      </w:r>
      <w:r>
        <w:rPr>
          <w:rFonts w:asciiTheme="minorEastAsia" w:hAnsiTheme="minorEastAsia" w:hint="eastAsia"/>
          <w:sz w:val="24"/>
          <w:szCs w:val="24"/>
        </w:rPr>
        <w:lastRenderedPageBreak/>
        <w:t>同》约定的其他投资品种的投资业务时，如果涉及相关账户的开设和使用，由基金管理人协助基金托管人根据有关法律法规的规定和《基金合同》的约定，开立有关账户。该账户按有关规则使用并管理。</w:t>
      </w:r>
    </w:p>
    <w:p w14:paraId="4DAB2E5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（七）基金财产投资的有关有价凭证等的保管</w:t>
      </w:r>
    </w:p>
    <w:p w14:paraId="3B1CFAE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基金财产投资的有关实物证券等有价凭证由基金托管人存放于基金托管人的保管库，也可存入中央国债登记结算有限责任公司、中国证券登记结算有限责任公司上海分公司</w:t>
      </w:r>
      <w:r>
        <w:rPr>
          <w:rFonts w:asciiTheme="minorEastAsia" w:hAnsiTheme="minorEastAsia"/>
          <w:sz w:val="24"/>
          <w:szCs w:val="24"/>
        </w:rPr>
        <w:t>/深圳分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61D20DB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（八）与基金财产有关的重大合同的保管</w:t>
      </w:r>
    </w:p>
    <w:p w14:paraId="5265F0B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w:t>
      </w:r>
      <w:r>
        <w:rPr>
          <w:rFonts w:asciiTheme="minorEastAsia" w:hAnsiTheme="minorEastAsia"/>
          <w:sz w:val="24"/>
          <w:szCs w:val="24"/>
        </w:rPr>
        <w:t>30个工作日内将正本送达基金托管人处。重大合同的保管期限为基金合同终止后15年。</w:t>
      </w:r>
    </w:p>
    <w:p w14:paraId="2BD15DC6" w14:textId="77777777" w:rsidR="00D51FDF" w:rsidRDefault="007F75F6">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1A0749FA"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24ADB58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1．基金资产净值</w:t>
      </w:r>
    </w:p>
    <w:p w14:paraId="37195D8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基金资产净值是指基金资产总值减去负债后的价值。</w:t>
      </w:r>
    </w:p>
    <w:p w14:paraId="6326A078"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rPr>
        <w:t>各类基金份额净值是按照每个工作日闭市后，该类基金资产净值除以当日该类基金份额的余额数量计算，精确到</w:t>
      </w:r>
      <w:r>
        <w:rPr>
          <w:rFonts w:asciiTheme="minorEastAsia" w:hAnsiTheme="minorEastAsia"/>
          <w:bCs/>
          <w:sz w:val="24"/>
          <w:szCs w:val="20"/>
        </w:rPr>
        <w:t>0.0001</w:t>
      </w:r>
      <w:r>
        <w:rPr>
          <w:rFonts w:asciiTheme="minorEastAsia" w:hAnsiTheme="minorEastAsia" w:hint="eastAsia"/>
          <w:sz w:val="24"/>
        </w:rPr>
        <w:t>元，小数点后第</w:t>
      </w:r>
      <w:r>
        <w:rPr>
          <w:rFonts w:asciiTheme="minorEastAsia" w:hAnsiTheme="minorEastAsia"/>
          <w:bCs/>
          <w:sz w:val="24"/>
          <w:szCs w:val="20"/>
        </w:rPr>
        <w:t>5</w:t>
      </w:r>
      <w:r>
        <w:rPr>
          <w:rFonts w:asciiTheme="minorEastAsia" w:hAnsiTheme="minorEastAsia" w:hint="eastAsia"/>
          <w:sz w:val="24"/>
        </w:rPr>
        <w:t>位四舍五入。国家另有规定的，从其规定</w:t>
      </w:r>
      <w:r>
        <w:rPr>
          <w:rFonts w:asciiTheme="minorEastAsia" w:hAnsiTheme="minorEastAsia" w:hint="eastAsia"/>
          <w:sz w:val="24"/>
          <w:szCs w:val="24"/>
        </w:rPr>
        <w:t>。</w:t>
      </w:r>
    </w:p>
    <w:p w14:paraId="5BE708E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基金管理人每个工作日计算基金资产净值及各类基金份额净值，经基金托管人复核，按规定公告。</w:t>
      </w:r>
      <w:r>
        <w:rPr>
          <w:rFonts w:asciiTheme="minorEastAsia" w:hAnsiTheme="minorEastAsia"/>
          <w:bCs/>
          <w:sz w:val="24"/>
          <w:szCs w:val="24"/>
        </w:rPr>
        <w:t>但基金管理人根据法律法规或基金合同的规定暂停估值时除外</w:t>
      </w:r>
      <w:r>
        <w:rPr>
          <w:rFonts w:asciiTheme="minorEastAsia" w:hAnsiTheme="minorEastAsia" w:hint="eastAsia"/>
          <w:bCs/>
          <w:sz w:val="24"/>
          <w:szCs w:val="24"/>
        </w:rPr>
        <w:t>。</w:t>
      </w:r>
    </w:p>
    <w:p w14:paraId="494DD35F"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2．复核程序</w:t>
      </w:r>
    </w:p>
    <w:p w14:paraId="49B2BF99"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基金管理人每工作日对基金资产进行估值后，将两类基金份额净值结果发送基金托管人，经基金托管人复核无误后，由基金管理人</w:t>
      </w:r>
      <w:r>
        <w:rPr>
          <w:rFonts w:asciiTheme="minorEastAsia" w:hAnsiTheme="minorEastAsia" w:hint="eastAsia"/>
          <w:bCs/>
          <w:sz w:val="24"/>
        </w:rPr>
        <w:t>按规定</w:t>
      </w:r>
      <w:r>
        <w:rPr>
          <w:rFonts w:asciiTheme="minorEastAsia" w:hAnsiTheme="minorEastAsia" w:hint="eastAsia"/>
          <w:sz w:val="24"/>
          <w:szCs w:val="24"/>
        </w:rPr>
        <w:t>对外公布。</w:t>
      </w:r>
    </w:p>
    <w:p w14:paraId="696D337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（二）基金资产估值方法和特殊情形的处理</w:t>
      </w:r>
    </w:p>
    <w:p w14:paraId="1D5D134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1．估值对象</w:t>
      </w:r>
    </w:p>
    <w:p w14:paraId="16B8A472" w14:textId="77777777"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基金所拥有的股票、</w:t>
      </w:r>
      <w:r>
        <w:rPr>
          <w:rFonts w:hint="eastAsia"/>
          <w:bCs/>
          <w:sz w:val="24"/>
        </w:rPr>
        <w:t>存托凭证、</w:t>
      </w:r>
      <w:r>
        <w:rPr>
          <w:rFonts w:asciiTheme="minorEastAsia" w:hAnsiTheme="minorEastAsia" w:hint="eastAsia"/>
          <w:bCs/>
          <w:sz w:val="24"/>
        </w:rPr>
        <w:t>股指期货合约、国债期货合约、股票期权合约、权证、债券和银行存款本息、应收款项、其它投资等资产及负债。</w:t>
      </w:r>
    </w:p>
    <w:p w14:paraId="4489583F"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2．估值方法</w:t>
      </w:r>
    </w:p>
    <w:p w14:paraId="640B308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C512AA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2）交易所市场交易的固定收益品种的估值</w:t>
      </w:r>
    </w:p>
    <w:p w14:paraId="70DEBF7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1）对在交易所市场上市交易或挂牌转让的固定收益品种，选取第三方估值机构提供的相应品种当日的估值净价进行估值；</w:t>
      </w:r>
    </w:p>
    <w:p w14:paraId="2C64B7F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2）对在交易所市场上市交易的可转换债券，按估值日收盘价减去可转换债券收盘价中所含债券应收利息后得到的净价进行估值；</w:t>
      </w:r>
      <w:r>
        <w:rPr>
          <w:rFonts w:asciiTheme="minorEastAsia" w:hAnsiTheme="minorEastAsia" w:cs="宋体" w:hint="eastAsia"/>
          <w:color w:val="000000"/>
          <w:sz w:val="24"/>
          <w:szCs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EF22FF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3）对在交易所市场挂牌转让的资产支持证券，采用估值技术确定公允价值，在估值技术难以可靠计量公允价值的情况下，按成本估值；</w:t>
      </w:r>
    </w:p>
    <w:p w14:paraId="1C26B0CF"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4）对在交易所市场发行未上市或未挂牌转让的固定收益品种，采用估值技术确定公允价值，在估值技术难以可靠计量公允价值的情况下，按成本估值。</w:t>
      </w:r>
    </w:p>
    <w:p w14:paraId="1359B0C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3）银行间市场交易的固定收益品种的估值</w:t>
      </w:r>
    </w:p>
    <w:p w14:paraId="72DF388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1）银行间市场交易的固定收益品种，选取第三方估值机构提供的相应品种</w:t>
      </w:r>
      <w:r>
        <w:rPr>
          <w:rFonts w:asciiTheme="minorEastAsia" w:hAnsiTheme="minorEastAsia"/>
          <w:sz w:val="24"/>
          <w:szCs w:val="24"/>
        </w:rPr>
        <w:lastRenderedPageBreak/>
        <w:t>当日的估值净价进行估值。</w:t>
      </w:r>
    </w:p>
    <w:p w14:paraId="788961E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2）对银行间市场未上市，且第三方估值机构未提供估值价格的固定收益品</w:t>
      </w:r>
      <w:r>
        <w:rPr>
          <w:rFonts w:asciiTheme="minorEastAsia" w:hAnsiTheme="minorEastAsia" w:hint="eastAsia"/>
          <w:sz w:val="24"/>
          <w:szCs w:val="24"/>
        </w:rPr>
        <w:t>种，按成本估值。</w:t>
      </w:r>
    </w:p>
    <w:p w14:paraId="497D84F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4）处于未上市期间的有价证券应区分如下情况处理：</w:t>
      </w:r>
    </w:p>
    <w:p w14:paraId="6F625AB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1）送股、转增股、配股和公开增发的新股，按估值日在证券交易所挂牌的同一股票的估值方法估值；该日无交易的，以最近一日的市价（收盘价）估值；</w:t>
      </w:r>
    </w:p>
    <w:p w14:paraId="2B3FACD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2）首次公开发行未上市的股票、债券和权证，采用估值技术确定公允价值，在估值技术难以可靠计量公允价值的情况下，按成本估值；</w:t>
      </w:r>
    </w:p>
    <w:p w14:paraId="44D5DBE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5B6281D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5）同一债券同时在两个或两个以上市场交易的，按债券所处的市场分别估值。</w:t>
      </w:r>
    </w:p>
    <w:p w14:paraId="6D1CDDA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6）本基金投资股指期货、国债期货合约，一般以估值当日结算价进行估值，估值当日无结算价的，且最近交易日后经济环境未发生重大变化的，采用最近交易日结算价估值。</w:t>
      </w:r>
    </w:p>
    <w:p w14:paraId="0770AF8F"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7）中小企业私募债券，采用估值技术确定公允价值。在估值技术难以可靠计量公允价值的情况下，按成本估值。</w:t>
      </w:r>
    </w:p>
    <w:p w14:paraId="090BAA8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8）本基金投资股票期权，根据相关法律法规以及监管部门的规定估值。</w:t>
      </w:r>
    </w:p>
    <w:p w14:paraId="1F9A1C58" w14:textId="77777777" w:rsidR="00D51FDF" w:rsidRDefault="007F75F6">
      <w:pPr>
        <w:spacing w:line="360" w:lineRule="auto"/>
        <w:ind w:firstLineChars="200" w:firstLine="480"/>
        <w:rPr>
          <w:rFonts w:ascii="宋体" w:hAnsi="宋体"/>
          <w:sz w:val="24"/>
          <w:szCs w:val="24"/>
        </w:rPr>
      </w:pPr>
      <w:r>
        <w:rPr>
          <w:rFonts w:asciiTheme="minorEastAsia" w:hAnsiTheme="minorEastAsia" w:hint="eastAsia"/>
          <w:sz w:val="24"/>
          <w:szCs w:val="24"/>
        </w:rPr>
        <w:t>（</w:t>
      </w:r>
      <w:r>
        <w:rPr>
          <w:rFonts w:asciiTheme="minorEastAsia" w:hAnsiTheme="minorEastAsia"/>
          <w:sz w:val="24"/>
          <w:szCs w:val="24"/>
        </w:rPr>
        <w:t>9）</w:t>
      </w:r>
      <w:r>
        <w:rPr>
          <w:rFonts w:ascii="宋体" w:hAnsi="宋体" w:hint="eastAsia"/>
          <w:sz w:val="24"/>
          <w:szCs w:val="24"/>
        </w:rPr>
        <w:t>本基金投资存托凭证的估值核算，依照境内上市交易的股票执行。</w:t>
      </w:r>
    </w:p>
    <w:p w14:paraId="763E15E3" w14:textId="77777777" w:rsidR="00D51FDF" w:rsidRDefault="007F75F6">
      <w:pPr>
        <w:spacing w:line="360" w:lineRule="auto"/>
        <w:ind w:firstLineChars="200" w:firstLine="480"/>
        <w:rPr>
          <w:rFonts w:asciiTheme="minorEastAsia" w:hAnsiTheme="minorEastAsia"/>
          <w:sz w:val="24"/>
          <w:szCs w:val="24"/>
        </w:rPr>
      </w:pPr>
      <w:r>
        <w:rPr>
          <w:rFonts w:ascii="宋体" w:hAnsi="宋体" w:hint="eastAsia"/>
          <w:sz w:val="24"/>
          <w:szCs w:val="24"/>
        </w:rPr>
        <w:t>（10）</w:t>
      </w:r>
      <w:r>
        <w:rPr>
          <w:rFonts w:asciiTheme="minorEastAsia" w:hAnsiTheme="minorEastAsia"/>
          <w:sz w:val="24"/>
          <w:szCs w:val="24"/>
        </w:rPr>
        <w:t>如有确凿证据表明按上述方法进行估值不能客观反映其公允价值的，基金管理人可根据具体情况与基金托管人商定后，按最能反映公允价值的价格估值。</w:t>
      </w:r>
    </w:p>
    <w:p w14:paraId="46DA8EF7" w14:textId="30AE66B0"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（11）当本基金发生大额申购或赎回情形时，基金管理人可以对本基金采用摆动定价机制，以确保基金估值的公平性。</w:t>
      </w:r>
    </w:p>
    <w:p w14:paraId="49AB69FA" w14:textId="2DA64861" w:rsidR="00D51FDF" w:rsidRDefault="007F75F6">
      <w:pPr>
        <w:autoSpaceDE w:val="0"/>
        <w:autoSpaceDN w:val="0"/>
        <w:spacing w:line="360" w:lineRule="auto"/>
        <w:ind w:firstLineChars="200" w:firstLine="480"/>
        <w:textAlignment w:val="bottom"/>
        <w:rPr>
          <w:rFonts w:asciiTheme="minorEastAsia" w:hAnsiTheme="minorEastAsia"/>
          <w:bCs/>
          <w:sz w:val="24"/>
        </w:rPr>
      </w:pPr>
      <w:r>
        <w:rPr>
          <w:rFonts w:asciiTheme="minorEastAsia" w:hAnsiTheme="minorEastAsia" w:hint="eastAsia"/>
          <w:bCs/>
          <w:sz w:val="24"/>
        </w:rPr>
        <w:t>（12）相关法律法规以及监管部门有强制规定的，从其规定。如有新增事项，按国家最新规定估值。</w:t>
      </w:r>
    </w:p>
    <w:p w14:paraId="500D8A44"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hint="eastAsia"/>
          <w:sz w:val="24"/>
        </w:rPr>
        <w:t>如基金管理人或基金托管人发现基金估值违反基金合同订明的估值方法、程序及相关法律法规的规定或者未能充分维护基金份额持有人利益时，应立即通知</w:t>
      </w:r>
      <w:r>
        <w:rPr>
          <w:rFonts w:asciiTheme="minorEastAsia" w:hAnsiTheme="minorEastAsia" w:hint="eastAsia"/>
          <w:sz w:val="24"/>
        </w:rPr>
        <w:lastRenderedPageBreak/>
        <w:t>对方，共同查明原因，双方协商解决。</w:t>
      </w:r>
    </w:p>
    <w:p w14:paraId="327E228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BFE7380" w14:textId="77777777" w:rsidR="00D51FDF" w:rsidRDefault="007F75F6">
      <w:pPr>
        <w:tabs>
          <w:tab w:val="left" w:pos="3375"/>
          <w:tab w:val="left" w:pos="4920"/>
        </w:tabs>
        <w:spacing w:line="360" w:lineRule="auto"/>
        <w:ind w:firstLineChars="200" w:firstLine="480"/>
        <w:rPr>
          <w:rFonts w:asciiTheme="minorEastAsia" w:hAnsiTheme="minorEastAsia"/>
          <w:sz w:val="24"/>
          <w:szCs w:val="24"/>
        </w:rPr>
      </w:pPr>
      <w:r>
        <w:rPr>
          <w:rFonts w:asciiTheme="minorEastAsia" w:hAnsiTheme="minorEastAsia"/>
          <w:sz w:val="24"/>
          <w:szCs w:val="24"/>
        </w:rPr>
        <w:t>3．特殊情形的处理</w:t>
      </w:r>
      <w:r>
        <w:rPr>
          <w:rFonts w:asciiTheme="minorEastAsia" w:hAnsiTheme="minorEastAsia"/>
          <w:sz w:val="24"/>
          <w:szCs w:val="24"/>
        </w:rPr>
        <w:tab/>
      </w:r>
      <w:r>
        <w:rPr>
          <w:rFonts w:asciiTheme="minorEastAsia" w:hAnsiTheme="minorEastAsia"/>
          <w:sz w:val="24"/>
          <w:szCs w:val="24"/>
        </w:rPr>
        <w:tab/>
      </w:r>
    </w:p>
    <w:p w14:paraId="5BA1B7A9" w14:textId="5F336DEE" w:rsidR="00D51FDF" w:rsidRDefault="007F75F6">
      <w:pPr>
        <w:spacing w:line="360" w:lineRule="auto"/>
        <w:ind w:firstLineChars="200" w:firstLine="480"/>
        <w:rPr>
          <w:rFonts w:asciiTheme="minorEastAsia" w:hAnsiTheme="minorEastAsia"/>
          <w:bCs/>
          <w:sz w:val="24"/>
          <w:szCs w:val="20"/>
        </w:rPr>
      </w:pPr>
      <w:r>
        <w:rPr>
          <w:rFonts w:asciiTheme="minorEastAsia" w:hAnsiTheme="minorEastAsia" w:hint="eastAsia"/>
          <w:sz w:val="24"/>
          <w:szCs w:val="24"/>
        </w:rPr>
        <w:t>基金管理人、基金托管人</w:t>
      </w:r>
      <w:r>
        <w:rPr>
          <w:rFonts w:asciiTheme="minorEastAsia" w:hAnsiTheme="minorEastAsia" w:hint="eastAsia"/>
          <w:bCs/>
          <w:sz w:val="24"/>
          <w:szCs w:val="20"/>
        </w:rPr>
        <w:t>按估值方法的第（10）项条款进行估值时，所造成的误差不作为基金资产估值错误处理。</w:t>
      </w:r>
    </w:p>
    <w:p w14:paraId="660FB724" w14:textId="77777777" w:rsidR="00D51FDF" w:rsidRDefault="007F75F6">
      <w:pPr>
        <w:spacing w:line="360" w:lineRule="auto"/>
        <w:ind w:firstLineChars="200" w:firstLine="480"/>
        <w:rPr>
          <w:rFonts w:asciiTheme="minorEastAsia" w:hAnsiTheme="minorEastAsia"/>
          <w:bCs/>
          <w:sz w:val="24"/>
          <w:szCs w:val="20"/>
        </w:rPr>
      </w:pPr>
      <w:r>
        <w:rPr>
          <w:rFonts w:asciiTheme="minorEastAsia" w:hAnsiTheme="minorEastAsia" w:hint="eastAsia"/>
          <w:bCs/>
          <w:sz w:val="24"/>
          <w:szCs w:val="20"/>
        </w:rPr>
        <w:t>由于不可抗力原因，或由于证券交易所、登记结算公司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03F1DDB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（三）基金份额净值错误的处理方式</w:t>
      </w:r>
    </w:p>
    <w:p w14:paraId="70D44039"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1．当基金份额净值小数点后4</w:t>
      </w:r>
      <w:r>
        <w:rPr>
          <w:rFonts w:asciiTheme="minorEastAsia" w:hAnsiTheme="minorEastAsia" w:hint="eastAsia"/>
          <w:sz w:val="24"/>
          <w:szCs w:val="24"/>
        </w:rPr>
        <w:t>位以内（含第</w:t>
      </w:r>
      <w:r>
        <w:rPr>
          <w:rFonts w:asciiTheme="minorEastAsia" w:hAnsiTheme="minorEastAsia"/>
          <w:sz w:val="24"/>
          <w:szCs w:val="24"/>
        </w:rPr>
        <w:t>4</w:t>
      </w:r>
      <w:r>
        <w:rPr>
          <w:rFonts w:asciiTheme="minorEastAsia" w:hAnsiTheme="minorEastAsia" w:hint="eastAsia"/>
          <w:sz w:val="24"/>
          <w:szCs w:val="24"/>
        </w:rPr>
        <w:t>位）发生差错时，视为基金份额净值错误；基金份额净值出现错误时，基金管理人应当立即予以纠正，通报基金托管人，并采取合理的措施防止损失进一步扩大；错误偏差达到基金份额净值的</w:t>
      </w:r>
      <w:r>
        <w:rPr>
          <w:rFonts w:asciiTheme="minorEastAsia" w:hAnsiTheme="minorEastAsia"/>
          <w:sz w:val="24"/>
          <w:szCs w:val="24"/>
        </w:rPr>
        <w:t>0.25%时，基金管理人应当通报基金托管人并报中国证监会备案；错误偏差达到基金份额净值的0.50%时，基金管理人应当公告。</w:t>
      </w:r>
    </w:p>
    <w:p w14:paraId="19B0BD20"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 xml:space="preserve">2. </w:t>
      </w:r>
      <w:r>
        <w:rPr>
          <w:rFonts w:asciiTheme="minorEastAsia" w:hAnsiTheme="minorEastAsia" w:hint="eastAsia"/>
          <w:bCs/>
          <w:sz w:val="24"/>
        </w:rPr>
        <w:t>当基金份额净值计算差错给基金和基金份额持有人造成损失需要进行赔偿时，基金管理人和基金托管人应根据实际情况界定双方承担的责任，经确认后按以下条款进行赔偿：</w:t>
      </w:r>
    </w:p>
    <w:p w14:paraId="2C543630"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1）</w:t>
      </w:r>
      <w:r>
        <w:rPr>
          <w:rFonts w:asciiTheme="minorEastAsia" w:hAnsiTheme="minorEastAsia" w:hint="eastAsia"/>
          <w:bCs/>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基金托管人不承担赔偿责任。</w:t>
      </w:r>
    </w:p>
    <w:p w14:paraId="35AFA6CE" w14:textId="77777777" w:rsidR="00D51FDF" w:rsidRDefault="007F75F6">
      <w:pPr>
        <w:spacing w:line="360" w:lineRule="auto"/>
        <w:ind w:right="28" w:firstLineChars="200" w:firstLine="480"/>
        <w:rPr>
          <w:rFonts w:asciiTheme="minorEastAsia" w:hAnsiTheme="minorEastAsia"/>
          <w:sz w:val="24"/>
          <w:szCs w:val="24"/>
        </w:rPr>
      </w:pPr>
      <w:r>
        <w:rPr>
          <w:rFonts w:asciiTheme="minorEastAsia" w:hAnsiTheme="minorEastAsia" w:hint="eastAsia"/>
          <w:bCs/>
          <w:sz w:val="24"/>
        </w:rPr>
        <w:t>（</w:t>
      </w:r>
      <w:r>
        <w:rPr>
          <w:rFonts w:asciiTheme="minorEastAsia" w:hAnsiTheme="minorEastAsia"/>
          <w:bCs/>
          <w:sz w:val="24"/>
        </w:rPr>
        <w:t>2）</w:t>
      </w:r>
      <w:proofErr w:type="gramStart"/>
      <w:r>
        <w:rPr>
          <w:rFonts w:asciiTheme="minorEastAsia" w:hAnsiTheme="minorEastAsia" w:hint="eastAsia"/>
          <w:bCs/>
          <w:sz w:val="24"/>
        </w:rPr>
        <w:t>若基金</w:t>
      </w:r>
      <w:proofErr w:type="gramEnd"/>
      <w:r>
        <w:rPr>
          <w:rFonts w:asciiTheme="minorEastAsia" w:hAnsiTheme="minorEastAsia"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w:t>
      </w:r>
      <w:r>
        <w:rPr>
          <w:rFonts w:asciiTheme="minorEastAsia" w:hAnsiTheme="minorEastAsia" w:hint="eastAsia"/>
          <w:bCs/>
          <w:sz w:val="24"/>
        </w:rPr>
        <w:lastRenderedPageBreak/>
        <w:t>按照过错程度各自承担相应的责任，</w:t>
      </w:r>
      <w:r>
        <w:rPr>
          <w:rFonts w:asciiTheme="minorEastAsia" w:hAnsiTheme="minorEastAsia" w:hint="eastAsia"/>
          <w:sz w:val="24"/>
        </w:rPr>
        <w:t>基金管理人和基金托管人有权向获得不当得利之主体主张返还不当得利。</w:t>
      </w:r>
    </w:p>
    <w:p w14:paraId="2E9EFEBC"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3）</w:t>
      </w:r>
      <w:r>
        <w:rPr>
          <w:rFonts w:asciiTheme="minorEastAsia" w:hAnsiTheme="minorEastAsia" w:hint="eastAsia"/>
          <w:bCs/>
          <w:sz w:val="24"/>
        </w:rPr>
        <w:t>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基金托管人不承担赔偿责任。</w:t>
      </w:r>
    </w:p>
    <w:p w14:paraId="249F3A3B"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hint="eastAsia"/>
          <w:bCs/>
          <w:sz w:val="24"/>
        </w:rPr>
        <w:t>（</w:t>
      </w:r>
      <w:r>
        <w:rPr>
          <w:rFonts w:asciiTheme="minorEastAsia" w:hAnsiTheme="minorEastAsia"/>
          <w:bCs/>
          <w:sz w:val="24"/>
        </w:rPr>
        <w:t>4）</w:t>
      </w:r>
      <w:r>
        <w:rPr>
          <w:rFonts w:asciiTheme="minorEastAsia" w:hAnsiTheme="minorEastAsia" w:hint="eastAsia"/>
          <w:bCs/>
          <w:sz w:val="24"/>
        </w:rPr>
        <w:t>由于基金管理人提供的信息错误（包括但不限于基金申购或赎回金额等），进而导致基金份额净值计算错误而引起的基金份额持有人和基金财产的损失，由基金管理人负责赔付，基金托管人不承担赔偿责任。</w:t>
      </w:r>
    </w:p>
    <w:p w14:paraId="0B89AB4D"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sz w:val="24"/>
          <w:szCs w:val="24"/>
        </w:rPr>
        <w:t>3.</w:t>
      </w:r>
      <w:r>
        <w:rPr>
          <w:rFonts w:asciiTheme="minorEastAsia" w:hAnsiTheme="minorEastAsia" w:hint="eastAsia"/>
          <w:bCs/>
          <w:sz w:val="24"/>
        </w:rPr>
        <w:t>基金管理人和基金托管人由于各自技术系统设置而产生的净值计算尾差，以基金管理人计算结果为准。</w:t>
      </w:r>
    </w:p>
    <w:p w14:paraId="3B7D4F7D"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sz w:val="24"/>
          <w:szCs w:val="24"/>
        </w:rPr>
        <w:t>4.</w:t>
      </w:r>
      <w:r>
        <w:rPr>
          <w:rFonts w:asciiTheme="minorEastAsia" w:hAnsiTheme="minorEastAsia" w:hint="eastAsia"/>
          <w:sz w:val="24"/>
        </w:rPr>
        <w:t>前述内容如法律法规</w:t>
      </w:r>
      <w:r>
        <w:rPr>
          <w:rFonts w:asciiTheme="minorEastAsia" w:hAnsiTheme="minorEastAsia" w:hint="eastAsia"/>
          <w:bCs/>
          <w:sz w:val="24"/>
          <w:szCs w:val="20"/>
        </w:rPr>
        <w:t>或</w:t>
      </w:r>
      <w:r>
        <w:rPr>
          <w:rFonts w:asciiTheme="minorEastAsia" w:hAnsiTheme="minorEastAsia" w:hint="eastAsia"/>
          <w:sz w:val="24"/>
        </w:rPr>
        <w:t>监管</w:t>
      </w:r>
      <w:r>
        <w:rPr>
          <w:rFonts w:asciiTheme="minorEastAsia" w:hAnsiTheme="minorEastAsia" w:hint="eastAsia"/>
          <w:bCs/>
          <w:sz w:val="24"/>
          <w:szCs w:val="20"/>
        </w:rPr>
        <w:t>机关</w:t>
      </w:r>
      <w:r>
        <w:rPr>
          <w:rFonts w:asciiTheme="minorEastAsia" w:hAnsiTheme="minorEastAsia" w:hint="eastAsia"/>
          <w:sz w:val="24"/>
        </w:rPr>
        <w:t>另有规定的，从其规定</w:t>
      </w:r>
      <w:r>
        <w:rPr>
          <w:rFonts w:asciiTheme="minorEastAsia" w:hAnsiTheme="minorEastAsia" w:hint="eastAsia"/>
          <w:bCs/>
          <w:sz w:val="24"/>
          <w:szCs w:val="20"/>
        </w:rPr>
        <w:t>处理</w:t>
      </w:r>
      <w:r>
        <w:rPr>
          <w:rFonts w:asciiTheme="minorEastAsia" w:hAnsiTheme="minorEastAsia" w:hint="eastAsia"/>
          <w:sz w:val="24"/>
        </w:rPr>
        <w:t>。</w:t>
      </w:r>
      <w:r>
        <w:rPr>
          <w:rFonts w:asciiTheme="minorEastAsia" w:hAnsiTheme="minorEastAsia" w:hint="eastAsia"/>
          <w:bCs/>
          <w:sz w:val="24"/>
        </w:rPr>
        <w:t>如果行业另有通行做法，双方当事人应本着平等和保护基金份额持有人利益的原则进行协商。</w:t>
      </w:r>
    </w:p>
    <w:p w14:paraId="515F2FD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（四）暂停估值的情形</w:t>
      </w:r>
    </w:p>
    <w:p w14:paraId="4BBA7B15"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sz w:val="24"/>
          <w:szCs w:val="24"/>
        </w:rPr>
        <w:t>1.</w:t>
      </w:r>
      <w:r>
        <w:rPr>
          <w:rFonts w:asciiTheme="minorEastAsia" w:hAnsiTheme="minorEastAsia" w:hint="eastAsia"/>
          <w:sz w:val="24"/>
        </w:rPr>
        <w:t>基金投资所涉及的证券、期货交易市场遇法定节假日或因其他原因暂停营业时；</w:t>
      </w:r>
    </w:p>
    <w:p w14:paraId="4C10AEC4"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sz w:val="24"/>
          <w:szCs w:val="24"/>
        </w:rPr>
        <w:t>2.</w:t>
      </w:r>
      <w:r>
        <w:rPr>
          <w:rFonts w:asciiTheme="minorEastAsia" w:hAnsiTheme="minorEastAsia" w:hint="eastAsia"/>
          <w:sz w:val="24"/>
        </w:rPr>
        <w:t>因不可抗力致使基金管理人、基金托管人无法准确评估基金资产价值时；</w:t>
      </w:r>
    </w:p>
    <w:p w14:paraId="370D82C0" w14:textId="77777777" w:rsidR="00D51FDF" w:rsidRDefault="007F75F6">
      <w:pPr>
        <w:spacing w:line="360" w:lineRule="auto"/>
        <w:ind w:firstLineChars="200" w:firstLine="480"/>
        <w:rPr>
          <w:rFonts w:asciiTheme="minorEastAsia" w:hAnsiTheme="minorEastAsia"/>
          <w:sz w:val="24"/>
        </w:rPr>
      </w:pPr>
      <w:r>
        <w:rPr>
          <w:rFonts w:asciiTheme="minorEastAsia" w:hAnsiTheme="minorEastAsia"/>
          <w:sz w:val="24"/>
          <w:szCs w:val="24"/>
        </w:rPr>
        <w:t>3.</w:t>
      </w:r>
      <w:r>
        <w:rPr>
          <w:rFonts w:asciiTheme="minorEastAsia" w:hAnsiTheme="minorEastAsia" w:hint="eastAsia"/>
          <w:sz w:val="24"/>
          <w:szCs w:val="24"/>
        </w:rPr>
        <w:t>法律法规、</w:t>
      </w:r>
      <w:r>
        <w:rPr>
          <w:rFonts w:asciiTheme="minorEastAsia" w:hAnsiTheme="minorEastAsia" w:hint="eastAsia"/>
          <w:sz w:val="24"/>
        </w:rPr>
        <w:t>中国证监会和基金合同认定的其它情形。</w:t>
      </w:r>
    </w:p>
    <w:p w14:paraId="1C5DC8A8"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（五）基金会计制度</w:t>
      </w:r>
    </w:p>
    <w:p w14:paraId="54E7A4C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按国家有关部门规定的会计制度执行。</w:t>
      </w:r>
    </w:p>
    <w:p w14:paraId="55A8642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（六）基金账册的建立</w:t>
      </w:r>
    </w:p>
    <w:p w14:paraId="3816A5B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基金管理人进行基金会计核算并编制基金财务会计报告。基金管理人独立地设置、记录和保管本基金的全套账册。</w:t>
      </w:r>
      <w:proofErr w:type="gramStart"/>
      <w:r>
        <w:rPr>
          <w:rFonts w:asciiTheme="minorEastAsia" w:hAnsiTheme="minorEastAsia" w:hint="eastAsia"/>
          <w:sz w:val="24"/>
          <w:szCs w:val="24"/>
        </w:rPr>
        <w:t>若基金</w:t>
      </w:r>
      <w:proofErr w:type="gramEnd"/>
      <w:r>
        <w:rPr>
          <w:rFonts w:asciiTheme="minorEastAsia" w:hAnsiTheme="minorEastAsia" w:hint="eastAsia"/>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p>
    <w:p w14:paraId="57E0929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（七）基金财务报表与报告的编制和复核</w:t>
      </w:r>
    </w:p>
    <w:p w14:paraId="5D6438F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1．财务报表的编制</w:t>
      </w:r>
    </w:p>
    <w:p w14:paraId="68E9551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基金财务报表由基金管理人编制，基金托管人复核。</w:t>
      </w:r>
    </w:p>
    <w:p w14:paraId="5A71F72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2．报表复核</w:t>
      </w:r>
    </w:p>
    <w:p w14:paraId="6124261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基金托管人在收到基金管理人编制的基金财务报表后，进行独立的复核。核对不符时，应及时通知基金管理人共同查出原因，进行调整，直至双方数据完全一致。</w:t>
      </w:r>
    </w:p>
    <w:p w14:paraId="42D5B7F7"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3．财务报表的编制与复核时间安排</w:t>
      </w:r>
    </w:p>
    <w:p w14:paraId="1BFF4B6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1）报表的编制</w:t>
      </w:r>
    </w:p>
    <w:p w14:paraId="2BFBC179"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基金管理人应当在每月结束后</w:t>
      </w:r>
      <w:r>
        <w:rPr>
          <w:rFonts w:asciiTheme="minorEastAsia" w:hAnsiTheme="minorEastAsia"/>
          <w:sz w:val="24"/>
          <w:szCs w:val="24"/>
        </w:rPr>
        <w:t>5个工作日内完成月度报表的编制；在每个季度结束之日起15个工作日内完成基金季度报告的编制；在上半年结束之日起</w:t>
      </w:r>
      <w:r>
        <w:rPr>
          <w:rFonts w:asciiTheme="minorEastAsia" w:hAnsiTheme="minorEastAsia" w:hint="eastAsia"/>
          <w:sz w:val="24"/>
          <w:szCs w:val="24"/>
        </w:rPr>
        <w:t>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743A14BF"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2）报表的复核</w:t>
      </w:r>
    </w:p>
    <w:p w14:paraId="733AE2C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51A4AF3" w14:textId="77777777" w:rsidR="00D51FDF" w:rsidRDefault="007F75F6">
      <w:pPr>
        <w:adjustRightInd w:val="0"/>
        <w:snapToGrid w:val="0"/>
        <w:spacing w:line="360" w:lineRule="auto"/>
        <w:ind w:firstLineChars="200" w:firstLine="480"/>
        <w:rPr>
          <w:rFonts w:asciiTheme="minorEastAsia" w:hAnsiTheme="minorEastAsia" w:cs="Arial"/>
          <w:b/>
          <w:sz w:val="24"/>
          <w:szCs w:val="24"/>
        </w:rPr>
      </w:pPr>
      <w:r>
        <w:rPr>
          <w:rFonts w:asciiTheme="minorEastAsia" w:hAnsiTheme="minorEastAsia" w:hint="eastAsia"/>
          <w:sz w:val="24"/>
          <w:szCs w:val="24"/>
        </w:rPr>
        <w:t>基金管理人应留足充分的时间，便于基金托管人复核相关报表及报告。</w:t>
      </w:r>
    </w:p>
    <w:p w14:paraId="4CBA2CB6" w14:textId="77777777" w:rsidR="00D51FDF" w:rsidRDefault="007F75F6">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1D52133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基金份额持有人名册至少应包括基金份额持有人的名称和持有的基金份额。基金份额持有人名册由基金登记机构根据基金管理人的指令编制和保管</w:t>
      </w:r>
      <w:r>
        <w:rPr>
          <w:rFonts w:asciiTheme="minorEastAsia" w:hAnsiTheme="minorEastAsia"/>
          <w:sz w:val="24"/>
          <w:szCs w:val="24"/>
        </w:rPr>
        <w:t>.基金管理人应定期向基金托管人提供基金份额持有人名册，</w:t>
      </w:r>
      <w:r>
        <w:rPr>
          <w:rFonts w:asciiTheme="minorEastAsia" w:hAnsiTheme="minorEastAsia" w:cs="Arial" w:hint="eastAsia"/>
          <w:sz w:val="24"/>
          <w:szCs w:val="24"/>
        </w:rPr>
        <w:t>基金托管人得到基金管理人提供的持有人名册后与基金管理人</w:t>
      </w:r>
      <w:r>
        <w:rPr>
          <w:rFonts w:asciiTheme="minorEastAsia" w:hAnsiTheme="minorEastAsia" w:hint="eastAsia"/>
          <w:sz w:val="24"/>
          <w:szCs w:val="24"/>
        </w:rPr>
        <w:t>分别进行保管。保管方式可以采用电子或文档的形式，保存期不少于</w:t>
      </w:r>
      <w:r>
        <w:rPr>
          <w:rFonts w:asciiTheme="minorEastAsia" w:hAnsiTheme="minorEastAsia"/>
          <w:sz w:val="24"/>
          <w:szCs w:val="24"/>
        </w:rPr>
        <w:t>15年。如不能妥善保管，则按相关法规承担责任。</w:t>
      </w:r>
    </w:p>
    <w:p w14:paraId="70B706CE"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388CFC08" w14:textId="77777777" w:rsidR="00D51FDF" w:rsidRDefault="007F75F6">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13AD87A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bCs/>
          <w:sz w:val="24"/>
        </w:rPr>
        <w:t>双方当事人同意，因本协议而产生的或与本协议有关的一切争议，如经友好协商未能解决的，应提交中国国际经济贸易仲裁委员会，按照该会当时有效的仲</w:t>
      </w:r>
      <w:r>
        <w:rPr>
          <w:rFonts w:asciiTheme="minorEastAsia" w:hAnsiTheme="minorEastAsia" w:hint="eastAsia"/>
          <w:bCs/>
          <w:sz w:val="24"/>
        </w:rPr>
        <w:lastRenderedPageBreak/>
        <w:t>裁规则进行仲裁，仲裁的地点为北京市，仲裁裁决是终局的，对仲裁各方当事人均具有约束力。</w:t>
      </w:r>
      <w:r>
        <w:rPr>
          <w:rFonts w:asciiTheme="minorEastAsia" w:hAnsiTheme="minorEastAsia" w:hint="eastAsia"/>
          <w:sz w:val="24"/>
          <w:szCs w:val="24"/>
        </w:rPr>
        <w:t>仲裁费用由败诉方承担，</w:t>
      </w:r>
      <w:r>
        <w:rPr>
          <w:rFonts w:asciiTheme="minorEastAsia" w:hAnsiTheme="minorEastAsia" w:hint="eastAsia"/>
          <w:bCs/>
          <w:sz w:val="24"/>
        </w:rPr>
        <w:t>除非仲裁裁决另有决定</w:t>
      </w:r>
      <w:r>
        <w:rPr>
          <w:rFonts w:asciiTheme="minorEastAsia" w:hAnsiTheme="minorEastAsia" w:hint="eastAsia"/>
          <w:sz w:val="24"/>
          <w:szCs w:val="24"/>
        </w:rPr>
        <w:t>。</w:t>
      </w:r>
    </w:p>
    <w:p w14:paraId="033A468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争议处理期间，双方当事人应恪守基金管理人和基金托管人职责，各自继续忠实、勤勉、尽责地履行基金合同和本托管协议规定的义务，维护基金份额持有人的合法权益。</w:t>
      </w:r>
    </w:p>
    <w:p w14:paraId="6DB12EC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本协议受中国法律管辖。</w:t>
      </w:r>
    </w:p>
    <w:p w14:paraId="415C011A" w14:textId="77777777" w:rsidR="00D51FDF" w:rsidRDefault="007F75F6">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01A3229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（一）托管协议的变更程序</w:t>
      </w:r>
    </w:p>
    <w:p w14:paraId="6A72635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本协议双方当事人经协商一致，可以对协议进行修改。修改后的新协议，其内容不得与基金合同的规定有任何冲突。基金托管协议的变更报中国证监会备案。</w:t>
      </w:r>
    </w:p>
    <w:p w14:paraId="4159660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（二）基金托管协议终止出现的情形</w:t>
      </w:r>
    </w:p>
    <w:p w14:paraId="1DAB2D86"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1．基金合同终止；</w:t>
      </w:r>
    </w:p>
    <w:p w14:paraId="4AFE3C8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2．基金托管人解散、依法被撤销、破产或由其他基金托管人接管基金资产；</w:t>
      </w:r>
    </w:p>
    <w:p w14:paraId="1663FE0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3．基金管理人解散、依法被撤销、破产或由其他基金管理人接管基金管理权；</w:t>
      </w:r>
    </w:p>
    <w:p w14:paraId="15141760"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4．发生法律法规或基金合同规定的终止事项。</w:t>
      </w:r>
    </w:p>
    <w:p w14:paraId="3ED17B64"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（三）基金财产的清算</w:t>
      </w:r>
    </w:p>
    <w:p w14:paraId="05778A0B"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1．基金财产清算</w:t>
      </w:r>
      <w:r>
        <w:rPr>
          <w:rFonts w:asciiTheme="minorEastAsia" w:hAnsiTheme="minorEastAsia" w:hint="eastAsia"/>
          <w:kern w:val="0"/>
          <w:sz w:val="24"/>
        </w:rPr>
        <w:t>小</w:t>
      </w:r>
      <w:r>
        <w:rPr>
          <w:rFonts w:asciiTheme="minorEastAsia" w:hAnsiTheme="minorEastAsia" w:hint="eastAsia"/>
          <w:sz w:val="24"/>
          <w:szCs w:val="24"/>
        </w:rPr>
        <w:t>组</w:t>
      </w:r>
    </w:p>
    <w:p w14:paraId="55F76BE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1）自出现基金合同终止事由之日起30个工作日内成立清算</w:t>
      </w:r>
      <w:r>
        <w:rPr>
          <w:rFonts w:asciiTheme="minorEastAsia" w:hAnsiTheme="minorEastAsia" w:hint="eastAsia"/>
          <w:kern w:val="0"/>
          <w:sz w:val="24"/>
        </w:rPr>
        <w:t>小</w:t>
      </w:r>
      <w:r>
        <w:rPr>
          <w:rFonts w:asciiTheme="minorEastAsia" w:hAnsiTheme="minorEastAsia" w:hint="eastAsia"/>
          <w:sz w:val="24"/>
          <w:szCs w:val="24"/>
        </w:rPr>
        <w:t>组，基金管理人组织基金财产清算</w:t>
      </w:r>
      <w:r>
        <w:rPr>
          <w:rFonts w:asciiTheme="minorEastAsia" w:hAnsiTheme="minorEastAsia" w:hint="eastAsia"/>
          <w:kern w:val="0"/>
          <w:sz w:val="24"/>
        </w:rPr>
        <w:t>小</w:t>
      </w:r>
      <w:r>
        <w:rPr>
          <w:rFonts w:asciiTheme="minorEastAsia" w:hAnsiTheme="minorEastAsia" w:hint="eastAsia"/>
          <w:sz w:val="24"/>
          <w:szCs w:val="24"/>
        </w:rPr>
        <w:t>组在中国证监会的监督下进行基金清算。</w:t>
      </w:r>
    </w:p>
    <w:p w14:paraId="0FF2BD88"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2）基金财产清算</w:t>
      </w:r>
      <w:r>
        <w:rPr>
          <w:rFonts w:asciiTheme="minorEastAsia" w:hAnsiTheme="minorEastAsia" w:hint="eastAsia"/>
          <w:kern w:val="0"/>
          <w:sz w:val="24"/>
        </w:rPr>
        <w:t>小</w:t>
      </w:r>
      <w:r>
        <w:rPr>
          <w:rFonts w:asciiTheme="minorEastAsia" w:hAnsiTheme="minorEastAsia" w:hint="eastAsia"/>
          <w:sz w:val="24"/>
          <w:szCs w:val="24"/>
        </w:rPr>
        <w:t>组成员由基金管理人、基金托管人、具有证券、期货相关业务资格的注册会计师、律师以及中国证监会指定的人员组成。基金财产清算</w:t>
      </w:r>
      <w:r>
        <w:rPr>
          <w:rFonts w:asciiTheme="minorEastAsia" w:hAnsiTheme="minorEastAsia" w:hint="eastAsia"/>
          <w:kern w:val="0"/>
          <w:sz w:val="24"/>
        </w:rPr>
        <w:t>小</w:t>
      </w:r>
      <w:r>
        <w:rPr>
          <w:rFonts w:asciiTheme="minorEastAsia" w:hAnsiTheme="minorEastAsia" w:hint="eastAsia"/>
          <w:sz w:val="24"/>
          <w:szCs w:val="24"/>
        </w:rPr>
        <w:t>组可以聘用必要的工作人员。</w:t>
      </w:r>
    </w:p>
    <w:p w14:paraId="6E5DCA9E"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3）在基金财产清算过程中，基金管理人和基金托管人应各自履行职责，继续忠实、勤勉、尽责地履行基金合同和本托管协议规定的义务，维护基金份额持有人的合法权益。</w:t>
      </w:r>
    </w:p>
    <w:p w14:paraId="1F3302CA"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4）基金财产清算</w:t>
      </w:r>
      <w:r>
        <w:rPr>
          <w:rFonts w:asciiTheme="minorEastAsia" w:hAnsiTheme="minorEastAsia" w:hint="eastAsia"/>
          <w:kern w:val="0"/>
          <w:sz w:val="24"/>
        </w:rPr>
        <w:t>小</w:t>
      </w:r>
      <w:r>
        <w:rPr>
          <w:rFonts w:asciiTheme="minorEastAsia" w:hAnsiTheme="minorEastAsia" w:hint="eastAsia"/>
          <w:sz w:val="24"/>
          <w:szCs w:val="24"/>
        </w:rPr>
        <w:t>组负责基金财产的保管、清理、估价、变现和分配。基金财产清算</w:t>
      </w:r>
      <w:r>
        <w:rPr>
          <w:rFonts w:asciiTheme="minorEastAsia" w:hAnsiTheme="minorEastAsia" w:hint="eastAsia"/>
          <w:kern w:val="0"/>
          <w:sz w:val="24"/>
        </w:rPr>
        <w:t>小</w:t>
      </w:r>
      <w:r>
        <w:rPr>
          <w:rFonts w:asciiTheme="minorEastAsia" w:hAnsiTheme="minorEastAsia" w:hint="eastAsia"/>
          <w:sz w:val="24"/>
          <w:szCs w:val="24"/>
        </w:rPr>
        <w:t>组可以依法进行必要的民事活动。</w:t>
      </w:r>
    </w:p>
    <w:p w14:paraId="02FECEBC"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2．基金财产清算程序</w:t>
      </w:r>
    </w:p>
    <w:p w14:paraId="044DC37D"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bCs/>
          <w:sz w:val="24"/>
        </w:rPr>
        <w:lastRenderedPageBreak/>
        <w:t>（1）《基金合同》终止情形出现时，由基金财产清算小组统一接管基金；</w:t>
      </w:r>
    </w:p>
    <w:p w14:paraId="365146F0"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bCs/>
          <w:sz w:val="24"/>
        </w:rPr>
        <w:t>（2）对基金财产和债权债务进行清理和确认；</w:t>
      </w:r>
    </w:p>
    <w:p w14:paraId="671B3C51"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bCs/>
          <w:sz w:val="24"/>
        </w:rPr>
        <w:t>（3）对基金财产进行估值和变现；</w:t>
      </w:r>
    </w:p>
    <w:p w14:paraId="1AE5E9DC"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bCs/>
          <w:sz w:val="24"/>
        </w:rPr>
        <w:t>（4）制作清算报告；</w:t>
      </w:r>
    </w:p>
    <w:p w14:paraId="01496F1F"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bCs/>
          <w:sz w:val="24"/>
        </w:rPr>
        <w:t>（5）聘请</w:t>
      </w:r>
      <w:r>
        <w:rPr>
          <w:rFonts w:asciiTheme="minorEastAsia" w:hAnsiTheme="minorEastAsia" w:hint="eastAsia"/>
          <w:bCs/>
          <w:sz w:val="24"/>
        </w:rPr>
        <w:t>具有证券、期货相关业务资格的会计师事务所对清算报告进行外部审计，聘请律师事务所对清算报告出具法律意见书；</w:t>
      </w:r>
    </w:p>
    <w:p w14:paraId="7938B5B3"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bCs/>
          <w:sz w:val="24"/>
        </w:rPr>
        <w:t>（6）将清算报告报中国证监会备案并公告</w:t>
      </w:r>
      <w:r>
        <w:rPr>
          <w:rFonts w:asciiTheme="minorEastAsia" w:hAnsiTheme="minorEastAsia" w:hint="eastAsia"/>
          <w:bCs/>
          <w:sz w:val="24"/>
        </w:rPr>
        <w:t>；</w:t>
      </w:r>
    </w:p>
    <w:p w14:paraId="0F9F9223"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bCs/>
          <w:sz w:val="24"/>
        </w:rPr>
        <w:t>（7）对基金</w:t>
      </w:r>
      <w:r>
        <w:rPr>
          <w:rFonts w:asciiTheme="minorEastAsia" w:hAnsiTheme="minorEastAsia" w:hint="eastAsia"/>
          <w:bCs/>
          <w:sz w:val="24"/>
        </w:rPr>
        <w:t>剩余财产进行分配。</w:t>
      </w:r>
    </w:p>
    <w:p w14:paraId="77B5FC56" w14:textId="77777777" w:rsidR="00D51FDF" w:rsidRDefault="007F75F6">
      <w:pPr>
        <w:spacing w:line="360" w:lineRule="auto"/>
        <w:ind w:firstLineChars="200" w:firstLine="480"/>
        <w:rPr>
          <w:rFonts w:asciiTheme="minorEastAsia" w:hAnsiTheme="minorEastAsia"/>
          <w:bCs/>
          <w:sz w:val="24"/>
        </w:rPr>
      </w:pPr>
      <w:r>
        <w:rPr>
          <w:rFonts w:asciiTheme="minorEastAsia" w:hAnsiTheme="minorEastAsia"/>
          <w:sz w:val="24"/>
          <w:szCs w:val="24"/>
        </w:rPr>
        <w:t>3．</w:t>
      </w:r>
      <w:r>
        <w:rPr>
          <w:rFonts w:asciiTheme="minorEastAsia" w:hAnsiTheme="minorEastAsia" w:hint="eastAsia"/>
          <w:bCs/>
          <w:sz w:val="24"/>
        </w:rPr>
        <w:t>基金财产清算的期限为</w:t>
      </w:r>
      <w:r>
        <w:rPr>
          <w:rFonts w:asciiTheme="minorEastAsia" w:hAnsiTheme="minorEastAsia"/>
          <w:bCs/>
          <w:sz w:val="24"/>
        </w:rPr>
        <w:t>6</w:t>
      </w:r>
      <w:r>
        <w:rPr>
          <w:rFonts w:asciiTheme="minorEastAsia" w:hAnsiTheme="minorEastAsia" w:hint="eastAsia"/>
          <w:bCs/>
          <w:sz w:val="24"/>
        </w:rPr>
        <w:t>个月</w:t>
      </w:r>
      <w:r>
        <w:rPr>
          <w:rFonts w:asciiTheme="minorEastAsia" w:hAnsiTheme="minorEastAsia" w:hint="eastAsia"/>
          <w:bCs/>
          <w:sz w:val="24"/>
          <w:szCs w:val="20"/>
        </w:rPr>
        <w:t>，但因本基金所持证券的流动性受到限制而不能及时变现的，清算期限相应顺延</w:t>
      </w:r>
      <w:r>
        <w:rPr>
          <w:rFonts w:asciiTheme="minorEastAsia" w:hAnsiTheme="minorEastAsia" w:hint="eastAsia"/>
          <w:sz w:val="24"/>
        </w:rPr>
        <w:t>。</w:t>
      </w:r>
    </w:p>
    <w:p w14:paraId="1B9E7537"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bCs/>
          <w:sz w:val="24"/>
        </w:rPr>
        <w:t xml:space="preserve">4. </w:t>
      </w:r>
      <w:r>
        <w:rPr>
          <w:rFonts w:asciiTheme="minorEastAsia" w:hAnsiTheme="minorEastAsia" w:hint="eastAsia"/>
          <w:sz w:val="24"/>
          <w:szCs w:val="24"/>
        </w:rPr>
        <w:t>清算费用</w:t>
      </w:r>
    </w:p>
    <w:p w14:paraId="29039021"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清算费用是指基金财产清算</w:t>
      </w:r>
      <w:r>
        <w:rPr>
          <w:rFonts w:asciiTheme="minorEastAsia" w:hAnsiTheme="minorEastAsia" w:hint="eastAsia"/>
          <w:kern w:val="0"/>
          <w:sz w:val="24"/>
        </w:rPr>
        <w:t>小</w:t>
      </w:r>
      <w:r>
        <w:rPr>
          <w:rFonts w:asciiTheme="minorEastAsia" w:hAnsiTheme="minorEastAsia" w:hint="eastAsia"/>
          <w:sz w:val="24"/>
          <w:szCs w:val="24"/>
        </w:rPr>
        <w:t>组在进行基金财产清算过程中发生的所有合理费用，清算费用由基金财产清算</w:t>
      </w:r>
      <w:r>
        <w:rPr>
          <w:rFonts w:asciiTheme="minorEastAsia" w:hAnsiTheme="minorEastAsia" w:hint="eastAsia"/>
          <w:kern w:val="0"/>
          <w:sz w:val="24"/>
        </w:rPr>
        <w:t>小</w:t>
      </w:r>
      <w:r>
        <w:rPr>
          <w:rFonts w:asciiTheme="minorEastAsia" w:hAnsiTheme="minorEastAsia" w:hint="eastAsia"/>
          <w:sz w:val="24"/>
          <w:szCs w:val="24"/>
        </w:rPr>
        <w:t>组优先从基金财产中支付。</w:t>
      </w:r>
    </w:p>
    <w:p w14:paraId="08BD10F7"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5．基金财产按下列顺序清偿：</w:t>
      </w:r>
    </w:p>
    <w:p w14:paraId="58409870"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1）支付清算费用；</w:t>
      </w:r>
    </w:p>
    <w:p w14:paraId="4124F02E"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2）交纳所欠税款；</w:t>
      </w:r>
    </w:p>
    <w:p w14:paraId="411EF957"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3）清偿基金债务；</w:t>
      </w:r>
    </w:p>
    <w:p w14:paraId="5C505645"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4）按基金份额持有人持有的基金份额比例进行分配。</w:t>
      </w:r>
    </w:p>
    <w:p w14:paraId="110A82D7"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基金财产未按前款（</w:t>
      </w:r>
      <w:r>
        <w:rPr>
          <w:rFonts w:asciiTheme="minorEastAsia" w:hAnsiTheme="minorEastAsia"/>
          <w:sz w:val="24"/>
          <w:szCs w:val="24"/>
        </w:rPr>
        <w:t>1）－（3）项规定清偿前，不分配给基金份额持有人。</w:t>
      </w:r>
    </w:p>
    <w:p w14:paraId="5B4A298D"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6．基金财产清算的公告</w:t>
      </w:r>
    </w:p>
    <w:p w14:paraId="4728EFF2" w14:textId="77777777" w:rsidR="00D51FDF" w:rsidRDefault="007F75F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eastAsiaTheme="minorEastAsia" w:hAnsiTheme="minorEastAsia"/>
        </w:rPr>
        <w:t>5</w:t>
      </w:r>
      <w:r>
        <w:rPr>
          <w:rFonts w:asciiTheme="minorEastAsia" w:eastAsiaTheme="minorEastAsia" w:hAnsiTheme="minorEastAsia" w:hint="eastAsia"/>
        </w:rPr>
        <w:t>个工作日内由基金财产清算小组进行公告。</w:t>
      </w:r>
    </w:p>
    <w:p w14:paraId="0889FC1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sz w:val="24"/>
          <w:szCs w:val="24"/>
        </w:rPr>
        <w:t>7．基金财产清算账册及文件的保存</w:t>
      </w:r>
    </w:p>
    <w:p w14:paraId="3097FA42" w14:textId="77777777" w:rsidR="00D51FDF" w:rsidRDefault="007F75F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基金财产清算账册及有关文件由基金托管人保存</w:t>
      </w:r>
      <w:r>
        <w:rPr>
          <w:rFonts w:asciiTheme="minorEastAsia" w:hAnsiTheme="minorEastAsia"/>
          <w:sz w:val="24"/>
          <w:szCs w:val="24"/>
        </w:rPr>
        <w:t>15年以上。</w:t>
      </w:r>
    </w:p>
    <w:p w14:paraId="516886E6" w14:textId="77777777" w:rsidR="00D51FDF" w:rsidRDefault="007F75F6">
      <w:pPr>
        <w:adjustRightInd w:val="0"/>
        <w:snapToGrid w:val="0"/>
        <w:spacing w:line="360" w:lineRule="auto"/>
        <w:ind w:firstLineChars="200" w:firstLine="420"/>
        <w:rPr>
          <w:rFonts w:asciiTheme="minorEastAsia" w:hAnsiTheme="minorEastAsia" w:cs="Times New Roman"/>
          <w:b/>
          <w:color w:val="000000"/>
          <w:kern w:val="0"/>
          <w:sz w:val="24"/>
          <w:szCs w:val="20"/>
        </w:rPr>
      </w:pPr>
      <w:bookmarkStart w:id="404" w:name="_Toc416264555"/>
      <w:bookmarkStart w:id="405" w:name="_Toc12357176"/>
      <w:bookmarkStart w:id="406" w:name="_Toc263092328"/>
      <w:bookmarkStart w:id="407" w:name="_Toc21073396"/>
      <w:bookmarkStart w:id="408" w:name="_Toc147463123"/>
      <w:bookmarkStart w:id="409" w:name="_Toc214873621"/>
      <w:bookmarkStart w:id="410" w:name="_Toc6110"/>
      <w:bookmarkStart w:id="411" w:name="_Toc8636"/>
      <w:bookmarkStart w:id="412" w:name="_Toc123112249"/>
      <w:bookmarkStart w:id="413" w:name="_Toc352229767"/>
      <w:bookmarkStart w:id="414" w:name="_Toc141703902"/>
      <w:bookmarkStart w:id="415" w:name="_Toc6202"/>
      <w:bookmarkStart w:id="416" w:name="_Toc25651"/>
      <w:bookmarkStart w:id="417" w:name="_Toc30350"/>
      <w:bookmarkStart w:id="418" w:name="_Toc3319"/>
      <w:bookmarkStart w:id="419" w:name="_Toc1790"/>
      <w:bookmarkStart w:id="420" w:name="_Toc98560366"/>
      <w:bookmarkStart w:id="421" w:name="_Toc123051467"/>
      <w:bookmarkStart w:id="422" w:name="_Toc139991751"/>
      <w:bookmarkStart w:id="423" w:name="_Toc24923"/>
      <w:bookmarkStart w:id="424" w:name="_Toc23999"/>
      <w:bookmarkStart w:id="425" w:name="_Toc7288"/>
      <w:bookmarkStart w:id="426" w:name="_Toc21983"/>
      <w:bookmarkStart w:id="427" w:name="_Toc123102468"/>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Fonts w:asciiTheme="minorEastAsia" w:hAnsiTheme="minorEastAsia"/>
        </w:rPr>
        <w:br w:type="page"/>
      </w:r>
    </w:p>
    <w:p w14:paraId="320C05FD" w14:textId="77777777" w:rsidR="00D51FDF" w:rsidRDefault="007F75F6">
      <w:pPr>
        <w:pStyle w:val="1"/>
        <w:jc w:val="center"/>
        <w:rPr>
          <w:rFonts w:asciiTheme="minorEastAsia" w:eastAsiaTheme="minorEastAsia" w:hAnsiTheme="minorEastAsia"/>
        </w:rPr>
      </w:pPr>
      <w:bookmarkStart w:id="428" w:name="_Toc2677421"/>
      <w:r>
        <w:rPr>
          <w:rFonts w:asciiTheme="minorEastAsia" w:eastAsiaTheme="minorEastAsia" w:hAnsiTheme="minorEastAsia" w:hint="eastAsia"/>
        </w:rPr>
        <w:lastRenderedPageBreak/>
        <w:t>第二十部分</w:t>
      </w:r>
      <w:r>
        <w:rPr>
          <w:rFonts w:asciiTheme="minorEastAsia" w:eastAsiaTheme="minorEastAsia" w:hAnsiTheme="minorEastAsia"/>
        </w:rPr>
        <w:t xml:space="preserve">  </w:t>
      </w:r>
      <w:r>
        <w:rPr>
          <w:rFonts w:asciiTheme="minorEastAsia" w:eastAsiaTheme="minorEastAsia" w:hAnsiTheme="minorEastAsia" w:hint="eastAsia"/>
        </w:rPr>
        <w:t>对基金份额持有人的服务</w:t>
      </w:r>
      <w:bookmarkEnd w:id="428"/>
    </w:p>
    <w:p w14:paraId="124E8BFC"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6A5D0A8D"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0E6AB26B"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w:t>
      </w:r>
      <w:r>
        <w:rPr>
          <w:rFonts w:asciiTheme="minorEastAsia" w:hAnsiTheme="minorEastAsia" w:cs="Arial"/>
          <w:sz w:val="24"/>
          <w:szCs w:val="24"/>
        </w:rPr>
        <w:t>9:00-11:30，下午13:00-17:00（法定节假日及因此导致的证券交易所休市日除外）。针对非人工服务时间内的电话留言，基金管理人将设有专员进行及时回复。</w:t>
      </w:r>
    </w:p>
    <w:p w14:paraId="2E4B7BA1"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20D29147"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491C16B3"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59FBCEC"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6C1F9926"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13434AD5"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179A82F5"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1D9E9F9D"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95DFCC2"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55B69D8E"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59C72CD2"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w:t>
      </w:r>
      <w:r>
        <w:rPr>
          <w:rFonts w:asciiTheme="minorEastAsia" w:hAnsiTheme="minorEastAsia" w:cs="Arial"/>
          <w:sz w:val="24"/>
          <w:szCs w:val="24"/>
        </w:rPr>
        <w:t xml:space="preserve">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工作日之内对基金投资人的投诉做出回复。</w:t>
      </w:r>
      <w:r>
        <w:rPr>
          <w:rFonts w:asciiTheme="minorEastAsia" w:hAnsiTheme="minorEastAsia" w:cs="Arial" w:hint="eastAsia"/>
          <w:sz w:val="24"/>
          <w:szCs w:val="24"/>
        </w:rPr>
        <w:lastRenderedPageBreak/>
        <w:t>对于非工作日提出的投诉，基金管理人将在顺延到下</w:t>
      </w:r>
      <w:r>
        <w:rPr>
          <w:rFonts w:asciiTheme="minorEastAsia" w:hAnsiTheme="minorEastAsia" w:cs="Arial"/>
          <w:sz w:val="24"/>
          <w:szCs w:val="24"/>
        </w:rPr>
        <w:t xml:space="preserve">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490F6521"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（七）基金管理人联系方式</w:t>
      </w:r>
      <w:r>
        <w:rPr>
          <w:rFonts w:asciiTheme="minorEastAsia" w:hAnsiTheme="minorEastAsia" w:cs="Arial"/>
          <w:sz w:val="24"/>
          <w:szCs w:val="24"/>
        </w:rPr>
        <w:t xml:space="preserve"> </w:t>
      </w:r>
    </w:p>
    <w:p w14:paraId="6EA791F4" w14:textId="77777777" w:rsidR="00D51FDF" w:rsidRDefault="007F75F6">
      <w:pPr>
        <w:adjustRightInd w:val="0"/>
        <w:snapToGrid w:val="0"/>
        <w:spacing w:line="360" w:lineRule="auto"/>
        <w:ind w:firstLineChars="200" w:firstLine="480"/>
        <w:rPr>
          <w:rFonts w:asciiTheme="minorEastAsia" w:hAnsiTheme="minorEastAsia" w:cs="Arial"/>
          <w:sz w:val="24"/>
          <w:szCs w:val="24"/>
        </w:rPr>
      </w:pPr>
      <w:bookmarkStart w:id="429" w:name="_Hlk88640073"/>
      <w:r>
        <w:rPr>
          <w:rFonts w:asciiTheme="minorEastAsia" w:hAnsiTheme="minorEastAsia" w:cs="Arial" w:hint="eastAsia"/>
          <w:sz w:val="24"/>
          <w:szCs w:val="24"/>
        </w:rPr>
        <w:t>公司网址：</w:t>
      </w:r>
      <w:r>
        <w:rPr>
          <w:rFonts w:asciiTheme="minorEastAsia" w:hAnsiTheme="minorEastAsia" w:cs="Arial"/>
          <w:sz w:val="24"/>
          <w:szCs w:val="24"/>
        </w:rPr>
        <w:t xml:space="preserve"> www.furamc.com .</w:t>
      </w:r>
      <w:proofErr w:type="spellStart"/>
      <w:r>
        <w:rPr>
          <w:rFonts w:asciiTheme="minorEastAsia" w:hAnsiTheme="minorEastAsia" w:cs="Arial"/>
          <w:sz w:val="24"/>
          <w:szCs w:val="24"/>
        </w:rPr>
        <w:t>cn</w:t>
      </w:r>
      <w:proofErr w:type="spellEnd"/>
    </w:p>
    <w:p w14:paraId="2D973E38"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w:t>
      </w:r>
      <w:r>
        <w:rPr>
          <w:rFonts w:asciiTheme="minorEastAsia" w:hAnsiTheme="minorEastAsia" w:cs="Arial"/>
          <w:sz w:val="24"/>
          <w:szCs w:val="24"/>
        </w:rPr>
        <w:t>service@furamc.com.cn</w:t>
      </w:r>
    </w:p>
    <w:p w14:paraId="1E3AB87F"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w:t>
      </w:r>
      <w:r>
        <w:rPr>
          <w:rFonts w:asciiTheme="minorEastAsia" w:hAnsiTheme="minorEastAsia" w:cs="Arial"/>
          <w:sz w:val="24"/>
          <w:szCs w:val="24"/>
        </w:rPr>
        <w:t>4006855600</w:t>
      </w:r>
    </w:p>
    <w:p w14:paraId="4DC4A4EC" w14:textId="77777777" w:rsidR="00D51FDF" w:rsidRDefault="007F75F6">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客户服务部门地址：广东省深圳市福田区八卦四路52号安吉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w:t>
      </w:r>
      <w:r>
        <w:rPr>
          <w:rFonts w:asciiTheme="minorEastAsia" w:hAnsiTheme="minorEastAsia" w:cs="Arial"/>
          <w:sz w:val="24"/>
          <w:szCs w:val="24"/>
        </w:rPr>
        <w:t>，富荣基金管理有限公司客户服务部门（收）</w:t>
      </w:r>
    </w:p>
    <w:bookmarkEnd w:id="429"/>
    <w:p w14:paraId="0BF7C1D6" w14:textId="77777777" w:rsidR="00D51FDF" w:rsidRDefault="007F75F6">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w:t>
      </w:r>
      <w:r>
        <w:rPr>
          <w:rFonts w:asciiTheme="minorEastAsia" w:hAnsiTheme="minorEastAsia" w:cs="Arial"/>
          <w:sz w:val="24"/>
          <w:szCs w:val="24"/>
        </w:rPr>
        <w:t>518038</w:t>
      </w:r>
    </w:p>
    <w:p w14:paraId="3AD3E8E3" w14:textId="77777777" w:rsidR="00D51FDF" w:rsidRDefault="007F75F6">
      <w:pPr>
        <w:spacing w:line="360" w:lineRule="auto"/>
        <w:ind w:firstLineChars="200" w:firstLine="480"/>
        <w:rPr>
          <w:rFonts w:asciiTheme="minorEastAsia" w:hAnsiTheme="minorEastAsia"/>
          <w:sz w:val="24"/>
          <w:szCs w:val="24"/>
        </w:rPr>
        <w:sectPr w:rsidR="00D51FDF">
          <w:footerReference w:type="default" r:id="rId23"/>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w:t>
      </w:r>
      <w:r>
        <w:rPr>
          <w:rFonts w:asciiTheme="minorEastAsia" w:hAnsiTheme="minorEastAsia" w:cs="Arial"/>
          <w:sz w:val="24"/>
          <w:szCs w:val="24"/>
        </w:rPr>
        <w:t>/</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r>
        <w:rPr>
          <w:rFonts w:asciiTheme="minorEastAsia" w:hAnsiTheme="minorEastAsia" w:cs="Arial"/>
          <w:sz w:val="24"/>
          <w:szCs w:val="24"/>
        </w:rPr>
        <w:t>/</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6E9A2481" w14:textId="77777777" w:rsidR="00D51FDF" w:rsidRDefault="007F75F6">
      <w:pPr>
        <w:pStyle w:val="1"/>
        <w:jc w:val="center"/>
        <w:rPr>
          <w:rFonts w:asciiTheme="minorEastAsia" w:eastAsiaTheme="minorEastAsia" w:hAnsiTheme="minorEastAsia"/>
          <w:szCs w:val="24"/>
        </w:rPr>
      </w:pPr>
      <w:bookmarkStart w:id="430" w:name="_Toc482624810"/>
      <w:bookmarkStart w:id="431" w:name="_Toc2677422"/>
      <w:bookmarkStart w:id="432" w:name="_Toc30359"/>
      <w:bookmarkStart w:id="433" w:name="_Toc256666929"/>
      <w:bookmarkStart w:id="434" w:name="_Toc32243"/>
      <w:bookmarkStart w:id="435" w:name="_Toc256666809"/>
      <w:bookmarkStart w:id="436" w:name="_Toc416264556"/>
      <w:bookmarkStart w:id="437" w:name="_Toc263092329"/>
      <w:bookmarkStart w:id="438" w:name="_Toc530223198"/>
      <w:bookmarkStart w:id="439" w:name="_Toc214873622"/>
      <w:bookmarkEnd w:id="404"/>
      <w:bookmarkEnd w:id="405"/>
      <w:bookmarkEnd w:id="406"/>
      <w:bookmarkEnd w:id="407"/>
      <w:bookmarkEnd w:id="408"/>
      <w:bookmarkEnd w:id="409"/>
      <w:r>
        <w:rPr>
          <w:rFonts w:asciiTheme="minorEastAsia" w:eastAsiaTheme="minorEastAsia" w:hAnsiTheme="minorEastAsia" w:hint="eastAsia"/>
          <w:szCs w:val="24"/>
        </w:rPr>
        <w:lastRenderedPageBreak/>
        <w:t>第二十一部分</w:t>
      </w:r>
      <w:r>
        <w:rPr>
          <w:rFonts w:asciiTheme="minorEastAsia" w:eastAsiaTheme="minorEastAsia" w:hAnsiTheme="minorEastAsia"/>
          <w:szCs w:val="24"/>
        </w:rPr>
        <w:t xml:space="preserve">  </w:t>
      </w:r>
      <w:r>
        <w:rPr>
          <w:rFonts w:asciiTheme="minorEastAsia" w:eastAsiaTheme="minorEastAsia" w:hAnsiTheme="minorEastAsia" w:hint="eastAsia"/>
          <w:szCs w:val="24"/>
        </w:rPr>
        <w:t>其他应披露事项</w:t>
      </w:r>
      <w:bookmarkEnd w:id="430"/>
      <w:bookmarkEnd w:id="431"/>
      <w:bookmarkEnd w:id="432"/>
      <w:bookmarkEnd w:id="433"/>
      <w:bookmarkEnd w:id="434"/>
      <w:bookmarkEnd w:id="435"/>
    </w:p>
    <w:p w14:paraId="2A77531D" w14:textId="77777777" w:rsidR="00D51FDF" w:rsidRDefault="007F75F6">
      <w:pPr>
        <w:spacing w:line="360" w:lineRule="auto"/>
        <w:jc w:val="left"/>
        <w:rPr>
          <w:rFonts w:asciiTheme="minorEastAsia" w:hAnsiTheme="minorEastAsia"/>
          <w:sz w:val="24"/>
        </w:rPr>
      </w:pPr>
      <w:r>
        <w:rPr>
          <w:rFonts w:asciiTheme="minorEastAsia" w:hAnsiTheme="minorEastAsia" w:hint="eastAsia"/>
          <w:sz w:val="24"/>
        </w:rPr>
        <w:t>报告期内本基金及基金管理人的有关更新公告：</w:t>
      </w:r>
    </w:p>
    <w:tbl>
      <w:tblPr>
        <w:tblStyle w:val="af8"/>
        <w:tblW w:w="8856" w:type="dxa"/>
        <w:tblLayout w:type="fixed"/>
        <w:tblLook w:val="04A0" w:firstRow="1" w:lastRow="0" w:firstColumn="1" w:lastColumn="0" w:noHBand="0" w:noVBand="1"/>
      </w:tblPr>
      <w:tblGrid>
        <w:gridCol w:w="817"/>
        <w:gridCol w:w="5528"/>
        <w:gridCol w:w="2511"/>
      </w:tblGrid>
      <w:tr w:rsidR="00D51FDF" w14:paraId="0A390DDF" w14:textId="77777777">
        <w:tc>
          <w:tcPr>
            <w:tcW w:w="817" w:type="dxa"/>
          </w:tcPr>
          <w:p w14:paraId="3EBC48E4" w14:textId="77777777" w:rsidR="00D51FDF" w:rsidRDefault="007F75F6">
            <w:pPr>
              <w:jc w:val="center"/>
              <w:rPr>
                <w:rFonts w:asciiTheme="minorEastAsia" w:hAnsiTheme="minorEastAsia" w:cs="Times New Roman"/>
                <w:b/>
                <w:kern w:val="0"/>
                <w:szCs w:val="21"/>
              </w:rPr>
            </w:pPr>
            <w:r>
              <w:rPr>
                <w:rFonts w:asciiTheme="minorEastAsia" w:eastAsia="宋体" w:hAnsiTheme="minorEastAsia" w:cs="Times New Roman" w:hint="eastAsia"/>
                <w:b/>
                <w:kern w:val="0"/>
                <w:szCs w:val="21"/>
              </w:rPr>
              <w:t>序号</w:t>
            </w:r>
          </w:p>
        </w:tc>
        <w:tc>
          <w:tcPr>
            <w:tcW w:w="5528" w:type="dxa"/>
          </w:tcPr>
          <w:p w14:paraId="584525FF" w14:textId="77777777" w:rsidR="00D51FDF" w:rsidRDefault="007F75F6">
            <w:pPr>
              <w:jc w:val="center"/>
              <w:rPr>
                <w:rFonts w:asciiTheme="minorEastAsia" w:hAnsiTheme="minorEastAsia" w:cs="Times New Roman"/>
                <w:b/>
                <w:kern w:val="0"/>
                <w:szCs w:val="21"/>
              </w:rPr>
            </w:pPr>
            <w:r>
              <w:rPr>
                <w:rFonts w:asciiTheme="minorEastAsia" w:eastAsia="宋体" w:hAnsiTheme="minorEastAsia" w:cs="Times New Roman" w:hint="eastAsia"/>
                <w:b/>
                <w:kern w:val="0"/>
                <w:szCs w:val="21"/>
              </w:rPr>
              <w:t>公告事项</w:t>
            </w:r>
          </w:p>
        </w:tc>
        <w:tc>
          <w:tcPr>
            <w:tcW w:w="2511" w:type="dxa"/>
          </w:tcPr>
          <w:p w14:paraId="6FCF994D" w14:textId="77777777" w:rsidR="00D51FDF" w:rsidRDefault="007F75F6">
            <w:pPr>
              <w:jc w:val="center"/>
              <w:rPr>
                <w:rFonts w:asciiTheme="minorEastAsia" w:hAnsiTheme="minorEastAsia" w:cs="Times New Roman"/>
                <w:b/>
                <w:kern w:val="0"/>
                <w:szCs w:val="21"/>
              </w:rPr>
            </w:pPr>
            <w:r>
              <w:rPr>
                <w:rFonts w:asciiTheme="minorEastAsia" w:eastAsia="宋体" w:hAnsiTheme="minorEastAsia" w:cs="Times New Roman" w:hint="eastAsia"/>
                <w:b/>
                <w:kern w:val="0"/>
                <w:szCs w:val="21"/>
              </w:rPr>
              <w:t>披露日期</w:t>
            </w:r>
          </w:p>
        </w:tc>
      </w:tr>
      <w:tr w:rsidR="00683A2A" w14:paraId="2D7F8733" w14:textId="77777777" w:rsidTr="00EE54B8">
        <w:tc>
          <w:tcPr>
            <w:tcW w:w="817" w:type="dxa"/>
          </w:tcPr>
          <w:p w14:paraId="49D5D0E5"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w:t>
            </w:r>
          </w:p>
        </w:tc>
        <w:tc>
          <w:tcPr>
            <w:tcW w:w="5528" w:type="dxa"/>
            <w:vAlign w:val="bottom"/>
          </w:tcPr>
          <w:p w14:paraId="2ABBB377" w14:textId="1B406569"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富荣基金管理有限公司关于旗下基金披露基金产品资料概要的提示性公告</w:t>
            </w:r>
          </w:p>
        </w:tc>
        <w:tc>
          <w:tcPr>
            <w:tcW w:w="2511" w:type="dxa"/>
            <w:vAlign w:val="center"/>
          </w:tcPr>
          <w:p w14:paraId="7DE0A0A3" w14:textId="505FFBD6"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2020年8月31日</w:t>
            </w:r>
          </w:p>
        </w:tc>
      </w:tr>
      <w:tr w:rsidR="00683A2A" w14:paraId="5C16FC6D" w14:textId="77777777" w:rsidTr="00EE54B8">
        <w:tc>
          <w:tcPr>
            <w:tcW w:w="817" w:type="dxa"/>
          </w:tcPr>
          <w:p w14:paraId="10727E48"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w:t>
            </w:r>
          </w:p>
        </w:tc>
        <w:tc>
          <w:tcPr>
            <w:tcW w:w="5528" w:type="dxa"/>
            <w:vAlign w:val="bottom"/>
          </w:tcPr>
          <w:p w14:paraId="13633FF7" w14:textId="0D4D1EC8"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富荣基金管理有限公司旗下全部基金2020年中期报告提示性公告</w:t>
            </w:r>
          </w:p>
        </w:tc>
        <w:tc>
          <w:tcPr>
            <w:tcW w:w="2511" w:type="dxa"/>
            <w:vAlign w:val="center"/>
          </w:tcPr>
          <w:p w14:paraId="619995DC" w14:textId="15E99952"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2020年8月31日</w:t>
            </w:r>
          </w:p>
        </w:tc>
      </w:tr>
      <w:tr w:rsidR="00683A2A" w14:paraId="63AF3B3D" w14:textId="77777777" w:rsidTr="00EE54B8">
        <w:tc>
          <w:tcPr>
            <w:tcW w:w="817" w:type="dxa"/>
          </w:tcPr>
          <w:p w14:paraId="78DEC3D3"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3</w:t>
            </w:r>
          </w:p>
        </w:tc>
        <w:tc>
          <w:tcPr>
            <w:tcW w:w="5528" w:type="dxa"/>
            <w:vAlign w:val="bottom"/>
          </w:tcPr>
          <w:p w14:paraId="150B7AE1" w14:textId="3DAB9437"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富荣价值精选灵活配置混合型发起式证券投资基金恢复大额申购、转换转入和定期定额投资业务的公告</w:t>
            </w:r>
          </w:p>
        </w:tc>
        <w:tc>
          <w:tcPr>
            <w:tcW w:w="2511" w:type="dxa"/>
            <w:vAlign w:val="center"/>
          </w:tcPr>
          <w:p w14:paraId="7475BBB6" w14:textId="4927652E"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2020年9月1日</w:t>
            </w:r>
          </w:p>
        </w:tc>
      </w:tr>
      <w:tr w:rsidR="00683A2A" w14:paraId="164DEB34" w14:textId="77777777" w:rsidTr="00EE54B8">
        <w:tc>
          <w:tcPr>
            <w:tcW w:w="817" w:type="dxa"/>
          </w:tcPr>
          <w:p w14:paraId="54807265"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4</w:t>
            </w:r>
          </w:p>
        </w:tc>
        <w:tc>
          <w:tcPr>
            <w:tcW w:w="5528" w:type="dxa"/>
            <w:vAlign w:val="bottom"/>
          </w:tcPr>
          <w:p w14:paraId="5EB1615C" w14:textId="0761704E"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富荣价值精选灵活配置混合型发起式证券投资基金招募说明书提示性公告</w:t>
            </w:r>
          </w:p>
        </w:tc>
        <w:tc>
          <w:tcPr>
            <w:tcW w:w="2511" w:type="dxa"/>
            <w:vAlign w:val="center"/>
          </w:tcPr>
          <w:p w14:paraId="55F0EA00" w14:textId="2E09FE90"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2020年9月21日</w:t>
            </w:r>
          </w:p>
        </w:tc>
      </w:tr>
      <w:tr w:rsidR="00683A2A" w14:paraId="0684C0E0" w14:textId="77777777" w:rsidTr="00EE54B8">
        <w:tc>
          <w:tcPr>
            <w:tcW w:w="817" w:type="dxa"/>
          </w:tcPr>
          <w:p w14:paraId="4644DE44"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5</w:t>
            </w:r>
          </w:p>
        </w:tc>
        <w:tc>
          <w:tcPr>
            <w:tcW w:w="5528" w:type="dxa"/>
            <w:vAlign w:val="bottom"/>
          </w:tcPr>
          <w:p w14:paraId="5B0FAF44" w14:textId="50779834"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富荣基金管理有限公司高级管理人员变更公告</w:t>
            </w:r>
          </w:p>
        </w:tc>
        <w:tc>
          <w:tcPr>
            <w:tcW w:w="2511" w:type="dxa"/>
            <w:vAlign w:val="center"/>
          </w:tcPr>
          <w:p w14:paraId="03C3B85F" w14:textId="20F0162F"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2020年9月26日</w:t>
            </w:r>
          </w:p>
        </w:tc>
      </w:tr>
      <w:tr w:rsidR="00683A2A" w14:paraId="1FA27332" w14:textId="77777777" w:rsidTr="00EE54B8">
        <w:tc>
          <w:tcPr>
            <w:tcW w:w="817" w:type="dxa"/>
          </w:tcPr>
          <w:p w14:paraId="2DE7F2DF"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6</w:t>
            </w:r>
          </w:p>
        </w:tc>
        <w:tc>
          <w:tcPr>
            <w:tcW w:w="5528" w:type="dxa"/>
            <w:vAlign w:val="bottom"/>
          </w:tcPr>
          <w:p w14:paraId="365D0FE8" w14:textId="358FDD12"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富荣基金管理有限公司关于旗下部分基金新增北京新</w:t>
            </w:r>
            <w:proofErr w:type="gramStart"/>
            <w:r w:rsidRPr="00831076">
              <w:rPr>
                <w:rFonts w:asciiTheme="minorEastAsia" w:eastAsia="宋体" w:hAnsiTheme="minorEastAsia" w:cs="Times New Roman" w:hint="eastAsia"/>
                <w:color w:val="000000"/>
                <w:kern w:val="0"/>
                <w:szCs w:val="21"/>
              </w:rPr>
              <w:t>浪仓石基金</w:t>
            </w:r>
            <w:proofErr w:type="gramEnd"/>
            <w:r w:rsidRPr="00831076">
              <w:rPr>
                <w:rFonts w:asciiTheme="minorEastAsia" w:eastAsia="宋体" w:hAnsiTheme="minorEastAsia" w:cs="Times New Roman" w:hint="eastAsia"/>
                <w:color w:val="000000"/>
                <w:kern w:val="0"/>
                <w:szCs w:val="21"/>
              </w:rPr>
              <w:t>销售有限公司为销售机构并开通基金定期定额投资业务和基金转换业务的公告</w:t>
            </w:r>
          </w:p>
        </w:tc>
        <w:tc>
          <w:tcPr>
            <w:tcW w:w="2511" w:type="dxa"/>
            <w:vAlign w:val="center"/>
          </w:tcPr>
          <w:p w14:paraId="2B380848" w14:textId="2DCA1554"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2020年9月30日</w:t>
            </w:r>
          </w:p>
        </w:tc>
      </w:tr>
      <w:tr w:rsidR="00683A2A" w14:paraId="2FC5BBBF" w14:textId="77777777" w:rsidTr="00EE54B8">
        <w:tc>
          <w:tcPr>
            <w:tcW w:w="817" w:type="dxa"/>
          </w:tcPr>
          <w:p w14:paraId="362A121E"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7</w:t>
            </w:r>
          </w:p>
        </w:tc>
        <w:tc>
          <w:tcPr>
            <w:tcW w:w="5528" w:type="dxa"/>
            <w:vAlign w:val="bottom"/>
          </w:tcPr>
          <w:p w14:paraId="0705D148" w14:textId="3CA107D7"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富荣基金管理有限公司关于旗下部分基金参加北京新</w:t>
            </w:r>
            <w:proofErr w:type="gramStart"/>
            <w:r w:rsidRPr="00831076">
              <w:rPr>
                <w:rFonts w:asciiTheme="minorEastAsia" w:eastAsia="宋体" w:hAnsiTheme="minorEastAsia" w:cs="Times New Roman" w:hint="eastAsia"/>
                <w:color w:val="000000"/>
                <w:kern w:val="0"/>
                <w:szCs w:val="21"/>
              </w:rPr>
              <w:t>浪仓石基金</w:t>
            </w:r>
            <w:proofErr w:type="gramEnd"/>
            <w:r w:rsidRPr="00831076">
              <w:rPr>
                <w:rFonts w:asciiTheme="minorEastAsia" w:eastAsia="宋体" w:hAnsiTheme="minorEastAsia" w:cs="Times New Roman" w:hint="eastAsia"/>
                <w:color w:val="000000"/>
                <w:kern w:val="0"/>
                <w:szCs w:val="21"/>
              </w:rPr>
              <w:t>销售有限公司基金申购及定期定额投资申购费率优惠活动的公告</w:t>
            </w:r>
          </w:p>
        </w:tc>
        <w:tc>
          <w:tcPr>
            <w:tcW w:w="2511" w:type="dxa"/>
            <w:vAlign w:val="center"/>
          </w:tcPr>
          <w:p w14:paraId="053A7C78" w14:textId="6EA35684"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2020年9月30日</w:t>
            </w:r>
          </w:p>
        </w:tc>
      </w:tr>
      <w:tr w:rsidR="00683A2A" w14:paraId="05EDD8B8" w14:textId="77777777" w:rsidTr="00EE54B8">
        <w:tc>
          <w:tcPr>
            <w:tcW w:w="817" w:type="dxa"/>
          </w:tcPr>
          <w:p w14:paraId="4FC0520C"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8</w:t>
            </w:r>
          </w:p>
        </w:tc>
        <w:tc>
          <w:tcPr>
            <w:tcW w:w="5528" w:type="dxa"/>
            <w:vAlign w:val="bottom"/>
          </w:tcPr>
          <w:p w14:paraId="20187106" w14:textId="0B3AE5A4"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w:t>
            </w:r>
            <w:proofErr w:type="gramStart"/>
            <w:r w:rsidRPr="00831076">
              <w:rPr>
                <w:rFonts w:asciiTheme="minorEastAsia" w:eastAsia="宋体" w:hAnsiTheme="minorEastAsia" w:cs="Times New Roman" w:hint="eastAsia"/>
                <w:color w:val="000000"/>
                <w:kern w:val="0"/>
                <w:szCs w:val="21"/>
              </w:rPr>
              <w:t>终止泰诚财富</w:t>
            </w:r>
            <w:proofErr w:type="gramEnd"/>
            <w:r w:rsidRPr="00831076">
              <w:rPr>
                <w:rFonts w:asciiTheme="minorEastAsia" w:eastAsia="宋体" w:hAnsiTheme="minorEastAsia" w:cs="Times New Roman" w:hint="eastAsia"/>
                <w:color w:val="000000"/>
                <w:kern w:val="0"/>
                <w:szCs w:val="21"/>
              </w:rPr>
              <w:t>基金销售（大连）有限公司办理旗下基金相关销售业务的公告</w:t>
            </w:r>
          </w:p>
        </w:tc>
        <w:tc>
          <w:tcPr>
            <w:tcW w:w="2511" w:type="dxa"/>
            <w:vAlign w:val="center"/>
          </w:tcPr>
          <w:p w14:paraId="64B4C4C6" w14:textId="6B9D61C3"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2020年10月14日</w:t>
            </w:r>
          </w:p>
        </w:tc>
      </w:tr>
      <w:tr w:rsidR="00683A2A" w14:paraId="61C2AEEC" w14:textId="77777777" w:rsidTr="00EE54B8">
        <w:tc>
          <w:tcPr>
            <w:tcW w:w="817" w:type="dxa"/>
          </w:tcPr>
          <w:p w14:paraId="109FB6D4"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9</w:t>
            </w:r>
          </w:p>
        </w:tc>
        <w:tc>
          <w:tcPr>
            <w:tcW w:w="5528" w:type="dxa"/>
            <w:vAlign w:val="bottom"/>
          </w:tcPr>
          <w:p w14:paraId="5A35AE64" w14:textId="0FBC7200"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关于富荣价值精选灵活配置混合型发起式证券投资基金2020年基金经理变更公告</w:t>
            </w:r>
          </w:p>
        </w:tc>
        <w:tc>
          <w:tcPr>
            <w:tcW w:w="2511" w:type="dxa"/>
            <w:vAlign w:val="center"/>
          </w:tcPr>
          <w:p w14:paraId="58702830" w14:textId="3EE5F9A1"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2020年10月24日</w:t>
            </w:r>
          </w:p>
        </w:tc>
      </w:tr>
      <w:tr w:rsidR="00683A2A" w14:paraId="7BA68BE5" w14:textId="77777777" w:rsidTr="00EE54B8">
        <w:tc>
          <w:tcPr>
            <w:tcW w:w="817" w:type="dxa"/>
          </w:tcPr>
          <w:p w14:paraId="04BD8CBF"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10</w:t>
            </w:r>
          </w:p>
        </w:tc>
        <w:tc>
          <w:tcPr>
            <w:tcW w:w="5528" w:type="dxa"/>
            <w:vAlign w:val="bottom"/>
          </w:tcPr>
          <w:p w14:paraId="76CD3C46" w14:textId="1857B24F"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富荣基金管理有限公司旗下全部基金2020年第3季度报告提示性公告</w:t>
            </w:r>
          </w:p>
        </w:tc>
        <w:tc>
          <w:tcPr>
            <w:tcW w:w="2511" w:type="dxa"/>
            <w:vAlign w:val="center"/>
          </w:tcPr>
          <w:p w14:paraId="3A8E2ECF" w14:textId="45B61A3B"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2020年10月28日</w:t>
            </w:r>
          </w:p>
        </w:tc>
      </w:tr>
      <w:tr w:rsidR="00683A2A" w14:paraId="06E45ED9" w14:textId="77777777" w:rsidTr="00EE54B8">
        <w:tc>
          <w:tcPr>
            <w:tcW w:w="817" w:type="dxa"/>
          </w:tcPr>
          <w:p w14:paraId="3F51C215"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11</w:t>
            </w:r>
          </w:p>
        </w:tc>
        <w:tc>
          <w:tcPr>
            <w:tcW w:w="5528" w:type="dxa"/>
            <w:vAlign w:val="bottom"/>
          </w:tcPr>
          <w:p w14:paraId="3E8F7D11" w14:textId="761934A7"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富荣价值精选灵活配置混合型发起式证券投资基金招募说明书更新及产品资料概要更新的提示性公告</w:t>
            </w:r>
          </w:p>
        </w:tc>
        <w:tc>
          <w:tcPr>
            <w:tcW w:w="2511" w:type="dxa"/>
            <w:vAlign w:val="center"/>
          </w:tcPr>
          <w:p w14:paraId="21BDBC0F" w14:textId="545E2CA7"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2020年10月28日</w:t>
            </w:r>
          </w:p>
        </w:tc>
      </w:tr>
      <w:tr w:rsidR="00683A2A" w14:paraId="29C38362" w14:textId="77777777" w:rsidTr="00EE54B8">
        <w:tc>
          <w:tcPr>
            <w:tcW w:w="817" w:type="dxa"/>
          </w:tcPr>
          <w:p w14:paraId="021764AE"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12</w:t>
            </w:r>
          </w:p>
        </w:tc>
        <w:tc>
          <w:tcPr>
            <w:tcW w:w="5528" w:type="dxa"/>
            <w:vAlign w:val="bottom"/>
          </w:tcPr>
          <w:p w14:paraId="567E2361" w14:textId="3BE3E81F"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w:t>
            </w:r>
            <w:proofErr w:type="gramStart"/>
            <w:r w:rsidRPr="00831076">
              <w:rPr>
                <w:rFonts w:asciiTheme="minorEastAsia" w:eastAsia="宋体" w:hAnsiTheme="minorEastAsia" w:cs="Times New Roman" w:hint="eastAsia"/>
                <w:color w:val="000000"/>
                <w:kern w:val="0"/>
                <w:szCs w:val="21"/>
              </w:rPr>
              <w:t>终止大泰金石</w:t>
            </w:r>
            <w:proofErr w:type="gramEnd"/>
            <w:r w:rsidRPr="00831076">
              <w:rPr>
                <w:rFonts w:asciiTheme="minorEastAsia" w:eastAsia="宋体" w:hAnsiTheme="minorEastAsia" w:cs="Times New Roman" w:hint="eastAsia"/>
                <w:color w:val="000000"/>
                <w:kern w:val="0"/>
                <w:szCs w:val="21"/>
              </w:rPr>
              <w:t>基金销售有限公司办理旗下基金相关销售业务的公告</w:t>
            </w:r>
          </w:p>
        </w:tc>
        <w:tc>
          <w:tcPr>
            <w:tcW w:w="2511" w:type="dxa"/>
            <w:vAlign w:val="center"/>
          </w:tcPr>
          <w:p w14:paraId="4020149C" w14:textId="555788E1"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2020年11月2日</w:t>
            </w:r>
          </w:p>
        </w:tc>
      </w:tr>
      <w:tr w:rsidR="00683A2A" w14:paraId="698BFBA1" w14:textId="77777777" w:rsidTr="00EE54B8">
        <w:tc>
          <w:tcPr>
            <w:tcW w:w="817" w:type="dxa"/>
          </w:tcPr>
          <w:p w14:paraId="4C9410DB"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13</w:t>
            </w:r>
          </w:p>
        </w:tc>
        <w:tc>
          <w:tcPr>
            <w:tcW w:w="5528" w:type="dxa"/>
            <w:vAlign w:val="bottom"/>
          </w:tcPr>
          <w:p w14:paraId="67577B9F" w14:textId="1A2B1527"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关于富荣基金管理有限公司2020年行业高级管理人员变更公告</w:t>
            </w:r>
          </w:p>
        </w:tc>
        <w:tc>
          <w:tcPr>
            <w:tcW w:w="2511" w:type="dxa"/>
            <w:vAlign w:val="center"/>
          </w:tcPr>
          <w:p w14:paraId="222E6957" w14:textId="6AF6DCF8"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2020年11月10日</w:t>
            </w:r>
          </w:p>
        </w:tc>
      </w:tr>
      <w:tr w:rsidR="00683A2A" w14:paraId="2CDD35BF" w14:textId="77777777" w:rsidTr="00EE54B8">
        <w:tc>
          <w:tcPr>
            <w:tcW w:w="817" w:type="dxa"/>
          </w:tcPr>
          <w:p w14:paraId="3A414534"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14</w:t>
            </w:r>
          </w:p>
        </w:tc>
        <w:tc>
          <w:tcPr>
            <w:tcW w:w="5528" w:type="dxa"/>
            <w:vAlign w:val="bottom"/>
          </w:tcPr>
          <w:p w14:paraId="75089D13" w14:textId="4E873676"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富荣基金管理有限公司关于旗下部分基金新增北京</w:t>
            </w:r>
            <w:proofErr w:type="gramStart"/>
            <w:r w:rsidRPr="00831076">
              <w:rPr>
                <w:rFonts w:asciiTheme="minorEastAsia" w:eastAsia="宋体" w:hAnsiTheme="minorEastAsia" w:cs="Times New Roman" w:hint="eastAsia"/>
                <w:color w:val="000000"/>
                <w:kern w:val="0"/>
                <w:szCs w:val="21"/>
              </w:rPr>
              <w:t>钱景基金</w:t>
            </w:r>
            <w:proofErr w:type="gramEnd"/>
            <w:r w:rsidRPr="00831076">
              <w:rPr>
                <w:rFonts w:asciiTheme="minorEastAsia" w:eastAsia="宋体" w:hAnsiTheme="minorEastAsia" w:cs="Times New Roman" w:hint="eastAsia"/>
                <w:color w:val="000000"/>
                <w:kern w:val="0"/>
                <w:szCs w:val="21"/>
              </w:rPr>
              <w:t>销售有限公司为销售机构并开通基金定期定额投资业务和基金转换业务的公告</w:t>
            </w:r>
          </w:p>
        </w:tc>
        <w:tc>
          <w:tcPr>
            <w:tcW w:w="2511" w:type="dxa"/>
            <w:vAlign w:val="center"/>
          </w:tcPr>
          <w:p w14:paraId="667EE327" w14:textId="5E97FFCA"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2020年12月15日</w:t>
            </w:r>
          </w:p>
        </w:tc>
      </w:tr>
      <w:tr w:rsidR="00683A2A" w14:paraId="74719C0F" w14:textId="77777777" w:rsidTr="00EE54B8">
        <w:tc>
          <w:tcPr>
            <w:tcW w:w="817" w:type="dxa"/>
          </w:tcPr>
          <w:p w14:paraId="3D63AD6A"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15</w:t>
            </w:r>
          </w:p>
        </w:tc>
        <w:tc>
          <w:tcPr>
            <w:tcW w:w="5528" w:type="dxa"/>
            <w:vAlign w:val="bottom"/>
          </w:tcPr>
          <w:p w14:paraId="34008ADC" w14:textId="083CCBBE"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富荣基金管理有限公司关于旗下部分基金参加北京</w:t>
            </w:r>
            <w:proofErr w:type="gramStart"/>
            <w:r w:rsidRPr="00831076">
              <w:rPr>
                <w:rFonts w:asciiTheme="minorEastAsia" w:eastAsia="宋体" w:hAnsiTheme="minorEastAsia" w:cs="Times New Roman" w:hint="eastAsia"/>
                <w:color w:val="000000"/>
                <w:kern w:val="0"/>
                <w:szCs w:val="21"/>
              </w:rPr>
              <w:t>钱景基金</w:t>
            </w:r>
            <w:proofErr w:type="gramEnd"/>
            <w:r w:rsidRPr="00831076">
              <w:rPr>
                <w:rFonts w:asciiTheme="minorEastAsia" w:eastAsia="宋体" w:hAnsiTheme="minorEastAsia" w:cs="Times New Roman" w:hint="eastAsia"/>
                <w:color w:val="000000"/>
                <w:kern w:val="0"/>
                <w:szCs w:val="21"/>
              </w:rPr>
              <w:t>销售有限公司基金申购及定期定额投资申购费率优惠活动的公告</w:t>
            </w:r>
          </w:p>
        </w:tc>
        <w:tc>
          <w:tcPr>
            <w:tcW w:w="2511" w:type="dxa"/>
            <w:vAlign w:val="center"/>
          </w:tcPr>
          <w:p w14:paraId="13DBDB1D" w14:textId="3A78A36E"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2020年12月15日</w:t>
            </w:r>
          </w:p>
        </w:tc>
      </w:tr>
      <w:tr w:rsidR="00683A2A" w14:paraId="6D1DD850" w14:textId="77777777" w:rsidTr="00EE54B8">
        <w:tc>
          <w:tcPr>
            <w:tcW w:w="817" w:type="dxa"/>
          </w:tcPr>
          <w:p w14:paraId="457CD1F3"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16</w:t>
            </w:r>
          </w:p>
        </w:tc>
        <w:tc>
          <w:tcPr>
            <w:tcW w:w="5528" w:type="dxa"/>
            <w:vAlign w:val="bottom"/>
          </w:tcPr>
          <w:p w14:paraId="608F43B2" w14:textId="63081999"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富荣基金管理有限公司关于终止深圳盈信基金销售有限公司办理旗下基金相关销售业务的公告</w:t>
            </w:r>
          </w:p>
        </w:tc>
        <w:tc>
          <w:tcPr>
            <w:tcW w:w="2511" w:type="dxa"/>
            <w:vAlign w:val="center"/>
          </w:tcPr>
          <w:p w14:paraId="7324FD7F" w14:textId="2F22D18F"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2020年12月15日</w:t>
            </w:r>
          </w:p>
        </w:tc>
      </w:tr>
      <w:tr w:rsidR="00683A2A" w14:paraId="0BFA1494" w14:textId="77777777" w:rsidTr="00EE54B8">
        <w:tc>
          <w:tcPr>
            <w:tcW w:w="817" w:type="dxa"/>
          </w:tcPr>
          <w:p w14:paraId="2D00538C"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17</w:t>
            </w:r>
          </w:p>
        </w:tc>
        <w:tc>
          <w:tcPr>
            <w:tcW w:w="5528" w:type="dxa"/>
            <w:vAlign w:val="bottom"/>
          </w:tcPr>
          <w:p w14:paraId="0091FDA7" w14:textId="65CE2D38"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w:t>
            </w:r>
            <w:proofErr w:type="gramStart"/>
            <w:r w:rsidRPr="00831076">
              <w:rPr>
                <w:rFonts w:asciiTheme="minorEastAsia" w:eastAsia="宋体" w:hAnsiTheme="minorEastAsia" w:cs="Times New Roman" w:hint="eastAsia"/>
                <w:color w:val="000000"/>
                <w:kern w:val="0"/>
                <w:szCs w:val="21"/>
              </w:rPr>
              <w:t>通过泰诚财富</w:t>
            </w:r>
            <w:proofErr w:type="gramEnd"/>
            <w:r w:rsidRPr="00831076">
              <w:rPr>
                <w:rFonts w:asciiTheme="minorEastAsia" w:eastAsia="宋体" w:hAnsiTheme="minorEastAsia" w:cs="Times New Roman" w:hint="eastAsia"/>
                <w:color w:val="000000"/>
                <w:kern w:val="0"/>
                <w:szCs w:val="21"/>
              </w:rPr>
              <w:t>基金销售（大连）有限公司购买并持有本公司旗下基金的投资者及时办理转托管的提示性公告</w:t>
            </w:r>
          </w:p>
        </w:tc>
        <w:tc>
          <w:tcPr>
            <w:tcW w:w="2511" w:type="dxa"/>
            <w:vAlign w:val="center"/>
          </w:tcPr>
          <w:p w14:paraId="7BBC9055" w14:textId="7D9C805E"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2020年12月22日</w:t>
            </w:r>
          </w:p>
        </w:tc>
      </w:tr>
      <w:tr w:rsidR="00683A2A" w14:paraId="3DE5202C" w14:textId="77777777" w:rsidTr="00EE54B8">
        <w:tc>
          <w:tcPr>
            <w:tcW w:w="817" w:type="dxa"/>
          </w:tcPr>
          <w:p w14:paraId="13F42EFC"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18</w:t>
            </w:r>
          </w:p>
        </w:tc>
        <w:tc>
          <w:tcPr>
            <w:tcW w:w="5528" w:type="dxa"/>
            <w:vAlign w:val="center"/>
          </w:tcPr>
          <w:p w14:paraId="19BB3C63" w14:textId="77F59EBD"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富荣基金管理有限公司旗下全部基金2020年第4季度报告</w:t>
            </w:r>
            <w:r w:rsidRPr="00831076">
              <w:rPr>
                <w:rFonts w:asciiTheme="minorEastAsia" w:eastAsia="宋体" w:hAnsiTheme="minorEastAsia" w:cs="Times New Roman" w:hint="eastAsia"/>
                <w:color w:val="000000"/>
                <w:kern w:val="0"/>
                <w:szCs w:val="21"/>
              </w:rPr>
              <w:lastRenderedPageBreak/>
              <w:t>提示性公告</w:t>
            </w:r>
          </w:p>
        </w:tc>
        <w:tc>
          <w:tcPr>
            <w:tcW w:w="2511" w:type="dxa"/>
            <w:vAlign w:val="center"/>
          </w:tcPr>
          <w:p w14:paraId="3F085657" w14:textId="69D5029B"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lastRenderedPageBreak/>
              <w:t>2021年1月22日</w:t>
            </w:r>
          </w:p>
        </w:tc>
      </w:tr>
      <w:tr w:rsidR="00683A2A" w14:paraId="7F6B2D91" w14:textId="77777777" w:rsidTr="00EE54B8">
        <w:tc>
          <w:tcPr>
            <w:tcW w:w="817" w:type="dxa"/>
          </w:tcPr>
          <w:p w14:paraId="1A100649"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19</w:t>
            </w:r>
          </w:p>
        </w:tc>
        <w:tc>
          <w:tcPr>
            <w:tcW w:w="5528" w:type="dxa"/>
            <w:vAlign w:val="bottom"/>
          </w:tcPr>
          <w:p w14:paraId="73CDF13D" w14:textId="2BD1F33D"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富荣基金管理有限公司基金行业高级管理人员变更公告</w:t>
            </w:r>
          </w:p>
        </w:tc>
        <w:tc>
          <w:tcPr>
            <w:tcW w:w="2511" w:type="dxa"/>
            <w:vAlign w:val="center"/>
          </w:tcPr>
          <w:p w14:paraId="3EAC9F61" w14:textId="49AC966A"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2021年3月20日</w:t>
            </w:r>
          </w:p>
        </w:tc>
      </w:tr>
      <w:tr w:rsidR="00683A2A" w14:paraId="630165B4" w14:textId="77777777" w:rsidTr="00EE54B8">
        <w:tc>
          <w:tcPr>
            <w:tcW w:w="817" w:type="dxa"/>
          </w:tcPr>
          <w:p w14:paraId="4DC01201"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20</w:t>
            </w:r>
          </w:p>
        </w:tc>
        <w:tc>
          <w:tcPr>
            <w:tcW w:w="5528" w:type="dxa"/>
            <w:vAlign w:val="bottom"/>
          </w:tcPr>
          <w:p w14:paraId="5C7F93CB" w14:textId="6A6401E5"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富荣基金管理有限公司旗下全部基金2020年年度报告提示性公告</w:t>
            </w:r>
          </w:p>
        </w:tc>
        <w:tc>
          <w:tcPr>
            <w:tcW w:w="2511" w:type="dxa"/>
            <w:vAlign w:val="center"/>
          </w:tcPr>
          <w:p w14:paraId="2555AE03" w14:textId="37AD4398"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2021年3月31日</w:t>
            </w:r>
          </w:p>
        </w:tc>
      </w:tr>
      <w:tr w:rsidR="00683A2A" w14:paraId="1BF5DB19" w14:textId="77777777" w:rsidTr="00EE54B8">
        <w:tc>
          <w:tcPr>
            <w:tcW w:w="817" w:type="dxa"/>
          </w:tcPr>
          <w:p w14:paraId="47A7A892"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21</w:t>
            </w:r>
          </w:p>
        </w:tc>
        <w:tc>
          <w:tcPr>
            <w:tcW w:w="5528" w:type="dxa"/>
            <w:vAlign w:val="bottom"/>
          </w:tcPr>
          <w:p w14:paraId="05FABE63" w14:textId="0D07009A"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富荣基金管理有限公司关于调整旗下部分基金投资范围、增加</w:t>
            </w:r>
            <w:proofErr w:type="gramStart"/>
            <w:r w:rsidRPr="00831076">
              <w:rPr>
                <w:rFonts w:asciiTheme="minorEastAsia" w:eastAsia="宋体" w:hAnsiTheme="minorEastAsia" w:cs="Times New Roman" w:hint="eastAsia"/>
                <w:color w:val="000000"/>
                <w:kern w:val="0"/>
                <w:szCs w:val="21"/>
              </w:rPr>
              <w:t>侧袋机制</w:t>
            </w:r>
            <w:proofErr w:type="gramEnd"/>
            <w:r w:rsidRPr="00831076">
              <w:rPr>
                <w:rFonts w:asciiTheme="minorEastAsia" w:eastAsia="宋体" w:hAnsiTheme="minorEastAsia" w:cs="Times New Roman" w:hint="eastAsia"/>
                <w:color w:val="000000"/>
                <w:kern w:val="0"/>
                <w:szCs w:val="21"/>
              </w:rPr>
              <w:t>并相应修改法律文件的公告</w:t>
            </w:r>
          </w:p>
        </w:tc>
        <w:tc>
          <w:tcPr>
            <w:tcW w:w="2511" w:type="dxa"/>
            <w:vAlign w:val="center"/>
          </w:tcPr>
          <w:p w14:paraId="7F668B2B" w14:textId="3E160352"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2021年4月19日</w:t>
            </w:r>
          </w:p>
        </w:tc>
      </w:tr>
      <w:tr w:rsidR="00683A2A" w14:paraId="34FB2728" w14:textId="77777777" w:rsidTr="00EE54B8">
        <w:tc>
          <w:tcPr>
            <w:tcW w:w="817" w:type="dxa"/>
          </w:tcPr>
          <w:p w14:paraId="41E305E7"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22</w:t>
            </w:r>
          </w:p>
        </w:tc>
        <w:tc>
          <w:tcPr>
            <w:tcW w:w="5528" w:type="dxa"/>
            <w:vAlign w:val="bottom"/>
          </w:tcPr>
          <w:p w14:paraId="3D66551F" w14:textId="6D8A28DE"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富荣基金管理有限公司旗下全部基金2021年第1季度报告提示性公告</w:t>
            </w:r>
          </w:p>
        </w:tc>
        <w:tc>
          <w:tcPr>
            <w:tcW w:w="2511" w:type="dxa"/>
            <w:vAlign w:val="center"/>
          </w:tcPr>
          <w:p w14:paraId="19DC56D0" w14:textId="040584BC"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2021年4月22日</w:t>
            </w:r>
          </w:p>
        </w:tc>
      </w:tr>
      <w:tr w:rsidR="00683A2A" w14:paraId="7F179CAC" w14:textId="77777777" w:rsidTr="00EE54B8">
        <w:tc>
          <w:tcPr>
            <w:tcW w:w="817" w:type="dxa"/>
          </w:tcPr>
          <w:p w14:paraId="2219E8D9"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23</w:t>
            </w:r>
          </w:p>
        </w:tc>
        <w:tc>
          <w:tcPr>
            <w:tcW w:w="5528" w:type="dxa"/>
            <w:vAlign w:val="bottom"/>
          </w:tcPr>
          <w:p w14:paraId="570692F7" w14:textId="62C1D7BE"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富荣基金管理有限公司关于提醒投资者防范不法分子假冒本公司名义从事诈骗活动的公告</w:t>
            </w:r>
          </w:p>
        </w:tc>
        <w:tc>
          <w:tcPr>
            <w:tcW w:w="2511" w:type="dxa"/>
            <w:vAlign w:val="center"/>
          </w:tcPr>
          <w:p w14:paraId="3240E82C" w14:textId="1CD85C1B"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2021年5月6日</w:t>
            </w:r>
          </w:p>
        </w:tc>
      </w:tr>
      <w:tr w:rsidR="00683A2A" w14:paraId="36361050" w14:textId="77777777" w:rsidTr="00EE54B8">
        <w:tc>
          <w:tcPr>
            <w:tcW w:w="817" w:type="dxa"/>
          </w:tcPr>
          <w:p w14:paraId="47E277A2"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24</w:t>
            </w:r>
          </w:p>
        </w:tc>
        <w:tc>
          <w:tcPr>
            <w:tcW w:w="5528" w:type="dxa"/>
            <w:vAlign w:val="bottom"/>
          </w:tcPr>
          <w:p w14:paraId="56145326" w14:textId="3352340D"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富荣基金管理有限公司关于旗下部分基金新增财</w:t>
            </w:r>
            <w:proofErr w:type="gramStart"/>
            <w:r w:rsidRPr="00831076">
              <w:rPr>
                <w:rFonts w:asciiTheme="minorEastAsia" w:eastAsia="宋体" w:hAnsiTheme="minorEastAsia" w:cs="Times New Roman" w:hint="eastAsia"/>
                <w:color w:val="000000"/>
                <w:kern w:val="0"/>
                <w:szCs w:val="21"/>
              </w:rPr>
              <w:t>咨</w:t>
            </w:r>
            <w:proofErr w:type="gramEnd"/>
            <w:r w:rsidRPr="00831076">
              <w:rPr>
                <w:rFonts w:asciiTheme="minorEastAsia" w:eastAsia="宋体" w:hAnsiTheme="minorEastAsia" w:cs="Times New Roman" w:hint="eastAsia"/>
                <w:color w:val="000000"/>
                <w:kern w:val="0"/>
                <w:szCs w:val="21"/>
              </w:rPr>
              <w:t>道信息技术有限公司为销售机构并开通基金定期定额投资业务和基金转换业务的公告</w:t>
            </w:r>
          </w:p>
        </w:tc>
        <w:tc>
          <w:tcPr>
            <w:tcW w:w="2511" w:type="dxa"/>
            <w:vAlign w:val="center"/>
          </w:tcPr>
          <w:p w14:paraId="64C6B5B7" w14:textId="620604DA"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2021年5月26日</w:t>
            </w:r>
          </w:p>
        </w:tc>
      </w:tr>
      <w:tr w:rsidR="00683A2A" w14:paraId="7E073AEB" w14:textId="77777777" w:rsidTr="00EE54B8">
        <w:tc>
          <w:tcPr>
            <w:tcW w:w="817" w:type="dxa"/>
          </w:tcPr>
          <w:p w14:paraId="531C96F1"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25</w:t>
            </w:r>
          </w:p>
        </w:tc>
        <w:tc>
          <w:tcPr>
            <w:tcW w:w="5528" w:type="dxa"/>
            <w:vAlign w:val="bottom"/>
          </w:tcPr>
          <w:p w14:paraId="0AD77924" w14:textId="1BF50F24"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富荣基金管理有限公司关于旗下部分基金参加财</w:t>
            </w:r>
            <w:proofErr w:type="gramStart"/>
            <w:r w:rsidRPr="00831076">
              <w:rPr>
                <w:rFonts w:asciiTheme="minorEastAsia" w:eastAsia="宋体" w:hAnsiTheme="minorEastAsia" w:cs="Times New Roman" w:hint="eastAsia"/>
                <w:color w:val="000000"/>
                <w:kern w:val="0"/>
                <w:szCs w:val="21"/>
              </w:rPr>
              <w:t>咨</w:t>
            </w:r>
            <w:proofErr w:type="gramEnd"/>
            <w:r w:rsidRPr="00831076">
              <w:rPr>
                <w:rFonts w:asciiTheme="minorEastAsia" w:eastAsia="宋体" w:hAnsiTheme="minorEastAsia" w:cs="Times New Roman" w:hint="eastAsia"/>
                <w:color w:val="000000"/>
                <w:kern w:val="0"/>
                <w:szCs w:val="21"/>
              </w:rPr>
              <w:t>道信息技术有限公司基金申购及定期定额投资申购费率优惠活动的公告</w:t>
            </w:r>
          </w:p>
        </w:tc>
        <w:tc>
          <w:tcPr>
            <w:tcW w:w="2511" w:type="dxa"/>
            <w:vAlign w:val="center"/>
          </w:tcPr>
          <w:p w14:paraId="074F088A" w14:textId="53AD17B0"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2021年5月26日</w:t>
            </w:r>
          </w:p>
        </w:tc>
      </w:tr>
      <w:tr w:rsidR="00683A2A" w14:paraId="5DCFFA62" w14:textId="77777777" w:rsidTr="00EE54B8">
        <w:tc>
          <w:tcPr>
            <w:tcW w:w="817" w:type="dxa"/>
          </w:tcPr>
          <w:p w14:paraId="766C50B0"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26</w:t>
            </w:r>
          </w:p>
        </w:tc>
        <w:tc>
          <w:tcPr>
            <w:tcW w:w="5528" w:type="dxa"/>
            <w:vAlign w:val="bottom"/>
          </w:tcPr>
          <w:p w14:paraId="346071F0" w14:textId="3272A676"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富荣基金管理有限公司基金行业高级管理人员变更公告</w:t>
            </w:r>
          </w:p>
        </w:tc>
        <w:tc>
          <w:tcPr>
            <w:tcW w:w="2511" w:type="dxa"/>
            <w:vAlign w:val="center"/>
          </w:tcPr>
          <w:p w14:paraId="72FFE3B8" w14:textId="0BB5B456"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2021年6月24日</w:t>
            </w:r>
          </w:p>
        </w:tc>
      </w:tr>
      <w:tr w:rsidR="00683A2A" w14:paraId="700022C7" w14:textId="77777777" w:rsidTr="00EE54B8">
        <w:tc>
          <w:tcPr>
            <w:tcW w:w="817" w:type="dxa"/>
          </w:tcPr>
          <w:p w14:paraId="0EC57B37"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27</w:t>
            </w:r>
          </w:p>
        </w:tc>
        <w:tc>
          <w:tcPr>
            <w:tcW w:w="5528" w:type="dxa"/>
            <w:vAlign w:val="bottom"/>
          </w:tcPr>
          <w:p w14:paraId="491498E3" w14:textId="65DB58C5"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富荣基金管理有限公司关于旗下部分基金新增北京度小满基金销售有限公司为销售机构并开通基金定期定额投资业务和基金转换业务的公告</w:t>
            </w:r>
          </w:p>
        </w:tc>
        <w:tc>
          <w:tcPr>
            <w:tcW w:w="2511" w:type="dxa"/>
            <w:vAlign w:val="center"/>
          </w:tcPr>
          <w:p w14:paraId="363A273D" w14:textId="7DC7E2CF"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2021年6月29日</w:t>
            </w:r>
          </w:p>
        </w:tc>
      </w:tr>
      <w:tr w:rsidR="00683A2A" w14:paraId="09155DF7" w14:textId="77777777" w:rsidTr="00EE54B8">
        <w:tc>
          <w:tcPr>
            <w:tcW w:w="817" w:type="dxa"/>
          </w:tcPr>
          <w:p w14:paraId="50432168" w14:textId="77777777" w:rsidR="00683A2A" w:rsidRDefault="00683A2A" w:rsidP="00683A2A">
            <w:pPr>
              <w:jc w:val="center"/>
              <w:rPr>
                <w:rFonts w:asciiTheme="minorEastAsia" w:hAnsiTheme="minorEastAsia" w:cs="Times New Roman"/>
                <w:kern w:val="0"/>
                <w:szCs w:val="21"/>
              </w:rPr>
            </w:pPr>
            <w:r>
              <w:rPr>
                <w:rFonts w:asciiTheme="minorEastAsia" w:eastAsia="宋体" w:hAnsiTheme="minorEastAsia" w:cs="Times New Roman"/>
                <w:kern w:val="0"/>
                <w:szCs w:val="21"/>
              </w:rPr>
              <w:t>28</w:t>
            </w:r>
          </w:p>
        </w:tc>
        <w:tc>
          <w:tcPr>
            <w:tcW w:w="5528" w:type="dxa"/>
            <w:vAlign w:val="bottom"/>
          </w:tcPr>
          <w:p w14:paraId="3A656906" w14:textId="785527A4" w:rsidR="00683A2A" w:rsidRDefault="00683A2A" w:rsidP="00683A2A">
            <w:pPr>
              <w:jc w:val="left"/>
              <w:rPr>
                <w:rFonts w:asciiTheme="minorEastAsia" w:eastAsia="宋体"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富荣基金管理有限公司关于旗下部分基金参加北京度小满基金销售有限公司基金申购及定期定额投资申购费率优惠活动的公告</w:t>
            </w:r>
          </w:p>
        </w:tc>
        <w:tc>
          <w:tcPr>
            <w:tcW w:w="2511" w:type="dxa"/>
            <w:vAlign w:val="center"/>
          </w:tcPr>
          <w:p w14:paraId="5F7AE7A4" w14:textId="1DAE2EAA" w:rsidR="00683A2A" w:rsidRDefault="00683A2A" w:rsidP="00683A2A">
            <w:pPr>
              <w:ind w:firstLine="420"/>
              <w:jc w:val="center"/>
              <w:rPr>
                <w:rFonts w:asciiTheme="minorEastAsia" w:hAnsiTheme="minorEastAsia" w:cs="Times New Roman"/>
                <w:color w:val="000000"/>
                <w:kern w:val="0"/>
                <w:szCs w:val="21"/>
              </w:rPr>
            </w:pPr>
            <w:r w:rsidRPr="00831076">
              <w:rPr>
                <w:rFonts w:asciiTheme="minorEastAsia" w:eastAsia="宋体" w:hAnsiTheme="minorEastAsia" w:cs="Times New Roman" w:hint="eastAsia"/>
                <w:color w:val="000000"/>
                <w:kern w:val="0"/>
                <w:szCs w:val="21"/>
              </w:rPr>
              <w:t>2021年6月29日</w:t>
            </w:r>
          </w:p>
        </w:tc>
      </w:tr>
    </w:tbl>
    <w:p w14:paraId="4CB8AC78" w14:textId="77777777" w:rsidR="00D51FDF" w:rsidRDefault="00D51FDF">
      <w:pPr>
        <w:widowControl/>
        <w:jc w:val="left"/>
        <w:rPr>
          <w:rFonts w:asciiTheme="minorEastAsia" w:hAnsiTheme="minorEastAsia" w:cs="Times New Roman"/>
          <w:b/>
          <w:color w:val="000000"/>
          <w:kern w:val="0"/>
          <w:sz w:val="30"/>
          <w:szCs w:val="30"/>
        </w:rPr>
      </w:pPr>
    </w:p>
    <w:p w14:paraId="63BD5421" w14:textId="77777777" w:rsidR="00D51FDF" w:rsidRDefault="007F75F6">
      <w:pPr>
        <w:widowControl/>
        <w:jc w:val="left"/>
        <w:rPr>
          <w:rFonts w:asciiTheme="minorEastAsia" w:hAnsiTheme="minorEastAsia" w:cs="Times New Roman"/>
          <w:b/>
          <w:color w:val="000000"/>
          <w:kern w:val="0"/>
          <w:sz w:val="30"/>
          <w:szCs w:val="30"/>
        </w:rPr>
      </w:pPr>
      <w:r>
        <w:rPr>
          <w:rFonts w:asciiTheme="minorEastAsia" w:hAnsiTheme="minorEastAsia"/>
          <w:sz w:val="30"/>
          <w:szCs w:val="30"/>
        </w:rPr>
        <w:br w:type="page"/>
      </w:r>
    </w:p>
    <w:p w14:paraId="71515C56" w14:textId="77777777" w:rsidR="00D51FDF" w:rsidRDefault="007F75F6">
      <w:pPr>
        <w:pStyle w:val="1"/>
        <w:jc w:val="center"/>
        <w:rPr>
          <w:rFonts w:asciiTheme="minorEastAsia" w:eastAsiaTheme="minorEastAsia" w:hAnsiTheme="minorEastAsia"/>
          <w:sz w:val="30"/>
          <w:szCs w:val="30"/>
        </w:rPr>
      </w:pPr>
      <w:bookmarkStart w:id="440" w:name="_Toc2677423"/>
      <w:r>
        <w:rPr>
          <w:rFonts w:asciiTheme="minorEastAsia" w:eastAsiaTheme="minorEastAsia" w:hAnsiTheme="minorEastAsia" w:hint="eastAsia"/>
          <w:sz w:val="30"/>
          <w:szCs w:val="30"/>
        </w:rPr>
        <w:lastRenderedPageBreak/>
        <w:t>第二十二部分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招募说明书存放及查阅方式</w:t>
      </w:r>
      <w:bookmarkEnd w:id="436"/>
      <w:bookmarkEnd w:id="437"/>
      <w:bookmarkEnd w:id="438"/>
      <w:bookmarkEnd w:id="439"/>
      <w:bookmarkEnd w:id="440"/>
    </w:p>
    <w:p w14:paraId="59505417"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79B6D224"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t>
      </w:r>
      <w:r>
        <w:rPr>
          <w:rFonts w:asciiTheme="minorEastAsia" w:hAnsiTheme="minorEastAsia" w:cs="Arial"/>
          <w:kern w:val="0"/>
          <w:sz w:val="24"/>
          <w:szCs w:val="24"/>
        </w:rPr>
        <w:t>www.furamc.com.cn）查阅和下载招募说明书</w:t>
      </w:r>
      <w:r>
        <w:rPr>
          <w:rFonts w:asciiTheme="minorEastAsia" w:hAnsiTheme="minorEastAsia" w:cs="Arial" w:hint="eastAsia"/>
          <w:kern w:val="0"/>
          <w:sz w:val="24"/>
          <w:szCs w:val="24"/>
        </w:rPr>
        <w:t>。</w:t>
      </w:r>
    </w:p>
    <w:p w14:paraId="75A89C78" w14:textId="77777777" w:rsidR="00D51FDF" w:rsidRDefault="00D51FDF">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087AF4A" w14:textId="77777777" w:rsidR="00D51FDF" w:rsidRDefault="00D51FDF">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D51FDF">
          <w:pgSz w:w="11906" w:h="16838"/>
          <w:pgMar w:top="1440" w:right="1800" w:bottom="1440" w:left="1800" w:header="851" w:footer="992" w:gutter="0"/>
          <w:cols w:space="425"/>
          <w:docGrid w:type="lines" w:linePitch="312"/>
        </w:sectPr>
      </w:pPr>
      <w:bookmarkStart w:id="441" w:name="_Toc263092330"/>
      <w:bookmarkStart w:id="442" w:name="_Toc416268879"/>
    </w:p>
    <w:p w14:paraId="505C81EC" w14:textId="77777777" w:rsidR="00D51FDF" w:rsidRDefault="007F75F6">
      <w:pPr>
        <w:pStyle w:val="1"/>
        <w:jc w:val="center"/>
        <w:rPr>
          <w:rFonts w:asciiTheme="minorEastAsia" w:eastAsiaTheme="minorEastAsia" w:hAnsiTheme="minorEastAsia"/>
          <w:sz w:val="30"/>
          <w:szCs w:val="30"/>
        </w:rPr>
      </w:pPr>
      <w:bookmarkStart w:id="443" w:name="_Toc2677424"/>
      <w:bookmarkEnd w:id="64"/>
      <w:bookmarkEnd w:id="65"/>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41"/>
      <w:bookmarkEnd w:id="442"/>
      <w:r>
        <w:rPr>
          <w:rFonts w:asciiTheme="minorEastAsia" w:eastAsiaTheme="minorEastAsia" w:hAnsiTheme="minorEastAsia" w:hint="eastAsia"/>
          <w:sz w:val="30"/>
          <w:szCs w:val="30"/>
        </w:rPr>
        <w:lastRenderedPageBreak/>
        <w:t>第二十三部分</w:t>
      </w:r>
      <w:r>
        <w:rPr>
          <w:rFonts w:asciiTheme="minorEastAsia" w:eastAsiaTheme="minorEastAsia" w:hAnsiTheme="minorEastAsia"/>
          <w:sz w:val="30"/>
          <w:szCs w:val="30"/>
        </w:rPr>
        <w:t xml:space="preserve">  </w:t>
      </w:r>
      <w:r>
        <w:rPr>
          <w:rFonts w:asciiTheme="minorEastAsia" w:eastAsiaTheme="minorEastAsia" w:hAnsiTheme="minorEastAsia" w:hint="eastAsia"/>
          <w:sz w:val="30"/>
          <w:szCs w:val="30"/>
        </w:rPr>
        <w:t>备查文件</w:t>
      </w:r>
      <w:bookmarkEnd w:id="443"/>
    </w:p>
    <w:p w14:paraId="07F124FD" w14:textId="77777777" w:rsidR="00D51FDF" w:rsidRDefault="00D51FDF">
      <w:pPr>
        <w:rPr>
          <w:rFonts w:asciiTheme="minorEastAsia" w:hAnsiTheme="minorEastAsia" w:cs="Times New Roman"/>
          <w:sz w:val="24"/>
          <w:szCs w:val="24"/>
        </w:rPr>
      </w:pPr>
    </w:p>
    <w:p w14:paraId="4924A0C0"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1D37D159"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w:t>
      </w:r>
      <w:r>
        <w:rPr>
          <w:rFonts w:asciiTheme="minorEastAsia" w:hAnsiTheme="minorEastAsia" w:cs="Arial" w:hint="eastAsia"/>
          <w:kern w:val="0"/>
          <w:sz w:val="24"/>
          <w:szCs w:val="24"/>
        </w:rPr>
        <w:t>价值精选</w:t>
      </w:r>
      <w:r>
        <w:rPr>
          <w:rFonts w:asciiTheme="minorEastAsia" w:hAnsiTheme="minorEastAsia" w:cs="Arial"/>
          <w:kern w:val="0"/>
          <w:sz w:val="24"/>
          <w:szCs w:val="24"/>
        </w:rPr>
        <w:t>灵活配置混合型</w:t>
      </w:r>
      <w:r>
        <w:rPr>
          <w:rFonts w:asciiTheme="minorEastAsia" w:hAnsiTheme="minorEastAsia" w:cs="Arial" w:hint="eastAsia"/>
          <w:kern w:val="0"/>
          <w:sz w:val="24"/>
          <w:szCs w:val="24"/>
        </w:rPr>
        <w:t>发起式</w:t>
      </w:r>
      <w:r>
        <w:rPr>
          <w:rFonts w:asciiTheme="minorEastAsia" w:hAnsiTheme="minorEastAsia" w:cs="Arial"/>
          <w:kern w:val="0"/>
          <w:sz w:val="24"/>
          <w:szCs w:val="24"/>
        </w:rPr>
        <w:t>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016716E2"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（二）《富荣</w:t>
      </w:r>
      <w:r>
        <w:rPr>
          <w:rFonts w:asciiTheme="minorEastAsia" w:hAnsiTheme="minorEastAsia" w:cs="Arial" w:hint="eastAsia"/>
          <w:kern w:val="0"/>
          <w:sz w:val="24"/>
          <w:szCs w:val="24"/>
        </w:rPr>
        <w:t>价值精选</w:t>
      </w:r>
      <w:r>
        <w:rPr>
          <w:rFonts w:asciiTheme="minorEastAsia" w:hAnsiTheme="minorEastAsia" w:cs="Arial"/>
          <w:kern w:val="0"/>
          <w:sz w:val="24"/>
          <w:szCs w:val="24"/>
        </w:rPr>
        <w:t>灵活配置混合型</w:t>
      </w:r>
      <w:r>
        <w:rPr>
          <w:rFonts w:asciiTheme="minorEastAsia" w:hAnsiTheme="minorEastAsia" w:cs="Arial" w:hint="eastAsia"/>
          <w:kern w:val="0"/>
          <w:sz w:val="24"/>
          <w:szCs w:val="24"/>
        </w:rPr>
        <w:t>发起式</w:t>
      </w:r>
      <w:r>
        <w:rPr>
          <w:rFonts w:asciiTheme="minorEastAsia" w:hAnsiTheme="minorEastAsia" w:cs="Arial"/>
          <w:kern w:val="0"/>
          <w:sz w:val="24"/>
          <w:szCs w:val="24"/>
        </w:rPr>
        <w:t xml:space="preserve">证券投资基金基金合同》 </w:t>
      </w:r>
    </w:p>
    <w:p w14:paraId="6AE57D84"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（三）《富荣</w:t>
      </w:r>
      <w:r>
        <w:rPr>
          <w:rFonts w:asciiTheme="minorEastAsia" w:hAnsiTheme="minorEastAsia" w:cs="Arial" w:hint="eastAsia"/>
          <w:kern w:val="0"/>
          <w:sz w:val="24"/>
          <w:szCs w:val="24"/>
        </w:rPr>
        <w:t>价值精选</w:t>
      </w:r>
      <w:r>
        <w:rPr>
          <w:rFonts w:asciiTheme="minorEastAsia" w:hAnsiTheme="minorEastAsia" w:cs="Arial"/>
          <w:kern w:val="0"/>
          <w:sz w:val="24"/>
          <w:szCs w:val="24"/>
        </w:rPr>
        <w:t>灵活配置混合型</w:t>
      </w:r>
      <w:r>
        <w:rPr>
          <w:rFonts w:asciiTheme="minorEastAsia" w:hAnsiTheme="minorEastAsia" w:cs="Arial" w:hint="eastAsia"/>
          <w:kern w:val="0"/>
          <w:sz w:val="24"/>
          <w:szCs w:val="24"/>
        </w:rPr>
        <w:t>发起式</w:t>
      </w:r>
      <w:r>
        <w:rPr>
          <w:rFonts w:asciiTheme="minorEastAsia" w:hAnsiTheme="minorEastAsia" w:cs="Arial"/>
          <w:kern w:val="0"/>
          <w:sz w:val="24"/>
          <w:szCs w:val="24"/>
        </w:rPr>
        <w:t xml:space="preserve">证券投资基金托管协议》 </w:t>
      </w:r>
    </w:p>
    <w:p w14:paraId="010D319C"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7234E80A"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72B6B494"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w:t>
      </w:r>
      <w:r>
        <w:rPr>
          <w:rFonts w:asciiTheme="minorEastAsia" w:hAnsiTheme="minorEastAsia" w:cs="Arial" w:hint="eastAsia"/>
          <w:kern w:val="0"/>
          <w:sz w:val="24"/>
          <w:szCs w:val="24"/>
        </w:rPr>
        <w:t>价值精选</w:t>
      </w:r>
      <w:r>
        <w:rPr>
          <w:rFonts w:asciiTheme="minorEastAsia" w:hAnsiTheme="minorEastAsia" w:cs="Arial"/>
          <w:kern w:val="0"/>
          <w:sz w:val="24"/>
          <w:szCs w:val="24"/>
        </w:rPr>
        <w:t>灵活配置混合型</w:t>
      </w:r>
      <w:r>
        <w:rPr>
          <w:rFonts w:asciiTheme="minorEastAsia" w:hAnsiTheme="minorEastAsia" w:cs="Arial" w:hint="eastAsia"/>
          <w:kern w:val="0"/>
          <w:sz w:val="24"/>
          <w:szCs w:val="24"/>
        </w:rPr>
        <w:t>发起式</w:t>
      </w:r>
      <w:r>
        <w:rPr>
          <w:rFonts w:asciiTheme="minorEastAsia" w:hAnsiTheme="minorEastAsia" w:cs="Arial"/>
          <w:kern w:val="0"/>
          <w:sz w:val="24"/>
          <w:szCs w:val="24"/>
        </w:rPr>
        <w:t>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663A7B30"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6C94D027" w14:textId="77777777" w:rsidR="00D51FDF" w:rsidRDefault="007F75F6">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240261B4" w14:textId="77777777" w:rsidR="00D51FDF" w:rsidRDefault="00D51FDF">
      <w:pPr>
        <w:rPr>
          <w:rFonts w:asciiTheme="minorEastAsia" w:hAnsiTheme="minorEastAsia" w:cs="Arial"/>
          <w:szCs w:val="21"/>
        </w:rPr>
      </w:pPr>
    </w:p>
    <w:p w14:paraId="0A6B01D9" w14:textId="77777777" w:rsidR="00D51FDF" w:rsidRDefault="00D51FDF">
      <w:pPr>
        <w:widowControl/>
        <w:adjustRightInd w:val="0"/>
        <w:snapToGrid w:val="0"/>
        <w:spacing w:line="360" w:lineRule="auto"/>
        <w:ind w:rightChars="-85" w:right="-178"/>
        <w:jc w:val="right"/>
        <w:rPr>
          <w:rFonts w:asciiTheme="minorEastAsia" w:hAnsiTheme="minorEastAsia" w:cs="Arial"/>
          <w:szCs w:val="21"/>
        </w:rPr>
      </w:pPr>
    </w:p>
    <w:p w14:paraId="463291F0" w14:textId="77777777" w:rsidR="00D51FDF" w:rsidRDefault="00D51FDF">
      <w:pPr>
        <w:widowControl/>
        <w:adjustRightInd w:val="0"/>
        <w:snapToGrid w:val="0"/>
        <w:spacing w:line="360" w:lineRule="auto"/>
        <w:ind w:rightChars="-85" w:right="-178"/>
        <w:jc w:val="right"/>
        <w:rPr>
          <w:rFonts w:asciiTheme="minorEastAsia" w:hAnsiTheme="minorEastAsia" w:cs="Arial"/>
          <w:szCs w:val="21"/>
        </w:rPr>
      </w:pPr>
    </w:p>
    <w:p w14:paraId="1D156F31" w14:textId="77777777" w:rsidR="00D51FDF" w:rsidRDefault="00D51FDF">
      <w:pPr>
        <w:widowControl/>
        <w:adjustRightInd w:val="0"/>
        <w:snapToGrid w:val="0"/>
        <w:spacing w:line="360" w:lineRule="auto"/>
        <w:ind w:rightChars="-85" w:right="-178"/>
        <w:jc w:val="right"/>
        <w:rPr>
          <w:rFonts w:asciiTheme="minorEastAsia" w:hAnsiTheme="minorEastAsia" w:cs="Arial"/>
          <w:szCs w:val="21"/>
        </w:rPr>
      </w:pPr>
    </w:p>
    <w:p w14:paraId="5A577DD2" w14:textId="77777777" w:rsidR="00D51FDF" w:rsidRDefault="00D51FDF">
      <w:pPr>
        <w:widowControl/>
        <w:adjustRightInd w:val="0"/>
        <w:snapToGrid w:val="0"/>
        <w:spacing w:line="360" w:lineRule="auto"/>
        <w:ind w:rightChars="-85" w:right="-178"/>
        <w:jc w:val="right"/>
        <w:rPr>
          <w:rFonts w:asciiTheme="minorEastAsia" w:hAnsiTheme="minorEastAsia" w:cs="Arial"/>
          <w:szCs w:val="21"/>
        </w:rPr>
      </w:pPr>
    </w:p>
    <w:p w14:paraId="6982C504" w14:textId="77777777" w:rsidR="00D51FDF" w:rsidRDefault="007F75F6">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富荣基金管理有限公司</w:t>
      </w:r>
      <w:r>
        <w:rPr>
          <w:rFonts w:asciiTheme="minorEastAsia" w:hAnsiTheme="minorEastAsia" w:cs="Arial"/>
          <w:kern w:val="0"/>
          <w:sz w:val="24"/>
          <w:szCs w:val="24"/>
        </w:rPr>
        <w:t xml:space="preserve"> </w:t>
      </w:r>
    </w:p>
    <w:p w14:paraId="58CD2197" w14:textId="7611BA20" w:rsidR="00D51FDF" w:rsidRDefault="00442A67">
      <w:pPr>
        <w:widowControl/>
        <w:adjustRightInd w:val="0"/>
        <w:snapToGrid w:val="0"/>
        <w:spacing w:line="360" w:lineRule="auto"/>
        <w:ind w:rightChars="-85" w:right="-178"/>
        <w:jc w:val="right"/>
        <w:rPr>
          <w:rFonts w:asciiTheme="minorEastAsia" w:hAnsiTheme="minorEastAsia"/>
        </w:rPr>
      </w:pPr>
      <w:r>
        <w:rPr>
          <w:rFonts w:asciiTheme="minorEastAsia" w:hAnsiTheme="minorEastAsia" w:cs="Arial"/>
          <w:kern w:val="0"/>
          <w:sz w:val="24"/>
          <w:szCs w:val="24"/>
        </w:rPr>
        <w:t>202</w:t>
      </w:r>
      <w:r>
        <w:rPr>
          <w:rFonts w:asciiTheme="minorEastAsia" w:hAnsiTheme="minorEastAsia" w:cs="Arial" w:hint="eastAsia"/>
          <w:kern w:val="0"/>
          <w:sz w:val="24"/>
          <w:szCs w:val="24"/>
        </w:rPr>
        <w:t>1</w:t>
      </w:r>
      <w:r>
        <w:rPr>
          <w:rFonts w:asciiTheme="minorEastAsia" w:hAnsiTheme="minorEastAsia" w:cs="Arial"/>
          <w:kern w:val="0"/>
          <w:sz w:val="24"/>
          <w:szCs w:val="24"/>
        </w:rPr>
        <w:t>年11</w:t>
      </w:r>
      <w:r>
        <w:rPr>
          <w:rFonts w:asciiTheme="minorEastAsia" w:hAnsiTheme="minorEastAsia" w:cs="Arial" w:hint="eastAsia"/>
          <w:kern w:val="0"/>
          <w:sz w:val="24"/>
          <w:szCs w:val="24"/>
        </w:rPr>
        <w:t>月</w:t>
      </w:r>
      <w:r>
        <w:rPr>
          <w:rFonts w:asciiTheme="minorEastAsia" w:hAnsiTheme="minorEastAsia" w:cs="Arial"/>
          <w:kern w:val="0"/>
          <w:sz w:val="24"/>
          <w:szCs w:val="24"/>
        </w:rPr>
        <w:t>29</w:t>
      </w:r>
      <w:r w:rsidR="00745240">
        <w:rPr>
          <w:rFonts w:asciiTheme="minorEastAsia" w:hAnsiTheme="minorEastAsia" w:cs="Arial" w:hint="eastAsia"/>
          <w:kern w:val="0"/>
          <w:sz w:val="24"/>
          <w:szCs w:val="24"/>
        </w:rPr>
        <w:t>日</w:t>
      </w:r>
    </w:p>
    <w:sectPr w:rsidR="00D51FDF">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4137" w14:textId="77777777" w:rsidR="006B432B" w:rsidRDefault="006B432B">
      <w:r>
        <w:separator/>
      </w:r>
    </w:p>
  </w:endnote>
  <w:endnote w:type="continuationSeparator" w:id="0">
    <w:p w14:paraId="4B898351" w14:textId="77777777" w:rsidR="006B432B" w:rsidRDefault="006B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微软雅黑"/>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46731"/>
      <w:docPartObj>
        <w:docPartGallery w:val="AutoText"/>
      </w:docPartObj>
    </w:sdtPr>
    <w:sdtEndPr/>
    <w:sdtContent>
      <w:p w14:paraId="53ED7400" w14:textId="77777777" w:rsidR="00C81E56" w:rsidRDefault="00C81E56">
        <w:pPr>
          <w:pStyle w:val="ae"/>
          <w:ind w:firstLine="480"/>
          <w:jc w:val="center"/>
        </w:pPr>
        <w:r>
          <w:fldChar w:fldCharType="begin"/>
        </w:r>
        <w:r>
          <w:instrText>PAGE   \* MERGEFORMAT</w:instrText>
        </w:r>
        <w:r>
          <w:fldChar w:fldCharType="separate"/>
        </w:r>
        <w:r w:rsidR="008B14FB" w:rsidRPr="008B14FB">
          <w:rPr>
            <w:noProof/>
            <w:lang w:val="zh-CN"/>
          </w:rPr>
          <w:t>2</w:t>
        </w:r>
        <w:r>
          <w:fldChar w:fldCharType="end"/>
        </w:r>
      </w:p>
    </w:sdtContent>
  </w:sdt>
  <w:p w14:paraId="57880362" w14:textId="77777777" w:rsidR="00C81E56" w:rsidRDefault="00C81E5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3197" w14:textId="77777777" w:rsidR="00C81E56" w:rsidRDefault="00C81E56">
    <w:pPr>
      <w:pStyle w:val="ae"/>
      <w:ind w:firstLine="480"/>
      <w:jc w:val="center"/>
    </w:pPr>
  </w:p>
  <w:p w14:paraId="0A6957CF" w14:textId="77777777" w:rsidR="00C81E56" w:rsidRDefault="00C81E5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45397"/>
      <w:docPartObj>
        <w:docPartGallery w:val="AutoText"/>
      </w:docPartObj>
    </w:sdtPr>
    <w:sdtEndPr/>
    <w:sdtContent>
      <w:p w14:paraId="130DF5C3" w14:textId="77777777" w:rsidR="00C81E56" w:rsidRDefault="00C81E56">
        <w:pPr>
          <w:pStyle w:val="ae"/>
          <w:ind w:firstLine="480"/>
          <w:jc w:val="center"/>
        </w:pPr>
        <w:r>
          <w:fldChar w:fldCharType="begin"/>
        </w:r>
        <w:r>
          <w:instrText>PAGE   \* MERGEFORMAT</w:instrText>
        </w:r>
        <w:r>
          <w:fldChar w:fldCharType="separate"/>
        </w:r>
        <w:r>
          <w:rPr>
            <w:lang w:val="zh-CN"/>
          </w:rPr>
          <w:t>4</w:t>
        </w:r>
        <w:r>
          <w:fldChar w:fldCharType="end"/>
        </w:r>
      </w:p>
    </w:sdtContent>
  </w:sdt>
  <w:p w14:paraId="1999EC6B" w14:textId="77777777" w:rsidR="00C81E56" w:rsidRDefault="00C81E5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B7C9" w14:textId="77777777" w:rsidR="00C81E56" w:rsidRDefault="00C81E56">
    <w:pPr>
      <w:pStyle w:val="ae"/>
      <w:ind w:firstLine="480"/>
      <w:jc w:val="center"/>
    </w:pPr>
    <w:r>
      <w:rPr>
        <w:rFonts w:hint="eastAsia"/>
      </w:rPr>
      <w:t>4</w:t>
    </w:r>
  </w:p>
  <w:p w14:paraId="55C563BF" w14:textId="77777777" w:rsidR="00C81E56" w:rsidRDefault="00C81E56">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83474"/>
      <w:docPartObj>
        <w:docPartGallery w:val="AutoText"/>
      </w:docPartObj>
    </w:sdtPr>
    <w:sdtEndPr/>
    <w:sdtContent>
      <w:p w14:paraId="1467021E" w14:textId="77777777" w:rsidR="00C81E56" w:rsidRDefault="00C81E56">
        <w:pPr>
          <w:pStyle w:val="ae"/>
          <w:ind w:firstLine="480"/>
          <w:jc w:val="center"/>
        </w:pPr>
        <w:r>
          <w:fldChar w:fldCharType="begin"/>
        </w:r>
        <w:r>
          <w:instrText>PAGE   \* MERGEFORMAT</w:instrText>
        </w:r>
        <w:r>
          <w:fldChar w:fldCharType="separate"/>
        </w:r>
        <w:r w:rsidR="008B14FB" w:rsidRPr="008B14FB">
          <w:rPr>
            <w:noProof/>
            <w:lang w:val="zh-CN"/>
          </w:rPr>
          <w:t>67</w:t>
        </w:r>
        <w:r>
          <w:fldChar w:fldCharType="end"/>
        </w:r>
      </w:p>
    </w:sdtContent>
  </w:sdt>
  <w:p w14:paraId="4EC9034D" w14:textId="77777777" w:rsidR="00C81E56" w:rsidRDefault="00C81E56">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96CB" w14:textId="77777777" w:rsidR="00C81E56" w:rsidRDefault="00C81E56">
    <w:pPr>
      <w:pStyle w:val="ae"/>
      <w:framePr w:wrap="around" w:vAnchor="text" w:hAnchor="margin" w:xAlign="center" w:yAlign="top"/>
    </w:pPr>
    <w:r>
      <w:fldChar w:fldCharType="begin"/>
    </w:r>
    <w:r>
      <w:instrText>PAGE   \* MERGEFORMAT</w:instrText>
    </w:r>
    <w:r>
      <w:fldChar w:fldCharType="separate"/>
    </w:r>
    <w:r w:rsidR="008B14FB" w:rsidRPr="008B14FB">
      <w:rPr>
        <w:noProof/>
        <w:lang w:val="zh-CN"/>
      </w:rPr>
      <w:t>71</w:t>
    </w:r>
    <w:r>
      <w:rPr>
        <w:lang w:val="zh-CN"/>
      </w:rPr>
      <w:fldChar w:fldCharType="end"/>
    </w:r>
  </w:p>
  <w:p w14:paraId="1D1CB786" w14:textId="77777777" w:rsidR="00C81E56" w:rsidRDefault="00C81E56">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433F" w14:textId="77777777" w:rsidR="00C81E56" w:rsidRDefault="00C81E56">
    <w:pPr>
      <w:pStyle w:val="ae"/>
      <w:framePr w:wrap="around" w:vAnchor="text" w:hAnchor="margin" w:xAlign="center" w:yAlign="top"/>
    </w:pPr>
    <w:r>
      <w:fldChar w:fldCharType="begin"/>
    </w:r>
    <w:r>
      <w:instrText>PAGE   \* MERGEFORMAT</w:instrText>
    </w:r>
    <w:r>
      <w:fldChar w:fldCharType="separate"/>
    </w:r>
    <w:r w:rsidR="008B14FB" w:rsidRPr="008B14FB">
      <w:rPr>
        <w:noProof/>
        <w:lang w:val="zh-CN"/>
      </w:rPr>
      <w:t>99</w:t>
    </w:r>
    <w:r>
      <w:rPr>
        <w:lang w:val="zh-CN"/>
      </w:rPr>
      <w:fldChar w:fldCharType="end"/>
    </w:r>
  </w:p>
  <w:p w14:paraId="0A2DCCE3" w14:textId="77777777" w:rsidR="00C81E56" w:rsidRDefault="00C81E56">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06934"/>
      <w:docPartObj>
        <w:docPartGallery w:val="AutoText"/>
      </w:docPartObj>
    </w:sdtPr>
    <w:sdtEndPr/>
    <w:sdtContent>
      <w:p w14:paraId="6E45FACE" w14:textId="77777777" w:rsidR="00C81E56" w:rsidRDefault="00C81E56">
        <w:pPr>
          <w:pStyle w:val="ae"/>
          <w:jc w:val="center"/>
        </w:pPr>
        <w:r>
          <w:rPr>
            <w:lang w:val="zh-CN"/>
          </w:rPr>
          <w:fldChar w:fldCharType="begin"/>
        </w:r>
        <w:r>
          <w:rPr>
            <w:lang w:val="zh-CN"/>
          </w:rPr>
          <w:instrText>PAGE   \* MERGEFORMAT</w:instrText>
        </w:r>
        <w:r>
          <w:rPr>
            <w:lang w:val="zh-CN"/>
          </w:rPr>
          <w:fldChar w:fldCharType="separate"/>
        </w:r>
        <w:r w:rsidR="008B14FB">
          <w:rPr>
            <w:noProof/>
            <w:lang w:val="zh-CN"/>
          </w:rPr>
          <w:t>126</w:t>
        </w:r>
        <w:r>
          <w:rPr>
            <w:lang w:val="zh-CN"/>
          </w:rPr>
          <w:fldChar w:fldCharType="end"/>
        </w:r>
      </w:p>
    </w:sdtContent>
  </w:sdt>
  <w:p w14:paraId="0DB392EC" w14:textId="77777777" w:rsidR="00C81E56" w:rsidRDefault="00C81E5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9B72" w14:textId="77777777" w:rsidR="006B432B" w:rsidRDefault="006B432B">
      <w:r>
        <w:separator/>
      </w:r>
    </w:p>
  </w:footnote>
  <w:footnote w:type="continuationSeparator" w:id="0">
    <w:p w14:paraId="2A6F62E2" w14:textId="77777777" w:rsidR="006B432B" w:rsidRDefault="006B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DD" w14:textId="719BF95F" w:rsidR="00C81E56" w:rsidRDefault="00C81E56">
    <w:pPr>
      <w:pStyle w:val="af0"/>
      <w:jc w:val="both"/>
    </w:pPr>
    <w:r>
      <w:rPr>
        <w:rFonts w:ascii="Arial" w:hAnsi="Arial" w:cs="Arial" w:hint="eastAsia"/>
        <w:szCs w:val="21"/>
      </w:rPr>
      <w:t>富荣价值精选灵活配置混合型发起式证券投资基金更新的</w:t>
    </w:r>
    <w:r>
      <w:rPr>
        <w:rFonts w:hint="eastAsia"/>
      </w:rPr>
      <w:t>招募说明书（</w:t>
    </w:r>
    <w:r>
      <w:rPr>
        <w:rFonts w:hint="eastAsia"/>
      </w:rPr>
      <w:t>2021</w:t>
    </w:r>
    <w:r>
      <w:rPr>
        <w:rFonts w:hint="eastAsia"/>
      </w:rPr>
      <w:t>年第</w:t>
    </w:r>
    <w:r>
      <w:t>4</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3E72DE0"/>
    <w:multiLevelType w:val="multilevel"/>
    <w:tmpl w:val="13E72DE0"/>
    <w:lvl w:ilvl="0">
      <w:start w:val="15"/>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371C5F18"/>
    <w:multiLevelType w:val="multilevel"/>
    <w:tmpl w:val="371C5F18"/>
    <w:lvl w:ilvl="0">
      <w:start w:val="5"/>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62CC"/>
    <w:rsid w:val="0000336D"/>
    <w:rsid w:val="00004732"/>
    <w:rsid w:val="00011E0C"/>
    <w:rsid w:val="000150A1"/>
    <w:rsid w:val="00016B2F"/>
    <w:rsid w:val="00021C6F"/>
    <w:rsid w:val="00024B31"/>
    <w:rsid w:val="00026A47"/>
    <w:rsid w:val="000274AA"/>
    <w:rsid w:val="00032C15"/>
    <w:rsid w:val="000430A8"/>
    <w:rsid w:val="00043AE3"/>
    <w:rsid w:val="000455CE"/>
    <w:rsid w:val="000507C1"/>
    <w:rsid w:val="00050E32"/>
    <w:rsid w:val="0005270F"/>
    <w:rsid w:val="00053112"/>
    <w:rsid w:val="00053E67"/>
    <w:rsid w:val="00054605"/>
    <w:rsid w:val="00055889"/>
    <w:rsid w:val="0006090B"/>
    <w:rsid w:val="00061EFE"/>
    <w:rsid w:val="00062C1B"/>
    <w:rsid w:val="000650B0"/>
    <w:rsid w:val="00065EB8"/>
    <w:rsid w:val="000663FF"/>
    <w:rsid w:val="00066597"/>
    <w:rsid w:val="0006698E"/>
    <w:rsid w:val="00066B84"/>
    <w:rsid w:val="00072066"/>
    <w:rsid w:val="00072466"/>
    <w:rsid w:val="00076E9C"/>
    <w:rsid w:val="00081309"/>
    <w:rsid w:val="000817BB"/>
    <w:rsid w:val="00084A9D"/>
    <w:rsid w:val="00092FE3"/>
    <w:rsid w:val="00093B11"/>
    <w:rsid w:val="00093D7B"/>
    <w:rsid w:val="0009505B"/>
    <w:rsid w:val="0009610D"/>
    <w:rsid w:val="0009673F"/>
    <w:rsid w:val="00096D0E"/>
    <w:rsid w:val="000A1798"/>
    <w:rsid w:val="000A2809"/>
    <w:rsid w:val="000A69B9"/>
    <w:rsid w:val="000B0075"/>
    <w:rsid w:val="000B4DA0"/>
    <w:rsid w:val="000B5803"/>
    <w:rsid w:val="000B6836"/>
    <w:rsid w:val="000B720D"/>
    <w:rsid w:val="000B7428"/>
    <w:rsid w:val="000B7ACE"/>
    <w:rsid w:val="000C03FC"/>
    <w:rsid w:val="000C2F75"/>
    <w:rsid w:val="000C3020"/>
    <w:rsid w:val="000C3486"/>
    <w:rsid w:val="000C36FD"/>
    <w:rsid w:val="000C4C8F"/>
    <w:rsid w:val="000C4F1C"/>
    <w:rsid w:val="000D30A2"/>
    <w:rsid w:val="000D3337"/>
    <w:rsid w:val="000E1E9B"/>
    <w:rsid w:val="000E20A4"/>
    <w:rsid w:val="000E3D34"/>
    <w:rsid w:val="000E4187"/>
    <w:rsid w:val="000E61A1"/>
    <w:rsid w:val="000F3B70"/>
    <w:rsid w:val="000F4000"/>
    <w:rsid w:val="000F517B"/>
    <w:rsid w:val="000F5C40"/>
    <w:rsid w:val="000F63F5"/>
    <w:rsid w:val="000F7EFB"/>
    <w:rsid w:val="00102D5B"/>
    <w:rsid w:val="00103FEE"/>
    <w:rsid w:val="00104FBC"/>
    <w:rsid w:val="00106CD5"/>
    <w:rsid w:val="00112442"/>
    <w:rsid w:val="00112609"/>
    <w:rsid w:val="001139E4"/>
    <w:rsid w:val="0012019B"/>
    <w:rsid w:val="0012385A"/>
    <w:rsid w:val="00127ED5"/>
    <w:rsid w:val="00132839"/>
    <w:rsid w:val="001369D9"/>
    <w:rsid w:val="00145063"/>
    <w:rsid w:val="00147C35"/>
    <w:rsid w:val="00151C83"/>
    <w:rsid w:val="00155A76"/>
    <w:rsid w:val="001609F9"/>
    <w:rsid w:val="001635EE"/>
    <w:rsid w:val="00164AA0"/>
    <w:rsid w:val="00166406"/>
    <w:rsid w:val="0016706A"/>
    <w:rsid w:val="00170FF1"/>
    <w:rsid w:val="001714F2"/>
    <w:rsid w:val="001745C9"/>
    <w:rsid w:val="001761C3"/>
    <w:rsid w:val="0017639F"/>
    <w:rsid w:val="00176863"/>
    <w:rsid w:val="00181F45"/>
    <w:rsid w:val="00184AAE"/>
    <w:rsid w:val="00184E9F"/>
    <w:rsid w:val="001854C5"/>
    <w:rsid w:val="00185516"/>
    <w:rsid w:val="00185938"/>
    <w:rsid w:val="0019452F"/>
    <w:rsid w:val="001A0D71"/>
    <w:rsid w:val="001A1315"/>
    <w:rsid w:val="001A285B"/>
    <w:rsid w:val="001A2D0B"/>
    <w:rsid w:val="001A3539"/>
    <w:rsid w:val="001A57C5"/>
    <w:rsid w:val="001A7D7C"/>
    <w:rsid w:val="001B0514"/>
    <w:rsid w:val="001B101B"/>
    <w:rsid w:val="001B1C13"/>
    <w:rsid w:val="001B5810"/>
    <w:rsid w:val="001B598D"/>
    <w:rsid w:val="001B716E"/>
    <w:rsid w:val="001C09C6"/>
    <w:rsid w:val="001C404F"/>
    <w:rsid w:val="001D0482"/>
    <w:rsid w:val="001D27DE"/>
    <w:rsid w:val="001E05E8"/>
    <w:rsid w:val="001F141D"/>
    <w:rsid w:val="001F2A1F"/>
    <w:rsid w:val="001F32BF"/>
    <w:rsid w:val="001F54F5"/>
    <w:rsid w:val="001F7512"/>
    <w:rsid w:val="00201AB5"/>
    <w:rsid w:val="002043E7"/>
    <w:rsid w:val="002078F3"/>
    <w:rsid w:val="00207CD5"/>
    <w:rsid w:val="0021721F"/>
    <w:rsid w:val="00217833"/>
    <w:rsid w:val="00224EE1"/>
    <w:rsid w:val="0022597A"/>
    <w:rsid w:val="00227859"/>
    <w:rsid w:val="00231927"/>
    <w:rsid w:val="002328EA"/>
    <w:rsid w:val="00235EB6"/>
    <w:rsid w:val="0023618C"/>
    <w:rsid w:val="00241ACA"/>
    <w:rsid w:val="002430FE"/>
    <w:rsid w:val="00246E9E"/>
    <w:rsid w:val="002507FE"/>
    <w:rsid w:val="0025184A"/>
    <w:rsid w:val="0025398C"/>
    <w:rsid w:val="002601E9"/>
    <w:rsid w:val="00260AE0"/>
    <w:rsid w:val="00261DFD"/>
    <w:rsid w:val="00263BCA"/>
    <w:rsid w:val="00266A12"/>
    <w:rsid w:val="002701CE"/>
    <w:rsid w:val="00272F3A"/>
    <w:rsid w:val="00276D75"/>
    <w:rsid w:val="00277B52"/>
    <w:rsid w:val="00277C25"/>
    <w:rsid w:val="00283A8E"/>
    <w:rsid w:val="00283F15"/>
    <w:rsid w:val="002863C8"/>
    <w:rsid w:val="00291943"/>
    <w:rsid w:val="00291A58"/>
    <w:rsid w:val="002930FF"/>
    <w:rsid w:val="002966EC"/>
    <w:rsid w:val="002A16E2"/>
    <w:rsid w:val="002A1DD0"/>
    <w:rsid w:val="002A2755"/>
    <w:rsid w:val="002A6E10"/>
    <w:rsid w:val="002B01D8"/>
    <w:rsid w:val="002B1C1D"/>
    <w:rsid w:val="002B5B57"/>
    <w:rsid w:val="002B64A8"/>
    <w:rsid w:val="002C438F"/>
    <w:rsid w:val="002C76BD"/>
    <w:rsid w:val="002D32E2"/>
    <w:rsid w:val="002D3F7D"/>
    <w:rsid w:val="002E0C82"/>
    <w:rsid w:val="002E28B6"/>
    <w:rsid w:val="002E342B"/>
    <w:rsid w:val="002E3582"/>
    <w:rsid w:val="002E7690"/>
    <w:rsid w:val="002F0AEB"/>
    <w:rsid w:val="002F2BD8"/>
    <w:rsid w:val="002F6411"/>
    <w:rsid w:val="00305E29"/>
    <w:rsid w:val="00306BFF"/>
    <w:rsid w:val="003155E3"/>
    <w:rsid w:val="00315D57"/>
    <w:rsid w:val="003176A9"/>
    <w:rsid w:val="00325C25"/>
    <w:rsid w:val="00326A72"/>
    <w:rsid w:val="00327DF4"/>
    <w:rsid w:val="003302BA"/>
    <w:rsid w:val="0033271C"/>
    <w:rsid w:val="0033347C"/>
    <w:rsid w:val="00333E36"/>
    <w:rsid w:val="0033442F"/>
    <w:rsid w:val="00344461"/>
    <w:rsid w:val="00345DE8"/>
    <w:rsid w:val="003461C7"/>
    <w:rsid w:val="003464D5"/>
    <w:rsid w:val="00351953"/>
    <w:rsid w:val="00352C16"/>
    <w:rsid w:val="00353591"/>
    <w:rsid w:val="00353F95"/>
    <w:rsid w:val="00354A44"/>
    <w:rsid w:val="00355537"/>
    <w:rsid w:val="0036061B"/>
    <w:rsid w:val="00365C58"/>
    <w:rsid w:val="0036697D"/>
    <w:rsid w:val="00370B4F"/>
    <w:rsid w:val="00371ED5"/>
    <w:rsid w:val="00375C35"/>
    <w:rsid w:val="00376E37"/>
    <w:rsid w:val="00377542"/>
    <w:rsid w:val="00380935"/>
    <w:rsid w:val="003833E8"/>
    <w:rsid w:val="00386041"/>
    <w:rsid w:val="00386A86"/>
    <w:rsid w:val="00390719"/>
    <w:rsid w:val="00391FB0"/>
    <w:rsid w:val="003928DF"/>
    <w:rsid w:val="003962D5"/>
    <w:rsid w:val="003A1C92"/>
    <w:rsid w:val="003A3022"/>
    <w:rsid w:val="003A4E3D"/>
    <w:rsid w:val="003A6148"/>
    <w:rsid w:val="003A733C"/>
    <w:rsid w:val="003B2407"/>
    <w:rsid w:val="003B2551"/>
    <w:rsid w:val="003B374D"/>
    <w:rsid w:val="003B57AF"/>
    <w:rsid w:val="003B7EDE"/>
    <w:rsid w:val="003C0A28"/>
    <w:rsid w:val="003C1CB8"/>
    <w:rsid w:val="003C3BD4"/>
    <w:rsid w:val="003C4E68"/>
    <w:rsid w:val="003D1A4B"/>
    <w:rsid w:val="003D32C5"/>
    <w:rsid w:val="003D3849"/>
    <w:rsid w:val="003D4F54"/>
    <w:rsid w:val="003E586C"/>
    <w:rsid w:val="003F024E"/>
    <w:rsid w:val="003F0D6B"/>
    <w:rsid w:val="003F1645"/>
    <w:rsid w:val="003F2C03"/>
    <w:rsid w:val="003F7179"/>
    <w:rsid w:val="003F71D3"/>
    <w:rsid w:val="00400AA5"/>
    <w:rsid w:val="00402349"/>
    <w:rsid w:val="00402AAC"/>
    <w:rsid w:val="00403596"/>
    <w:rsid w:val="004035DC"/>
    <w:rsid w:val="004052E3"/>
    <w:rsid w:val="0040539D"/>
    <w:rsid w:val="0040624D"/>
    <w:rsid w:val="00412850"/>
    <w:rsid w:val="00413B26"/>
    <w:rsid w:val="00414725"/>
    <w:rsid w:val="00416668"/>
    <w:rsid w:val="00416A03"/>
    <w:rsid w:val="00417728"/>
    <w:rsid w:val="0042035F"/>
    <w:rsid w:val="00422E65"/>
    <w:rsid w:val="0042516E"/>
    <w:rsid w:val="004254CB"/>
    <w:rsid w:val="00427D57"/>
    <w:rsid w:val="00432722"/>
    <w:rsid w:val="004334EC"/>
    <w:rsid w:val="00434ACE"/>
    <w:rsid w:val="004419FB"/>
    <w:rsid w:val="00442A67"/>
    <w:rsid w:val="00461473"/>
    <w:rsid w:val="00463AC0"/>
    <w:rsid w:val="00463D15"/>
    <w:rsid w:val="00464BCE"/>
    <w:rsid w:val="004657EA"/>
    <w:rsid w:val="00465C8A"/>
    <w:rsid w:val="00467F0E"/>
    <w:rsid w:val="00470701"/>
    <w:rsid w:val="00473EA4"/>
    <w:rsid w:val="004822FB"/>
    <w:rsid w:val="004834EF"/>
    <w:rsid w:val="00483D3C"/>
    <w:rsid w:val="00484FCF"/>
    <w:rsid w:val="0048715E"/>
    <w:rsid w:val="00487357"/>
    <w:rsid w:val="00490DD3"/>
    <w:rsid w:val="00494FA6"/>
    <w:rsid w:val="0049564D"/>
    <w:rsid w:val="00496A47"/>
    <w:rsid w:val="004A5A91"/>
    <w:rsid w:val="004B0F4A"/>
    <w:rsid w:val="004B2459"/>
    <w:rsid w:val="004B61B4"/>
    <w:rsid w:val="004C16D4"/>
    <w:rsid w:val="004C27F1"/>
    <w:rsid w:val="004C30FA"/>
    <w:rsid w:val="004C4A0F"/>
    <w:rsid w:val="004D1FF5"/>
    <w:rsid w:val="004D2D86"/>
    <w:rsid w:val="004D3208"/>
    <w:rsid w:val="004D35D9"/>
    <w:rsid w:val="004D4F37"/>
    <w:rsid w:val="004D5234"/>
    <w:rsid w:val="004D73CA"/>
    <w:rsid w:val="004D7A1C"/>
    <w:rsid w:val="004E01D2"/>
    <w:rsid w:val="004E08FD"/>
    <w:rsid w:val="004F02E3"/>
    <w:rsid w:val="004F4811"/>
    <w:rsid w:val="004F4E5A"/>
    <w:rsid w:val="004F7007"/>
    <w:rsid w:val="005043F9"/>
    <w:rsid w:val="00506A9D"/>
    <w:rsid w:val="00513F87"/>
    <w:rsid w:val="00517167"/>
    <w:rsid w:val="00520016"/>
    <w:rsid w:val="005266D4"/>
    <w:rsid w:val="005319C9"/>
    <w:rsid w:val="0053240F"/>
    <w:rsid w:val="0053404F"/>
    <w:rsid w:val="00535D0B"/>
    <w:rsid w:val="00540285"/>
    <w:rsid w:val="005435FB"/>
    <w:rsid w:val="00545D94"/>
    <w:rsid w:val="00552750"/>
    <w:rsid w:val="005529D4"/>
    <w:rsid w:val="00555BA2"/>
    <w:rsid w:val="00555FC6"/>
    <w:rsid w:val="0055734F"/>
    <w:rsid w:val="005605F3"/>
    <w:rsid w:val="005622B6"/>
    <w:rsid w:val="005677AD"/>
    <w:rsid w:val="0057089A"/>
    <w:rsid w:val="00571308"/>
    <w:rsid w:val="00572A69"/>
    <w:rsid w:val="005730A9"/>
    <w:rsid w:val="0057557F"/>
    <w:rsid w:val="0057704C"/>
    <w:rsid w:val="005803F4"/>
    <w:rsid w:val="00582AD6"/>
    <w:rsid w:val="00584632"/>
    <w:rsid w:val="00585A88"/>
    <w:rsid w:val="0059102D"/>
    <w:rsid w:val="005916C4"/>
    <w:rsid w:val="0059486A"/>
    <w:rsid w:val="005959F8"/>
    <w:rsid w:val="005978A8"/>
    <w:rsid w:val="00597B85"/>
    <w:rsid w:val="005A01FD"/>
    <w:rsid w:val="005A3605"/>
    <w:rsid w:val="005A4328"/>
    <w:rsid w:val="005A5043"/>
    <w:rsid w:val="005A7A85"/>
    <w:rsid w:val="005B1F69"/>
    <w:rsid w:val="005B6BF3"/>
    <w:rsid w:val="005B766D"/>
    <w:rsid w:val="005B7B20"/>
    <w:rsid w:val="005C5145"/>
    <w:rsid w:val="005C571F"/>
    <w:rsid w:val="005C673C"/>
    <w:rsid w:val="005D35FC"/>
    <w:rsid w:val="005E1B09"/>
    <w:rsid w:val="005E3E0E"/>
    <w:rsid w:val="005E6E2A"/>
    <w:rsid w:val="005F3AD5"/>
    <w:rsid w:val="005F62D9"/>
    <w:rsid w:val="00601DA1"/>
    <w:rsid w:val="006038C3"/>
    <w:rsid w:val="00604432"/>
    <w:rsid w:val="006076BB"/>
    <w:rsid w:val="00611CEA"/>
    <w:rsid w:val="006132D5"/>
    <w:rsid w:val="006140CC"/>
    <w:rsid w:val="0061438B"/>
    <w:rsid w:val="006153DD"/>
    <w:rsid w:val="00615CD7"/>
    <w:rsid w:val="00620D69"/>
    <w:rsid w:val="006212EC"/>
    <w:rsid w:val="00621F6A"/>
    <w:rsid w:val="006259CB"/>
    <w:rsid w:val="006271A9"/>
    <w:rsid w:val="00627DBF"/>
    <w:rsid w:val="00632249"/>
    <w:rsid w:val="00635709"/>
    <w:rsid w:val="006367A1"/>
    <w:rsid w:val="00637A2B"/>
    <w:rsid w:val="00641FD1"/>
    <w:rsid w:val="006424F1"/>
    <w:rsid w:val="0064649E"/>
    <w:rsid w:val="00646DF1"/>
    <w:rsid w:val="00647036"/>
    <w:rsid w:val="00655913"/>
    <w:rsid w:val="00656F9A"/>
    <w:rsid w:val="00657F83"/>
    <w:rsid w:val="006620BA"/>
    <w:rsid w:val="00662717"/>
    <w:rsid w:val="0066574C"/>
    <w:rsid w:val="006659FF"/>
    <w:rsid w:val="006662A1"/>
    <w:rsid w:val="006728E2"/>
    <w:rsid w:val="00672D23"/>
    <w:rsid w:val="00673746"/>
    <w:rsid w:val="00673BD7"/>
    <w:rsid w:val="006748D6"/>
    <w:rsid w:val="00675885"/>
    <w:rsid w:val="0068156F"/>
    <w:rsid w:val="006827D6"/>
    <w:rsid w:val="00683A2A"/>
    <w:rsid w:val="006845DD"/>
    <w:rsid w:val="006868A3"/>
    <w:rsid w:val="00693D69"/>
    <w:rsid w:val="006A1FB9"/>
    <w:rsid w:val="006A3AEA"/>
    <w:rsid w:val="006A609D"/>
    <w:rsid w:val="006A62A6"/>
    <w:rsid w:val="006B324A"/>
    <w:rsid w:val="006B432B"/>
    <w:rsid w:val="006B4BF7"/>
    <w:rsid w:val="006B5E4E"/>
    <w:rsid w:val="006B6C63"/>
    <w:rsid w:val="006B788D"/>
    <w:rsid w:val="006B7F3E"/>
    <w:rsid w:val="006C1EAC"/>
    <w:rsid w:val="006C2816"/>
    <w:rsid w:val="006C632A"/>
    <w:rsid w:val="006D0194"/>
    <w:rsid w:val="006D11CD"/>
    <w:rsid w:val="006D141E"/>
    <w:rsid w:val="006D3009"/>
    <w:rsid w:val="006D4512"/>
    <w:rsid w:val="006D6E03"/>
    <w:rsid w:val="006E2EE6"/>
    <w:rsid w:val="006E55E8"/>
    <w:rsid w:val="006F125E"/>
    <w:rsid w:val="006F1A6B"/>
    <w:rsid w:val="006F36D3"/>
    <w:rsid w:val="006F3C37"/>
    <w:rsid w:val="006F4638"/>
    <w:rsid w:val="0070083C"/>
    <w:rsid w:val="00702DD7"/>
    <w:rsid w:val="00704D7F"/>
    <w:rsid w:val="007066B5"/>
    <w:rsid w:val="007067A1"/>
    <w:rsid w:val="00710D35"/>
    <w:rsid w:val="0071127E"/>
    <w:rsid w:val="00716D3B"/>
    <w:rsid w:val="00722704"/>
    <w:rsid w:val="00724280"/>
    <w:rsid w:val="00732DA2"/>
    <w:rsid w:val="00736608"/>
    <w:rsid w:val="00740060"/>
    <w:rsid w:val="00740AC3"/>
    <w:rsid w:val="00740CBA"/>
    <w:rsid w:val="00742372"/>
    <w:rsid w:val="00743C6B"/>
    <w:rsid w:val="0074451C"/>
    <w:rsid w:val="0074463C"/>
    <w:rsid w:val="00745240"/>
    <w:rsid w:val="00750314"/>
    <w:rsid w:val="00750772"/>
    <w:rsid w:val="00756B2C"/>
    <w:rsid w:val="00766AC4"/>
    <w:rsid w:val="00766DBF"/>
    <w:rsid w:val="00767E9E"/>
    <w:rsid w:val="007715BB"/>
    <w:rsid w:val="00771C0C"/>
    <w:rsid w:val="00771D0E"/>
    <w:rsid w:val="007739EE"/>
    <w:rsid w:val="00773E87"/>
    <w:rsid w:val="007743FF"/>
    <w:rsid w:val="00775314"/>
    <w:rsid w:val="0077633A"/>
    <w:rsid w:val="00780A15"/>
    <w:rsid w:val="007817E9"/>
    <w:rsid w:val="007834A7"/>
    <w:rsid w:val="00785310"/>
    <w:rsid w:val="0079079D"/>
    <w:rsid w:val="00790E69"/>
    <w:rsid w:val="00790FC7"/>
    <w:rsid w:val="007929DD"/>
    <w:rsid w:val="00795893"/>
    <w:rsid w:val="00795A6A"/>
    <w:rsid w:val="00796CF5"/>
    <w:rsid w:val="007A1178"/>
    <w:rsid w:val="007A3778"/>
    <w:rsid w:val="007A57BE"/>
    <w:rsid w:val="007A659F"/>
    <w:rsid w:val="007A708A"/>
    <w:rsid w:val="007B0530"/>
    <w:rsid w:val="007B11A4"/>
    <w:rsid w:val="007B1A77"/>
    <w:rsid w:val="007B592B"/>
    <w:rsid w:val="007B7FC1"/>
    <w:rsid w:val="007C5BF3"/>
    <w:rsid w:val="007C7D83"/>
    <w:rsid w:val="007D3505"/>
    <w:rsid w:val="007D3B33"/>
    <w:rsid w:val="007D3F70"/>
    <w:rsid w:val="007D686F"/>
    <w:rsid w:val="007D76E3"/>
    <w:rsid w:val="007E0DDF"/>
    <w:rsid w:val="007E3643"/>
    <w:rsid w:val="007E6165"/>
    <w:rsid w:val="007E732A"/>
    <w:rsid w:val="007E7483"/>
    <w:rsid w:val="007F0F86"/>
    <w:rsid w:val="007F31C9"/>
    <w:rsid w:val="007F3452"/>
    <w:rsid w:val="007F610C"/>
    <w:rsid w:val="007F72A0"/>
    <w:rsid w:val="007F75F6"/>
    <w:rsid w:val="00805A71"/>
    <w:rsid w:val="008101DA"/>
    <w:rsid w:val="0081243C"/>
    <w:rsid w:val="00815169"/>
    <w:rsid w:val="008170B0"/>
    <w:rsid w:val="00817FFC"/>
    <w:rsid w:val="0082089D"/>
    <w:rsid w:val="00824022"/>
    <w:rsid w:val="00824FDE"/>
    <w:rsid w:val="008253FA"/>
    <w:rsid w:val="008262A6"/>
    <w:rsid w:val="00826E64"/>
    <w:rsid w:val="00827565"/>
    <w:rsid w:val="008276B4"/>
    <w:rsid w:val="00827D0B"/>
    <w:rsid w:val="00827F46"/>
    <w:rsid w:val="00831A98"/>
    <w:rsid w:val="00841914"/>
    <w:rsid w:val="00844A58"/>
    <w:rsid w:val="00847C44"/>
    <w:rsid w:val="00853093"/>
    <w:rsid w:val="00857120"/>
    <w:rsid w:val="00864D27"/>
    <w:rsid w:val="0086578E"/>
    <w:rsid w:val="00865A22"/>
    <w:rsid w:val="008667D3"/>
    <w:rsid w:val="008758CD"/>
    <w:rsid w:val="00882E29"/>
    <w:rsid w:val="0088421B"/>
    <w:rsid w:val="0088631B"/>
    <w:rsid w:val="00886530"/>
    <w:rsid w:val="0088667C"/>
    <w:rsid w:val="00886742"/>
    <w:rsid w:val="00886EAA"/>
    <w:rsid w:val="00890371"/>
    <w:rsid w:val="008929A7"/>
    <w:rsid w:val="0089384B"/>
    <w:rsid w:val="008943C6"/>
    <w:rsid w:val="008A35AA"/>
    <w:rsid w:val="008B14FB"/>
    <w:rsid w:val="008B1E2B"/>
    <w:rsid w:val="008B2FEF"/>
    <w:rsid w:val="008B56F6"/>
    <w:rsid w:val="008B5E9F"/>
    <w:rsid w:val="008B7346"/>
    <w:rsid w:val="008C309F"/>
    <w:rsid w:val="008C72FF"/>
    <w:rsid w:val="008D2EA1"/>
    <w:rsid w:val="008D364A"/>
    <w:rsid w:val="008D4429"/>
    <w:rsid w:val="008D682A"/>
    <w:rsid w:val="008D769B"/>
    <w:rsid w:val="008E403C"/>
    <w:rsid w:val="008E535F"/>
    <w:rsid w:val="008E63F5"/>
    <w:rsid w:val="008E6FA7"/>
    <w:rsid w:val="008E7AE4"/>
    <w:rsid w:val="008F6E8B"/>
    <w:rsid w:val="009013F5"/>
    <w:rsid w:val="00902224"/>
    <w:rsid w:val="00904611"/>
    <w:rsid w:val="009046B4"/>
    <w:rsid w:val="00904EB3"/>
    <w:rsid w:val="0090511D"/>
    <w:rsid w:val="00905381"/>
    <w:rsid w:val="00906588"/>
    <w:rsid w:val="00913D49"/>
    <w:rsid w:val="00914B27"/>
    <w:rsid w:val="00916A1B"/>
    <w:rsid w:val="009202B7"/>
    <w:rsid w:val="00921154"/>
    <w:rsid w:val="00924D52"/>
    <w:rsid w:val="00924EF6"/>
    <w:rsid w:val="009259B0"/>
    <w:rsid w:val="009277AE"/>
    <w:rsid w:val="00932F0B"/>
    <w:rsid w:val="00936C0C"/>
    <w:rsid w:val="00943D86"/>
    <w:rsid w:val="00943E94"/>
    <w:rsid w:val="00944A3E"/>
    <w:rsid w:val="009471BE"/>
    <w:rsid w:val="0095094F"/>
    <w:rsid w:val="00953446"/>
    <w:rsid w:val="00955037"/>
    <w:rsid w:val="0095649A"/>
    <w:rsid w:val="00961F52"/>
    <w:rsid w:val="00965E53"/>
    <w:rsid w:val="00967DBC"/>
    <w:rsid w:val="00971061"/>
    <w:rsid w:val="00980EE0"/>
    <w:rsid w:val="00982F8A"/>
    <w:rsid w:val="00983049"/>
    <w:rsid w:val="00983968"/>
    <w:rsid w:val="00986F18"/>
    <w:rsid w:val="0098753F"/>
    <w:rsid w:val="00987905"/>
    <w:rsid w:val="00987DBA"/>
    <w:rsid w:val="0099067D"/>
    <w:rsid w:val="00990719"/>
    <w:rsid w:val="00992BC7"/>
    <w:rsid w:val="00992D9E"/>
    <w:rsid w:val="00994251"/>
    <w:rsid w:val="009958D8"/>
    <w:rsid w:val="00995A21"/>
    <w:rsid w:val="00995C95"/>
    <w:rsid w:val="009974C2"/>
    <w:rsid w:val="00997664"/>
    <w:rsid w:val="00997906"/>
    <w:rsid w:val="009A1160"/>
    <w:rsid w:val="009A1B3E"/>
    <w:rsid w:val="009A3392"/>
    <w:rsid w:val="009A5A57"/>
    <w:rsid w:val="009A5C6A"/>
    <w:rsid w:val="009B2161"/>
    <w:rsid w:val="009B33F0"/>
    <w:rsid w:val="009B5534"/>
    <w:rsid w:val="009B59A2"/>
    <w:rsid w:val="009B78E2"/>
    <w:rsid w:val="009C0A64"/>
    <w:rsid w:val="009D11EF"/>
    <w:rsid w:val="009D6830"/>
    <w:rsid w:val="009E0008"/>
    <w:rsid w:val="009E09B5"/>
    <w:rsid w:val="009E364F"/>
    <w:rsid w:val="009E71B1"/>
    <w:rsid w:val="009F05AC"/>
    <w:rsid w:val="009F527B"/>
    <w:rsid w:val="009F532E"/>
    <w:rsid w:val="00A0497F"/>
    <w:rsid w:val="00A05170"/>
    <w:rsid w:val="00A06254"/>
    <w:rsid w:val="00A10026"/>
    <w:rsid w:val="00A10B82"/>
    <w:rsid w:val="00A11147"/>
    <w:rsid w:val="00A12156"/>
    <w:rsid w:val="00A123D6"/>
    <w:rsid w:val="00A13143"/>
    <w:rsid w:val="00A13228"/>
    <w:rsid w:val="00A159D4"/>
    <w:rsid w:val="00A21738"/>
    <w:rsid w:val="00A22B1D"/>
    <w:rsid w:val="00A233EB"/>
    <w:rsid w:val="00A23893"/>
    <w:rsid w:val="00A25F53"/>
    <w:rsid w:val="00A268F2"/>
    <w:rsid w:val="00A27A58"/>
    <w:rsid w:val="00A35EAA"/>
    <w:rsid w:val="00A36D05"/>
    <w:rsid w:val="00A40479"/>
    <w:rsid w:val="00A430B9"/>
    <w:rsid w:val="00A441D8"/>
    <w:rsid w:val="00A50FB5"/>
    <w:rsid w:val="00A55A66"/>
    <w:rsid w:val="00A617C7"/>
    <w:rsid w:val="00A62F77"/>
    <w:rsid w:val="00A64091"/>
    <w:rsid w:val="00A66633"/>
    <w:rsid w:val="00A66638"/>
    <w:rsid w:val="00A67E1C"/>
    <w:rsid w:val="00A70800"/>
    <w:rsid w:val="00A70CD3"/>
    <w:rsid w:val="00A72B8D"/>
    <w:rsid w:val="00A737CD"/>
    <w:rsid w:val="00A760F9"/>
    <w:rsid w:val="00A80A61"/>
    <w:rsid w:val="00A81CD9"/>
    <w:rsid w:val="00A85BF2"/>
    <w:rsid w:val="00A86555"/>
    <w:rsid w:val="00A90C15"/>
    <w:rsid w:val="00A92A3C"/>
    <w:rsid w:val="00A9346F"/>
    <w:rsid w:val="00A94EE3"/>
    <w:rsid w:val="00A9733E"/>
    <w:rsid w:val="00AA00C1"/>
    <w:rsid w:val="00AA06B3"/>
    <w:rsid w:val="00AA23F2"/>
    <w:rsid w:val="00AB3E54"/>
    <w:rsid w:val="00AB7A62"/>
    <w:rsid w:val="00AC0A91"/>
    <w:rsid w:val="00AC48B9"/>
    <w:rsid w:val="00AC6ACB"/>
    <w:rsid w:val="00AC7FFA"/>
    <w:rsid w:val="00AD2515"/>
    <w:rsid w:val="00AD352B"/>
    <w:rsid w:val="00AD4A06"/>
    <w:rsid w:val="00AE2DEE"/>
    <w:rsid w:val="00AE3BBE"/>
    <w:rsid w:val="00AE58E1"/>
    <w:rsid w:val="00AF2EDB"/>
    <w:rsid w:val="00AF666B"/>
    <w:rsid w:val="00AF7806"/>
    <w:rsid w:val="00B00CB2"/>
    <w:rsid w:val="00B01097"/>
    <w:rsid w:val="00B013D2"/>
    <w:rsid w:val="00B05F2B"/>
    <w:rsid w:val="00B06B61"/>
    <w:rsid w:val="00B06BCE"/>
    <w:rsid w:val="00B11BD0"/>
    <w:rsid w:val="00B15ECD"/>
    <w:rsid w:val="00B208BE"/>
    <w:rsid w:val="00B230AC"/>
    <w:rsid w:val="00B257F8"/>
    <w:rsid w:val="00B26126"/>
    <w:rsid w:val="00B30061"/>
    <w:rsid w:val="00B30C55"/>
    <w:rsid w:val="00B3218B"/>
    <w:rsid w:val="00B3487D"/>
    <w:rsid w:val="00B34D86"/>
    <w:rsid w:val="00B354CD"/>
    <w:rsid w:val="00B36A71"/>
    <w:rsid w:val="00B378E1"/>
    <w:rsid w:val="00B37F72"/>
    <w:rsid w:val="00B45BEF"/>
    <w:rsid w:val="00B46638"/>
    <w:rsid w:val="00B513C8"/>
    <w:rsid w:val="00B523DF"/>
    <w:rsid w:val="00B57A86"/>
    <w:rsid w:val="00B60CAE"/>
    <w:rsid w:val="00B6572D"/>
    <w:rsid w:val="00B713F9"/>
    <w:rsid w:val="00B725B9"/>
    <w:rsid w:val="00B7394E"/>
    <w:rsid w:val="00B76A24"/>
    <w:rsid w:val="00B76CF1"/>
    <w:rsid w:val="00B8145F"/>
    <w:rsid w:val="00B8262C"/>
    <w:rsid w:val="00B82BE3"/>
    <w:rsid w:val="00B841A9"/>
    <w:rsid w:val="00BA0BFA"/>
    <w:rsid w:val="00BB02C4"/>
    <w:rsid w:val="00BB2C87"/>
    <w:rsid w:val="00BB58DA"/>
    <w:rsid w:val="00BC6B7F"/>
    <w:rsid w:val="00BD1651"/>
    <w:rsid w:val="00BE059D"/>
    <w:rsid w:val="00BE31E8"/>
    <w:rsid w:val="00BE3AA4"/>
    <w:rsid w:val="00BE3B99"/>
    <w:rsid w:val="00BE52BC"/>
    <w:rsid w:val="00BF024A"/>
    <w:rsid w:val="00BF0F78"/>
    <w:rsid w:val="00BF303E"/>
    <w:rsid w:val="00BF46E0"/>
    <w:rsid w:val="00BF7B8F"/>
    <w:rsid w:val="00C01DB3"/>
    <w:rsid w:val="00C0270E"/>
    <w:rsid w:val="00C02B65"/>
    <w:rsid w:val="00C066B2"/>
    <w:rsid w:val="00C1192C"/>
    <w:rsid w:val="00C12E32"/>
    <w:rsid w:val="00C13C8B"/>
    <w:rsid w:val="00C169CD"/>
    <w:rsid w:val="00C22DC4"/>
    <w:rsid w:val="00C254C6"/>
    <w:rsid w:val="00C3180D"/>
    <w:rsid w:val="00C320B2"/>
    <w:rsid w:val="00C325B9"/>
    <w:rsid w:val="00C33B54"/>
    <w:rsid w:val="00C348CF"/>
    <w:rsid w:val="00C40717"/>
    <w:rsid w:val="00C43018"/>
    <w:rsid w:val="00C4420B"/>
    <w:rsid w:val="00C45E81"/>
    <w:rsid w:val="00C47913"/>
    <w:rsid w:val="00C569CB"/>
    <w:rsid w:val="00C57447"/>
    <w:rsid w:val="00C610D3"/>
    <w:rsid w:val="00C61360"/>
    <w:rsid w:val="00C61A87"/>
    <w:rsid w:val="00C62978"/>
    <w:rsid w:val="00C63530"/>
    <w:rsid w:val="00C67903"/>
    <w:rsid w:val="00C71655"/>
    <w:rsid w:val="00C716C4"/>
    <w:rsid w:val="00C71CCE"/>
    <w:rsid w:val="00C72A60"/>
    <w:rsid w:val="00C74579"/>
    <w:rsid w:val="00C7780F"/>
    <w:rsid w:val="00C805BC"/>
    <w:rsid w:val="00C81E56"/>
    <w:rsid w:val="00C82E3A"/>
    <w:rsid w:val="00C8745B"/>
    <w:rsid w:val="00C87999"/>
    <w:rsid w:val="00C87F34"/>
    <w:rsid w:val="00C910DE"/>
    <w:rsid w:val="00C93A29"/>
    <w:rsid w:val="00CA1BF2"/>
    <w:rsid w:val="00CA1C5A"/>
    <w:rsid w:val="00CA3D1C"/>
    <w:rsid w:val="00CB483E"/>
    <w:rsid w:val="00CB7FDF"/>
    <w:rsid w:val="00CC016C"/>
    <w:rsid w:val="00CC1524"/>
    <w:rsid w:val="00CC38BC"/>
    <w:rsid w:val="00CC39A0"/>
    <w:rsid w:val="00CC3FD6"/>
    <w:rsid w:val="00CC4646"/>
    <w:rsid w:val="00CC4BBF"/>
    <w:rsid w:val="00CC6F62"/>
    <w:rsid w:val="00CD6407"/>
    <w:rsid w:val="00CE20C9"/>
    <w:rsid w:val="00CE32A0"/>
    <w:rsid w:val="00CF2220"/>
    <w:rsid w:val="00CF4360"/>
    <w:rsid w:val="00CF48EF"/>
    <w:rsid w:val="00CF5882"/>
    <w:rsid w:val="00D01FC4"/>
    <w:rsid w:val="00D076A0"/>
    <w:rsid w:val="00D10588"/>
    <w:rsid w:val="00D153A1"/>
    <w:rsid w:val="00D15D01"/>
    <w:rsid w:val="00D201F4"/>
    <w:rsid w:val="00D20D5E"/>
    <w:rsid w:val="00D21C3E"/>
    <w:rsid w:val="00D23B73"/>
    <w:rsid w:val="00D24327"/>
    <w:rsid w:val="00D2622C"/>
    <w:rsid w:val="00D269AC"/>
    <w:rsid w:val="00D32E0A"/>
    <w:rsid w:val="00D3314C"/>
    <w:rsid w:val="00D3588A"/>
    <w:rsid w:val="00D40F56"/>
    <w:rsid w:val="00D42938"/>
    <w:rsid w:val="00D51F1D"/>
    <w:rsid w:val="00D51FDF"/>
    <w:rsid w:val="00D54704"/>
    <w:rsid w:val="00D56867"/>
    <w:rsid w:val="00D579D9"/>
    <w:rsid w:val="00D60C57"/>
    <w:rsid w:val="00D62D7A"/>
    <w:rsid w:val="00D633EA"/>
    <w:rsid w:val="00D63F71"/>
    <w:rsid w:val="00D646EF"/>
    <w:rsid w:val="00D65943"/>
    <w:rsid w:val="00D678EB"/>
    <w:rsid w:val="00D6794D"/>
    <w:rsid w:val="00D67B99"/>
    <w:rsid w:val="00D72F9D"/>
    <w:rsid w:val="00D73195"/>
    <w:rsid w:val="00D73D18"/>
    <w:rsid w:val="00D83395"/>
    <w:rsid w:val="00D90250"/>
    <w:rsid w:val="00D9048A"/>
    <w:rsid w:val="00D928B1"/>
    <w:rsid w:val="00D9445F"/>
    <w:rsid w:val="00D96103"/>
    <w:rsid w:val="00D961DE"/>
    <w:rsid w:val="00D963EA"/>
    <w:rsid w:val="00DA0BFF"/>
    <w:rsid w:val="00DA2C8D"/>
    <w:rsid w:val="00DA3702"/>
    <w:rsid w:val="00DA3803"/>
    <w:rsid w:val="00DA53A0"/>
    <w:rsid w:val="00DA5928"/>
    <w:rsid w:val="00DA6765"/>
    <w:rsid w:val="00DA70E9"/>
    <w:rsid w:val="00DA7149"/>
    <w:rsid w:val="00DB36A1"/>
    <w:rsid w:val="00DB7667"/>
    <w:rsid w:val="00DC18B9"/>
    <w:rsid w:val="00DC19F9"/>
    <w:rsid w:val="00DD0A4B"/>
    <w:rsid w:val="00DD27F1"/>
    <w:rsid w:val="00DD28A6"/>
    <w:rsid w:val="00DD4528"/>
    <w:rsid w:val="00DD53A7"/>
    <w:rsid w:val="00DD56A4"/>
    <w:rsid w:val="00DD5BAA"/>
    <w:rsid w:val="00DE114E"/>
    <w:rsid w:val="00DE3476"/>
    <w:rsid w:val="00DE633F"/>
    <w:rsid w:val="00DF2550"/>
    <w:rsid w:val="00DF38F8"/>
    <w:rsid w:val="00DF4168"/>
    <w:rsid w:val="00DF45B1"/>
    <w:rsid w:val="00E02857"/>
    <w:rsid w:val="00E13BA8"/>
    <w:rsid w:val="00E14466"/>
    <w:rsid w:val="00E174CD"/>
    <w:rsid w:val="00E2000A"/>
    <w:rsid w:val="00E22E20"/>
    <w:rsid w:val="00E240DA"/>
    <w:rsid w:val="00E24BAE"/>
    <w:rsid w:val="00E25115"/>
    <w:rsid w:val="00E30609"/>
    <w:rsid w:val="00E33B1F"/>
    <w:rsid w:val="00E35126"/>
    <w:rsid w:val="00E355E6"/>
    <w:rsid w:val="00E41248"/>
    <w:rsid w:val="00E5173A"/>
    <w:rsid w:val="00E62353"/>
    <w:rsid w:val="00E63ED8"/>
    <w:rsid w:val="00E669D9"/>
    <w:rsid w:val="00E66AFF"/>
    <w:rsid w:val="00E676D5"/>
    <w:rsid w:val="00E708EF"/>
    <w:rsid w:val="00E70940"/>
    <w:rsid w:val="00E717B9"/>
    <w:rsid w:val="00E76519"/>
    <w:rsid w:val="00E7752A"/>
    <w:rsid w:val="00E80F55"/>
    <w:rsid w:val="00E85501"/>
    <w:rsid w:val="00E94FCE"/>
    <w:rsid w:val="00E97285"/>
    <w:rsid w:val="00EA3681"/>
    <w:rsid w:val="00EB2408"/>
    <w:rsid w:val="00EB2E8D"/>
    <w:rsid w:val="00EB4DE8"/>
    <w:rsid w:val="00EB7500"/>
    <w:rsid w:val="00EC09DB"/>
    <w:rsid w:val="00EC4A17"/>
    <w:rsid w:val="00ED00EB"/>
    <w:rsid w:val="00ED161A"/>
    <w:rsid w:val="00ED759A"/>
    <w:rsid w:val="00EE2CAD"/>
    <w:rsid w:val="00EE2DDB"/>
    <w:rsid w:val="00EE361C"/>
    <w:rsid w:val="00EE54B8"/>
    <w:rsid w:val="00EE769B"/>
    <w:rsid w:val="00EF005C"/>
    <w:rsid w:val="00EF666F"/>
    <w:rsid w:val="00EF77DC"/>
    <w:rsid w:val="00EF7F95"/>
    <w:rsid w:val="00F0312E"/>
    <w:rsid w:val="00F0407C"/>
    <w:rsid w:val="00F13903"/>
    <w:rsid w:val="00F13E98"/>
    <w:rsid w:val="00F142A5"/>
    <w:rsid w:val="00F152EA"/>
    <w:rsid w:val="00F16B98"/>
    <w:rsid w:val="00F175BB"/>
    <w:rsid w:val="00F20D57"/>
    <w:rsid w:val="00F21671"/>
    <w:rsid w:val="00F32B8F"/>
    <w:rsid w:val="00F37574"/>
    <w:rsid w:val="00F47904"/>
    <w:rsid w:val="00F52598"/>
    <w:rsid w:val="00F53671"/>
    <w:rsid w:val="00F559B1"/>
    <w:rsid w:val="00F562CC"/>
    <w:rsid w:val="00F5696E"/>
    <w:rsid w:val="00F5779C"/>
    <w:rsid w:val="00F57ACB"/>
    <w:rsid w:val="00F57BAE"/>
    <w:rsid w:val="00F612AC"/>
    <w:rsid w:val="00F61F55"/>
    <w:rsid w:val="00F71E96"/>
    <w:rsid w:val="00F80437"/>
    <w:rsid w:val="00F8118C"/>
    <w:rsid w:val="00F816F0"/>
    <w:rsid w:val="00F8348C"/>
    <w:rsid w:val="00F86C81"/>
    <w:rsid w:val="00F919AC"/>
    <w:rsid w:val="00F91BCC"/>
    <w:rsid w:val="00F92CCB"/>
    <w:rsid w:val="00F92DCD"/>
    <w:rsid w:val="00F974D6"/>
    <w:rsid w:val="00FA1DFE"/>
    <w:rsid w:val="00FA6603"/>
    <w:rsid w:val="00FB13C7"/>
    <w:rsid w:val="00FB1B31"/>
    <w:rsid w:val="00FB360B"/>
    <w:rsid w:val="00FB389B"/>
    <w:rsid w:val="00FB4270"/>
    <w:rsid w:val="00FB5917"/>
    <w:rsid w:val="00FC761C"/>
    <w:rsid w:val="00FD3125"/>
    <w:rsid w:val="00FD40A6"/>
    <w:rsid w:val="00FD41CC"/>
    <w:rsid w:val="00FE09BA"/>
    <w:rsid w:val="00FE0E51"/>
    <w:rsid w:val="00FE4890"/>
    <w:rsid w:val="00FE6303"/>
    <w:rsid w:val="00FE71D4"/>
    <w:rsid w:val="00FE7B4B"/>
    <w:rsid w:val="00FF171F"/>
    <w:rsid w:val="00FF1AC9"/>
    <w:rsid w:val="00FF5B67"/>
    <w:rsid w:val="00FF66B6"/>
    <w:rsid w:val="669F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CFBBA"/>
  <w15:docId w15:val="{395FD357-C04D-46E9-9464-52ED067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pPr>
      <w:jc w:val="left"/>
    </w:pPr>
    <w:rPr>
      <w:rFonts w:ascii="Times New Roman" w:eastAsia="宋体" w:hAnsi="Times New Roman" w:cs="Times New Roman"/>
      <w:szCs w:val="20"/>
    </w:rPr>
  </w:style>
  <w:style w:type="paragraph" w:styleId="a8">
    <w:name w:val="Body Text"/>
    <w:basedOn w:val="a"/>
    <w:link w:val="a9"/>
    <w:unhideWhenUsed/>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rPr>
      <w:rFonts w:ascii="宋体" w:eastAsia="宋体" w:hAnsi="Times New Roman" w:cs="Times New Roman"/>
      <w:b/>
      <w:color w:val="000000"/>
      <w:kern w:val="0"/>
      <w:sz w:val="24"/>
      <w:szCs w:val="20"/>
    </w:rPr>
  </w:style>
  <w:style w:type="character" w:customStyle="1" w:styleId="20">
    <w:name w:val="标题 2 字符"/>
    <w:basedOn w:val="a0"/>
    <w:link w:val="2"/>
    <w:semiHidden/>
    <w:rPr>
      <w:rFonts w:ascii="Arial" w:eastAsia="黑体" w:hAnsi="Arial" w:cs="Times New Roman"/>
      <w:b/>
      <w:sz w:val="32"/>
      <w:szCs w:val="20"/>
    </w:rPr>
  </w:style>
  <w:style w:type="character" w:customStyle="1" w:styleId="30">
    <w:name w:val="标题 3 字符"/>
    <w:basedOn w:val="a0"/>
    <w:link w:val="3"/>
    <w:semiHidden/>
    <w:rPr>
      <w:rFonts w:ascii="Times New Roman" w:eastAsia="宋体" w:hAnsi="Times New Roman" w:cs="Times New Roman"/>
      <w:b/>
      <w:kern w:val="0"/>
      <w:sz w:val="32"/>
      <w:szCs w:val="20"/>
    </w:rPr>
  </w:style>
  <w:style w:type="character" w:customStyle="1" w:styleId="af3">
    <w:name w:val="脚注文本 字符"/>
    <w:basedOn w:val="a0"/>
    <w:link w:val="af2"/>
    <w:semiHidden/>
    <w:rPr>
      <w:rFonts w:ascii="Times New Roman" w:eastAsia="宋体" w:hAnsi="Times New Roman" w:cs="Times New Roman"/>
      <w:sz w:val="18"/>
      <w:szCs w:val="20"/>
    </w:rPr>
  </w:style>
  <w:style w:type="character" w:customStyle="1" w:styleId="Char">
    <w:name w:val="批注文字 Char"/>
    <w:basedOn w:val="a0"/>
    <w:uiPriority w:val="99"/>
    <w:qFormat/>
  </w:style>
  <w:style w:type="character" w:customStyle="1" w:styleId="af1">
    <w:name w:val="页眉 字符"/>
    <w:basedOn w:val="a0"/>
    <w:link w:val="af0"/>
    <w:uiPriority w:val="99"/>
    <w:rPr>
      <w:rFonts w:ascii="Times New Roman" w:eastAsia="宋体" w:hAnsi="Times New Roman" w:cs="Times New Roman"/>
      <w:sz w:val="18"/>
      <w:szCs w:val="18"/>
    </w:rPr>
  </w:style>
  <w:style w:type="character" w:customStyle="1" w:styleId="af">
    <w:name w:val="页脚 字符"/>
    <w:basedOn w:val="a0"/>
    <w:link w:val="ae"/>
    <w:uiPriority w:val="99"/>
    <w:rPr>
      <w:rFonts w:ascii="Times New Roman" w:eastAsia="宋体" w:hAnsi="Times New Roman" w:cs="Times New Roman"/>
      <w:sz w:val="18"/>
      <w:szCs w:val="18"/>
    </w:rPr>
  </w:style>
  <w:style w:type="character" w:customStyle="1" w:styleId="af5">
    <w:name w:val="标题 字符"/>
    <w:basedOn w:val="a0"/>
    <w:link w:val="af4"/>
    <w:rPr>
      <w:rFonts w:ascii="Cambria" w:eastAsia="宋体" w:hAnsi="Cambria" w:cs="Times New Roman"/>
      <w:b/>
      <w:sz w:val="32"/>
    </w:rPr>
  </w:style>
  <w:style w:type="character" w:customStyle="1" w:styleId="a9">
    <w:name w:val="正文文本 字符"/>
    <w:basedOn w:val="a0"/>
    <w:link w:val="a8"/>
    <w:rPr>
      <w:rFonts w:ascii="宋体" w:eastAsia="宋体" w:hAnsi="Calibri" w:cs="Times New Roman"/>
      <w:kern w:val="0"/>
    </w:rPr>
  </w:style>
  <w:style w:type="character" w:customStyle="1" w:styleId="22">
    <w:name w:val="正文文本缩进 2 字符"/>
    <w:basedOn w:val="a0"/>
    <w:link w:val="21"/>
    <w:semiHidden/>
    <w:rPr>
      <w:rFonts w:ascii="仿宋_GB2312" w:eastAsia="仿宋_GB2312" w:hAnsi="Times New Roman" w:cs="Times New Roman"/>
      <w:sz w:val="28"/>
      <w:szCs w:val="20"/>
    </w:rPr>
  </w:style>
  <w:style w:type="character" w:customStyle="1" w:styleId="32">
    <w:name w:val="正文文本缩进 3 字符"/>
    <w:basedOn w:val="a0"/>
    <w:link w:val="31"/>
    <w:semiHidden/>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eastAsia="宋体" w:hAnsi="Courier New" w:cs="Times New Roman"/>
      <w:kern w:val="0"/>
      <w:szCs w:val="20"/>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semiHidden/>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23">
    <w:name w:val="！正文缩进2字符"/>
    <w:basedOn w:val="a"/>
    <w:uiPriority w:val="99"/>
    <w:qFormat/>
    <w:pPr>
      <w:widowControl/>
      <w:spacing w:line="360" w:lineRule="auto"/>
      <w:ind w:firstLineChars="200" w:firstLine="200"/>
    </w:pPr>
    <w:rPr>
      <w:rFonts w:ascii="Times New Roman" w:eastAsia="宋体" w:hAnsi="Times New Roman" w:cs="Times New Roman"/>
      <w:sz w:val="24"/>
      <w:szCs w:val="24"/>
    </w:rPr>
  </w:style>
  <w:style w:type="paragraph" w:customStyle="1" w:styleId="zhangjiep2">
    <w:name w:val="zhangjie_p2"/>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zhangjiep">
    <w:name w:val="zhangjie_p"/>
    <w:basedOn w:val="a"/>
    <w:qFormat/>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styleId="aff0">
    <w:name w:val="Revision"/>
    <w:hidden/>
    <w:uiPriority w:val="99"/>
    <w:semiHidden/>
    <w:rsid w:val="00422E65"/>
    <w:rPr>
      <w:rFonts w:asciiTheme="minorHAnsi" w:eastAsiaTheme="minorEastAsia" w:hAnsiTheme="minorHAnsi" w:cstheme="minorBidi"/>
      <w:kern w:val="2"/>
      <w:sz w:val="21"/>
      <w:szCs w:val="22"/>
    </w:rPr>
  </w:style>
  <w:style w:type="character" w:customStyle="1" w:styleId="12">
    <w:name w:val="未处理的提及1"/>
    <w:basedOn w:val="a0"/>
    <w:uiPriority w:val="99"/>
    <w:semiHidden/>
    <w:unhideWhenUsed/>
    <w:rsid w:val="00B35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910">
      <w:bodyDiv w:val="1"/>
      <w:marLeft w:val="0"/>
      <w:marRight w:val="0"/>
      <w:marTop w:val="0"/>
      <w:marBottom w:val="0"/>
      <w:divBdr>
        <w:top w:val="none" w:sz="0" w:space="0" w:color="auto"/>
        <w:left w:val="none" w:sz="0" w:space="0" w:color="auto"/>
        <w:bottom w:val="none" w:sz="0" w:space="0" w:color="auto"/>
        <w:right w:val="none" w:sz="0" w:space="0" w:color="auto"/>
      </w:divBdr>
    </w:div>
    <w:div w:id="858392174">
      <w:bodyDiv w:val="1"/>
      <w:marLeft w:val="0"/>
      <w:marRight w:val="0"/>
      <w:marTop w:val="0"/>
      <w:marBottom w:val="0"/>
      <w:divBdr>
        <w:top w:val="none" w:sz="0" w:space="0" w:color="auto"/>
        <w:left w:val="none" w:sz="0" w:space="0" w:color="auto"/>
        <w:bottom w:val="none" w:sz="0" w:space="0" w:color="auto"/>
        <w:right w:val="none" w:sz="0" w:space="0" w:color="auto"/>
      </w:divBdr>
    </w:div>
    <w:div w:id="1038316493">
      <w:bodyDiv w:val="1"/>
      <w:marLeft w:val="0"/>
      <w:marRight w:val="0"/>
      <w:marTop w:val="0"/>
      <w:marBottom w:val="0"/>
      <w:divBdr>
        <w:top w:val="none" w:sz="0" w:space="0" w:color="auto"/>
        <w:left w:val="none" w:sz="0" w:space="0" w:color="auto"/>
        <w:bottom w:val="none" w:sz="0" w:space="0" w:color="auto"/>
        <w:right w:val="none" w:sz="0" w:space="0" w:color="auto"/>
      </w:divBdr>
    </w:div>
    <w:div w:id="1223441001">
      <w:bodyDiv w:val="1"/>
      <w:marLeft w:val="0"/>
      <w:marRight w:val="0"/>
      <w:marTop w:val="0"/>
      <w:marBottom w:val="0"/>
      <w:divBdr>
        <w:top w:val="none" w:sz="0" w:space="0" w:color="auto"/>
        <w:left w:val="none" w:sz="0" w:space="0" w:color="auto"/>
        <w:bottom w:val="none" w:sz="0" w:space="0" w:color="auto"/>
        <w:right w:val="none" w:sz="0" w:space="0" w:color="auto"/>
      </w:divBdr>
    </w:div>
    <w:div w:id="1528640713">
      <w:bodyDiv w:val="1"/>
      <w:marLeft w:val="0"/>
      <w:marRight w:val="0"/>
      <w:marTop w:val="0"/>
      <w:marBottom w:val="0"/>
      <w:divBdr>
        <w:top w:val="none" w:sz="0" w:space="0" w:color="auto"/>
        <w:left w:val="none" w:sz="0" w:space="0" w:color="auto"/>
        <w:bottom w:val="none" w:sz="0" w:space="0" w:color="auto"/>
        <w:right w:val="none" w:sz="0" w:space="0" w:color="auto"/>
      </w:divBdr>
    </w:div>
    <w:div w:id="1791702841">
      <w:bodyDiv w:val="1"/>
      <w:marLeft w:val="0"/>
      <w:marRight w:val="0"/>
      <w:marTop w:val="0"/>
      <w:marBottom w:val="0"/>
      <w:divBdr>
        <w:top w:val="none" w:sz="0" w:space="0" w:color="auto"/>
        <w:left w:val="none" w:sz="0" w:space="0" w:color="auto"/>
        <w:bottom w:val="none" w:sz="0" w:space="0" w:color="auto"/>
        <w:right w:val="none" w:sz="0" w:space="0" w:color="auto"/>
      </w:divBdr>
    </w:div>
    <w:div w:id="196982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wacaijijin.com"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81FF-F72D-424B-B12B-87F85FD024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3F2DF6-7B13-49C2-8ACB-E373B06442A9}">
  <ds:schemaRefs>
    <ds:schemaRef ds:uri="http://schemas.openxmlformats.org/officeDocument/2006/bibliography"/>
  </ds:schemaRefs>
</ds:datastoreItem>
</file>

<file path=customXml/itemProps4.xml><?xml version="1.0" encoding="utf-8"?>
<ds:datastoreItem xmlns:ds="http://schemas.openxmlformats.org/officeDocument/2006/customXml" ds:itemID="{D747CFE0-131F-4F78-91CA-E8A7A3EEDEBA}">
  <ds:schemaRefs>
    <ds:schemaRef ds:uri="http://schemas.openxmlformats.org/officeDocument/2006/bibliography"/>
  </ds:schemaRefs>
</ds:datastoreItem>
</file>

<file path=customXml/itemProps5.xml><?xml version="1.0" encoding="utf-8"?>
<ds:datastoreItem xmlns:ds="http://schemas.openxmlformats.org/officeDocument/2006/customXml" ds:itemID="{A3062161-2F18-41AD-B0CA-085C3EFB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127</Pages>
  <Words>13359</Words>
  <Characters>76150</Characters>
  <Application>Microsoft Office Word</Application>
  <DocSecurity>0</DocSecurity>
  <Lines>634</Lines>
  <Paragraphs>178</Paragraphs>
  <ScaleCrop>false</ScaleCrop>
  <Company/>
  <LinksUpToDate>false</LinksUpToDate>
  <CharactersWithSpaces>89331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liuwd</cp:lastModifiedBy>
  <cp:revision>187</cp:revision>
  <cp:lastPrinted>2019-03-05T03:24:00Z</cp:lastPrinted>
  <dcterms:created xsi:type="dcterms:W3CDTF">2020-08-14T02:25:00Z</dcterms:created>
  <dcterms:modified xsi:type="dcterms:W3CDTF">2021-11-25T07:21:00Z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