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before="345" w:after="100" w:afterAutospacing="true"/>
        <w:jc w:val="center"/>
        <w:outlineLvl w:val="1"/>
        <w:rPr>
          <w:rFonts w:ascii="Verdana" w:cs="宋体" w:eastAsia="宋体" w:hAnsi="Verdana"/>
          <w:b/>
          <w:bCs/>
          <w:kern w:val="36"/>
          <w:sz w:val="39"/>
          <w:szCs w:val="39"/>
        </w:rPr>
      </w:pPr>
      <w:r>
        <w:rPr>
          <w:rFonts w:ascii="Verdana" w:cs="宋体" w:eastAsia="宋体" w:hAnsi="Verdana" w:hint="eastAsia"/>
          <w:b/>
          <w:bCs/>
          <w:kern w:val="36"/>
          <w:sz w:val="39"/>
          <w:szCs w:val="39"/>
        </w:rPr>
        <w:t>富荣</w:t>
      </w:r>
      <w:r>
        <w:rPr>
          <w:rFonts w:ascii="Verdana" w:cs="宋体" w:eastAsia="宋体" w:hAnsi="Verdana"/>
          <w:b/>
          <w:bCs/>
          <w:kern w:val="36"/>
          <w:sz w:val="39"/>
          <w:szCs w:val="39"/>
        </w:rPr>
        <w:t>基金管理有限公司关于旗下部分基金新增</w:t>
      </w:r>
      <w:r>
        <w:rPr>
          <w:rFonts w:ascii="Verdana" w:cs="宋体" w:eastAsia="宋体" w:hAnsi="Verdana" w:hint="eastAsia"/>
          <w:b/>
          <w:bCs/>
          <w:kern w:val="36"/>
          <w:sz w:val="39"/>
          <w:szCs w:val="39"/>
          <w:lang w:val="en-US" w:eastAsia="zh-CN"/>
        </w:rPr>
        <w:t>国泰君安</w:t>
      </w:r>
      <w:r>
        <w:rPr>
          <w:rFonts w:ascii="Verdana" w:cs="宋体" w:eastAsia="宋体" w:hAnsi="Verdana"/>
          <w:b/>
          <w:bCs/>
          <w:kern w:val="36"/>
          <w:sz w:val="39"/>
          <w:szCs w:val="39"/>
        </w:rPr>
        <w:t>证券股份有限公司为销售机构</w:t>
      </w:r>
      <w:r>
        <w:rPr>
          <w:rFonts w:ascii="Verdana" w:cs="宋体" w:eastAsia="宋体" w:hAnsi="Verdana" w:hint="eastAsia"/>
          <w:b/>
          <w:bCs/>
          <w:kern w:val="36"/>
          <w:sz w:val="39"/>
          <w:szCs w:val="39"/>
        </w:rPr>
        <w:t>的公告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为更好地满足广大投资者的理财需求，根据富荣基金管理有限公司（以下简称“本公司”）与</w:t>
      </w:r>
      <w:r>
        <w:rPr>
          <w:rFonts w:ascii="宋体" w:cs="Calibri" w:eastAsia="宋体" w:hAnsi="宋体" w:hint="eastAsia"/>
          <w:color w:val="000000"/>
          <w:kern w:val="0"/>
          <w:szCs w:val="21"/>
          <w:lang w:val="en-US" w:eastAsia="zh-CN"/>
        </w:rPr>
        <w:t>国泰君安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证券股份有限公司（以下简称“</w:t>
      </w:r>
      <w:r>
        <w:rPr>
          <w:rFonts w:ascii="宋体" w:cs="Calibri" w:eastAsia="宋体" w:hAnsi="宋体" w:hint="eastAsia"/>
          <w:bCs/>
          <w:color w:val="000000"/>
          <w:kern w:val="0"/>
          <w:szCs w:val="21"/>
          <w:lang w:val="en-US" w:eastAsia="zh-CN"/>
        </w:rPr>
        <w:t>国泰君安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”）签署的委托销售协议，自</w:t>
      </w:r>
      <w:r>
        <w:rPr>
          <w:rFonts w:ascii="宋体" w:cs="Calibri" w:eastAsia="宋体" w:hAnsi="宋体"/>
          <w:color w:val="000000"/>
          <w:kern w:val="0"/>
          <w:szCs w:val="21"/>
        </w:rPr>
        <w:t>20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21年1</w:t>
      </w:r>
      <w:r>
        <w:rPr>
          <w:rFonts w:ascii="宋体" w:cs="Calibri" w:eastAsia="宋体" w:hAnsi="宋体" w:hint="eastAsia"/>
          <w:color w:val="000000"/>
          <w:kern w:val="0"/>
          <w:szCs w:val="21"/>
          <w:lang w:val="en-US" w:eastAsia="zh-CN"/>
        </w:rPr>
        <w:t>2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月</w:t>
      </w:r>
      <w:r>
        <w:rPr>
          <w:rFonts w:ascii="宋体" w:cs="Calibri" w:eastAsia="宋体" w:hAnsi="宋体" w:hint="default"/>
          <w:color w:val="000000"/>
          <w:kern w:val="0"/>
          <w:szCs w:val="21"/>
          <w:lang w:val="en-US"/>
        </w:rPr>
        <w:t>2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日起本公司关于旗下部分基金新增委托</w:t>
      </w:r>
      <w:r>
        <w:rPr>
          <w:rFonts w:ascii="宋体" w:cs="Calibri" w:eastAsia="宋体" w:hAnsi="宋体" w:hint="eastAsia"/>
          <w:color w:val="000000"/>
          <w:kern w:val="0"/>
          <w:szCs w:val="21"/>
          <w:lang w:val="en-US" w:eastAsia="zh-CN"/>
        </w:rPr>
        <w:t>国泰君安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为销售机构，具体的业务流程、办理时间和办理方式以</w:t>
      </w:r>
      <w:r>
        <w:rPr>
          <w:rFonts w:ascii="宋体" w:cs="Calibri" w:eastAsia="宋体" w:hAnsi="宋体" w:hint="eastAsia"/>
          <w:color w:val="000000"/>
          <w:kern w:val="0"/>
          <w:szCs w:val="21"/>
          <w:lang w:val="en-US" w:eastAsia="zh-CN"/>
        </w:rPr>
        <w:t>国泰君安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的规定为准。现将相关事项公告如下：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/>
          <w:color w:val="000000"/>
          <w:kern w:val="0"/>
          <w:szCs w:val="21"/>
        </w:rPr>
        <w:t> 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一、适用基金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富荣福耀混合型证</w:t>
      </w:r>
      <w:bookmarkStart w:id="0" w:name="_GoBack"/>
      <w:bookmarkEnd w:id="0"/>
      <w:r>
        <w:rPr>
          <w:rFonts w:ascii="宋体" w:hAnsi="宋体" w:hint="eastAsia"/>
          <w:sz w:val="21"/>
          <w:szCs w:val="21"/>
        </w:rPr>
        <w:t>券投资基金</w:t>
      </w:r>
      <w:r>
        <w:rPr>
          <w:rFonts w:ascii="宋体" w:cs="Calibri" w:eastAsia="宋体" w:hAnsi="宋体" w:hint="eastAsia"/>
          <w:bCs/>
          <w:color w:val="000000"/>
          <w:kern w:val="0"/>
          <w:sz w:val="21"/>
          <w:szCs w:val="21"/>
        </w:rPr>
        <w:t>（</w:t>
      </w:r>
      <w:r>
        <w:rPr>
          <w:rFonts w:ascii="宋体" w:cs="Calibri" w:eastAsia="宋体" w:hAnsi="宋体" w:hint="eastAsia"/>
          <w:color w:val="000000"/>
          <w:kern w:val="0"/>
          <w:sz w:val="21"/>
          <w:szCs w:val="21"/>
        </w:rPr>
        <w:t>基金代码：A类012876、C类012877</w:t>
      </w:r>
      <w:r>
        <w:rPr>
          <w:rFonts w:ascii="宋体" w:cs="Calibri" w:eastAsia="宋体" w:hAnsi="宋体" w:hint="eastAsia"/>
          <w:bCs/>
          <w:color w:val="000000"/>
          <w:kern w:val="0"/>
          <w:sz w:val="21"/>
          <w:szCs w:val="21"/>
        </w:rPr>
        <w:t>）</w:t>
      </w:r>
    </w:p>
    <w:p>
      <w:pPr>
        <w:pStyle w:val="style0"/>
        <w:widowControl/>
        <w:shd w:val="clear" w:color="auto" w:fill="ffffff"/>
        <w:spacing w:lineRule="auto" w:line="360"/>
        <w:ind w:firstLine="480"/>
        <w:jc w:val="left"/>
        <w:rPr>
          <w:rFonts w:ascii="宋体" w:cs="Calibri" w:eastAsia="宋体" w:hAnsi="宋体"/>
          <w:color w:val="000000"/>
          <w:kern w:val="0"/>
          <w:szCs w:val="21"/>
        </w:rPr>
      </w:pP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二、业务咨询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/>
          <w:color w:val="000000"/>
          <w:kern w:val="0"/>
          <w:szCs w:val="21"/>
        </w:rPr>
        <w:t>1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、富荣基金管理有限公司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客户服务电话：</w:t>
      </w:r>
      <w:r>
        <w:rPr>
          <w:rFonts w:ascii="宋体" w:cs="Calibri" w:eastAsia="宋体" w:hAnsi="宋体"/>
          <w:color w:val="000000"/>
          <w:kern w:val="0"/>
          <w:szCs w:val="21"/>
        </w:rPr>
        <w:t>400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-685-5</w:t>
      </w:r>
      <w:r>
        <w:rPr>
          <w:rFonts w:ascii="宋体" w:cs="Calibri" w:eastAsia="宋体" w:hAnsi="宋体"/>
          <w:color w:val="000000"/>
          <w:kern w:val="0"/>
          <w:szCs w:val="21"/>
        </w:rPr>
        <w:t>60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0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网址：</w:t>
      </w:r>
      <w:r>
        <w:rPr>
          <w:rFonts w:ascii="宋体" w:cs="Calibri" w:eastAsia="宋体" w:hAnsi="宋体"/>
          <w:color w:val="000000"/>
          <w:kern w:val="0"/>
          <w:szCs w:val="21"/>
        </w:rPr>
        <w:t>www.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furamc</w:t>
      </w:r>
      <w:r>
        <w:rPr>
          <w:rFonts w:ascii="宋体" w:cs="Calibri" w:eastAsia="宋体" w:hAnsi="宋体"/>
          <w:color w:val="000000"/>
          <w:kern w:val="0"/>
          <w:szCs w:val="21"/>
        </w:rPr>
        <w:t>.com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.cn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/>
          <w:color w:val="000000"/>
          <w:kern w:val="0"/>
          <w:szCs w:val="21"/>
        </w:rPr>
        <w:t>2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、</w:t>
      </w:r>
      <w:r>
        <w:rPr>
          <w:rFonts w:ascii="宋体" w:cs="Calibri" w:eastAsia="宋体" w:hAnsi="宋体" w:hint="eastAsia"/>
          <w:color w:val="000000"/>
          <w:kern w:val="0"/>
          <w:szCs w:val="21"/>
          <w:lang w:val="en-US" w:eastAsia="zh-CN"/>
        </w:rPr>
        <w:t>国泰君安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证券股份有限公司</w:t>
      </w:r>
    </w:p>
    <w:p>
      <w:pPr>
        <w:pStyle w:val="style0"/>
        <w:widowControl/>
        <w:spacing w:lineRule="auto" w:line="360"/>
        <w:ind w:left="420" w:leftChars="200"/>
        <w:jc w:val="left"/>
        <w:rPr>
          <w:rFonts w:ascii="宋体" w:cs="Calibri" w:eastAsia="宋体" w:hAnsi="宋体" w:hint="eastAsia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客服电话：400-8888-666</w:t>
      </w:r>
    </w:p>
    <w:p>
      <w:pPr>
        <w:pStyle w:val="style0"/>
        <w:widowControl/>
        <w:spacing w:lineRule="auto" w:line="360"/>
        <w:ind w:left="420" w:leftChars="20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公司网站：https://www.gtja.com/</w:t>
      </w:r>
    </w:p>
    <w:p>
      <w:pPr>
        <w:pStyle w:val="style0"/>
        <w:widowControl/>
        <w:shd w:val="clear" w:color="auto" w:fill="ffffff"/>
        <w:spacing w:lineRule="auto" w:line="360"/>
        <w:jc w:val="left"/>
        <w:rPr>
          <w:rFonts w:ascii="宋体" w:cs="Calibri" w:eastAsia="宋体" w:hAnsi="宋体"/>
          <w:color w:val="000000"/>
          <w:kern w:val="0"/>
          <w:szCs w:val="21"/>
        </w:rPr>
      </w:pP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风险提示：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、《招募说明书》、《基金产品资料概要》等基金法律文件，全面认识基金产品的风险收益特征，在了解产品情况及听取销售机构适当性意见的基础上，根据自身的风险承受能力、投资期限和投资目标，对基金投资作出独立决策，选择合适的基金产品。敬请投资者留意投资风险。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特此公告。</w:t>
      </w:r>
    </w:p>
    <w:p>
      <w:pPr>
        <w:pStyle w:val="style0"/>
        <w:widowControl/>
        <w:shd w:val="clear" w:color="auto" w:fill="ffffff"/>
        <w:spacing w:lineRule="auto" w:line="36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/>
          <w:color w:val="000000"/>
          <w:kern w:val="0"/>
          <w:szCs w:val="21"/>
        </w:rPr>
        <w:t> </w:t>
      </w:r>
    </w:p>
    <w:p>
      <w:pPr>
        <w:pStyle w:val="style0"/>
        <w:widowControl/>
        <w:shd w:val="clear" w:color="auto" w:fill="ffffff"/>
        <w:spacing w:lineRule="auto" w:line="360"/>
        <w:jc w:val="lef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/>
          <w:color w:val="000000"/>
          <w:kern w:val="0"/>
          <w:szCs w:val="21"/>
        </w:rPr>
        <w:t> </w:t>
      </w:r>
    </w:p>
    <w:p>
      <w:pPr>
        <w:pStyle w:val="style0"/>
        <w:widowControl/>
        <w:shd w:val="clear" w:color="auto" w:fill="ffffff"/>
        <w:spacing w:lineRule="auto" w:line="360"/>
        <w:ind w:firstLine="420"/>
        <w:jc w:val="righ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富荣基金管理有限公司</w:t>
      </w:r>
    </w:p>
    <w:p>
      <w:pPr>
        <w:pStyle w:val="style0"/>
        <w:widowControl/>
        <w:shd w:val="clear" w:color="auto" w:fill="ffffff"/>
        <w:wordWrap w:val="false"/>
        <w:spacing w:lineRule="auto" w:line="360"/>
        <w:jc w:val="right"/>
        <w:rPr>
          <w:rFonts w:ascii="宋体" w:cs="Calibri" w:eastAsia="宋体" w:hAnsi="宋体"/>
          <w:color w:val="000000"/>
          <w:kern w:val="0"/>
          <w:szCs w:val="21"/>
        </w:rPr>
      </w:pPr>
      <w:r>
        <w:rPr>
          <w:rFonts w:ascii="宋体" w:cs="Calibri" w:eastAsia="宋体" w:hAnsi="宋体" w:hint="eastAsia"/>
          <w:color w:val="000000"/>
          <w:kern w:val="0"/>
          <w:szCs w:val="21"/>
        </w:rPr>
        <w:t>二○二一年十</w:t>
      </w:r>
      <w:r>
        <w:rPr>
          <w:rFonts w:ascii="宋体" w:cs="Calibri" w:eastAsia="宋体" w:hAnsi="宋体" w:hint="eastAsia"/>
          <w:color w:val="000000"/>
          <w:kern w:val="0"/>
          <w:szCs w:val="21"/>
          <w:lang w:val="en-US" w:eastAsia="zh-CN"/>
        </w:rPr>
        <w:t>二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月</w:t>
      </w:r>
      <w:r>
        <w:rPr>
          <w:rFonts w:ascii="宋体" w:cs="Calibri" w:eastAsia="宋体" w:hAnsi="宋体" w:hint="eastAsia"/>
          <w:color w:val="000000"/>
          <w:kern w:val="0"/>
          <w:szCs w:val="21"/>
          <w:lang w:eastAsia="zh-CN"/>
        </w:rPr>
        <w:t>二</w:t>
      </w:r>
      <w:r>
        <w:rPr>
          <w:rFonts w:ascii="宋体" w:cs="Calibri" w:eastAsia="宋体" w:hAnsi="宋体" w:hint="eastAsia"/>
          <w:color w:val="000000"/>
          <w:kern w:val="0"/>
          <w:szCs w:val="21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Verdana">
    <w:altName w:val="Verdana"/>
    <w:panose1 w:val="020b0604030005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9">
    <w:name w:val="Document Map"/>
    <w:basedOn w:val="style0"/>
    <w:next w:val="style89"/>
    <w:link w:val="style4103"/>
    <w:uiPriority w:val="99"/>
    <w:pPr/>
    <w:rPr>
      <w:rFonts w:ascii="宋体" w:eastAsia="宋体"/>
      <w:sz w:val="18"/>
      <w:szCs w:val="18"/>
    </w:rPr>
  </w:style>
  <w:style w:type="paragraph" w:styleId="style30">
    <w:name w:val="annotation text"/>
    <w:basedOn w:val="style0"/>
    <w:next w:val="style30"/>
    <w:link w:val="style4098"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100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1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106">
    <w:name w:val="annotation subject"/>
    <w:basedOn w:val="style30"/>
    <w:next w:val="style30"/>
    <w:link w:val="style4099"/>
    <w:uiPriority w:val="99"/>
    <w:pPr/>
    <w:rPr>
      <w:b/>
      <w:bCs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paragraph" w:customStyle="1" w:styleId="style4097">
    <w:name w:val="source-date1"/>
    <w:basedOn w:val="style0"/>
    <w:next w:val="style4097"/>
    <w:uiPriority w:val="0"/>
    <w:pPr>
      <w:widowControl/>
      <w:pBdr>
        <w:bottom w:val="single" w:sz="12" w:space="15" w:color="002080"/>
      </w:pBdr>
      <w:spacing w:before="100" w:beforeAutospacing="true" w:after="100" w:afterAutospacing="true"/>
      <w:jc w:val="center"/>
    </w:pPr>
    <w:rPr>
      <w:rFonts w:ascii="宋体" w:cs="宋体" w:eastAsia="宋体" w:hAnsi="宋体"/>
      <w:color w:val="303030"/>
      <w:kern w:val="0"/>
      <w:sz w:val="18"/>
      <w:szCs w:val="18"/>
    </w:rPr>
  </w:style>
  <w:style w:type="character" w:customStyle="1" w:styleId="style4098">
    <w:name w:val="批注文字 Char"/>
    <w:basedOn w:val="style65"/>
    <w:next w:val="style4098"/>
    <w:link w:val="style30"/>
    <w:qFormat/>
    <w:uiPriority w:val="99"/>
  </w:style>
  <w:style w:type="character" w:customStyle="1" w:styleId="style4099">
    <w:name w:val="批注主题 Char"/>
    <w:basedOn w:val="style4098"/>
    <w:next w:val="style4099"/>
    <w:link w:val="style106"/>
    <w:uiPriority w:val="99"/>
    <w:rPr>
      <w:b/>
      <w:bCs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sz w:val="18"/>
      <w:szCs w:val="18"/>
    </w:rPr>
  </w:style>
  <w:style w:type="character" w:customStyle="1" w:styleId="style4101">
    <w:name w:val="页眉 Char"/>
    <w:basedOn w:val="style65"/>
    <w:next w:val="style4101"/>
    <w:link w:val="style31"/>
    <w:uiPriority w:val="99"/>
    <w:rPr>
      <w:sz w:val="18"/>
      <w:szCs w:val="18"/>
    </w:rPr>
  </w:style>
  <w:style w:type="character" w:customStyle="1" w:styleId="style4102">
    <w:name w:val="页脚 Char"/>
    <w:basedOn w:val="style65"/>
    <w:next w:val="style4102"/>
    <w:link w:val="style32"/>
    <w:uiPriority w:val="99"/>
    <w:rPr>
      <w:sz w:val="18"/>
      <w:szCs w:val="18"/>
    </w:rPr>
  </w:style>
  <w:style w:type="character" w:customStyle="1" w:styleId="style4103">
    <w:name w:val="文档结构图 Char"/>
    <w:basedOn w:val="style65"/>
    <w:next w:val="style4103"/>
    <w:link w:val="style89"/>
    <w:uiPriority w:val="99"/>
    <w:rPr>
      <w:rFonts w:ascii="宋体" w:eastAsia="宋体"/>
      <w:sz w:val="18"/>
      <w:szCs w:val="18"/>
    </w:rPr>
  </w:style>
  <w:style w:type="paragraph" w:customStyle="1" w:styleId="style4104">
    <w:name w:val="Revision_94235b02-6d93-460c-95fb-386fe47e8b10"/>
    <w:next w:val="style4104"/>
    <w:uiPriority w:val="99"/>
    <w:pPr/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customStyle="1" w:styleId="style4105">
    <w:name w:val="Subtle Emphasis_f78e2344-8d94-4fae-b59a-1d5b1a5184a6"/>
    <w:basedOn w:val="style65"/>
    <w:next w:val="style4105"/>
    <w:qFormat/>
    <w:uiPriority w:val="19"/>
    <w:rPr>
      <w:i/>
      <w:iCs/>
      <w:color w:val="808080"/>
      <w14:textFill>
        <w14:solidFill>
          <w14:srgbClr w14:val="7f7f7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B34C6-21C6-4294-AE63-BFF9089D5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546</Words>
  <Pages>2</Pages>
  <Characters>618</Characters>
  <Application>WPS Office</Application>
  <DocSecurity>0</DocSecurity>
  <Paragraphs>21</Paragraphs>
  <ScaleCrop>false</ScaleCrop>
  <Company>Microsoft</Company>
  <LinksUpToDate>false</LinksUpToDate>
  <CharactersWithSpaces>621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2019-09-23T05:07:00Z</dcterms:created>
  <dc:creator>huangbing</dc:creator>
  <lastModifiedBy>LIO-AN00</lastModifiedBy>
  <dcterms:modified xsi:type="dcterms:W3CDTF">2021-11-30T23:56:43Z</dcterms:modified>
  <revision>56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C11370B5925E4667BD300751FCAC5265</vt:lpwstr>
  </property>
</Properties>
</file>