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0CC7" w14:textId="77777777" w:rsidR="00BD090D" w:rsidRPr="00BD090D" w:rsidRDefault="00BD090D" w:rsidP="00BD090D">
      <w:pPr>
        <w:spacing w:line="360" w:lineRule="auto"/>
        <w:ind w:firstLineChars="200" w:firstLine="420"/>
        <w:rPr>
          <w:rFonts w:ascii="宋体" w:eastAsia="宋体" w:hAnsi="宋体"/>
          <w:szCs w:val="21"/>
        </w:rPr>
      </w:pPr>
    </w:p>
    <w:p w14:paraId="126916BF" w14:textId="77777777" w:rsidR="00BD090D" w:rsidRPr="00BD090D" w:rsidRDefault="00BD090D" w:rsidP="00BD090D">
      <w:pPr>
        <w:spacing w:line="360" w:lineRule="auto"/>
        <w:ind w:firstLineChars="200" w:firstLine="420"/>
        <w:rPr>
          <w:rFonts w:ascii="宋体" w:eastAsia="宋体" w:hAnsi="宋体"/>
          <w:szCs w:val="21"/>
        </w:rPr>
      </w:pPr>
    </w:p>
    <w:p w14:paraId="649A6444" w14:textId="77777777" w:rsidR="00BD090D" w:rsidRDefault="00BD090D" w:rsidP="00BD090D">
      <w:pPr>
        <w:spacing w:line="360" w:lineRule="auto"/>
        <w:ind w:firstLineChars="200" w:firstLine="420"/>
        <w:rPr>
          <w:rFonts w:ascii="宋体" w:eastAsia="宋体" w:hAnsi="宋体"/>
          <w:szCs w:val="21"/>
        </w:rPr>
      </w:pPr>
    </w:p>
    <w:p w14:paraId="12057E77" w14:textId="77777777" w:rsidR="00BD090D" w:rsidRDefault="00BD090D" w:rsidP="00BD090D">
      <w:pPr>
        <w:spacing w:line="360" w:lineRule="auto"/>
        <w:ind w:firstLineChars="200" w:firstLine="420"/>
        <w:rPr>
          <w:rFonts w:ascii="宋体" w:eastAsia="宋体" w:hAnsi="宋体"/>
          <w:szCs w:val="21"/>
        </w:rPr>
      </w:pPr>
    </w:p>
    <w:p w14:paraId="77D15512" w14:textId="77777777" w:rsidR="00BD090D" w:rsidRDefault="00BD090D" w:rsidP="00BD090D">
      <w:pPr>
        <w:spacing w:line="360" w:lineRule="auto"/>
        <w:ind w:firstLineChars="200" w:firstLine="420"/>
        <w:rPr>
          <w:rFonts w:ascii="宋体" w:eastAsia="宋体" w:hAnsi="宋体"/>
          <w:szCs w:val="21"/>
        </w:rPr>
      </w:pPr>
    </w:p>
    <w:p w14:paraId="34B99C6F" w14:textId="77777777" w:rsidR="00BD090D" w:rsidRPr="00BD090D" w:rsidRDefault="00BD090D" w:rsidP="00BD090D">
      <w:pPr>
        <w:spacing w:line="360" w:lineRule="auto"/>
        <w:ind w:firstLineChars="200" w:firstLine="420"/>
        <w:rPr>
          <w:rFonts w:ascii="宋体" w:eastAsia="宋体" w:hAnsi="宋体"/>
          <w:szCs w:val="21"/>
        </w:rPr>
      </w:pPr>
    </w:p>
    <w:p w14:paraId="2649AE3E" w14:textId="0D850AD4" w:rsidR="00BD090D" w:rsidRDefault="00BD090D" w:rsidP="00BD090D">
      <w:pPr>
        <w:pStyle w:val="2"/>
        <w:ind w:firstLineChars="0" w:firstLine="0"/>
        <w:jc w:val="center"/>
        <w:rPr>
          <w:rFonts w:ascii="宋体" w:hAnsi="宋体"/>
          <w:b/>
          <w:sz w:val="48"/>
          <w:szCs w:val="48"/>
        </w:rPr>
      </w:pPr>
      <w:r w:rsidRPr="00BD090D">
        <w:rPr>
          <w:rFonts w:ascii="宋体" w:hAnsi="宋体" w:hint="eastAsia"/>
          <w:b/>
          <w:sz w:val="48"/>
          <w:szCs w:val="48"/>
        </w:rPr>
        <w:t>富荣富合一年定期开放纯债债券型发起式证券投资基金</w:t>
      </w:r>
      <w:r w:rsidR="005E542D">
        <w:rPr>
          <w:rFonts w:ascii="宋体" w:hAnsi="宋体" w:hint="eastAsia"/>
          <w:b/>
          <w:sz w:val="48"/>
          <w:szCs w:val="48"/>
        </w:rPr>
        <w:t>更新的</w:t>
      </w:r>
      <w:r w:rsidRPr="00BD090D">
        <w:rPr>
          <w:rFonts w:ascii="宋体" w:hAnsi="宋体" w:hint="eastAsia"/>
          <w:b/>
          <w:sz w:val="48"/>
          <w:szCs w:val="48"/>
        </w:rPr>
        <w:t>招募说明书</w:t>
      </w:r>
    </w:p>
    <w:p w14:paraId="73AE4FB8" w14:textId="667A97EB" w:rsidR="00B54B11" w:rsidRDefault="005E542D" w:rsidP="00BD090D">
      <w:pPr>
        <w:pStyle w:val="2"/>
        <w:ind w:firstLineChars="0" w:firstLine="0"/>
        <w:jc w:val="center"/>
        <w:rPr>
          <w:rFonts w:ascii="宋体" w:hAnsi="宋体"/>
          <w:b/>
          <w:sz w:val="48"/>
          <w:szCs w:val="48"/>
        </w:rPr>
      </w:pPr>
      <w:r>
        <w:rPr>
          <w:rFonts w:ascii="宋体" w:hAnsi="宋体" w:hint="eastAsia"/>
          <w:b/>
          <w:sz w:val="48"/>
          <w:szCs w:val="48"/>
        </w:rPr>
        <w:t>（2</w:t>
      </w:r>
      <w:r>
        <w:rPr>
          <w:rFonts w:ascii="宋体" w:hAnsi="宋体"/>
          <w:b/>
          <w:sz w:val="48"/>
          <w:szCs w:val="48"/>
        </w:rPr>
        <w:t>021</w:t>
      </w:r>
      <w:r>
        <w:rPr>
          <w:rFonts w:ascii="宋体" w:hAnsi="宋体" w:hint="eastAsia"/>
          <w:b/>
          <w:sz w:val="48"/>
          <w:szCs w:val="48"/>
        </w:rPr>
        <w:t>年第1号）</w:t>
      </w:r>
    </w:p>
    <w:p w14:paraId="0822EE76" w14:textId="77777777" w:rsidR="005E542D" w:rsidRPr="00BD090D" w:rsidRDefault="005E542D" w:rsidP="00BD090D">
      <w:pPr>
        <w:pStyle w:val="2"/>
        <w:ind w:firstLineChars="0" w:firstLine="0"/>
        <w:jc w:val="center"/>
        <w:rPr>
          <w:rFonts w:ascii="宋体" w:hAnsi="宋体"/>
          <w:b/>
          <w:sz w:val="48"/>
          <w:szCs w:val="48"/>
        </w:rPr>
      </w:pPr>
    </w:p>
    <w:p w14:paraId="013545D3" w14:textId="77777777" w:rsidR="00BD090D" w:rsidRPr="00BD090D" w:rsidRDefault="00BD090D" w:rsidP="00BD090D">
      <w:pPr>
        <w:spacing w:line="360" w:lineRule="auto"/>
        <w:jc w:val="center"/>
        <w:rPr>
          <w:rFonts w:ascii="Times New Roman" w:eastAsia="宋体" w:hAnsi="Times New Roman" w:cs="Times New Roman"/>
          <w:sz w:val="36"/>
          <w:szCs w:val="36"/>
        </w:rPr>
      </w:pPr>
      <w:r w:rsidRPr="00BD090D">
        <w:rPr>
          <w:rFonts w:ascii="Times New Roman" w:eastAsia="宋体" w:hAnsi="Times New Roman" w:cs="Times New Roman" w:hint="eastAsia"/>
          <w:sz w:val="36"/>
          <w:szCs w:val="36"/>
        </w:rPr>
        <w:t>【本基金不向个人投资者销售】</w:t>
      </w:r>
    </w:p>
    <w:p w14:paraId="73C46C6B" w14:textId="77777777" w:rsidR="00BD090D" w:rsidRPr="00BD090D" w:rsidRDefault="00BD090D" w:rsidP="00BD090D">
      <w:pPr>
        <w:spacing w:line="360" w:lineRule="auto"/>
        <w:ind w:firstLineChars="200" w:firstLine="420"/>
        <w:rPr>
          <w:rFonts w:ascii="宋体" w:eastAsia="宋体" w:hAnsi="宋体"/>
          <w:szCs w:val="21"/>
        </w:rPr>
      </w:pPr>
    </w:p>
    <w:p w14:paraId="51802AA0" w14:textId="77777777" w:rsidR="00BD090D" w:rsidRPr="00BD090D" w:rsidRDefault="00BD090D" w:rsidP="00BD090D">
      <w:pPr>
        <w:spacing w:line="360" w:lineRule="auto"/>
        <w:ind w:firstLineChars="200" w:firstLine="420"/>
        <w:rPr>
          <w:rFonts w:ascii="宋体" w:eastAsia="宋体" w:hAnsi="宋体"/>
          <w:szCs w:val="21"/>
        </w:rPr>
      </w:pPr>
    </w:p>
    <w:p w14:paraId="3CF014C4" w14:textId="77777777" w:rsidR="00BD090D" w:rsidRDefault="00BD090D" w:rsidP="00BD090D">
      <w:pPr>
        <w:spacing w:line="360" w:lineRule="auto"/>
        <w:ind w:firstLineChars="200" w:firstLine="420"/>
        <w:rPr>
          <w:rFonts w:ascii="宋体" w:eastAsia="宋体" w:hAnsi="宋体"/>
          <w:szCs w:val="21"/>
        </w:rPr>
      </w:pPr>
    </w:p>
    <w:p w14:paraId="61597878" w14:textId="77777777" w:rsidR="00411BD1" w:rsidRDefault="00411BD1" w:rsidP="00BD090D">
      <w:pPr>
        <w:spacing w:line="360" w:lineRule="auto"/>
        <w:ind w:firstLineChars="200" w:firstLine="420"/>
        <w:rPr>
          <w:rFonts w:ascii="宋体" w:eastAsia="宋体" w:hAnsi="宋体"/>
          <w:szCs w:val="21"/>
        </w:rPr>
      </w:pPr>
    </w:p>
    <w:p w14:paraId="406F888F" w14:textId="77777777" w:rsidR="00411BD1" w:rsidRDefault="00411BD1" w:rsidP="00BD090D">
      <w:pPr>
        <w:spacing w:line="360" w:lineRule="auto"/>
        <w:ind w:firstLineChars="200" w:firstLine="420"/>
        <w:rPr>
          <w:rFonts w:ascii="宋体" w:eastAsia="宋体" w:hAnsi="宋体"/>
          <w:szCs w:val="21"/>
        </w:rPr>
      </w:pPr>
    </w:p>
    <w:p w14:paraId="11D69E2F" w14:textId="77777777" w:rsidR="00411BD1" w:rsidRDefault="00411BD1" w:rsidP="00BD090D">
      <w:pPr>
        <w:spacing w:line="360" w:lineRule="auto"/>
        <w:ind w:firstLineChars="200" w:firstLine="420"/>
        <w:rPr>
          <w:rFonts w:ascii="宋体" w:eastAsia="宋体" w:hAnsi="宋体"/>
          <w:szCs w:val="21"/>
        </w:rPr>
      </w:pPr>
    </w:p>
    <w:p w14:paraId="717F2872" w14:textId="77777777" w:rsidR="00411BD1" w:rsidRDefault="00411BD1" w:rsidP="00BD090D">
      <w:pPr>
        <w:spacing w:line="360" w:lineRule="auto"/>
        <w:ind w:firstLineChars="200" w:firstLine="420"/>
        <w:rPr>
          <w:rFonts w:ascii="宋体" w:eastAsia="宋体" w:hAnsi="宋体"/>
          <w:szCs w:val="21"/>
        </w:rPr>
      </w:pPr>
    </w:p>
    <w:p w14:paraId="363F802C" w14:textId="77777777" w:rsidR="00411BD1" w:rsidRDefault="00411BD1" w:rsidP="00BD090D">
      <w:pPr>
        <w:spacing w:line="360" w:lineRule="auto"/>
        <w:ind w:firstLineChars="200" w:firstLine="420"/>
        <w:rPr>
          <w:rFonts w:ascii="宋体" w:eastAsia="宋体" w:hAnsi="宋体"/>
          <w:szCs w:val="21"/>
        </w:rPr>
      </w:pPr>
    </w:p>
    <w:p w14:paraId="3D24DB0C" w14:textId="77777777" w:rsidR="00411BD1" w:rsidRPr="00BD090D" w:rsidRDefault="00411BD1" w:rsidP="00BD090D">
      <w:pPr>
        <w:spacing w:line="360" w:lineRule="auto"/>
        <w:ind w:firstLineChars="200" w:firstLine="420"/>
        <w:rPr>
          <w:rFonts w:ascii="宋体" w:eastAsia="宋体" w:hAnsi="宋体"/>
          <w:szCs w:val="21"/>
        </w:rPr>
      </w:pPr>
    </w:p>
    <w:p w14:paraId="49F424A4" w14:textId="77777777" w:rsidR="00BD090D" w:rsidRPr="00BD090D" w:rsidRDefault="00BD090D" w:rsidP="00BD090D">
      <w:pPr>
        <w:snapToGrid w:val="0"/>
        <w:spacing w:line="360" w:lineRule="auto"/>
        <w:jc w:val="center"/>
        <w:rPr>
          <w:rFonts w:ascii="Arial Unicode MS" w:eastAsia="宋体" w:hAnsi="Arial Unicode MS" w:cs="Arial"/>
          <w:b/>
          <w:sz w:val="36"/>
          <w:szCs w:val="36"/>
        </w:rPr>
      </w:pPr>
      <w:r w:rsidRPr="00BD090D">
        <w:rPr>
          <w:rFonts w:ascii="Arial Unicode MS" w:eastAsia="宋体" w:hAnsi="Arial Unicode MS" w:cs="Arial" w:hint="eastAsia"/>
          <w:b/>
          <w:sz w:val="36"/>
          <w:szCs w:val="36"/>
        </w:rPr>
        <w:t>基金管理人：富荣基金管理有限公司</w:t>
      </w:r>
    </w:p>
    <w:p w14:paraId="362E73C8" w14:textId="77777777" w:rsidR="00BD090D" w:rsidRPr="00BD090D" w:rsidRDefault="00BD090D" w:rsidP="00BD090D">
      <w:pPr>
        <w:snapToGrid w:val="0"/>
        <w:spacing w:line="360" w:lineRule="auto"/>
        <w:jc w:val="center"/>
        <w:rPr>
          <w:rFonts w:ascii="Arial Unicode MS" w:eastAsia="宋体" w:hAnsi="Arial Unicode MS" w:cs="Arial"/>
          <w:b/>
          <w:sz w:val="36"/>
          <w:szCs w:val="36"/>
        </w:rPr>
      </w:pPr>
      <w:r w:rsidRPr="00BD090D">
        <w:rPr>
          <w:rFonts w:ascii="Arial Unicode MS" w:eastAsia="宋体" w:hAnsi="Arial Unicode MS" w:cs="Arial" w:hint="eastAsia"/>
          <w:b/>
          <w:sz w:val="36"/>
          <w:szCs w:val="36"/>
        </w:rPr>
        <w:t>基金托管人：中国民生银行股份有限公司</w:t>
      </w:r>
    </w:p>
    <w:p w14:paraId="2F1C8F15" w14:textId="77777777" w:rsidR="00BD090D" w:rsidRPr="00BD090D" w:rsidRDefault="00BD090D" w:rsidP="00BD090D">
      <w:pPr>
        <w:spacing w:line="360" w:lineRule="auto"/>
        <w:ind w:firstLineChars="200" w:firstLine="420"/>
        <w:rPr>
          <w:rFonts w:ascii="宋体" w:eastAsia="宋体" w:hAnsi="宋体"/>
          <w:szCs w:val="21"/>
        </w:rPr>
      </w:pPr>
    </w:p>
    <w:p w14:paraId="75A9E0C8" w14:textId="0BD62F09" w:rsidR="00BD090D" w:rsidRDefault="00BD090D" w:rsidP="00BD090D">
      <w:pPr>
        <w:snapToGrid w:val="0"/>
        <w:spacing w:line="360" w:lineRule="auto"/>
        <w:jc w:val="center"/>
        <w:rPr>
          <w:rFonts w:ascii="Times New Roman" w:eastAsia="宋体" w:hAnsi="Times New Roman" w:cs="Times New Roman"/>
          <w:b/>
          <w:sz w:val="30"/>
          <w:szCs w:val="30"/>
        </w:rPr>
      </w:pPr>
      <w:r w:rsidRPr="00BD090D">
        <w:rPr>
          <w:rFonts w:ascii="Times New Roman" w:eastAsia="宋体" w:hAnsi="Times New Roman" w:cs="Times New Roman" w:hint="eastAsia"/>
          <w:b/>
          <w:sz w:val="30"/>
          <w:szCs w:val="30"/>
        </w:rPr>
        <w:t>二〇二</w:t>
      </w:r>
      <w:r w:rsidR="008B6770">
        <w:rPr>
          <w:rFonts w:ascii="Times New Roman" w:eastAsia="宋体" w:hAnsi="Times New Roman" w:cs="Times New Roman" w:hint="eastAsia"/>
          <w:b/>
          <w:sz w:val="30"/>
          <w:szCs w:val="30"/>
        </w:rPr>
        <w:t>一</w:t>
      </w:r>
      <w:r w:rsidRPr="00BD090D">
        <w:rPr>
          <w:rFonts w:ascii="Times New Roman" w:eastAsia="宋体" w:hAnsi="Times New Roman" w:cs="Times New Roman" w:hint="eastAsia"/>
          <w:b/>
          <w:sz w:val="30"/>
          <w:szCs w:val="30"/>
        </w:rPr>
        <w:t>年</w:t>
      </w:r>
      <w:r w:rsidR="005453C9">
        <w:rPr>
          <w:rFonts w:ascii="Times New Roman" w:eastAsia="宋体" w:hAnsi="Times New Roman" w:cs="Times New Roman" w:hint="eastAsia"/>
          <w:b/>
          <w:sz w:val="30"/>
          <w:szCs w:val="30"/>
        </w:rPr>
        <w:t>十</w:t>
      </w:r>
      <w:r w:rsidR="00695C7E">
        <w:rPr>
          <w:rFonts w:ascii="Times New Roman" w:eastAsia="宋体" w:hAnsi="Times New Roman" w:cs="Times New Roman" w:hint="eastAsia"/>
          <w:b/>
          <w:sz w:val="30"/>
          <w:szCs w:val="30"/>
        </w:rPr>
        <w:t>二</w:t>
      </w:r>
      <w:r w:rsidRPr="00BD090D">
        <w:rPr>
          <w:rFonts w:ascii="Times New Roman" w:eastAsia="宋体" w:hAnsi="Times New Roman" w:cs="Times New Roman" w:hint="eastAsia"/>
          <w:b/>
          <w:sz w:val="30"/>
          <w:szCs w:val="30"/>
        </w:rPr>
        <w:t>月</w:t>
      </w:r>
      <w:r w:rsidRPr="00BD090D">
        <w:rPr>
          <w:rFonts w:ascii="Times New Roman" w:eastAsia="宋体" w:hAnsi="Times New Roman" w:cs="Times New Roman" w:hint="eastAsia"/>
          <w:b/>
          <w:sz w:val="30"/>
          <w:szCs w:val="30"/>
        </w:rPr>
        <w:t xml:space="preserve"> </w:t>
      </w:r>
    </w:p>
    <w:p w14:paraId="112155CA" w14:textId="77777777" w:rsidR="00BD090D" w:rsidRDefault="00BD090D">
      <w:pPr>
        <w:widowControl/>
        <w:jc w:val="left"/>
        <w:rPr>
          <w:rFonts w:ascii="Times New Roman" w:eastAsia="宋体" w:hAnsi="Times New Roman" w:cs="Times New Roman"/>
          <w:b/>
          <w:sz w:val="30"/>
          <w:szCs w:val="30"/>
        </w:rPr>
      </w:pPr>
      <w:r>
        <w:rPr>
          <w:rFonts w:ascii="Times New Roman" w:eastAsia="宋体" w:hAnsi="Times New Roman" w:cs="Times New Roman"/>
          <w:b/>
          <w:sz w:val="30"/>
          <w:szCs w:val="30"/>
        </w:rPr>
        <w:br w:type="page"/>
      </w:r>
    </w:p>
    <w:p w14:paraId="46E4E70C" w14:textId="77777777" w:rsidR="00BD090D" w:rsidRPr="00BD090D" w:rsidRDefault="00BD090D" w:rsidP="00BD090D">
      <w:pPr>
        <w:autoSpaceDE w:val="0"/>
        <w:autoSpaceDN w:val="0"/>
        <w:adjustRightInd w:val="0"/>
        <w:snapToGrid w:val="0"/>
        <w:spacing w:line="360" w:lineRule="auto"/>
        <w:jc w:val="center"/>
        <w:rPr>
          <w:rFonts w:ascii="Arial Unicode MS" w:eastAsia="宋体" w:hAnsi="Arial Unicode MS" w:cs="Arial"/>
          <w:b/>
          <w:bCs/>
          <w:sz w:val="28"/>
          <w:szCs w:val="28"/>
        </w:rPr>
      </w:pPr>
      <w:r w:rsidRPr="00BD090D">
        <w:rPr>
          <w:rFonts w:ascii="Arial Unicode MS" w:eastAsia="宋体" w:hAnsi="Arial Unicode MS" w:cs="Arial" w:hint="eastAsia"/>
          <w:b/>
          <w:bCs/>
          <w:sz w:val="28"/>
          <w:szCs w:val="28"/>
        </w:rPr>
        <w:lastRenderedPageBreak/>
        <w:t>【重要提示】</w:t>
      </w:r>
    </w:p>
    <w:p w14:paraId="568087D5" w14:textId="77777777" w:rsidR="00BD090D" w:rsidRPr="00BD090D" w:rsidRDefault="00BD090D" w:rsidP="00BD090D">
      <w:pPr>
        <w:spacing w:line="360" w:lineRule="auto"/>
        <w:ind w:firstLineChars="200" w:firstLine="420"/>
        <w:rPr>
          <w:rFonts w:ascii="宋体" w:eastAsia="宋体" w:hAnsi="宋体"/>
          <w:szCs w:val="21"/>
        </w:rPr>
      </w:pPr>
    </w:p>
    <w:p w14:paraId="1BE7D35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1、本基金根据</w:t>
      </w:r>
      <w:r w:rsidR="00C21C3B">
        <w:rPr>
          <w:rFonts w:ascii="宋体" w:eastAsia="宋体" w:hAnsi="宋体" w:hint="eastAsia"/>
          <w:szCs w:val="21"/>
        </w:rPr>
        <w:t>2020</w:t>
      </w:r>
      <w:r w:rsidRPr="00BD090D">
        <w:rPr>
          <w:rFonts w:ascii="宋体" w:eastAsia="宋体" w:hAnsi="宋体" w:hint="eastAsia"/>
          <w:szCs w:val="21"/>
        </w:rPr>
        <w:t>年</w:t>
      </w:r>
      <w:r w:rsidR="00C21C3B">
        <w:rPr>
          <w:rFonts w:ascii="宋体" w:eastAsia="宋体" w:hAnsi="宋体" w:hint="eastAsia"/>
          <w:szCs w:val="21"/>
        </w:rPr>
        <w:t>11</w:t>
      </w:r>
      <w:r w:rsidRPr="00BD090D">
        <w:rPr>
          <w:rFonts w:ascii="宋体" w:eastAsia="宋体" w:hAnsi="宋体" w:hint="eastAsia"/>
          <w:szCs w:val="21"/>
        </w:rPr>
        <w:t>月</w:t>
      </w:r>
      <w:r w:rsidR="00C21C3B">
        <w:rPr>
          <w:rFonts w:ascii="宋体" w:eastAsia="宋体" w:hAnsi="宋体" w:hint="eastAsia"/>
          <w:szCs w:val="21"/>
        </w:rPr>
        <w:t>18</w:t>
      </w:r>
      <w:r w:rsidRPr="00BD090D">
        <w:rPr>
          <w:rFonts w:ascii="宋体" w:eastAsia="宋体" w:hAnsi="宋体" w:hint="eastAsia"/>
          <w:szCs w:val="21"/>
        </w:rPr>
        <w:t>日中国证券监督管理委员会（以下简称“中国证监会”）</w:t>
      </w:r>
      <w:r w:rsidR="005E23C2" w:rsidRPr="00BD090D">
        <w:rPr>
          <w:rFonts w:ascii="宋体" w:eastAsia="宋体" w:hAnsi="宋体" w:hint="eastAsia"/>
          <w:szCs w:val="21"/>
        </w:rPr>
        <w:t>《关于</w:t>
      </w:r>
      <w:r w:rsidR="005E23C2">
        <w:rPr>
          <w:rFonts w:ascii="宋体" w:eastAsia="宋体" w:hAnsi="宋体" w:hint="eastAsia"/>
          <w:szCs w:val="21"/>
        </w:rPr>
        <w:t>准予富荣富合一年定期开放纯债债券型发起式证券投资基金</w:t>
      </w:r>
      <w:r w:rsidR="00A722CD">
        <w:rPr>
          <w:rFonts w:ascii="宋体" w:eastAsia="宋体" w:hAnsi="宋体" w:hint="eastAsia"/>
          <w:szCs w:val="21"/>
        </w:rPr>
        <w:t>变更注册</w:t>
      </w:r>
      <w:r w:rsidRPr="00BD090D">
        <w:rPr>
          <w:rFonts w:ascii="宋体" w:eastAsia="宋体" w:hAnsi="宋体" w:hint="eastAsia"/>
          <w:szCs w:val="21"/>
        </w:rPr>
        <w:t>的批复》（证监许可</w:t>
      </w:r>
      <w:r w:rsidR="003A4A92" w:rsidRPr="00BD090D">
        <w:rPr>
          <w:rFonts w:ascii="宋体" w:eastAsia="宋体" w:hAnsi="宋体" w:hint="eastAsia"/>
          <w:szCs w:val="21"/>
        </w:rPr>
        <w:t>【</w:t>
      </w:r>
      <w:r w:rsidR="003A4A92">
        <w:rPr>
          <w:rFonts w:ascii="宋体" w:eastAsia="宋体" w:hAnsi="宋体" w:hint="eastAsia"/>
          <w:szCs w:val="21"/>
        </w:rPr>
        <w:t>2020</w:t>
      </w:r>
      <w:r w:rsidRPr="00BD090D">
        <w:rPr>
          <w:rFonts w:ascii="宋体" w:eastAsia="宋体" w:hAnsi="宋体" w:hint="eastAsia"/>
          <w:szCs w:val="21"/>
        </w:rPr>
        <w:t>】</w:t>
      </w:r>
      <w:r w:rsidR="003A4A92">
        <w:rPr>
          <w:rFonts w:ascii="宋体" w:eastAsia="宋体" w:hAnsi="宋体" w:hint="eastAsia"/>
          <w:szCs w:val="21"/>
        </w:rPr>
        <w:t>3101</w:t>
      </w:r>
      <w:r w:rsidRPr="00BD090D">
        <w:rPr>
          <w:rFonts w:ascii="宋体" w:eastAsia="宋体" w:hAnsi="宋体" w:hint="eastAsia"/>
          <w:szCs w:val="21"/>
        </w:rPr>
        <w:t>号）进行募集。</w:t>
      </w:r>
    </w:p>
    <w:p w14:paraId="27A480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14:paraId="6CE5C03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投资有风险，投资者认购（或申购）基金份额时应认真阅读基金合同、本招募说明书、基金产品资料概要等信息披露文件，自主判断基金的投资价值，全面认识本基金产品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w:t>
      </w:r>
    </w:p>
    <w:p w14:paraId="26BF2A11" w14:textId="5E503811" w:rsidR="00BD090D" w:rsidRPr="00BD090D" w:rsidRDefault="00BD090D" w:rsidP="00DE5F02">
      <w:pPr>
        <w:spacing w:line="360" w:lineRule="auto"/>
        <w:ind w:firstLineChars="200" w:firstLine="420"/>
        <w:rPr>
          <w:rFonts w:ascii="宋体" w:eastAsia="宋体" w:hAnsi="宋体"/>
          <w:szCs w:val="21"/>
        </w:rPr>
      </w:pPr>
      <w:r w:rsidRPr="00BD090D">
        <w:rPr>
          <w:rFonts w:ascii="宋体" w:eastAsia="宋体" w:hAnsi="宋体" w:hint="eastAsia"/>
          <w:szCs w:val="21"/>
        </w:rPr>
        <w:t>4、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w:t>
      </w:r>
    </w:p>
    <w:p w14:paraId="0EBD92A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5、本基金属于债券型证券投资基金，其预期风险收益水平低于股票型基金、混合型基金，高于货币市场基金。</w:t>
      </w:r>
    </w:p>
    <w:p w14:paraId="19B037F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6、本基金份额发售面值为人民币1.00 元。在市场波动因素影响下，本基金净值可能低于发售面值，本基金投资者有可能出现亏损。</w:t>
      </w:r>
    </w:p>
    <w:p w14:paraId="1860892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7、基金的过往业绩并不预示其未来表现，基金管理人管理的其他基金的业绩也不构成对本基金业绩表现的保证。</w:t>
      </w:r>
    </w:p>
    <w:p w14:paraId="4A7B59E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8、基金管理人依照恪尽职守、诚实信用、谨慎勤勉的原则管理和运用基金财产，但不保证基金一定盈利，也不保证最低收益。</w:t>
      </w:r>
    </w:p>
    <w:p w14:paraId="793451CC" w14:textId="3EA821F0" w:rsid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9、本基金允许单一投资者或构成一致行动人的多个投资者持有基金份额比例达到或者超过 50%，且本基金不向个人投资者销售。法律法规或监管机构另有约定的除外。</w:t>
      </w:r>
    </w:p>
    <w:p w14:paraId="148C3523" w14:textId="6F1C87FE" w:rsidR="00C12B9A" w:rsidRPr="00C12B9A" w:rsidRDefault="00C12B9A" w:rsidP="00C12B9A">
      <w:pPr>
        <w:spacing w:line="360" w:lineRule="auto"/>
        <w:ind w:firstLineChars="200" w:firstLine="420"/>
        <w:rPr>
          <w:rFonts w:ascii="宋体" w:eastAsia="宋体" w:hAnsi="宋体"/>
          <w:szCs w:val="21"/>
        </w:rPr>
      </w:pPr>
      <w:r>
        <w:rPr>
          <w:rFonts w:ascii="宋体" w:eastAsia="宋体" w:hAnsi="宋体"/>
          <w:szCs w:val="21"/>
        </w:rPr>
        <w:lastRenderedPageBreak/>
        <w:t>10</w:t>
      </w:r>
      <w:r>
        <w:rPr>
          <w:rFonts w:ascii="宋体" w:eastAsia="宋体" w:hAnsi="宋体" w:hint="eastAsia"/>
          <w:szCs w:val="21"/>
        </w:rPr>
        <w:t>、</w:t>
      </w:r>
      <w:r w:rsidRPr="00C12B9A">
        <w:rPr>
          <w:rFonts w:ascii="宋体" w:eastAsia="宋体" w:hAnsi="宋体" w:hint="eastAsia"/>
          <w:szCs w:val="21"/>
        </w:rPr>
        <w:t>本招募说明书所载内容截止日为2021年</w:t>
      </w:r>
      <w:r>
        <w:rPr>
          <w:rFonts w:ascii="宋体" w:eastAsia="宋体" w:hAnsi="宋体"/>
          <w:szCs w:val="21"/>
        </w:rPr>
        <w:t>11</w:t>
      </w:r>
      <w:r w:rsidRPr="00C12B9A">
        <w:rPr>
          <w:rFonts w:ascii="宋体" w:eastAsia="宋体" w:hAnsi="宋体" w:hint="eastAsia"/>
          <w:szCs w:val="21"/>
        </w:rPr>
        <w:t>月</w:t>
      </w:r>
      <w:r>
        <w:rPr>
          <w:rFonts w:ascii="宋体" w:eastAsia="宋体" w:hAnsi="宋体"/>
          <w:szCs w:val="21"/>
        </w:rPr>
        <w:t>1</w:t>
      </w:r>
      <w:r w:rsidRPr="00C12B9A">
        <w:rPr>
          <w:rFonts w:ascii="宋体" w:eastAsia="宋体" w:hAnsi="宋体" w:hint="eastAsia"/>
          <w:szCs w:val="21"/>
        </w:rPr>
        <w:t>日，有关财务数据截止日为2021年</w:t>
      </w:r>
      <w:r>
        <w:rPr>
          <w:rFonts w:ascii="宋体" w:eastAsia="宋体" w:hAnsi="宋体"/>
          <w:szCs w:val="21"/>
        </w:rPr>
        <w:t>9</w:t>
      </w:r>
      <w:r w:rsidRPr="00C12B9A">
        <w:rPr>
          <w:rFonts w:ascii="宋体" w:eastAsia="宋体" w:hAnsi="宋体" w:hint="eastAsia"/>
          <w:szCs w:val="21"/>
        </w:rPr>
        <w:t>月30日，净值表现截止日为2021年</w:t>
      </w:r>
      <w:r>
        <w:rPr>
          <w:rFonts w:ascii="宋体" w:eastAsia="宋体" w:hAnsi="宋体"/>
          <w:szCs w:val="21"/>
        </w:rPr>
        <w:t>9</w:t>
      </w:r>
      <w:r w:rsidRPr="00C12B9A">
        <w:rPr>
          <w:rFonts w:ascii="宋体" w:eastAsia="宋体" w:hAnsi="宋体" w:hint="eastAsia"/>
          <w:szCs w:val="21"/>
        </w:rPr>
        <w:t>月30日。（财务数据未经审计）。</w:t>
      </w:r>
    </w:p>
    <w:p w14:paraId="532ACC27" w14:textId="19273184" w:rsidR="00C12B9A" w:rsidRPr="00C12B9A" w:rsidRDefault="00C12B9A" w:rsidP="00C12B9A">
      <w:pPr>
        <w:spacing w:line="360" w:lineRule="auto"/>
        <w:ind w:firstLineChars="200" w:firstLine="420"/>
        <w:rPr>
          <w:rFonts w:ascii="宋体" w:eastAsia="宋体" w:hAnsi="宋体"/>
          <w:szCs w:val="21"/>
        </w:rPr>
      </w:pPr>
      <w:r w:rsidRPr="00C12B9A">
        <w:rPr>
          <w:rFonts w:ascii="宋体" w:eastAsia="宋体" w:hAnsi="宋体" w:hint="eastAsia"/>
          <w:szCs w:val="21"/>
        </w:rPr>
        <w:t>本基金托管人中国民生银行股份有限公司已于2021年</w:t>
      </w:r>
      <w:r w:rsidR="00BA5564">
        <w:rPr>
          <w:rFonts w:ascii="宋体" w:eastAsia="宋体" w:hAnsi="宋体" w:hint="eastAsia"/>
          <w:szCs w:val="21"/>
        </w:rPr>
        <w:t>1</w:t>
      </w:r>
      <w:r w:rsidR="00BA5564">
        <w:rPr>
          <w:rFonts w:ascii="宋体" w:eastAsia="宋体" w:hAnsi="宋体"/>
          <w:szCs w:val="21"/>
        </w:rPr>
        <w:t>2</w:t>
      </w:r>
      <w:r w:rsidRPr="00C12B9A">
        <w:rPr>
          <w:rFonts w:ascii="宋体" w:eastAsia="宋体" w:hAnsi="宋体" w:hint="eastAsia"/>
          <w:szCs w:val="21"/>
        </w:rPr>
        <w:t>月</w:t>
      </w:r>
      <w:r w:rsidR="00BA5564">
        <w:rPr>
          <w:rFonts w:ascii="宋体" w:eastAsia="宋体" w:hAnsi="宋体" w:hint="eastAsia"/>
          <w:szCs w:val="21"/>
        </w:rPr>
        <w:t>9</w:t>
      </w:r>
      <w:r w:rsidRPr="00C12B9A">
        <w:rPr>
          <w:rFonts w:ascii="宋体" w:eastAsia="宋体" w:hAnsi="宋体" w:hint="eastAsia"/>
          <w:szCs w:val="21"/>
        </w:rPr>
        <w:t>日复核了本次更新的招募说明书。</w:t>
      </w:r>
    </w:p>
    <w:p w14:paraId="6732F45F" w14:textId="59E31178" w:rsidR="00572BE2" w:rsidRDefault="00572BE2" w:rsidP="00BD090D">
      <w:pPr>
        <w:spacing w:line="360" w:lineRule="auto"/>
        <w:ind w:firstLineChars="200" w:firstLine="420"/>
        <w:rPr>
          <w:rFonts w:ascii="宋体" w:eastAsia="宋体" w:hAnsi="宋体"/>
          <w:szCs w:val="21"/>
        </w:rPr>
      </w:pPr>
      <w:r>
        <w:rPr>
          <w:rFonts w:ascii="宋体" w:eastAsia="宋体" w:hAnsi="宋体"/>
          <w:szCs w:val="21"/>
        </w:rPr>
        <w:br w:type="page"/>
      </w:r>
    </w:p>
    <w:p w14:paraId="77220C3F" w14:textId="77777777" w:rsidR="00BD090D" w:rsidRPr="006E10CB" w:rsidRDefault="00BD090D" w:rsidP="00BD090D">
      <w:pPr>
        <w:spacing w:line="360" w:lineRule="auto"/>
        <w:ind w:firstLineChars="200" w:firstLine="420"/>
        <w:rPr>
          <w:rFonts w:ascii="宋体" w:eastAsia="宋体" w:hAnsi="宋体"/>
          <w:szCs w:val="21"/>
        </w:rPr>
      </w:pPr>
    </w:p>
    <w:p w14:paraId="28D5C4B1" w14:textId="77777777" w:rsidR="005F5D9A" w:rsidRDefault="005F5D9A" w:rsidP="005F5D9A">
      <w:pPr>
        <w:snapToGrid w:val="0"/>
        <w:spacing w:line="360" w:lineRule="auto"/>
        <w:jc w:val="center"/>
        <w:rPr>
          <w:rFonts w:ascii="Arial Unicode MS" w:hAnsi="Arial Unicode MS" w:cs="Arial"/>
          <w:b/>
          <w:bCs/>
          <w:spacing w:val="120"/>
          <w:sz w:val="28"/>
          <w:szCs w:val="21"/>
        </w:rPr>
      </w:pPr>
      <w:r>
        <w:rPr>
          <w:rFonts w:ascii="Arial Unicode MS" w:hAnsi="Arial Unicode MS" w:cs="Arial"/>
          <w:b/>
          <w:bCs/>
          <w:spacing w:val="120"/>
          <w:sz w:val="28"/>
          <w:szCs w:val="21"/>
        </w:rPr>
        <w:t>目录</w:t>
      </w:r>
    </w:p>
    <w:p w14:paraId="276640FB" w14:textId="56BE78FA" w:rsidR="0005222B" w:rsidRDefault="005F5D9A">
      <w:pPr>
        <w:pStyle w:val="TOC1"/>
        <w:tabs>
          <w:tab w:val="right" w:leader="dot" w:pos="8296"/>
        </w:tabs>
        <w:rPr>
          <w:noProof/>
        </w:rPr>
      </w:pPr>
      <w:r w:rsidRPr="005F5D9A">
        <w:rPr>
          <w:rStyle w:val="a9"/>
          <w:rFonts w:eastAsia="宋体"/>
          <w:caps/>
        </w:rPr>
        <w:fldChar w:fldCharType="begin"/>
      </w:r>
      <w:r w:rsidRPr="005F5D9A">
        <w:rPr>
          <w:rStyle w:val="a9"/>
          <w:rFonts w:eastAsia="宋体"/>
          <w:caps/>
        </w:rPr>
        <w:instrText xml:space="preserve"> TOC \o "1-1" \h \z </w:instrText>
      </w:r>
      <w:r w:rsidRPr="005F5D9A">
        <w:rPr>
          <w:rStyle w:val="a9"/>
          <w:rFonts w:eastAsia="宋体"/>
          <w:caps/>
        </w:rPr>
        <w:fldChar w:fldCharType="separate"/>
      </w:r>
      <w:hyperlink w:anchor="_Toc89276772" w:history="1">
        <w:r w:rsidR="0005222B" w:rsidRPr="003136DA">
          <w:rPr>
            <w:rStyle w:val="a9"/>
            <w:rFonts w:ascii="Arial Unicode MS" w:eastAsia="宋体" w:hAnsi="Arial Unicode MS" w:cs="Arial"/>
            <w:noProof/>
            <w:kern w:val="0"/>
          </w:rPr>
          <w:t>第一部分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绪言</w:t>
        </w:r>
        <w:r w:rsidR="0005222B">
          <w:rPr>
            <w:noProof/>
            <w:webHidden/>
          </w:rPr>
          <w:tab/>
        </w:r>
        <w:r w:rsidR="0005222B">
          <w:rPr>
            <w:noProof/>
            <w:webHidden/>
          </w:rPr>
          <w:fldChar w:fldCharType="begin"/>
        </w:r>
        <w:r w:rsidR="0005222B">
          <w:rPr>
            <w:noProof/>
            <w:webHidden/>
          </w:rPr>
          <w:instrText xml:space="preserve"> PAGEREF _Toc89276772 \h </w:instrText>
        </w:r>
        <w:r w:rsidR="0005222B">
          <w:rPr>
            <w:noProof/>
            <w:webHidden/>
          </w:rPr>
        </w:r>
        <w:r w:rsidR="0005222B">
          <w:rPr>
            <w:noProof/>
            <w:webHidden/>
          </w:rPr>
          <w:fldChar w:fldCharType="separate"/>
        </w:r>
        <w:r w:rsidR="008516FA">
          <w:rPr>
            <w:noProof/>
            <w:webHidden/>
          </w:rPr>
          <w:t>5</w:t>
        </w:r>
        <w:r w:rsidR="0005222B">
          <w:rPr>
            <w:noProof/>
            <w:webHidden/>
          </w:rPr>
          <w:fldChar w:fldCharType="end"/>
        </w:r>
      </w:hyperlink>
    </w:p>
    <w:p w14:paraId="18D7A98A" w14:textId="74FC16EF" w:rsidR="0005222B" w:rsidRDefault="00644EF7">
      <w:pPr>
        <w:pStyle w:val="TOC1"/>
        <w:tabs>
          <w:tab w:val="right" w:leader="dot" w:pos="8296"/>
        </w:tabs>
        <w:rPr>
          <w:noProof/>
        </w:rPr>
      </w:pPr>
      <w:hyperlink w:anchor="_Toc89276773" w:history="1">
        <w:r w:rsidR="0005222B" w:rsidRPr="003136DA">
          <w:rPr>
            <w:rStyle w:val="a9"/>
            <w:rFonts w:ascii="Arial Unicode MS" w:eastAsia="宋体" w:hAnsi="Arial Unicode MS" w:cs="Arial"/>
            <w:noProof/>
            <w:kern w:val="0"/>
          </w:rPr>
          <w:t>第二部分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释义</w:t>
        </w:r>
        <w:r w:rsidR="0005222B">
          <w:rPr>
            <w:noProof/>
            <w:webHidden/>
          </w:rPr>
          <w:tab/>
        </w:r>
        <w:r w:rsidR="0005222B">
          <w:rPr>
            <w:noProof/>
            <w:webHidden/>
          </w:rPr>
          <w:fldChar w:fldCharType="begin"/>
        </w:r>
        <w:r w:rsidR="0005222B">
          <w:rPr>
            <w:noProof/>
            <w:webHidden/>
          </w:rPr>
          <w:instrText xml:space="preserve"> PAGEREF _Toc89276773 \h </w:instrText>
        </w:r>
        <w:r w:rsidR="0005222B">
          <w:rPr>
            <w:noProof/>
            <w:webHidden/>
          </w:rPr>
        </w:r>
        <w:r w:rsidR="0005222B">
          <w:rPr>
            <w:noProof/>
            <w:webHidden/>
          </w:rPr>
          <w:fldChar w:fldCharType="separate"/>
        </w:r>
        <w:r w:rsidR="008516FA">
          <w:rPr>
            <w:noProof/>
            <w:webHidden/>
          </w:rPr>
          <w:t>6</w:t>
        </w:r>
        <w:r w:rsidR="0005222B">
          <w:rPr>
            <w:noProof/>
            <w:webHidden/>
          </w:rPr>
          <w:fldChar w:fldCharType="end"/>
        </w:r>
      </w:hyperlink>
    </w:p>
    <w:p w14:paraId="248FCA22" w14:textId="706828FA" w:rsidR="0005222B" w:rsidRDefault="00644EF7">
      <w:pPr>
        <w:pStyle w:val="TOC1"/>
        <w:tabs>
          <w:tab w:val="right" w:leader="dot" w:pos="8296"/>
        </w:tabs>
        <w:rPr>
          <w:noProof/>
        </w:rPr>
      </w:pPr>
      <w:hyperlink w:anchor="_Toc89276774" w:history="1">
        <w:r w:rsidR="0005222B" w:rsidRPr="003136DA">
          <w:rPr>
            <w:rStyle w:val="a9"/>
            <w:rFonts w:ascii="Arial Unicode MS" w:eastAsia="宋体" w:hAnsi="Arial Unicode MS" w:cs="Arial"/>
            <w:noProof/>
            <w:kern w:val="0"/>
          </w:rPr>
          <w:t>第三部分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基金管理人</w:t>
        </w:r>
        <w:r w:rsidR="0005222B">
          <w:rPr>
            <w:noProof/>
            <w:webHidden/>
          </w:rPr>
          <w:tab/>
        </w:r>
        <w:r w:rsidR="0005222B">
          <w:rPr>
            <w:noProof/>
            <w:webHidden/>
          </w:rPr>
          <w:fldChar w:fldCharType="begin"/>
        </w:r>
        <w:r w:rsidR="0005222B">
          <w:rPr>
            <w:noProof/>
            <w:webHidden/>
          </w:rPr>
          <w:instrText xml:space="preserve"> PAGEREF _Toc89276774 \h </w:instrText>
        </w:r>
        <w:r w:rsidR="0005222B">
          <w:rPr>
            <w:noProof/>
            <w:webHidden/>
          </w:rPr>
        </w:r>
        <w:r w:rsidR="0005222B">
          <w:rPr>
            <w:noProof/>
            <w:webHidden/>
          </w:rPr>
          <w:fldChar w:fldCharType="separate"/>
        </w:r>
        <w:r w:rsidR="008516FA">
          <w:rPr>
            <w:noProof/>
            <w:webHidden/>
          </w:rPr>
          <w:t>11</w:t>
        </w:r>
        <w:r w:rsidR="0005222B">
          <w:rPr>
            <w:noProof/>
            <w:webHidden/>
          </w:rPr>
          <w:fldChar w:fldCharType="end"/>
        </w:r>
      </w:hyperlink>
    </w:p>
    <w:p w14:paraId="3B4A3A44" w14:textId="69BAA929" w:rsidR="0005222B" w:rsidRDefault="00644EF7">
      <w:pPr>
        <w:pStyle w:val="TOC1"/>
        <w:tabs>
          <w:tab w:val="right" w:leader="dot" w:pos="8296"/>
        </w:tabs>
        <w:rPr>
          <w:noProof/>
        </w:rPr>
      </w:pPr>
      <w:hyperlink w:anchor="_Toc89276775" w:history="1">
        <w:r w:rsidR="0005222B" w:rsidRPr="003136DA">
          <w:rPr>
            <w:rStyle w:val="a9"/>
            <w:rFonts w:ascii="Arial Unicode MS" w:eastAsia="宋体" w:hAnsi="Arial Unicode MS" w:cs="Arial"/>
            <w:noProof/>
            <w:kern w:val="0"/>
          </w:rPr>
          <w:t>第四部分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基金托管人</w:t>
        </w:r>
        <w:r w:rsidR="0005222B">
          <w:rPr>
            <w:noProof/>
            <w:webHidden/>
          </w:rPr>
          <w:tab/>
        </w:r>
        <w:r w:rsidR="0005222B">
          <w:rPr>
            <w:noProof/>
            <w:webHidden/>
          </w:rPr>
          <w:fldChar w:fldCharType="begin"/>
        </w:r>
        <w:r w:rsidR="0005222B">
          <w:rPr>
            <w:noProof/>
            <w:webHidden/>
          </w:rPr>
          <w:instrText xml:space="preserve"> PAGEREF _Toc89276775 \h </w:instrText>
        </w:r>
        <w:r w:rsidR="0005222B">
          <w:rPr>
            <w:noProof/>
            <w:webHidden/>
          </w:rPr>
        </w:r>
        <w:r w:rsidR="0005222B">
          <w:rPr>
            <w:noProof/>
            <w:webHidden/>
          </w:rPr>
          <w:fldChar w:fldCharType="separate"/>
        </w:r>
        <w:r w:rsidR="008516FA">
          <w:rPr>
            <w:noProof/>
            <w:webHidden/>
          </w:rPr>
          <w:t>21</w:t>
        </w:r>
        <w:r w:rsidR="0005222B">
          <w:rPr>
            <w:noProof/>
            <w:webHidden/>
          </w:rPr>
          <w:fldChar w:fldCharType="end"/>
        </w:r>
      </w:hyperlink>
    </w:p>
    <w:p w14:paraId="29AA1A39" w14:textId="5274C80C" w:rsidR="0005222B" w:rsidRDefault="00644EF7">
      <w:pPr>
        <w:pStyle w:val="TOC1"/>
        <w:tabs>
          <w:tab w:val="right" w:leader="dot" w:pos="8296"/>
        </w:tabs>
        <w:rPr>
          <w:noProof/>
        </w:rPr>
      </w:pPr>
      <w:hyperlink w:anchor="_Toc89276776" w:history="1">
        <w:r w:rsidR="0005222B" w:rsidRPr="003136DA">
          <w:rPr>
            <w:rStyle w:val="a9"/>
            <w:rFonts w:ascii="Arial Unicode MS" w:eastAsia="宋体" w:hAnsi="Arial Unicode MS" w:cs="Arial"/>
            <w:noProof/>
            <w:kern w:val="0"/>
          </w:rPr>
          <w:t>第五部分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相关服务机构</w:t>
        </w:r>
        <w:r w:rsidR="0005222B">
          <w:rPr>
            <w:noProof/>
            <w:webHidden/>
          </w:rPr>
          <w:tab/>
        </w:r>
        <w:r w:rsidR="0005222B">
          <w:rPr>
            <w:noProof/>
            <w:webHidden/>
          </w:rPr>
          <w:fldChar w:fldCharType="begin"/>
        </w:r>
        <w:r w:rsidR="0005222B">
          <w:rPr>
            <w:noProof/>
            <w:webHidden/>
          </w:rPr>
          <w:instrText xml:space="preserve"> PAGEREF _Toc89276776 \h </w:instrText>
        </w:r>
        <w:r w:rsidR="0005222B">
          <w:rPr>
            <w:noProof/>
            <w:webHidden/>
          </w:rPr>
        </w:r>
        <w:r w:rsidR="0005222B">
          <w:rPr>
            <w:noProof/>
            <w:webHidden/>
          </w:rPr>
          <w:fldChar w:fldCharType="separate"/>
        </w:r>
        <w:r w:rsidR="008516FA">
          <w:rPr>
            <w:noProof/>
            <w:webHidden/>
          </w:rPr>
          <w:t>26</w:t>
        </w:r>
        <w:r w:rsidR="0005222B">
          <w:rPr>
            <w:noProof/>
            <w:webHidden/>
          </w:rPr>
          <w:fldChar w:fldCharType="end"/>
        </w:r>
      </w:hyperlink>
    </w:p>
    <w:p w14:paraId="7DBCB62C" w14:textId="45801FB1" w:rsidR="0005222B" w:rsidRDefault="00644EF7">
      <w:pPr>
        <w:pStyle w:val="TOC1"/>
        <w:tabs>
          <w:tab w:val="right" w:leader="dot" w:pos="8296"/>
        </w:tabs>
        <w:rPr>
          <w:noProof/>
        </w:rPr>
      </w:pPr>
      <w:hyperlink w:anchor="_Toc89276777" w:history="1">
        <w:r w:rsidR="0005222B" w:rsidRPr="003136DA">
          <w:rPr>
            <w:rStyle w:val="a9"/>
            <w:rFonts w:ascii="Arial Unicode MS" w:eastAsia="宋体" w:hAnsi="Arial Unicode MS" w:cs="Arial"/>
            <w:noProof/>
            <w:kern w:val="0"/>
          </w:rPr>
          <w:t>第六部分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基金的募集</w:t>
        </w:r>
        <w:r w:rsidR="0005222B">
          <w:rPr>
            <w:noProof/>
            <w:webHidden/>
          </w:rPr>
          <w:tab/>
        </w:r>
        <w:r w:rsidR="0005222B">
          <w:rPr>
            <w:noProof/>
            <w:webHidden/>
          </w:rPr>
          <w:fldChar w:fldCharType="begin"/>
        </w:r>
        <w:r w:rsidR="0005222B">
          <w:rPr>
            <w:noProof/>
            <w:webHidden/>
          </w:rPr>
          <w:instrText xml:space="preserve"> PAGEREF _Toc89276777 \h </w:instrText>
        </w:r>
        <w:r w:rsidR="0005222B">
          <w:rPr>
            <w:noProof/>
            <w:webHidden/>
          </w:rPr>
        </w:r>
        <w:r w:rsidR="0005222B">
          <w:rPr>
            <w:noProof/>
            <w:webHidden/>
          </w:rPr>
          <w:fldChar w:fldCharType="separate"/>
        </w:r>
        <w:r w:rsidR="008516FA">
          <w:rPr>
            <w:noProof/>
            <w:webHidden/>
          </w:rPr>
          <w:t>28</w:t>
        </w:r>
        <w:r w:rsidR="0005222B">
          <w:rPr>
            <w:noProof/>
            <w:webHidden/>
          </w:rPr>
          <w:fldChar w:fldCharType="end"/>
        </w:r>
      </w:hyperlink>
    </w:p>
    <w:p w14:paraId="4BA5C266" w14:textId="3F7127E9" w:rsidR="0005222B" w:rsidRDefault="00644EF7">
      <w:pPr>
        <w:pStyle w:val="TOC1"/>
        <w:tabs>
          <w:tab w:val="right" w:leader="dot" w:pos="8296"/>
        </w:tabs>
        <w:rPr>
          <w:noProof/>
        </w:rPr>
      </w:pPr>
      <w:hyperlink w:anchor="_Toc89276778" w:history="1">
        <w:r w:rsidR="0005222B" w:rsidRPr="003136DA">
          <w:rPr>
            <w:rStyle w:val="a9"/>
            <w:rFonts w:ascii="Arial Unicode MS" w:eastAsia="宋体" w:hAnsi="Arial Unicode MS" w:cs="Arial"/>
            <w:noProof/>
            <w:kern w:val="0"/>
          </w:rPr>
          <w:t>第七部分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基金合同的生效</w:t>
        </w:r>
        <w:r w:rsidR="0005222B">
          <w:rPr>
            <w:noProof/>
            <w:webHidden/>
          </w:rPr>
          <w:tab/>
        </w:r>
        <w:r w:rsidR="0005222B">
          <w:rPr>
            <w:noProof/>
            <w:webHidden/>
          </w:rPr>
          <w:fldChar w:fldCharType="begin"/>
        </w:r>
        <w:r w:rsidR="0005222B">
          <w:rPr>
            <w:noProof/>
            <w:webHidden/>
          </w:rPr>
          <w:instrText xml:space="preserve"> PAGEREF _Toc89276778 \h </w:instrText>
        </w:r>
        <w:r w:rsidR="0005222B">
          <w:rPr>
            <w:noProof/>
            <w:webHidden/>
          </w:rPr>
        </w:r>
        <w:r w:rsidR="0005222B">
          <w:rPr>
            <w:noProof/>
            <w:webHidden/>
          </w:rPr>
          <w:fldChar w:fldCharType="separate"/>
        </w:r>
        <w:r w:rsidR="008516FA">
          <w:rPr>
            <w:noProof/>
            <w:webHidden/>
          </w:rPr>
          <w:t>29</w:t>
        </w:r>
        <w:r w:rsidR="0005222B">
          <w:rPr>
            <w:noProof/>
            <w:webHidden/>
          </w:rPr>
          <w:fldChar w:fldCharType="end"/>
        </w:r>
      </w:hyperlink>
    </w:p>
    <w:p w14:paraId="311FAC2E" w14:textId="101F0B2D" w:rsidR="0005222B" w:rsidRDefault="00644EF7">
      <w:pPr>
        <w:pStyle w:val="TOC1"/>
        <w:tabs>
          <w:tab w:val="right" w:leader="dot" w:pos="8296"/>
        </w:tabs>
        <w:rPr>
          <w:noProof/>
        </w:rPr>
      </w:pPr>
      <w:hyperlink w:anchor="_Toc89276779" w:history="1">
        <w:r w:rsidR="0005222B" w:rsidRPr="003136DA">
          <w:rPr>
            <w:rStyle w:val="a9"/>
            <w:rFonts w:ascii="Arial Unicode MS" w:eastAsia="宋体" w:hAnsi="Arial Unicode MS" w:cs="Arial"/>
            <w:noProof/>
            <w:kern w:val="0"/>
          </w:rPr>
          <w:t>第八部分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基金的封闭期和开放期</w:t>
        </w:r>
        <w:r w:rsidR="0005222B">
          <w:rPr>
            <w:noProof/>
            <w:webHidden/>
          </w:rPr>
          <w:tab/>
        </w:r>
        <w:r w:rsidR="0005222B">
          <w:rPr>
            <w:noProof/>
            <w:webHidden/>
          </w:rPr>
          <w:fldChar w:fldCharType="begin"/>
        </w:r>
        <w:r w:rsidR="0005222B">
          <w:rPr>
            <w:noProof/>
            <w:webHidden/>
          </w:rPr>
          <w:instrText xml:space="preserve"> PAGEREF _Toc89276779 \h </w:instrText>
        </w:r>
        <w:r w:rsidR="0005222B">
          <w:rPr>
            <w:noProof/>
            <w:webHidden/>
          </w:rPr>
        </w:r>
        <w:r w:rsidR="0005222B">
          <w:rPr>
            <w:noProof/>
            <w:webHidden/>
          </w:rPr>
          <w:fldChar w:fldCharType="separate"/>
        </w:r>
        <w:r w:rsidR="008516FA">
          <w:rPr>
            <w:noProof/>
            <w:webHidden/>
          </w:rPr>
          <w:t>30</w:t>
        </w:r>
        <w:r w:rsidR="0005222B">
          <w:rPr>
            <w:noProof/>
            <w:webHidden/>
          </w:rPr>
          <w:fldChar w:fldCharType="end"/>
        </w:r>
      </w:hyperlink>
    </w:p>
    <w:p w14:paraId="271D347C" w14:textId="71880D9E" w:rsidR="0005222B" w:rsidRDefault="00644EF7">
      <w:pPr>
        <w:pStyle w:val="TOC1"/>
        <w:tabs>
          <w:tab w:val="right" w:leader="dot" w:pos="8296"/>
        </w:tabs>
        <w:rPr>
          <w:noProof/>
        </w:rPr>
      </w:pPr>
      <w:hyperlink w:anchor="_Toc89276780" w:history="1">
        <w:r w:rsidR="0005222B" w:rsidRPr="003136DA">
          <w:rPr>
            <w:rStyle w:val="a9"/>
            <w:rFonts w:ascii="Arial Unicode MS" w:eastAsia="宋体" w:hAnsi="Arial Unicode MS" w:cs="Arial"/>
            <w:noProof/>
            <w:kern w:val="0"/>
          </w:rPr>
          <w:t>第九部分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基金份额的申购与赎回</w:t>
        </w:r>
        <w:r w:rsidR="0005222B">
          <w:rPr>
            <w:noProof/>
            <w:webHidden/>
          </w:rPr>
          <w:tab/>
        </w:r>
        <w:r w:rsidR="0005222B">
          <w:rPr>
            <w:noProof/>
            <w:webHidden/>
          </w:rPr>
          <w:fldChar w:fldCharType="begin"/>
        </w:r>
        <w:r w:rsidR="0005222B">
          <w:rPr>
            <w:noProof/>
            <w:webHidden/>
          </w:rPr>
          <w:instrText xml:space="preserve"> PAGEREF _Toc89276780 \h </w:instrText>
        </w:r>
        <w:r w:rsidR="0005222B">
          <w:rPr>
            <w:noProof/>
            <w:webHidden/>
          </w:rPr>
        </w:r>
        <w:r w:rsidR="0005222B">
          <w:rPr>
            <w:noProof/>
            <w:webHidden/>
          </w:rPr>
          <w:fldChar w:fldCharType="separate"/>
        </w:r>
        <w:r w:rsidR="008516FA">
          <w:rPr>
            <w:noProof/>
            <w:webHidden/>
          </w:rPr>
          <w:t>31</w:t>
        </w:r>
        <w:r w:rsidR="0005222B">
          <w:rPr>
            <w:noProof/>
            <w:webHidden/>
          </w:rPr>
          <w:fldChar w:fldCharType="end"/>
        </w:r>
      </w:hyperlink>
    </w:p>
    <w:p w14:paraId="26732F5F" w14:textId="49C144FE" w:rsidR="0005222B" w:rsidRDefault="00644EF7">
      <w:pPr>
        <w:pStyle w:val="TOC1"/>
        <w:tabs>
          <w:tab w:val="right" w:leader="dot" w:pos="8296"/>
        </w:tabs>
        <w:rPr>
          <w:noProof/>
        </w:rPr>
      </w:pPr>
      <w:hyperlink w:anchor="_Toc89276781" w:history="1">
        <w:r w:rsidR="0005222B" w:rsidRPr="003136DA">
          <w:rPr>
            <w:rStyle w:val="a9"/>
            <w:rFonts w:ascii="Arial Unicode MS" w:eastAsia="宋体" w:hAnsi="Arial Unicode MS" w:cs="Arial"/>
            <w:noProof/>
            <w:kern w:val="0"/>
          </w:rPr>
          <w:t>第十部分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基金的投资</w:t>
        </w:r>
        <w:r w:rsidR="0005222B">
          <w:rPr>
            <w:noProof/>
            <w:webHidden/>
          </w:rPr>
          <w:tab/>
        </w:r>
        <w:r w:rsidR="0005222B">
          <w:rPr>
            <w:noProof/>
            <w:webHidden/>
          </w:rPr>
          <w:fldChar w:fldCharType="begin"/>
        </w:r>
        <w:r w:rsidR="0005222B">
          <w:rPr>
            <w:noProof/>
            <w:webHidden/>
          </w:rPr>
          <w:instrText xml:space="preserve"> PAGEREF _Toc89276781 \h </w:instrText>
        </w:r>
        <w:r w:rsidR="0005222B">
          <w:rPr>
            <w:noProof/>
            <w:webHidden/>
          </w:rPr>
        </w:r>
        <w:r w:rsidR="0005222B">
          <w:rPr>
            <w:noProof/>
            <w:webHidden/>
          </w:rPr>
          <w:fldChar w:fldCharType="separate"/>
        </w:r>
        <w:r w:rsidR="008516FA">
          <w:rPr>
            <w:noProof/>
            <w:webHidden/>
          </w:rPr>
          <w:t>40</w:t>
        </w:r>
        <w:r w:rsidR="0005222B">
          <w:rPr>
            <w:noProof/>
            <w:webHidden/>
          </w:rPr>
          <w:fldChar w:fldCharType="end"/>
        </w:r>
      </w:hyperlink>
    </w:p>
    <w:p w14:paraId="2BED1D70" w14:textId="3B168A56" w:rsidR="0005222B" w:rsidRDefault="00644EF7">
      <w:pPr>
        <w:pStyle w:val="TOC1"/>
        <w:tabs>
          <w:tab w:val="right" w:leader="dot" w:pos="8296"/>
        </w:tabs>
        <w:rPr>
          <w:noProof/>
        </w:rPr>
      </w:pPr>
      <w:hyperlink w:anchor="_Toc89276782" w:history="1">
        <w:r w:rsidR="0005222B" w:rsidRPr="003136DA">
          <w:rPr>
            <w:rStyle w:val="a9"/>
            <w:rFonts w:ascii="Arial Unicode MS" w:eastAsia="宋体" w:hAnsi="Arial Unicode MS" w:cs="Arial"/>
            <w:noProof/>
            <w:kern w:val="0"/>
          </w:rPr>
          <w:t>第十一部分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基金的财产</w:t>
        </w:r>
        <w:r w:rsidR="0005222B">
          <w:rPr>
            <w:noProof/>
            <w:webHidden/>
          </w:rPr>
          <w:tab/>
        </w:r>
        <w:r w:rsidR="0005222B">
          <w:rPr>
            <w:noProof/>
            <w:webHidden/>
          </w:rPr>
          <w:fldChar w:fldCharType="begin"/>
        </w:r>
        <w:r w:rsidR="0005222B">
          <w:rPr>
            <w:noProof/>
            <w:webHidden/>
          </w:rPr>
          <w:instrText xml:space="preserve"> PAGEREF _Toc89276782 \h </w:instrText>
        </w:r>
        <w:r w:rsidR="0005222B">
          <w:rPr>
            <w:noProof/>
            <w:webHidden/>
          </w:rPr>
        </w:r>
        <w:r w:rsidR="0005222B">
          <w:rPr>
            <w:noProof/>
            <w:webHidden/>
          </w:rPr>
          <w:fldChar w:fldCharType="separate"/>
        </w:r>
        <w:r w:rsidR="008516FA">
          <w:rPr>
            <w:noProof/>
            <w:webHidden/>
          </w:rPr>
          <w:t>50</w:t>
        </w:r>
        <w:r w:rsidR="0005222B">
          <w:rPr>
            <w:noProof/>
            <w:webHidden/>
          </w:rPr>
          <w:fldChar w:fldCharType="end"/>
        </w:r>
      </w:hyperlink>
    </w:p>
    <w:p w14:paraId="428F27EE" w14:textId="799D7ED0" w:rsidR="0005222B" w:rsidRDefault="00644EF7">
      <w:pPr>
        <w:pStyle w:val="TOC1"/>
        <w:tabs>
          <w:tab w:val="right" w:leader="dot" w:pos="8296"/>
        </w:tabs>
        <w:rPr>
          <w:noProof/>
        </w:rPr>
      </w:pPr>
      <w:hyperlink w:anchor="_Toc89276783" w:history="1">
        <w:r w:rsidR="0005222B" w:rsidRPr="003136DA">
          <w:rPr>
            <w:rStyle w:val="a9"/>
            <w:rFonts w:ascii="Arial Unicode MS" w:eastAsia="宋体" w:hAnsi="Arial Unicode MS" w:cs="Arial"/>
            <w:noProof/>
            <w:kern w:val="0"/>
          </w:rPr>
          <w:t>第十二部分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基金资产的估值</w:t>
        </w:r>
        <w:r w:rsidR="0005222B">
          <w:rPr>
            <w:noProof/>
            <w:webHidden/>
          </w:rPr>
          <w:tab/>
        </w:r>
        <w:r w:rsidR="0005222B">
          <w:rPr>
            <w:noProof/>
            <w:webHidden/>
          </w:rPr>
          <w:fldChar w:fldCharType="begin"/>
        </w:r>
        <w:r w:rsidR="0005222B">
          <w:rPr>
            <w:noProof/>
            <w:webHidden/>
          </w:rPr>
          <w:instrText xml:space="preserve"> PAGEREF _Toc89276783 \h </w:instrText>
        </w:r>
        <w:r w:rsidR="0005222B">
          <w:rPr>
            <w:noProof/>
            <w:webHidden/>
          </w:rPr>
        </w:r>
        <w:r w:rsidR="0005222B">
          <w:rPr>
            <w:noProof/>
            <w:webHidden/>
          </w:rPr>
          <w:fldChar w:fldCharType="separate"/>
        </w:r>
        <w:r w:rsidR="008516FA">
          <w:rPr>
            <w:noProof/>
            <w:webHidden/>
          </w:rPr>
          <w:t>52</w:t>
        </w:r>
        <w:r w:rsidR="0005222B">
          <w:rPr>
            <w:noProof/>
            <w:webHidden/>
          </w:rPr>
          <w:fldChar w:fldCharType="end"/>
        </w:r>
      </w:hyperlink>
    </w:p>
    <w:p w14:paraId="08FBB1ED" w14:textId="5451F53E" w:rsidR="0005222B" w:rsidRDefault="00644EF7">
      <w:pPr>
        <w:pStyle w:val="TOC1"/>
        <w:tabs>
          <w:tab w:val="right" w:leader="dot" w:pos="8296"/>
        </w:tabs>
        <w:rPr>
          <w:noProof/>
        </w:rPr>
      </w:pPr>
      <w:hyperlink w:anchor="_Toc89276784" w:history="1">
        <w:r w:rsidR="0005222B" w:rsidRPr="003136DA">
          <w:rPr>
            <w:rStyle w:val="a9"/>
            <w:rFonts w:ascii="Arial Unicode MS" w:eastAsia="宋体" w:hAnsi="Arial Unicode MS" w:cs="Arial"/>
            <w:noProof/>
            <w:kern w:val="0"/>
          </w:rPr>
          <w:t>第十三部分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基金的收益分配</w:t>
        </w:r>
        <w:r w:rsidR="0005222B">
          <w:rPr>
            <w:noProof/>
            <w:webHidden/>
          </w:rPr>
          <w:tab/>
        </w:r>
        <w:r w:rsidR="0005222B">
          <w:rPr>
            <w:noProof/>
            <w:webHidden/>
          </w:rPr>
          <w:fldChar w:fldCharType="begin"/>
        </w:r>
        <w:r w:rsidR="0005222B">
          <w:rPr>
            <w:noProof/>
            <w:webHidden/>
          </w:rPr>
          <w:instrText xml:space="preserve"> PAGEREF _Toc89276784 \h </w:instrText>
        </w:r>
        <w:r w:rsidR="0005222B">
          <w:rPr>
            <w:noProof/>
            <w:webHidden/>
          </w:rPr>
        </w:r>
        <w:r w:rsidR="0005222B">
          <w:rPr>
            <w:noProof/>
            <w:webHidden/>
          </w:rPr>
          <w:fldChar w:fldCharType="separate"/>
        </w:r>
        <w:r w:rsidR="008516FA">
          <w:rPr>
            <w:noProof/>
            <w:webHidden/>
          </w:rPr>
          <w:t>58</w:t>
        </w:r>
        <w:r w:rsidR="0005222B">
          <w:rPr>
            <w:noProof/>
            <w:webHidden/>
          </w:rPr>
          <w:fldChar w:fldCharType="end"/>
        </w:r>
      </w:hyperlink>
    </w:p>
    <w:p w14:paraId="3AE58A1E" w14:textId="5A33978C" w:rsidR="0005222B" w:rsidRDefault="00644EF7">
      <w:pPr>
        <w:pStyle w:val="TOC1"/>
        <w:tabs>
          <w:tab w:val="right" w:leader="dot" w:pos="8296"/>
        </w:tabs>
        <w:rPr>
          <w:noProof/>
        </w:rPr>
      </w:pPr>
      <w:hyperlink w:anchor="_Toc89276785" w:history="1">
        <w:r w:rsidR="0005222B" w:rsidRPr="003136DA">
          <w:rPr>
            <w:rStyle w:val="a9"/>
            <w:rFonts w:ascii="Arial Unicode MS" w:eastAsia="宋体" w:hAnsi="Arial Unicode MS" w:cs="Arial"/>
            <w:noProof/>
            <w:kern w:val="0"/>
          </w:rPr>
          <w:t>第十四部分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基金费用与税收</w:t>
        </w:r>
        <w:r w:rsidR="0005222B">
          <w:rPr>
            <w:noProof/>
            <w:webHidden/>
          </w:rPr>
          <w:tab/>
        </w:r>
        <w:r w:rsidR="0005222B">
          <w:rPr>
            <w:noProof/>
            <w:webHidden/>
          </w:rPr>
          <w:fldChar w:fldCharType="begin"/>
        </w:r>
        <w:r w:rsidR="0005222B">
          <w:rPr>
            <w:noProof/>
            <w:webHidden/>
          </w:rPr>
          <w:instrText xml:space="preserve"> PAGEREF _Toc89276785 \h </w:instrText>
        </w:r>
        <w:r w:rsidR="0005222B">
          <w:rPr>
            <w:noProof/>
            <w:webHidden/>
          </w:rPr>
        </w:r>
        <w:r w:rsidR="0005222B">
          <w:rPr>
            <w:noProof/>
            <w:webHidden/>
          </w:rPr>
          <w:fldChar w:fldCharType="separate"/>
        </w:r>
        <w:r w:rsidR="008516FA">
          <w:rPr>
            <w:noProof/>
            <w:webHidden/>
          </w:rPr>
          <w:t>60</w:t>
        </w:r>
        <w:r w:rsidR="0005222B">
          <w:rPr>
            <w:noProof/>
            <w:webHidden/>
          </w:rPr>
          <w:fldChar w:fldCharType="end"/>
        </w:r>
      </w:hyperlink>
    </w:p>
    <w:p w14:paraId="12F08382" w14:textId="57E08CA6" w:rsidR="0005222B" w:rsidRDefault="00644EF7">
      <w:pPr>
        <w:pStyle w:val="TOC1"/>
        <w:tabs>
          <w:tab w:val="right" w:leader="dot" w:pos="8296"/>
        </w:tabs>
        <w:rPr>
          <w:noProof/>
        </w:rPr>
      </w:pPr>
      <w:hyperlink w:anchor="_Toc89276786" w:history="1">
        <w:r w:rsidR="0005222B" w:rsidRPr="003136DA">
          <w:rPr>
            <w:rStyle w:val="a9"/>
            <w:rFonts w:ascii="Arial Unicode MS" w:eastAsia="宋体" w:hAnsi="Arial Unicode MS" w:cs="Arial"/>
            <w:noProof/>
            <w:kern w:val="0"/>
          </w:rPr>
          <w:t>第十五部分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基金的会计与审计</w:t>
        </w:r>
        <w:r w:rsidR="0005222B">
          <w:rPr>
            <w:noProof/>
            <w:webHidden/>
          </w:rPr>
          <w:tab/>
        </w:r>
        <w:r w:rsidR="0005222B">
          <w:rPr>
            <w:noProof/>
            <w:webHidden/>
          </w:rPr>
          <w:fldChar w:fldCharType="begin"/>
        </w:r>
        <w:r w:rsidR="0005222B">
          <w:rPr>
            <w:noProof/>
            <w:webHidden/>
          </w:rPr>
          <w:instrText xml:space="preserve"> PAGEREF _Toc89276786 \h </w:instrText>
        </w:r>
        <w:r w:rsidR="0005222B">
          <w:rPr>
            <w:noProof/>
            <w:webHidden/>
          </w:rPr>
        </w:r>
        <w:r w:rsidR="0005222B">
          <w:rPr>
            <w:noProof/>
            <w:webHidden/>
          </w:rPr>
          <w:fldChar w:fldCharType="separate"/>
        </w:r>
        <w:r w:rsidR="008516FA">
          <w:rPr>
            <w:noProof/>
            <w:webHidden/>
          </w:rPr>
          <w:t>62</w:t>
        </w:r>
        <w:r w:rsidR="0005222B">
          <w:rPr>
            <w:noProof/>
            <w:webHidden/>
          </w:rPr>
          <w:fldChar w:fldCharType="end"/>
        </w:r>
      </w:hyperlink>
    </w:p>
    <w:p w14:paraId="2FF1C734" w14:textId="0010E612" w:rsidR="0005222B" w:rsidRDefault="00644EF7">
      <w:pPr>
        <w:pStyle w:val="TOC1"/>
        <w:tabs>
          <w:tab w:val="right" w:leader="dot" w:pos="8296"/>
        </w:tabs>
        <w:rPr>
          <w:noProof/>
        </w:rPr>
      </w:pPr>
      <w:hyperlink w:anchor="_Toc89276787" w:history="1">
        <w:r w:rsidR="0005222B" w:rsidRPr="003136DA">
          <w:rPr>
            <w:rStyle w:val="a9"/>
            <w:rFonts w:ascii="Arial Unicode MS" w:eastAsia="宋体" w:hAnsi="Arial Unicode MS" w:cs="Arial"/>
            <w:noProof/>
            <w:kern w:val="0"/>
          </w:rPr>
          <w:t>第十六部分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基金的信息披露</w:t>
        </w:r>
        <w:r w:rsidR="0005222B">
          <w:rPr>
            <w:noProof/>
            <w:webHidden/>
          </w:rPr>
          <w:tab/>
        </w:r>
        <w:r w:rsidR="0005222B">
          <w:rPr>
            <w:noProof/>
            <w:webHidden/>
          </w:rPr>
          <w:fldChar w:fldCharType="begin"/>
        </w:r>
        <w:r w:rsidR="0005222B">
          <w:rPr>
            <w:noProof/>
            <w:webHidden/>
          </w:rPr>
          <w:instrText xml:space="preserve"> PAGEREF _Toc89276787 \h </w:instrText>
        </w:r>
        <w:r w:rsidR="0005222B">
          <w:rPr>
            <w:noProof/>
            <w:webHidden/>
          </w:rPr>
        </w:r>
        <w:r w:rsidR="0005222B">
          <w:rPr>
            <w:noProof/>
            <w:webHidden/>
          </w:rPr>
          <w:fldChar w:fldCharType="separate"/>
        </w:r>
        <w:r w:rsidR="008516FA">
          <w:rPr>
            <w:noProof/>
            <w:webHidden/>
          </w:rPr>
          <w:t>63</w:t>
        </w:r>
        <w:r w:rsidR="0005222B">
          <w:rPr>
            <w:noProof/>
            <w:webHidden/>
          </w:rPr>
          <w:fldChar w:fldCharType="end"/>
        </w:r>
      </w:hyperlink>
    </w:p>
    <w:p w14:paraId="6973D979" w14:textId="3D66A239" w:rsidR="0005222B" w:rsidRDefault="00644EF7">
      <w:pPr>
        <w:pStyle w:val="TOC1"/>
        <w:tabs>
          <w:tab w:val="right" w:leader="dot" w:pos="8296"/>
        </w:tabs>
        <w:rPr>
          <w:noProof/>
        </w:rPr>
      </w:pPr>
      <w:hyperlink w:anchor="_Toc89276788" w:history="1">
        <w:r w:rsidR="0005222B" w:rsidRPr="003136DA">
          <w:rPr>
            <w:rStyle w:val="a9"/>
            <w:rFonts w:ascii="Arial Unicode MS" w:eastAsia="宋体" w:hAnsi="Arial Unicode MS" w:cs="Arial"/>
            <w:noProof/>
            <w:kern w:val="0"/>
          </w:rPr>
          <w:t>第十七部分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侧袋机制</w:t>
        </w:r>
        <w:r w:rsidR="0005222B">
          <w:rPr>
            <w:noProof/>
            <w:webHidden/>
          </w:rPr>
          <w:tab/>
        </w:r>
        <w:r w:rsidR="0005222B">
          <w:rPr>
            <w:noProof/>
            <w:webHidden/>
          </w:rPr>
          <w:fldChar w:fldCharType="begin"/>
        </w:r>
        <w:r w:rsidR="0005222B">
          <w:rPr>
            <w:noProof/>
            <w:webHidden/>
          </w:rPr>
          <w:instrText xml:space="preserve"> PAGEREF _Toc89276788 \h </w:instrText>
        </w:r>
        <w:r w:rsidR="0005222B">
          <w:rPr>
            <w:noProof/>
            <w:webHidden/>
          </w:rPr>
        </w:r>
        <w:r w:rsidR="0005222B">
          <w:rPr>
            <w:noProof/>
            <w:webHidden/>
          </w:rPr>
          <w:fldChar w:fldCharType="separate"/>
        </w:r>
        <w:r w:rsidR="008516FA">
          <w:rPr>
            <w:noProof/>
            <w:webHidden/>
          </w:rPr>
          <w:t>69</w:t>
        </w:r>
        <w:r w:rsidR="0005222B">
          <w:rPr>
            <w:noProof/>
            <w:webHidden/>
          </w:rPr>
          <w:fldChar w:fldCharType="end"/>
        </w:r>
      </w:hyperlink>
    </w:p>
    <w:p w14:paraId="1C6AF105" w14:textId="6DF64F58" w:rsidR="0005222B" w:rsidRDefault="00644EF7">
      <w:pPr>
        <w:pStyle w:val="TOC1"/>
        <w:tabs>
          <w:tab w:val="right" w:leader="dot" w:pos="8296"/>
        </w:tabs>
        <w:rPr>
          <w:noProof/>
        </w:rPr>
      </w:pPr>
      <w:hyperlink w:anchor="_Toc89276789" w:history="1">
        <w:r w:rsidR="0005222B" w:rsidRPr="003136DA">
          <w:rPr>
            <w:rStyle w:val="a9"/>
            <w:rFonts w:ascii="Arial Unicode MS" w:eastAsia="宋体" w:hAnsi="Arial Unicode MS" w:cs="Arial"/>
            <w:noProof/>
            <w:kern w:val="0"/>
          </w:rPr>
          <w:t>第十八部分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风险揭示</w:t>
        </w:r>
        <w:r w:rsidR="0005222B">
          <w:rPr>
            <w:noProof/>
            <w:webHidden/>
          </w:rPr>
          <w:tab/>
        </w:r>
        <w:r w:rsidR="0005222B">
          <w:rPr>
            <w:noProof/>
            <w:webHidden/>
          </w:rPr>
          <w:fldChar w:fldCharType="begin"/>
        </w:r>
        <w:r w:rsidR="0005222B">
          <w:rPr>
            <w:noProof/>
            <w:webHidden/>
          </w:rPr>
          <w:instrText xml:space="preserve"> PAGEREF _Toc89276789 \h </w:instrText>
        </w:r>
        <w:r w:rsidR="0005222B">
          <w:rPr>
            <w:noProof/>
            <w:webHidden/>
          </w:rPr>
        </w:r>
        <w:r w:rsidR="0005222B">
          <w:rPr>
            <w:noProof/>
            <w:webHidden/>
          </w:rPr>
          <w:fldChar w:fldCharType="separate"/>
        </w:r>
        <w:r w:rsidR="008516FA">
          <w:rPr>
            <w:noProof/>
            <w:webHidden/>
          </w:rPr>
          <w:t>71</w:t>
        </w:r>
        <w:r w:rsidR="0005222B">
          <w:rPr>
            <w:noProof/>
            <w:webHidden/>
          </w:rPr>
          <w:fldChar w:fldCharType="end"/>
        </w:r>
      </w:hyperlink>
    </w:p>
    <w:p w14:paraId="4DACFC2C" w14:textId="25DD5FF1" w:rsidR="0005222B" w:rsidRDefault="00644EF7">
      <w:pPr>
        <w:pStyle w:val="TOC1"/>
        <w:tabs>
          <w:tab w:val="right" w:leader="dot" w:pos="8296"/>
        </w:tabs>
        <w:rPr>
          <w:noProof/>
        </w:rPr>
      </w:pPr>
      <w:hyperlink w:anchor="_Toc89276790" w:history="1">
        <w:r w:rsidR="0005222B" w:rsidRPr="003136DA">
          <w:rPr>
            <w:rStyle w:val="a9"/>
            <w:rFonts w:ascii="Arial Unicode MS" w:eastAsia="宋体" w:hAnsi="Arial Unicode MS" w:cs="Arial"/>
            <w:noProof/>
            <w:kern w:val="0"/>
          </w:rPr>
          <w:t>第十九部分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基金合同的变更、终止与基金财产的清算</w:t>
        </w:r>
        <w:r w:rsidR="0005222B">
          <w:rPr>
            <w:noProof/>
            <w:webHidden/>
          </w:rPr>
          <w:tab/>
        </w:r>
        <w:r w:rsidR="0005222B">
          <w:rPr>
            <w:noProof/>
            <w:webHidden/>
          </w:rPr>
          <w:fldChar w:fldCharType="begin"/>
        </w:r>
        <w:r w:rsidR="0005222B">
          <w:rPr>
            <w:noProof/>
            <w:webHidden/>
          </w:rPr>
          <w:instrText xml:space="preserve"> PAGEREF _Toc89276790 \h </w:instrText>
        </w:r>
        <w:r w:rsidR="0005222B">
          <w:rPr>
            <w:noProof/>
            <w:webHidden/>
          </w:rPr>
        </w:r>
        <w:r w:rsidR="0005222B">
          <w:rPr>
            <w:noProof/>
            <w:webHidden/>
          </w:rPr>
          <w:fldChar w:fldCharType="separate"/>
        </w:r>
        <w:r w:rsidR="008516FA">
          <w:rPr>
            <w:noProof/>
            <w:webHidden/>
          </w:rPr>
          <w:t>75</w:t>
        </w:r>
        <w:r w:rsidR="0005222B">
          <w:rPr>
            <w:noProof/>
            <w:webHidden/>
          </w:rPr>
          <w:fldChar w:fldCharType="end"/>
        </w:r>
      </w:hyperlink>
    </w:p>
    <w:p w14:paraId="0052F609" w14:textId="09A9ACA3" w:rsidR="0005222B" w:rsidRDefault="00644EF7">
      <w:pPr>
        <w:pStyle w:val="TOC1"/>
        <w:tabs>
          <w:tab w:val="right" w:leader="dot" w:pos="8296"/>
        </w:tabs>
        <w:rPr>
          <w:noProof/>
        </w:rPr>
      </w:pPr>
      <w:hyperlink w:anchor="_Toc89276791" w:history="1">
        <w:r w:rsidR="0005222B" w:rsidRPr="003136DA">
          <w:rPr>
            <w:rStyle w:val="a9"/>
            <w:rFonts w:ascii="Arial Unicode MS" w:eastAsia="宋体" w:hAnsi="Arial Unicode MS" w:cs="Arial"/>
            <w:noProof/>
            <w:kern w:val="0"/>
          </w:rPr>
          <w:t>第二十部分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基金合同的内容摘要</w:t>
        </w:r>
        <w:r w:rsidR="0005222B">
          <w:rPr>
            <w:noProof/>
            <w:webHidden/>
          </w:rPr>
          <w:tab/>
        </w:r>
        <w:r w:rsidR="0005222B">
          <w:rPr>
            <w:noProof/>
            <w:webHidden/>
          </w:rPr>
          <w:fldChar w:fldCharType="begin"/>
        </w:r>
        <w:r w:rsidR="0005222B">
          <w:rPr>
            <w:noProof/>
            <w:webHidden/>
          </w:rPr>
          <w:instrText xml:space="preserve"> PAGEREF _Toc89276791 \h </w:instrText>
        </w:r>
        <w:r w:rsidR="0005222B">
          <w:rPr>
            <w:noProof/>
            <w:webHidden/>
          </w:rPr>
        </w:r>
        <w:r w:rsidR="0005222B">
          <w:rPr>
            <w:noProof/>
            <w:webHidden/>
          </w:rPr>
          <w:fldChar w:fldCharType="separate"/>
        </w:r>
        <w:r w:rsidR="008516FA">
          <w:rPr>
            <w:noProof/>
            <w:webHidden/>
          </w:rPr>
          <w:t>77</w:t>
        </w:r>
        <w:r w:rsidR="0005222B">
          <w:rPr>
            <w:noProof/>
            <w:webHidden/>
          </w:rPr>
          <w:fldChar w:fldCharType="end"/>
        </w:r>
      </w:hyperlink>
    </w:p>
    <w:p w14:paraId="09B566C7" w14:textId="2DD6B40D" w:rsidR="0005222B" w:rsidRDefault="00644EF7">
      <w:pPr>
        <w:pStyle w:val="TOC1"/>
        <w:tabs>
          <w:tab w:val="right" w:leader="dot" w:pos="8296"/>
        </w:tabs>
        <w:rPr>
          <w:noProof/>
        </w:rPr>
      </w:pPr>
      <w:hyperlink w:anchor="_Toc89276792" w:history="1">
        <w:r w:rsidR="0005222B" w:rsidRPr="003136DA">
          <w:rPr>
            <w:rStyle w:val="a9"/>
            <w:rFonts w:ascii="Arial Unicode MS" w:eastAsia="宋体" w:hAnsi="Arial Unicode MS" w:cs="Arial"/>
            <w:noProof/>
            <w:kern w:val="0"/>
          </w:rPr>
          <w:t>第二十一部分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基金托管协议的内容摘要</w:t>
        </w:r>
        <w:r w:rsidR="0005222B">
          <w:rPr>
            <w:noProof/>
            <w:webHidden/>
          </w:rPr>
          <w:tab/>
        </w:r>
        <w:r w:rsidR="0005222B">
          <w:rPr>
            <w:noProof/>
            <w:webHidden/>
          </w:rPr>
          <w:fldChar w:fldCharType="begin"/>
        </w:r>
        <w:r w:rsidR="0005222B">
          <w:rPr>
            <w:noProof/>
            <w:webHidden/>
          </w:rPr>
          <w:instrText xml:space="preserve"> PAGEREF _Toc89276792 \h </w:instrText>
        </w:r>
        <w:r w:rsidR="0005222B">
          <w:rPr>
            <w:noProof/>
            <w:webHidden/>
          </w:rPr>
        </w:r>
        <w:r w:rsidR="0005222B">
          <w:rPr>
            <w:noProof/>
            <w:webHidden/>
          </w:rPr>
          <w:fldChar w:fldCharType="separate"/>
        </w:r>
        <w:r w:rsidR="008516FA">
          <w:rPr>
            <w:noProof/>
            <w:webHidden/>
          </w:rPr>
          <w:t>92</w:t>
        </w:r>
        <w:r w:rsidR="0005222B">
          <w:rPr>
            <w:noProof/>
            <w:webHidden/>
          </w:rPr>
          <w:fldChar w:fldCharType="end"/>
        </w:r>
      </w:hyperlink>
    </w:p>
    <w:p w14:paraId="0F3499EB" w14:textId="78F820E5" w:rsidR="0005222B" w:rsidRDefault="00644EF7">
      <w:pPr>
        <w:pStyle w:val="TOC1"/>
        <w:tabs>
          <w:tab w:val="right" w:leader="dot" w:pos="8296"/>
        </w:tabs>
        <w:rPr>
          <w:noProof/>
        </w:rPr>
      </w:pPr>
      <w:hyperlink w:anchor="_Toc89276793" w:history="1">
        <w:r w:rsidR="0005222B" w:rsidRPr="003136DA">
          <w:rPr>
            <w:rStyle w:val="a9"/>
            <w:rFonts w:ascii="Arial Unicode MS" w:eastAsia="宋体" w:hAnsi="Arial Unicode MS" w:cs="Arial"/>
            <w:noProof/>
            <w:kern w:val="0"/>
          </w:rPr>
          <w:t>第二十二部分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对基金份额持有人的服务</w:t>
        </w:r>
        <w:r w:rsidR="0005222B">
          <w:rPr>
            <w:noProof/>
            <w:webHidden/>
          </w:rPr>
          <w:tab/>
        </w:r>
        <w:r w:rsidR="0005222B">
          <w:rPr>
            <w:noProof/>
            <w:webHidden/>
          </w:rPr>
          <w:fldChar w:fldCharType="begin"/>
        </w:r>
        <w:r w:rsidR="0005222B">
          <w:rPr>
            <w:noProof/>
            <w:webHidden/>
          </w:rPr>
          <w:instrText xml:space="preserve"> PAGEREF _Toc89276793 \h </w:instrText>
        </w:r>
        <w:r w:rsidR="0005222B">
          <w:rPr>
            <w:noProof/>
            <w:webHidden/>
          </w:rPr>
        </w:r>
        <w:r w:rsidR="0005222B">
          <w:rPr>
            <w:noProof/>
            <w:webHidden/>
          </w:rPr>
          <w:fldChar w:fldCharType="separate"/>
        </w:r>
        <w:r w:rsidR="008516FA">
          <w:rPr>
            <w:noProof/>
            <w:webHidden/>
          </w:rPr>
          <w:t>108</w:t>
        </w:r>
        <w:r w:rsidR="0005222B">
          <w:rPr>
            <w:noProof/>
            <w:webHidden/>
          </w:rPr>
          <w:fldChar w:fldCharType="end"/>
        </w:r>
      </w:hyperlink>
    </w:p>
    <w:p w14:paraId="70018202" w14:textId="5CC711B9" w:rsidR="0005222B" w:rsidRDefault="00644EF7">
      <w:pPr>
        <w:pStyle w:val="TOC1"/>
        <w:tabs>
          <w:tab w:val="right" w:leader="dot" w:pos="8296"/>
        </w:tabs>
        <w:rPr>
          <w:noProof/>
        </w:rPr>
      </w:pPr>
      <w:hyperlink w:anchor="_Toc89276794" w:history="1">
        <w:r w:rsidR="0005222B" w:rsidRPr="003136DA">
          <w:rPr>
            <w:rStyle w:val="a9"/>
            <w:rFonts w:ascii="Arial Unicode MS" w:eastAsia="宋体" w:hAnsi="Arial Unicode MS" w:cs="Arial"/>
            <w:noProof/>
            <w:kern w:val="0"/>
          </w:rPr>
          <w:t>第二十三部分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其他应披露事项</w:t>
        </w:r>
        <w:r w:rsidR="0005222B">
          <w:rPr>
            <w:noProof/>
            <w:webHidden/>
          </w:rPr>
          <w:tab/>
        </w:r>
        <w:r w:rsidR="0005222B">
          <w:rPr>
            <w:noProof/>
            <w:webHidden/>
          </w:rPr>
          <w:fldChar w:fldCharType="begin"/>
        </w:r>
        <w:r w:rsidR="0005222B">
          <w:rPr>
            <w:noProof/>
            <w:webHidden/>
          </w:rPr>
          <w:instrText xml:space="preserve"> PAGEREF _Toc89276794 \h </w:instrText>
        </w:r>
        <w:r w:rsidR="0005222B">
          <w:rPr>
            <w:noProof/>
            <w:webHidden/>
          </w:rPr>
        </w:r>
        <w:r w:rsidR="0005222B">
          <w:rPr>
            <w:noProof/>
            <w:webHidden/>
          </w:rPr>
          <w:fldChar w:fldCharType="separate"/>
        </w:r>
        <w:r w:rsidR="008516FA">
          <w:rPr>
            <w:noProof/>
            <w:webHidden/>
          </w:rPr>
          <w:t>110</w:t>
        </w:r>
        <w:r w:rsidR="0005222B">
          <w:rPr>
            <w:noProof/>
            <w:webHidden/>
          </w:rPr>
          <w:fldChar w:fldCharType="end"/>
        </w:r>
      </w:hyperlink>
    </w:p>
    <w:p w14:paraId="04E579C8" w14:textId="688B67B7" w:rsidR="0005222B" w:rsidRDefault="00644EF7">
      <w:pPr>
        <w:pStyle w:val="TOC1"/>
        <w:tabs>
          <w:tab w:val="right" w:leader="dot" w:pos="8296"/>
        </w:tabs>
        <w:rPr>
          <w:noProof/>
        </w:rPr>
      </w:pPr>
      <w:hyperlink w:anchor="_Toc89276795" w:history="1">
        <w:r w:rsidR="0005222B" w:rsidRPr="003136DA">
          <w:rPr>
            <w:rStyle w:val="a9"/>
            <w:rFonts w:ascii="Arial Unicode MS" w:eastAsia="宋体" w:hAnsi="Arial Unicode MS" w:cs="Arial"/>
            <w:noProof/>
            <w:kern w:val="0"/>
          </w:rPr>
          <w:t>第二十四部分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招募说明书的存放及查阅方式</w:t>
        </w:r>
        <w:r w:rsidR="0005222B">
          <w:rPr>
            <w:noProof/>
            <w:webHidden/>
          </w:rPr>
          <w:tab/>
        </w:r>
        <w:r w:rsidR="0005222B">
          <w:rPr>
            <w:noProof/>
            <w:webHidden/>
          </w:rPr>
          <w:fldChar w:fldCharType="begin"/>
        </w:r>
        <w:r w:rsidR="0005222B">
          <w:rPr>
            <w:noProof/>
            <w:webHidden/>
          </w:rPr>
          <w:instrText xml:space="preserve"> PAGEREF _Toc89276795 \h </w:instrText>
        </w:r>
        <w:r w:rsidR="0005222B">
          <w:rPr>
            <w:noProof/>
            <w:webHidden/>
          </w:rPr>
        </w:r>
        <w:r w:rsidR="0005222B">
          <w:rPr>
            <w:noProof/>
            <w:webHidden/>
          </w:rPr>
          <w:fldChar w:fldCharType="separate"/>
        </w:r>
        <w:r w:rsidR="008516FA">
          <w:rPr>
            <w:noProof/>
            <w:webHidden/>
          </w:rPr>
          <w:t>111</w:t>
        </w:r>
        <w:r w:rsidR="0005222B">
          <w:rPr>
            <w:noProof/>
            <w:webHidden/>
          </w:rPr>
          <w:fldChar w:fldCharType="end"/>
        </w:r>
      </w:hyperlink>
    </w:p>
    <w:p w14:paraId="727DB0DD" w14:textId="6BEF5E8D" w:rsidR="0005222B" w:rsidRDefault="00644EF7">
      <w:pPr>
        <w:pStyle w:val="TOC1"/>
        <w:tabs>
          <w:tab w:val="right" w:leader="dot" w:pos="8296"/>
        </w:tabs>
        <w:rPr>
          <w:noProof/>
        </w:rPr>
      </w:pPr>
      <w:hyperlink w:anchor="_Toc89276796" w:history="1">
        <w:r w:rsidR="0005222B" w:rsidRPr="003136DA">
          <w:rPr>
            <w:rStyle w:val="a9"/>
            <w:rFonts w:ascii="Arial Unicode MS" w:eastAsia="宋体" w:hAnsi="Arial Unicode MS" w:cs="Arial"/>
            <w:noProof/>
            <w:kern w:val="0"/>
          </w:rPr>
          <w:t>第二十五部分</w:t>
        </w:r>
        <w:r w:rsidR="0005222B" w:rsidRPr="003136DA">
          <w:rPr>
            <w:rStyle w:val="a9"/>
            <w:rFonts w:ascii="Arial Unicode MS" w:eastAsia="宋体" w:hAnsi="Arial Unicode MS" w:cs="Arial"/>
            <w:noProof/>
            <w:kern w:val="0"/>
          </w:rPr>
          <w:t xml:space="preserve">  </w:t>
        </w:r>
        <w:r w:rsidR="0005222B" w:rsidRPr="003136DA">
          <w:rPr>
            <w:rStyle w:val="a9"/>
            <w:rFonts w:ascii="Arial Unicode MS" w:eastAsia="宋体" w:hAnsi="Arial Unicode MS" w:cs="Arial"/>
            <w:noProof/>
            <w:kern w:val="0"/>
          </w:rPr>
          <w:t>备查文件</w:t>
        </w:r>
        <w:r w:rsidR="0005222B">
          <w:rPr>
            <w:noProof/>
            <w:webHidden/>
          </w:rPr>
          <w:tab/>
        </w:r>
        <w:r w:rsidR="0005222B">
          <w:rPr>
            <w:noProof/>
            <w:webHidden/>
          </w:rPr>
          <w:fldChar w:fldCharType="begin"/>
        </w:r>
        <w:r w:rsidR="0005222B">
          <w:rPr>
            <w:noProof/>
            <w:webHidden/>
          </w:rPr>
          <w:instrText xml:space="preserve"> PAGEREF _Toc89276796 \h </w:instrText>
        </w:r>
        <w:r w:rsidR="0005222B">
          <w:rPr>
            <w:noProof/>
            <w:webHidden/>
          </w:rPr>
        </w:r>
        <w:r w:rsidR="0005222B">
          <w:rPr>
            <w:noProof/>
            <w:webHidden/>
          </w:rPr>
          <w:fldChar w:fldCharType="separate"/>
        </w:r>
        <w:r w:rsidR="008516FA">
          <w:rPr>
            <w:noProof/>
            <w:webHidden/>
          </w:rPr>
          <w:t>112</w:t>
        </w:r>
        <w:r w:rsidR="0005222B">
          <w:rPr>
            <w:noProof/>
            <w:webHidden/>
          </w:rPr>
          <w:fldChar w:fldCharType="end"/>
        </w:r>
      </w:hyperlink>
    </w:p>
    <w:p w14:paraId="5616D8CF" w14:textId="77777777" w:rsidR="007230CF" w:rsidRDefault="005F5D9A" w:rsidP="006A521B">
      <w:pPr>
        <w:pStyle w:val="TOC1"/>
        <w:tabs>
          <w:tab w:val="right" w:leader="dot" w:pos="8295"/>
        </w:tabs>
        <w:snapToGrid w:val="0"/>
        <w:spacing w:line="480" w:lineRule="exact"/>
        <w:rPr>
          <w:rStyle w:val="a9"/>
          <w:rFonts w:eastAsia="宋体"/>
          <w:caps/>
        </w:rPr>
      </w:pPr>
      <w:r w:rsidRPr="005F5D9A">
        <w:rPr>
          <w:rStyle w:val="a9"/>
          <w:rFonts w:eastAsia="宋体"/>
          <w:caps/>
        </w:rPr>
        <w:fldChar w:fldCharType="end"/>
      </w:r>
    </w:p>
    <w:p w14:paraId="45885B29" w14:textId="20E1F56D" w:rsidR="0005222B" w:rsidRDefault="0005222B">
      <w:pPr>
        <w:widowControl/>
        <w:jc w:val="left"/>
        <w:rPr>
          <w:rFonts w:ascii="宋体" w:eastAsia="宋体" w:hAnsi="宋体"/>
          <w:szCs w:val="21"/>
        </w:rPr>
      </w:pPr>
      <w:r>
        <w:rPr>
          <w:rFonts w:ascii="宋体" w:eastAsia="宋体" w:hAnsi="宋体"/>
          <w:szCs w:val="21"/>
        </w:rPr>
        <w:br w:type="page"/>
      </w:r>
    </w:p>
    <w:p w14:paraId="179113AB" w14:textId="77777777" w:rsidR="00BD090D" w:rsidRPr="00BD090D" w:rsidRDefault="00BD090D" w:rsidP="005F5D9A">
      <w:pPr>
        <w:pStyle w:val="TOC1"/>
        <w:tabs>
          <w:tab w:val="right" w:leader="dot" w:pos="8295"/>
        </w:tabs>
        <w:snapToGrid w:val="0"/>
        <w:spacing w:line="360" w:lineRule="auto"/>
        <w:rPr>
          <w:rFonts w:ascii="宋体" w:eastAsia="宋体" w:hAnsi="宋体"/>
          <w:szCs w:val="21"/>
        </w:rPr>
      </w:pPr>
    </w:p>
    <w:p w14:paraId="1B1E0532"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0" w:name="_Toc89276772"/>
      <w:r w:rsidRPr="00BD090D">
        <w:rPr>
          <w:rFonts w:ascii="Arial Unicode MS" w:eastAsia="宋体" w:hAnsi="Arial Unicode MS" w:cs="Arial" w:hint="eastAsia"/>
          <w:kern w:val="0"/>
          <w:sz w:val="28"/>
          <w:szCs w:val="28"/>
        </w:rPr>
        <w:t>第一部分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绪言</w:t>
      </w:r>
      <w:bookmarkEnd w:id="0"/>
    </w:p>
    <w:p w14:paraId="69BA05B6" w14:textId="77777777" w:rsidR="00BD090D" w:rsidRPr="00BD090D" w:rsidRDefault="00BD090D" w:rsidP="00BD090D">
      <w:pPr>
        <w:spacing w:line="360" w:lineRule="auto"/>
        <w:ind w:firstLineChars="200" w:firstLine="420"/>
        <w:rPr>
          <w:rFonts w:ascii="宋体" w:eastAsia="宋体" w:hAnsi="宋体"/>
          <w:szCs w:val="21"/>
        </w:rPr>
      </w:pPr>
    </w:p>
    <w:p w14:paraId="2079F9F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富荣富合一年定期开放纯债债券型发起式证券投资基金招募说明书》（以下简称“招募说明书”或“本招募说明书”）依照《中华人民共和国证券投资基金法》（以下简称“《基金法》”）、《公开募集证券投资基金运作管理办法》（以下简称“《运作办法》”）、《</w:t>
      </w:r>
      <w:r w:rsidR="00A1050D">
        <w:rPr>
          <w:rFonts w:ascii="宋体" w:eastAsia="宋体" w:hAnsi="宋体" w:hint="eastAsia"/>
          <w:szCs w:val="21"/>
        </w:rPr>
        <w:t>公开募集</w:t>
      </w:r>
      <w:r w:rsidRPr="00BD090D">
        <w:rPr>
          <w:rFonts w:ascii="宋体" w:eastAsia="宋体" w:hAnsi="宋体" w:hint="eastAsia"/>
          <w:szCs w:val="21"/>
        </w:rPr>
        <w:t>证券投资基金销售</w:t>
      </w:r>
      <w:r w:rsidR="00A1050D">
        <w:rPr>
          <w:rFonts w:ascii="宋体" w:eastAsia="宋体" w:hAnsi="宋体" w:hint="eastAsia"/>
          <w:szCs w:val="21"/>
        </w:rPr>
        <w:t>监督管理</w:t>
      </w:r>
      <w:r w:rsidRPr="00BD090D">
        <w:rPr>
          <w:rFonts w:ascii="宋体" w:eastAsia="宋体" w:hAnsi="宋体" w:hint="eastAsia"/>
          <w:szCs w:val="21"/>
        </w:rPr>
        <w:t>管理办法》（以下简称“《销售办法》”）、《公开募集证券投资基金信息披露管理办法》（以下简称“《信息披露办法》”）、《公开募集开放式证券投资基金流动性风险管理规定》（以下简称“《流动性风险管理规定》”）和其他有关法律法规以及《富荣富合一年定期开放纯债债券型发起式证券投资基金基金合同》（以下简称“基金合同”）编写。</w:t>
      </w:r>
    </w:p>
    <w:p w14:paraId="0276A92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本招募说明书阐述了富荣富合一年定期开放纯债债券型发起式证券投资基金的投资目标、策略、风险、费率等与投资人投资决策有关的必要事项，投资人在作出投资决策前应仔细阅读本招募说明书。</w:t>
      </w:r>
    </w:p>
    <w:p w14:paraId="1D44411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基金管理人承诺本招募说明书不存在任何虚假记载、误导性陈述或重大遗漏，并对其真实性、准确性、完整性承担法律责任。</w:t>
      </w:r>
    </w:p>
    <w:p w14:paraId="5E82F0B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富荣富合一年定期开放纯债债券型发起式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6059A50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招募说明书根据本基金的基金合同编写，并经中国证监会注册。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6A1BC8E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6F6AF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0A9C988"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CA50488" w14:textId="77777777" w:rsidR="00E93E50" w:rsidRDefault="00E93E50">
      <w:pPr>
        <w:widowControl/>
        <w:jc w:val="left"/>
        <w:rPr>
          <w:rFonts w:ascii="宋体" w:eastAsia="宋体" w:hAnsi="宋体"/>
          <w:szCs w:val="21"/>
        </w:rPr>
      </w:pPr>
      <w:r>
        <w:rPr>
          <w:rFonts w:ascii="宋体" w:eastAsia="宋体" w:hAnsi="宋体"/>
          <w:szCs w:val="21"/>
        </w:rPr>
        <w:br w:type="page"/>
      </w:r>
    </w:p>
    <w:p w14:paraId="31AB89A2"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1" w:name="_Toc89276773"/>
      <w:r w:rsidRPr="00BD090D">
        <w:rPr>
          <w:rFonts w:ascii="Arial Unicode MS" w:eastAsia="宋体" w:hAnsi="Arial Unicode MS" w:cs="Arial" w:hint="eastAsia"/>
          <w:kern w:val="0"/>
          <w:sz w:val="28"/>
          <w:szCs w:val="28"/>
        </w:rPr>
        <w:lastRenderedPageBreak/>
        <w:t>第二部分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释义</w:t>
      </w:r>
      <w:bookmarkEnd w:id="1"/>
    </w:p>
    <w:p w14:paraId="1CCBE1FC" w14:textId="77777777" w:rsidR="00BD090D" w:rsidRPr="00BD090D" w:rsidRDefault="00BD090D" w:rsidP="00BD090D">
      <w:pPr>
        <w:spacing w:line="360" w:lineRule="auto"/>
        <w:ind w:firstLineChars="200" w:firstLine="420"/>
        <w:rPr>
          <w:rFonts w:ascii="宋体" w:eastAsia="宋体" w:hAnsi="宋体"/>
          <w:szCs w:val="21"/>
        </w:rPr>
      </w:pPr>
    </w:p>
    <w:p w14:paraId="54A93F6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在本招募说明书中，除非文义另有所指，下列词语具有以下含义：</w:t>
      </w:r>
    </w:p>
    <w:p w14:paraId="7BF1184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1、基金或本基金：指富荣富合一年定期开放纯债债券型发起式证券投资基金</w:t>
      </w:r>
    </w:p>
    <w:p w14:paraId="6B3C7D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2、基金管理人：指富荣基金管理有限公司      </w:t>
      </w:r>
    </w:p>
    <w:p w14:paraId="0AB9F68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3、基金托管人：指中国民生银行股份有限公司    </w:t>
      </w:r>
    </w:p>
    <w:p w14:paraId="1B32712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4、基金合同：指《富荣富合一年定期开放纯债债券型发起式证券投资基金基金合同》及对基金合同的任何有效修订和补充</w:t>
      </w:r>
    </w:p>
    <w:p w14:paraId="792AD6A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5、托管协议：指基金管理人与基金托管人就本基金签订之《富荣富合一年定期开放纯债债券型发起式证券投资基金托管协议》及对该托管协议的任何有效修订和补充</w:t>
      </w:r>
    </w:p>
    <w:p w14:paraId="7B79B2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6、招募说明书或本招募说明书：指《富荣富合一年定期开放纯债债券型发起式证券投资基金招募说明书》及其更新</w:t>
      </w:r>
    </w:p>
    <w:p w14:paraId="06BF509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7、基金份额发售公告：指《富荣富合一年定期开放纯债债券型发起式证券投资基金基金份额发售公告》</w:t>
      </w:r>
    </w:p>
    <w:p w14:paraId="7482E1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8、法律法规：指中国现行有效并公布实施的法律、行政法规、规范性文件、司法解释、行政规章以及其他对基金合同当事人有约束力的决定、决议、通知等</w:t>
      </w:r>
    </w:p>
    <w:p w14:paraId="5C1D83D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中华人民共和国港口法&gt;等七部法律的决定》修正的《中华人民共和国证券投资基金法》及颁布机关对其不时做出的修订</w:t>
      </w:r>
    </w:p>
    <w:p w14:paraId="735787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10、《销售办法》：指中国证监会</w:t>
      </w:r>
      <w:r w:rsidR="00A1050D" w:rsidRPr="00BD090D">
        <w:rPr>
          <w:rFonts w:ascii="宋体" w:eastAsia="宋体" w:hAnsi="宋体" w:hint="eastAsia"/>
          <w:szCs w:val="21"/>
        </w:rPr>
        <w:t>20</w:t>
      </w:r>
      <w:r w:rsidR="00A1050D">
        <w:rPr>
          <w:rFonts w:ascii="宋体" w:eastAsia="宋体" w:hAnsi="宋体" w:hint="eastAsia"/>
          <w:szCs w:val="21"/>
        </w:rPr>
        <w:t>20</w:t>
      </w:r>
      <w:r w:rsidRPr="00BD090D">
        <w:rPr>
          <w:rFonts w:ascii="宋体" w:eastAsia="宋体" w:hAnsi="宋体" w:hint="eastAsia"/>
          <w:szCs w:val="21"/>
        </w:rPr>
        <w:t>年</w:t>
      </w:r>
      <w:r w:rsidR="00A1050D">
        <w:rPr>
          <w:rFonts w:ascii="宋体" w:eastAsia="宋体" w:hAnsi="宋体" w:hint="eastAsia"/>
          <w:szCs w:val="21"/>
        </w:rPr>
        <w:t>8</w:t>
      </w:r>
      <w:r w:rsidRPr="00BD090D">
        <w:rPr>
          <w:rFonts w:ascii="宋体" w:eastAsia="宋体" w:hAnsi="宋体" w:hint="eastAsia"/>
          <w:szCs w:val="21"/>
        </w:rPr>
        <w:t>月</w:t>
      </w:r>
      <w:r w:rsidR="00A1050D">
        <w:rPr>
          <w:rFonts w:ascii="宋体" w:eastAsia="宋体" w:hAnsi="宋体" w:hint="eastAsia"/>
          <w:szCs w:val="21"/>
        </w:rPr>
        <w:t>28</w:t>
      </w:r>
      <w:r w:rsidRPr="00BD090D">
        <w:rPr>
          <w:rFonts w:ascii="宋体" w:eastAsia="宋体" w:hAnsi="宋体" w:hint="eastAsia"/>
          <w:szCs w:val="21"/>
        </w:rPr>
        <w:t>日颁布、同年</w:t>
      </w:r>
      <w:r w:rsidR="00A1050D">
        <w:rPr>
          <w:rFonts w:ascii="宋体" w:eastAsia="宋体" w:hAnsi="宋体" w:hint="eastAsia"/>
          <w:szCs w:val="21"/>
        </w:rPr>
        <w:t>10</w:t>
      </w:r>
      <w:r w:rsidRPr="00BD090D">
        <w:rPr>
          <w:rFonts w:ascii="宋体" w:eastAsia="宋体" w:hAnsi="宋体" w:hint="eastAsia"/>
          <w:szCs w:val="21"/>
        </w:rPr>
        <w:t>月1日起实施的《</w:t>
      </w:r>
      <w:r w:rsidR="00A1050D">
        <w:rPr>
          <w:rFonts w:ascii="宋体" w:eastAsia="宋体" w:hAnsi="宋体" w:hint="eastAsia"/>
          <w:szCs w:val="21"/>
        </w:rPr>
        <w:t>公开募集</w:t>
      </w:r>
      <w:r w:rsidRPr="00BD090D">
        <w:rPr>
          <w:rFonts w:ascii="宋体" w:eastAsia="宋体" w:hAnsi="宋体" w:hint="eastAsia"/>
          <w:szCs w:val="21"/>
        </w:rPr>
        <w:t>证券投资基金销售</w:t>
      </w:r>
      <w:r w:rsidR="00A1050D">
        <w:rPr>
          <w:rFonts w:ascii="宋体" w:eastAsia="宋体" w:hAnsi="宋体" w:hint="eastAsia"/>
          <w:szCs w:val="21"/>
        </w:rPr>
        <w:t>机构监督</w:t>
      </w:r>
      <w:r w:rsidRPr="00BD090D">
        <w:rPr>
          <w:rFonts w:ascii="宋体" w:eastAsia="宋体" w:hAnsi="宋体" w:hint="eastAsia"/>
          <w:szCs w:val="21"/>
        </w:rPr>
        <w:t>管理办法》及颁布机关对其不时做出的修订</w:t>
      </w:r>
    </w:p>
    <w:p w14:paraId="7FE5D80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11、《信息披露办法》：指中国证监会 2019年7月26日颁布、同年9月1日实施的，并经2020年3月20日中国证监会公布的《关于修改部分证券期货规章的决定》修正的《公开募集证券投资基金信息披露管理办法》及颁布机关对其不时做出的修订</w:t>
      </w:r>
    </w:p>
    <w:p w14:paraId="2F9DE67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12、《运作办法》：指中国证监会2014年7月7日颁布、同年8月8日实施的《公开募集证券投资基金运作管理办法》及颁布机关对其不时做出的修订</w:t>
      </w:r>
    </w:p>
    <w:p w14:paraId="579EBC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13、《流动性风险管理规定》：指中国证监会2017年8月31日颁布、同年10月1日实</w:t>
      </w:r>
      <w:r w:rsidRPr="00BD090D">
        <w:rPr>
          <w:rFonts w:ascii="宋体" w:eastAsia="宋体" w:hAnsi="宋体" w:hint="eastAsia"/>
          <w:szCs w:val="21"/>
        </w:rPr>
        <w:lastRenderedPageBreak/>
        <w:t>施的《公开募集开放式证券投资基金流动性风险管理规定》及颁布机关对其不时做出的修订</w:t>
      </w:r>
    </w:p>
    <w:p w14:paraId="7FB20B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14、中国证监会：指中国证券监督管理委员会</w:t>
      </w:r>
    </w:p>
    <w:p w14:paraId="6C61FD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15、银行业监督管理机构：指中国人民银行和/或中国银行保险监督管理委员会</w:t>
      </w:r>
    </w:p>
    <w:p w14:paraId="064BE11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16、基金合同当事人：指受基金合同约束，根据基金合同享有权利并承担义务的法律主体，包括基金管理人、基金托管人和基金份额持有人</w:t>
      </w:r>
    </w:p>
    <w:p w14:paraId="2806A32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17、个人投资者：指依据有关法律法规规定可投资于证券投资基金的自然人。本基金不向个人投资者销售</w:t>
      </w:r>
    </w:p>
    <w:p w14:paraId="21AD84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18、机构投资者：指依法可以投资证券投资基金的、在中华人民共和国境内合法登记并存续或经有关政府部门批准设立并存续的企业法人、事业法人、社会团体或其他组织</w:t>
      </w:r>
    </w:p>
    <w:p w14:paraId="18D3500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19、合格境外机构投资者：指符合相关法律法规的规定可以投资于在中国境内依法募集的证券投资基金的中国境外的机构投资者</w:t>
      </w:r>
    </w:p>
    <w:p w14:paraId="7DB2C56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20、投资人、投资者：指机构投资者、合格境外机构投资者、发起资金提供方以及法律法规或中国证监会允许购买证券投资基金的其他投资人的合称</w:t>
      </w:r>
    </w:p>
    <w:p w14:paraId="4E4C19F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21、基金份额持有人：指依基金合同和招募说明书合法取得基金份额的投资人</w:t>
      </w:r>
    </w:p>
    <w:p w14:paraId="588C39C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22、基金销售业务：指基金管理人或销售机构宣传推介基金，发售基金份额、办理基金份额的申购、赎回、转换、转托管及定期定额投资等业务</w:t>
      </w:r>
    </w:p>
    <w:p w14:paraId="16921BA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23、销售机构：指富荣基金管理有限公司以及符合《销售办法》和中国证监会规定的其他条件，取得基金销售业务资格并与基金管理人签订了基金销售服务协议，办理基金销售业务的机构</w:t>
      </w:r>
    </w:p>
    <w:p w14:paraId="7E3AC5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24、直销机构：指富荣基金管理有限公司</w:t>
      </w:r>
    </w:p>
    <w:p w14:paraId="2FA9746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25、非直销销售机构：指符合《销售办法》和中国证监会规定的其他条件，取得基金销售业务资格并与基金管理人签订了基金销售服务协议，办理基金销售业务的机构</w:t>
      </w:r>
    </w:p>
    <w:p w14:paraId="12E47A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22CFE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27、登记机构：指办理登记业务的机构。基金的登记机构为富荣基金管理有限公司或接受富荣基金管理有限公司委托代为办理登记业务的机构</w:t>
      </w:r>
    </w:p>
    <w:p w14:paraId="73312F6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28、基金账户：指登记机构为投资人开立的、记录其持有的、基金管理人所管理的基金份额余额及其变动情况的账户</w:t>
      </w:r>
    </w:p>
    <w:p w14:paraId="40F405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29、基金交易账户：指销售机构为投资人开立的、记录投资人通过该销售机构办理认购、</w:t>
      </w:r>
      <w:r w:rsidRPr="00BD090D">
        <w:rPr>
          <w:rFonts w:ascii="宋体" w:eastAsia="宋体" w:hAnsi="宋体" w:hint="eastAsia"/>
          <w:szCs w:val="21"/>
        </w:rPr>
        <w:lastRenderedPageBreak/>
        <w:t>申购、赎回、转换、转托管等业务而引起的基金份额变动及结余情况的账户</w:t>
      </w:r>
    </w:p>
    <w:p w14:paraId="6C80978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30、基金合同生效日：指基金募集达到法律法规规定及基金合同规定的条件，基金管理人向中国证监会办理基金备案手续完毕，并获得中国证监会书面确认的日期</w:t>
      </w:r>
    </w:p>
    <w:p w14:paraId="1C424F6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31、基金合同终止日：指基金合同规定的基金合同终止事由出现后，基金财产清算完毕，清算结果报中国证监会备案并予以公告的日期</w:t>
      </w:r>
    </w:p>
    <w:p w14:paraId="36ED7E0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32、基金募集期：指自基金份额发售之日起至发售结束之日止的期间，最长不得超过3个月</w:t>
      </w:r>
    </w:p>
    <w:p w14:paraId="5008E1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33、存续期：指基金合同生效至终止之间的不定期期限</w:t>
      </w:r>
    </w:p>
    <w:p w14:paraId="7FC5C1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34、工作日：指上海证券交易所、深圳证券交易所的正常交易日</w:t>
      </w:r>
    </w:p>
    <w:p w14:paraId="6096581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35、T日：指销售机构在规定时间受理投资人申购、赎回或其他业务申请的开放日</w:t>
      </w:r>
    </w:p>
    <w:p w14:paraId="02BDE9A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36、T+n日：指自T日起第n个工作日(不包含T日)</w:t>
      </w:r>
    </w:p>
    <w:p w14:paraId="4ABAA0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37、定期开放：指本基金采取的在封闭期内封闭运作、封闭期与封闭期之间定期开放的运作模式 </w:t>
      </w:r>
    </w:p>
    <w:p w14:paraId="749B563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38、封闭期：本基金的封闭期为自基金合同生效日起（包括基金合同生效日）或自每一开放期结束之日次日起（包括该日）一年的期间。第一个封闭期为基金合同生效日起至基金合同生效日一年后对应日的前一日止，第二个封闭期为第一个开放期结束之日次日起至该封闭期首日的一年后对应日的前一日止，以此类推。本基金封闭期内不办理申购与赎回业务，也不上市交易 </w:t>
      </w:r>
    </w:p>
    <w:p w14:paraId="064742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39、开放期：本基金自每个封闭期结束之后第一个工作日起（包括该日）进入开放期，期间可以办理申购与赎回业务。开放期间原则上为5至20个工作日，开放期的具体时间由基金管理人在每一开放期开始前依照《信息披露办法》的有关规定在规定媒介上予以公告。 </w:t>
      </w:r>
    </w:p>
    <w:p w14:paraId="76D44C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40、一年后对应日：指某一特定日期在后续第12个日历月的对应日期，如该对应日期为非工作日，则顺延至下一工作日，若该日历月份不存在对应日期的，则顺延至该月最后一日的下一工作日</w:t>
      </w:r>
    </w:p>
    <w:p w14:paraId="4979F4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41、开放日：指在开放期内为投资人办理基金份额申购、赎回或其他业务的工作日</w:t>
      </w:r>
    </w:p>
    <w:p w14:paraId="66AA2ED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42、开放时间：指开放日基金接受申购、赎回或其他交易的时间段</w:t>
      </w:r>
    </w:p>
    <w:p w14:paraId="29D38E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43、《业务规则》：指《富荣基金管理有限公司证券投资基金注册登记业务规则》，是规范基金管理人所管理的开放式证券投资基金登记方面的业务规则，由基金管理人和投资人共同遵守</w:t>
      </w:r>
    </w:p>
    <w:p w14:paraId="341363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44、认购：指在基金募集期内，投资人根据基金合同和招募说明书的规定申请购买基金</w:t>
      </w:r>
      <w:r w:rsidRPr="00BD090D">
        <w:rPr>
          <w:rFonts w:ascii="宋体" w:eastAsia="宋体" w:hAnsi="宋体" w:hint="eastAsia"/>
          <w:szCs w:val="21"/>
        </w:rPr>
        <w:lastRenderedPageBreak/>
        <w:t>份额的行为</w:t>
      </w:r>
    </w:p>
    <w:p w14:paraId="66DDC58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45、申购：指基金合同生效后，投资人根据基金合同和招募说明书的规定申请购买基金份额的行为</w:t>
      </w:r>
    </w:p>
    <w:p w14:paraId="64EF883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46、赎回：指基金合同生效后，基金份额持有人按基金合同和招募说明书规定的条件要求将基金份额兑换为现金的行为</w:t>
      </w:r>
    </w:p>
    <w:p w14:paraId="544953F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47、基金转换：指基金份额持有人按照基金合同和基金管理人届时有效公告规定的条件，申请将其持有基金管理人管理的、某一基金的基金份额转换为基金管理人管理的其他基金基金份额的行为</w:t>
      </w:r>
    </w:p>
    <w:p w14:paraId="1C27D8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48、转托管：指基金份额持有人在本基金的不同销售机构之间实施的变更所持基金份额销售机构的操作</w:t>
      </w:r>
    </w:p>
    <w:p w14:paraId="3FADF8B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49、定期定额投资计划：指投资人通过有关销售机构提出申请，约定每期申购日、扣款金额及扣款方式，由销售机构于每期约定扣款日在投资人指定银行账户内自动完成扣款及受理基金申购申请的一种投资方式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02B84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50、巨额赎回：指本基金开放期单个开放日，基金净赎回申请(赎回申请份额总数加上基金转换中转出申请份额总数后扣除申购申请份额总数及基金转换中转入申请份额总数后的余额)超过前一工作日的基金总份额的20%</w:t>
      </w:r>
    </w:p>
    <w:p w14:paraId="707700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51、元：指人民币元</w:t>
      </w:r>
    </w:p>
    <w:p w14:paraId="20529E2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52、基金收益：指基金投资所得债券利息、票据投资收益、买卖证券价差、银行存款利息以及其他收入，因运用基金财产带来的成本和费用的节约计入收益</w:t>
      </w:r>
    </w:p>
    <w:p w14:paraId="1C8A097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53、基金资产总值：指基金拥有的各类有价证券、银行存款本息、基金应收申购款及其他资产的价值总和</w:t>
      </w:r>
    </w:p>
    <w:p w14:paraId="769A2F7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54、基金资产净值：指基金资产总值减去基金负债后的价值</w:t>
      </w:r>
    </w:p>
    <w:p w14:paraId="141CA1A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55、基金份额净值：指计算日基金资产净值除以计算日基金份额总数</w:t>
      </w:r>
    </w:p>
    <w:p w14:paraId="29727C6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56、基金资产估值：指计算评估基金资产和负债的价值，以确定基金资产净值和基金份额净值的过程</w:t>
      </w:r>
    </w:p>
    <w:p w14:paraId="281A60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57、规定媒介：指符合中国证监会规定条件的用以进行信息披露的全国性报刊及《信息披露办法》规定的互联网网站（包括基金管理人网站、基金托管人网站、中国证监会基金电子披露网站）等媒介</w:t>
      </w:r>
    </w:p>
    <w:p w14:paraId="16F95CE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58、不可抗力：指基金合同当事人不能预见、不能避免且不能克服的客观事件</w:t>
      </w:r>
    </w:p>
    <w:p w14:paraId="776DB2A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59、发起式基金：指按照《运作办法》及中国证监会规定的条件募集、运作，募集资金</w:t>
      </w:r>
      <w:r w:rsidRPr="00BD090D">
        <w:rPr>
          <w:rFonts w:ascii="宋体" w:eastAsia="宋体" w:hAnsi="宋体" w:hint="eastAsia"/>
          <w:szCs w:val="21"/>
        </w:rPr>
        <w:lastRenderedPageBreak/>
        <w:t xml:space="preserve">中发起资金不少于规定金额且发起资金认购的基金份额持有期限不少于三年的证券投资基金 </w:t>
      </w:r>
    </w:p>
    <w:p w14:paraId="466C8FD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60、发起资金：指用于认购发起式基金且来源于基金管理人股东资金、基金管理人固有资金、基金管理人高级管理人员或基金经理（指基金管理人员工中依法具有基金经理资格者，包括但可能不限于本基金的基金经理、公司投研人员）等人员的资金 </w:t>
      </w:r>
    </w:p>
    <w:p w14:paraId="4DD7AB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61、发起资金提供方：指以发起资金认购本基金且承诺以发起资金认购的基金份额持有期自基金合同生效日起不少于3年的基金管理人的股东、基金管理人、基金管理人高级管理人员或基金经理等人员</w:t>
      </w:r>
    </w:p>
    <w:p w14:paraId="65E9E97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62、流动性受限资产：是指由于法律法规、监管、合同或操作障碍等原因无法以合理价格予以变现的资产，包括但不限于到期日在10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14:paraId="59ADAD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63、摆动定价机制：指当开放式基金遭遇大额申购赎回时，通过调整基金份额净值的方式，将基金调整投资组合的市场冲击成本分配给实际申购、赎回的投资者。具体处理原则与操作规范遵循相关法律法规以及监管部门、自律规则的规定</w:t>
      </w:r>
    </w:p>
    <w:p w14:paraId="76DD68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64、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6EF186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65、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D878CA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66、基金产品资料概要：指《富荣富合一年定期开放纯债债券型证券投资基金基金产品资料概要》及其更新</w:t>
      </w:r>
    </w:p>
    <w:p w14:paraId="142C5BE2" w14:textId="77777777" w:rsidR="00BD090D" w:rsidRPr="00BD090D" w:rsidRDefault="00BD090D" w:rsidP="00BD090D">
      <w:pPr>
        <w:spacing w:line="360" w:lineRule="auto"/>
        <w:ind w:firstLineChars="200" w:firstLine="420"/>
        <w:rPr>
          <w:rFonts w:ascii="宋体" w:eastAsia="宋体" w:hAnsi="宋体"/>
          <w:szCs w:val="21"/>
        </w:rPr>
      </w:pPr>
    </w:p>
    <w:p w14:paraId="04CDA5D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05F5662"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481D96C"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447EECAF"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 w:name="_Toc89276774"/>
      <w:r w:rsidRPr="00BD090D">
        <w:rPr>
          <w:rFonts w:ascii="Arial Unicode MS" w:eastAsia="宋体" w:hAnsi="Arial Unicode MS" w:cs="Arial" w:hint="eastAsia"/>
          <w:kern w:val="0"/>
          <w:sz w:val="28"/>
          <w:szCs w:val="28"/>
        </w:rPr>
        <w:lastRenderedPageBreak/>
        <w:t>第三部分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基金管理人</w:t>
      </w:r>
      <w:bookmarkEnd w:id="2"/>
    </w:p>
    <w:p w14:paraId="544AD75B" w14:textId="77777777" w:rsidR="00BD090D" w:rsidRPr="00BD090D" w:rsidRDefault="00BD090D" w:rsidP="00BD090D">
      <w:pPr>
        <w:spacing w:line="360" w:lineRule="auto"/>
        <w:ind w:firstLineChars="200" w:firstLine="420"/>
        <w:rPr>
          <w:rFonts w:ascii="宋体" w:eastAsia="宋体" w:hAnsi="宋体"/>
          <w:szCs w:val="21"/>
        </w:rPr>
      </w:pPr>
    </w:p>
    <w:p w14:paraId="5634997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一、基金管理人概况</w:t>
      </w:r>
    </w:p>
    <w:p w14:paraId="3AF0818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名称：富荣基金管理有限公司</w:t>
      </w:r>
    </w:p>
    <w:p w14:paraId="37A54E2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住所：广州市南沙区海滨路171号南沙金融大厦11楼1101之一J20室</w:t>
      </w:r>
    </w:p>
    <w:p w14:paraId="5BB4775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办公地址：深圳市福田区八卦四路52号安吉尔大厦24层</w:t>
      </w:r>
    </w:p>
    <w:p w14:paraId="355386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法定代表人：杨小舟</w:t>
      </w:r>
    </w:p>
    <w:p w14:paraId="6050F9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成立时间：2016年1月25日</w:t>
      </w:r>
    </w:p>
    <w:p w14:paraId="1D9280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注册资本：2亿元人民币</w:t>
      </w:r>
    </w:p>
    <w:p w14:paraId="1869CCA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存续期间：永续经营</w:t>
      </w:r>
    </w:p>
    <w:p w14:paraId="2DDD35D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联系人：蔡晓忠</w:t>
      </w:r>
    </w:p>
    <w:p w14:paraId="1A66D5F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联系电话：0755-84356636</w:t>
      </w:r>
    </w:p>
    <w:p w14:paraId="762B374C" w14:textId="77777777" w:rsid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股权结构： </w:t>
      </w:r>
    </w:p>
    <w:tbl>
      <w:tblPr>
        <w:tblStyle w:val="ab"/>
        <w:tblW w:w="0" w:type="auto"/>
        <w:tblInd w:w="534" w:type="dxa"/>
        <w:tblLook w:val="04A0" w:firstRow="1" w:lastRow="0" w:firstColumn="1" w:lastColumn="0" w:noHBand="0" w:noVBand="1"/>
      </w:tblPr>
      <w:tblGrid>
        <w:gridCol w:w="4252"/>
        <w:gridCol w:w="3736"/>
      </w:tblGrid>
      <w:tr w:rsidR="00FF14D9" w14:paraId="185600BB" w14:textId="77777777" w:rsidTr="00B711AC">
        <w:tc>
          <w:tcPr>
            <w:tcW w:w="4252" w:type="dxa"/>
          </w:tcPr>
          <w:p w14:paraId="72F56541" w14:textId="77777777" w:rsidR="00FF14D9" w:rsidRDefault="00FF14D9" w:rsidP="00BD090D">
            <w:pPr>
              <w:spacing w:line="360" w:lineRule="auto"/>
              <w:rPr>
                <w:rFonts w:ascii="宋体" w:eastAsia="宋体" w:hAnsi="宋体"/>
                <w:szCs w:val="21"/>
              </w:rPr>
            </w:pPr>
            <w:r w:rsidRPr="00EE7C7F">
              <w:rPr>
                <w:rFonts w:hint="eastAsia"/>
              </w:rPr>
              <w:t>股东名称</w:t>
            </w:r>
          </w:p>
        </w:tc>
        <w:tc>
          <w:tcPr>
            <w:tcW w:w="3736" w:type="dxa"/>
          </w:tcPr>
          <w:p w14:paraId="4B3A5830" w14:textId="77777777" w:rsidR="00FF14D9" w:rsidRDefault="00FF14D9" w:rsidP="00BD090D">
            <w:pPr>
              <w:spacing w:line="360" w:lineRule="auto"/>
              <w:rPr>
                <w:rFonts w:ascii="宋体" w:eastAsia="宋体" w:hAnsi="宋体"/>
                <w:szCs w:val="21"/>
              </w:rPr>
            </w:pPr>
            <w:r w:rsidRPr="00EE7C7F">
              <w:rPr>
                <w:rFonts w:hint="eastAsia"/>
              </w:rPr>
              <w:t>出资比例</w:t>
            </w:r>
          </w:p>
        </w:tc>
      </w:tr>
      <w:tr w:rsidR="00FF14D9" w14:paraId="19CD1D18" w14:textId="77777777" w:rsidTr="00B711AC">
        <w:tc>
          <w:tcPr>
            <w:tcW w:w="4252" w:type="dxa"/>
          </w:tcPr>
          <w:p w14:paraId="3666D0DD" w14:textId="77777777" w:rsidR="00FF14D9" w:rsidRDefault="00FF14D9" w:rsidP="00BD090D">
            <w:pPr>
              <w:spacing w:line="360" w:lineRule="auto"/>
              <w:rPr>
                <w:rFonts w:ascii="宋体" w:eastAsia="宋体" w:hAnsi="宋体"/>
                <w:szCs w:val="21"/>
              </w:rPr>
            </w:pPr>
            <w:r w:rsidRPr="00EE7C7F">
              <w:rPr>
                <w:rFonts w:hint="eastAsia"/>
              </w:rPr>
              <w:t>广州科技金融创新投资控股有限公司</w:t>
            </w:r>
          </w:p>
        </w:tc>
        <w:tc>
          <w:tcPr>
            <w:tcW w:w="3736" w:type="dxa"/>
          </w:tcPr>
          <w:p w14:paraId="21677A57" w14:textId="77777777" w:rsidR="00FF14D9" w:rsidRDefault="00FF14D9" w:rsidP="00BD090D">
            <w:pPr>
              <w:spacing w:line="360" w:lineRule="auto"/>
              <w:rPr>
                <w:rFonts w:ascii="宋体" w:eastAsia="宋体" w:hAnsi="宋体"/>
                <w:szCs w:val="21"/>
              </w:rPr>
            </w:pPr>
            <w:r w:rsidRPr="00EE7C7F">
              <w:rPr>
                <w:rFonts w:hint="eastAsia"/>
              </w:rPr>
              <w:t>50%</w:t>
            </w:r>
          </w:p>
        </w:tc>
      </w:tr>
      <w:tr w:rsidR="00FF14D9" w14:paraId="5E0484ED" w14:textId="77777777" w:rsidTr="00B711AC">
        <w:tc>
          <w:tcPr>
            <w:tcW w:w="4252" w:type="dxa"/>
          </w:tcPr>
          <w:p w14:paraId="6CE1F21D" w14:textId="77777777" w:rsidR="00FF14D9" w:rsidRDefault="00FF14D9" w:rsidP="00BD090D">
            <w:pPr>
              <w:spacing w:line="360" w:lineRule="auto"/>
              <w:rPr>
                <w:rFonts w:ascii="宋体" w:eastAsia="宋体" w:hAnsi="宋体"/>
                <w:szCs w:val="21"/>
              </w:rPr>
            </w:pPr>
            <w:r w:rsidRPr="00EE7C7F">
              <w:rPr>
                <w:rFonts w:hint="eastAsia"/>
              </w:rPr>
              <w:t>深圳嘉年实业股份有限公司</w:t>
            </w:r>
          </w:p>
        </w:tc>
        <w:tc>
          <w:tcPr>
            <w:tcW w:w="3736" w:type="dxa"/>
          </w:tcPr>
          <w:p w14:paraId="33123EEB" w14:textId="77777777" w:rsidR="00FF14D9" w:rsidRDefault="00FF14D9" w:rsidP="00BD090D">
            <w:pPr>
              <w:spacing w:line="360" w:lineRule="auto"/>
              <w:rPr>
                <w:rFonts w:ascii="宋体" w:eastAsia="宋体" w:hAnsi="宋体"/>
                <w:szCs w:val="21"/>
              </w:rPr>
            </w:pPr>
            <w:r w:rsidRPr="00EE7C7F">
              <w:rPr>
                <w:rFonts w:hint="eastAsia"/>
              </w:rPr>
              <w:t>45.1%</w:t>
            </w:r>
          </w:p>
        </w:tc>
      </w:tr>
      <w:tr w:rsidR="00FF14D9" w14:paraId="472BEE41" w14:textId="77777777" w:rsidTr="00B711AC">
        <w:tc>
          <w:tcPr>
            <w:tcW w:w="4252" w:type="dxa"/>
          </w:tcPr>
          <w:p w14:paraId="6E6C63D8" w14:textId="77777777" w:rsidR="00FF14D9" w:rsidRDefault="00FF14D9" w:rsidP="00BD090D">
            <w:pPr>
              <w:spacing w:line="360" w:lineRule="auto"/>
              <w:rPr>
                <w:rFonts w:ascii="宋体" w:eastAsia="宋体" w:hAnsi="宋体"/>
                <w:szCs w:val="21"/>
              </w:rPr>
            </w:pPr>
            <w:r w:rsidRPr="00EE7C7F">
              <w:rPr>
                <w:rFonts w:hint="eastAsia"/>
              </w:rPr>
              <w:t>湖南典勤投资开发有限公司</w:t>
            </w:r>
          </w:p>
        </w:tc>
        <w:tc>
          <w:tcPr>
            <w:tcW w:w="3736" w:type="dxa"/>
          </w:tcPr>
          <w:p w14:paraId="4F3F36F3" w14:textId="77777777" w:rsidR="00FF14D9" w:rsidRDefault="00FF14D9" w:rsidP="00BD090D">
            <w:pPr>
              <w:spacing w:line="360" w:lineRule="auto"/>
              <w:rPr>
                <w:rFonts w:ascii="宋体" w:eastAsia="宋体" w:hAnsi="宋体"/>
                <w:szCs w:val="21"/>
              </w:rPr>
            </w:pPr>
            <w:r w:rsidRPr="00EE7C7F">
              <w:rPr>
                <w:rFonts w:hint="eastAsia"/>
              </w:rPr>
              <w:t>4.9%</w:t>
            </w:r>
          </w:p>
        </w:tc>
      </w:tr>
    </w:tbl>
    <w:p w14:paraId="7B60159E" w14:textId="77777777" w:rsidR="00BD090D" w:rsidRPr="00BD090D" w:rsidRDefault="00BD090D" w:rsidP="00BD090D">
      <w:pPr>
        <w:spacing w:line="360" w:lineRule="auto"/>
        <w:ind w:firstLineChars="200" w:firstLine="420"/>
        <w:rPr>
          <w:rFonts w:ascii="宋体" w:eastAsia="宋体" w:hAnsi="宋体"/>
          <w:szCs w:val="21"/>
        </w:rPr>
      </w:pPr>
    </w:p>
    <w:p w14:paraId="302A3EB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二、主要成员情况</w:t>
      </w:r>
    </w:p>
    <w:p w14:paraId="5FB4D7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1、董事会成员</w:t>
      </w:r>
    </w:p>
    <w:p w14:paraId="5D1D1AC8"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40995DD2"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高峰先生，董事，总经理兼任首席信息官，曾任中国对外经济贸易信托有限公司计划财务部科长、中国化工进出口总公司财务部综合经理、宝盈基金管理有限公司研究发展部总监，中国对外经济贸易信托有限公司证券业务部总经理、资产管理总部执行总经理、高级投资经理，宝盈基金管理有限公司总经理助理兼投资部总监、基金经理，北信瑞丰基金管理有限公司副总经理职务、红土创新基金管理有限公司总经理职务；现任富荣基金管理有限公司总经</w:t>
      </w:r>
      <w:r w:rsidRPr="00572BE2">
        <w:rPr>
          <w:rFonts w:ascii="宋体" w:eastAsia="宋体" w:hAnsi="宋体" w:hint="eastAsia"/>
          <w:szCs w:val="21"/>
        </w:rPr>
        <w:lastRenderedPageBreak/>
        <w:t>理。</w:t>
      </w:r>
    </w:p>
    <w:p w14:paraId="56B12218"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刘华女士，董事，中山大学管理学院本科经济学士。曾任工商银行广东省分行营业部机构业务处主管、华夏基金管理有限公司业务主管、现任广州科技金融创新投资控股有限公司风险控制总经理、富荣基金管理有限公司董事。</w:t>
      </w:r>
    </w:p>
    <w:p w14:paraId="6475E6A2"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郭涛先生，董事，上海高级金融学院研究生（在读）。现任深圳市益德置业有限公司总经理、深圳福元德租赁有限公司董事长兼总经理、深圳融博融资租赁有限公司董事长兼总经理、深圳市天汇鑫达担保有限公司总经理、深圳市亿尔德投资有限公司法人、嘉年实业股份有限公司董事、富荣基金管理有限公司董事。</w:t>
      </w:r>
    </w:p>
    <w:p w14:paraId="1A1DAE9E"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现任东银实业（深圳）有限公司董事、深圳金田股份有限公司独立董事、富荣基金管理有限公司独立董事。</w:t>
      </w:r>
    </w:p>
    <w:p w14:paraId="7FC0AE19" w14:textId="6F3A5C75"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李晓英女士，独立董事，本科学</w:t>
      </w:r>
      <w:r w:rsidR="00016488">
        <w:rPr>
          <w:rFonts w:ascii="宋体" w:eastAsia="宋体" w:hAnsi="宋体" w:hint="eastAsia"/>
          <w:szCs w:val="21"/>
        </w:rPr>
        <w:t>历</w:t>
      </w:r>
      <w:r w:rsidRPr="00572BE2">
        <w:rPr>
          <w:rFonts w:ascii="宋体" w:eastAsia="宋体" w:hAnsi="宋体" w:hint="eastAsia"/>
          <w:szCs w:val="21"/>
        </w:rPr>
        <w:t>。现任广东一粤律师事务所专职律师。曾任广东同益律师事务所专职律师。主要从事法律顾问、商事诉讼、仲裁等。</w:t>
      </w:r>
    </w:p>
    <w:p w14:paraId="02A38310" w14:textId="1DE3F8F5" w:rsidR="00BD090D" w:rsidRPr="00BD090D"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李金声先生，独立董事，历任黑龙江阿城糖厂电站汽轮发电工人、黑龙江财政厅商业处商业会计财务干部、黑龙江省府财办、办公厅三办、省长办干部。中国银行哈尔滨分行办公室副主任、广发银行总行办公室主任、广发银行总行稽核部总经理、广发银行总行资金部总经理、筹建广发银行广州分行筹备组副组长、广发银行广州分行副行长、党委书记、行长；广发银行总稽核、党委委员、监事会负责人、监事长职务。</w:t>
      </w:r>
    </w:p>
    <w:p w14:paraId="55E7B6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2、监事会成员</w:t>
      </w:r>
    </w:p>
    <w:p w14:paraId="355FCD2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基金管理人不设监事会，设监事两名，其中一名为职工监事。</w:t>
      </w:r>
    </w:p>
    <w:p w14:paraId="374F165C" w14:textId="69C442A6" w:rsidR="00BD090D" w:rsidRPr="00BD090D" w:rsidRDefault="00572BE2" w:rsidP="00BD090D">
      <w:pPr>
        <w:spacing w:line="360" w:lineRule="auto"/>
        <w:ind w:firstLineChars="200" w:firstLine="420"/>
        <w:rPr>
          <w:rFonts w:ascii="宋体" w:eastAsia="宋体" w:hAnsi="宋体"/>
          <w:szCs w:val="21"/>
        </w:rPr>
      </w:pPr>
      <w:r w:rsidRPr="00572BE2">
        <w:rPr>
          <w:rFonts w:ascii="宋体" w:eastAsia="宋体" w:hAnsi="宋体" w:hint="eastAsia"/>
          <w:szCs w:val="21"/>
        </w:rPr>
        <w:t>郑廉明先生，监事，硕士。原广发银行副行长（已退休），现任富荣基金管理有限公司监事。</w:t>
      </w:r>
    </w:p>
    <w:p w14:paraId="7019872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魏丽红女士，职工监事，</w:t>
      </w:r>
      <w:r w:rsidR="00E66B64">
        <w:rPr>
          <w:rFonts w:ascii="宋体" w:eastAsia="宋体" w:hAnsi="宋体" w:hint="eastAsia"/>
          <w:szCs w:val="21"/>
        </w:rPr>
        <w:t>大专</w:t>
      </w:r>
      <w:r w:rsidRPr="00BD090D">
        <w:rPr>
          <w:rFonts w:ascii="宋体" w:eastAsia="宋体" w:hAnsi="宋体" w:hint="eastAsia"/>
          <w:szCs w:val="21"/>
        </w:rPr>
        <w:t>。现任富荣基金管理有限公司</w:t>
      </w:r>
      <w:r w:rsidR="004E294C">
        <w:rPr>
          <w:rFonts w:ascii="宋体" w:eastAsia="宋体" w:hAnsi="宋体" w:hint="eastAsia"/>
          <w:szCs w:val="21"/>
        </w:rPr>
        <w:t>职工</w:t>
      </w:r>
      <w:r w:rsidRPr="00BD090D">
        <w:rPr>
          <w:rFonts w:ascii="宋体" w:eastAsia="宋体" w:hAnsi="宋体" w:hint="eastAsia"/>
          <w:szCs w:val="21"/>
        </w:rPr>
        <w:t>监事。</w:t>
      </w:r>
    </w:p>
    <w:p w14:paraId="1E64060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3、高级管理人员</w:t>
      </w:r>
    </w:p>
    <w:p w14:paraId="2218B7F6"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2956203A" w14:textId="77777777" w:rsidR="00572BE2" w:rsidRPr="00572BE2"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lastRenderedPageBreak/>
        <w:t>高峰先生，总经理、首席信息官，曾任中国对外经济贸易信托有限公司计划财务部科长、中国化工进出口总公司财务部综合经理、宝盈基金管理有限公司研究发展部总监、中国对外经济贸易信托有限公司证券业务部总经理、资产管理总部执行总经理、高级投资经理，宝盈基金管理有限公司总经理助理兼投资部总监、基金经理，北信瑞丰基金管理有限公司副总经理职务、红土创新基金管理有限公司总经理职务；现任富荣基金管理有限公司总经理。</w:t>
      </w:r>
    </w:p>
    <w:p w14:paraId="0CAB20C1" w14:textId="681F0BF6" w:rsidR="00C725C5" w:rsidRPr="00300697" w:rsidRDefault="00572BE2" w:rsidP="00572BE2">
      <w:pPr>
        <w:spacing w:line="360" w:lineRule="auto"/>
        <w:ind w:firstLineChars="200" w:firstLine="420"/>
        <w:rPr>
          <w:rFonts w:ascii="宋体" w:eastAsia="宋体" w:hAnsi="宋体"/>
          <w:szCs w:val="21"/>
        </w:rPr>
      </w:pPr>
      <w:r w:rsidRPr="00572BE2">
        <w:rPr>
          <w:rFonts w:ascii="宋体" w:eastAsia="宋体" w:hAnsi="宋体" w:hint="eastAsia"/>
          <w:szCs w:val="21"/>
        </w:rPr>
        <w:t>任晓伟女士，督察长，新加坡南洋理工大学管理经济学硕士研究生，曾就职于中国证监会内蒙古监管局、中国证监会深圳专员办、广州科技金融创新投资控股有限公司，历任主任科员、副处级调研员、副处长、广州科技金融创新投资控股有限公司助理总经理等职务。现任富荣基金管理有限公司督察长。</w:t>
      </w:r>
    </w:p>
    <w:p w14:paraId="36C2848F" w14:textId="77777777" w:rsidR="00BD090D" w:rsidRPr="00BD090D" w:rsidRDefault="00BD090D" w:rsidP="00300697">
      <w:pPr>
        <w:spacing w:line="360" w:lineRule="auto"/>
        <w:ind w:firstLineChars="200" w:firstLine="420"/>
        <w:rPr>
          <w:rFonts w:ascii="宋体" w:eastAsia="宋体" w:hAnsi="宋体"/>
          <w:szCs w:val="21"/>
        </w:rPr>
      </w:pPr>
      <w:r w:rsidRPr="00BD090D">
        <w:rPr>
          <w:rFonts w:ascii="宋体" w:eastAsia="宋体" w:hAnsi="宋体" w:hint="eastAsia"/>
          <w:szCs w:val="21"/>
        </w:rPr>
        <w:t>4、本基金拟任基金经理</w:t>
      </w:r>
    </w:p>
    <w:p w14:paraId="5F6429E1" w14:textId="548D3A87" w:rsidR="00BD090D" w:rsidRPr="00BD090D" w:rsidRDefault="00E66B64" w:rsidP="00BD090D">
      <w:pPr>
        <w:spacing w:line="360" w:lineRule="auto"/>
        <w:ind w:firstLineChars="200" w:firstLine="420"/>
        <w:rPr>
          <w:rFonts w:ascii="宋体" w:eastAsia="宋体" w:hAnsi="宋体"/>
          <w:szCs w:val="21"/>
        </w:rPr>
      </w:pPr>
      <w:r w:rsidRPr="00E66B64">
        <w:rPr>
          <w:rFonts w:ascii="宋体" w:eastAsia="宋体" w:hAnsi="宋体" w:hint="eastAsia"/>
          <w:szCs w:val="21"/>
        </w:rPr>
        <w:t>王丹女士，北京大学工商管理硕士、厦门大学理学学士，</w:t>
      </w:r>
      <w:r w:rsidR="001D104E">
        <w:rPr>
          <w:rFonts w:ascii="宋体" w:eastAsia="宋体" w:hAnsi="宋体"/>
          <w:szCs w:val="21"/>
        </w:rPr>
        <w:t>10</w:t>
      </w:r>
      <w:r w:rsidRPr="00E66B64">
        <w:rPr>
          <w:rFonts w:ascii="宋体" w:eastAsia="宋体" w:hAnsi="宋体" w:hint="eastAsia"/>
          <w:szCs w:val="21"/>
        </w:rPr>
        <w:t>年金融行业从业经验。曾任寰富投资咨询上海有限公司金融衍生品交易员，长盛基金管理有限公司债券交易员，嘉实基金管理有限公司投资经理，华融证券股份有限公司固收研究、交易主管。现任富荣基金管理有限公司基金经理。</w:t>
      </w:r>
    </w:p>
    <w:p w14:paraId="20A784F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5、投资决策委员会成员的姓名、职务</w:t>
      </w:r>
    </w:p>
    <w:p w14:paraId="52F5ED32" w14:textId="77777777" w:rsidR="003101F2" w:rsidRPr="003101F2" w:rsidRDefault="003101F2" w:rsidP="003101F2">
      <w:pPr>
        <w:spacing w:line="360" w:lineRule="auto"/>
        <w:ind w:firstLineChars="200" w:firstLine="420"/>
        <w:rPr>
          <w:rFonts w:ascii="宋体" w:eastAsia="宋体" w:hAnsi="宋体"/>
          <w:szCs w:val="21"/>
        </w:rPr>
      </w:pPr>
      <w:r w:rsidRPr="003101F2">
        <w:rPr>
          <w:rFonts w:ascii="宋体" w:eastAsia="宋体" w:hAnsi="宋体" w:hint="eastAsia"/>
          <w:szCs w:val="21"/>
        </w:rPr>
        <w:t>高峰先生，投资决策委员会主任委员、总经理、首席信息官。</w:t>
      </w:r>
    </w:p>
    <w:p w14:paraId="3F997367" w14:textId="77777777" w:rsidR="003101F2" w:rsidRPr="003101F2" w:rsidRDefault="003101F2" w:rsidP="003101F2">
      <w:pPr>
        <w:spacing w:line="360" w:lineRule="auto"/>
        <w:ind w:firstLineChars="200" w:firstLine="420"/>
        <w:rPr>
          <w:rFonts w:ascii="宋体" w:eastAsia="宋体" w:hAnsi="宋体"/>
          <w:szCs w:val="21"/>
        </w:rPr>
      </w:pPr>
      <w:r w:rsidRPr="003101F2">
        <w:rPr>
          <w:rFonts w:ascii="宋体" w:eastAsia="宋体" w:hAnsi="宋体" w:hint="eastAsia"/>
          <w:szCs w:val="21"/>
        </w:rPr>
        <w:t>吕晓蓉女士，投资决策委员会委员、固定收益部总监、基金经理。</w:t>
      </w:r>
    </w:p>
    <w:p w14:paraId="7CED00E5" w14:textId="77777777" w:rsidR="003101F2" w:rsidRPr="003101F2" w:rsidRDefault="003101F2" w:rsidP="003101F2">
      <w:pPr>
        <w:spacing w:line="360" w:lineRule="auto"/>
        <w:ind w:firstLineChars="200" w:firstLine="420"/>
        <w:rPr>
          <w:rFonts w:ascii="宋体" w:eastAsia="宋体" w:hAnsi="宋体"/>
          <w:szCs w:val="21"/>
        </w:rPr>
      </w:pPr>
      <w:r w:rsidRPr="003101F2">
        <w:rPr>
          <w:rFonts w:ascii="宋体" w:eastAsia="宋体" w:hAnsi="宋体" w:hint="eastAsia"/>
          <w:szCs w:val="21"/>
        </w:rPr>
        <w:t>邓宇翔先生，投资决策委员会委员、权益投资部总监、基金经理。</w:t>
      </w:r>
    </w:p>
    <w:p w14:paraId="2B484029" w14:textId="77777777" w:rsidR="003101F2" w:rsidRPr="003101F2" w:rsidRDefault="003101F2" w:rsidP="003101F2">
      <w:pPr>
        <w:spacing w:line="360" w:lineRule="auto"/>
        <w:ind w:firstLineChars="200" w:firstLine="420"/>
        <w:rPr>
          <w:rFonts w:ascii="宋体" w:eastAsia="宋体" w:hAnsi="宋体"/>
          <w:szCs w:val="21"/>
        </w:rPr>
      </w:pPr>
      <w:r w:rsidRPr="003101F2">
        <w:rPr>
          <w:rFonts w:ascii="宋体" w:eastAsia="宋体" w:hAnsi="宋体" w:hint="eastAsia"/>
          <w:szCs w:val="21"/>
        </w:rPr>
        <w:t>郎骋成先生，投资决策委员会委员、研究部总监、基金经理。</w:t>
      </w:r>
    </w:p>
    <w:p w14:paraId="0DD23F30" w14:textId="77777777" w:rsidR="003101F2" w:rsidRPr="003101F2" w:rsidRDefault="003101F2" w:rsidP="003101F2">
      <w:pPr>
        <w:spacing w:line="360" w:lineRule="auto"/>
        <w:ind w:firstLineChars="200" w:firstLine="420"/>
        <w:rPr>
          <w:rFonts w:ascii="宋体" w:eastAsia="宋体" w:hAnsi="宋体"/>
          <w:szCs w:val="21"/>
        </w:rPr>
      </w:pPr>
      <w:r w:rsidRPr="003101F2">
        <w:rPr>
          <w:rFonts w:ascii="宋体" w:eastAsia="宋体" w:hAnsi="宋体" w:hint="eastAsia"/>
          <w:szCs w:val="21"/>
        </w:rPr>
        <w:t>邱紫华先生，投资决策委员会委员、投资决策委员会秘书、基金经理。</w:t>
      </w:r>
    </w:p>
    <w:p w14:paraId="46FCDA3A" w14:textId="55CEC331" w:rsidR="004F087B" w:rsidRDefault="003101F2" w:rsidP="003101F2">
      <w:pPr>
        <w:spacing w:line="360" w:lineRule="auto"/>
        <w:ind w:firstLineChars="200" w:firstLine="420"/>
        <w:rPr>
          <w:rFonts w:ascii="宋体" w:eastAsia="宋体" w:hAnsi="宋体"/>
          <w:szCs w:val="21"/>
        </w:rPr>
      </w:pPr>
      <w:r w:rsidRPr="003101F2">
        <w:rPr>
          <w:rFonts w:ascii="宋体" w:eastAsia="宋体" w:hAnsi="宋体" w:hint="eastAsia"/>
          <w:szCs w:val="21"/>
        </w:rPr>
        <w:t>王丹女士，投资决策委员会委员、基金经理。</w:t>
      </w:r>
    </w:p>
    <w:p w14:paraId="6D4CAEAC" w14:textId="77777777" w:rsidR="00BD090D" w:rsidRPr="00BD090D" w:rsidRDefault="00BD090D" w:rsidP="00300697">
      <w:pPr>
        <w:spacing w:line="360" w:lineRule="auto"/>
        <w:ind w:firstLineChars="200" w:firstLine="420"/>
        <w:rPr>
          <w:rFonts w:ascii="宋体" w:eastAsia="宋体" w:hAnsi="宋体"/>
          <w:szCs w:val="21"/>
        </w:rPr>
      </w:pPr>
      <w:r w:rsidRPr="00BD090D">
        <w:rPr>
          <w:rFonts w:ascii="宋体" w:eastAsia="宋体" w:hAnsi="宋体" w:hint="eastAsia"/>
          <w:szCs w:val="21"/>
        </w:rPr>
        <w:t>6、上述人员之间不存在近亲属关系。</w:t>
      </w:r>
    </w:p>
    <w:p w14:paraId="31D5E0E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三、基金管理人的职责</w:t>
      </w:r>
    </w:p>
    <w:p w14:paraId="75214D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1、依法募集资金，办理或者委托经中国证监会认定的其他机构代为办理基金份额的发售、申购、赎回和登记事宜；</w:t>
      </w:r>
    </w:p>
    <w:p w14:paraId="19AA6DA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2、办理基金备案手续；</w:t>
      </w:r>
    </w:p>
    <w:p w14:paraId="3A3C6FF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3、自《基金合同》生效之日起，以诚实信用、谨慎勤勉的原则管理和运用基金财产；</w:t>
      </w:r>
    </w:p>
    <w:p w14:paraId="3BA00C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4、配备足够的具有专业资格的人员进行基金投资分析、决策，以专业化的经营方式管理和运作基金财产；</w:t>
      </w:r>
    </w:p>
    <w:p w14:paraId="060201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5、建立健全内部风险控制、监察与稽核、财务管理及人事管理等制度，保证所管理的</w:t>
      </w:r>
      <w:r w:rsidRPr="00BD090D">
        <w:rPr>
          <w:rFonts w:ascii="宋体" w:eastAsia="宋体" w:hAnsi="宋体" w:hint="eastAsia"/>
          <w:szCs w:val="21"/>
        </w:rPr>
        <w:lastRenderedPageBreak/>
        <w:t>基金财产和基金管理人的财产相互独立，对所管理的不同基金分别管理，分别记账，进行证券投资；</w:t>
      </w:r>
    </w:p>
    <w:p w14:paraId="15FDDC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6、除依据《基金法》、《基金合同》及其他有关规定外，不得利用基金财产为自己及任何第三人谋取利益，不得委托第三人运作基金财产；</w:t>
      </w:r>
    </w:p>
    <w:p w14:paraId="47024C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7、依法接受基金托管人的监督；</w:t>
      </w:r>
    </w:p>
    <w:p w14:paraId="3E2EAD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8、采取适当合理的措施使计算基金份额认购、申购、赎回和注销价格的方法符合《基金合同》等法律文件的规定，按有关规定计算并公告基金资产净值、基金份额净值，确定基金份额申购、赎回的价格；</w:t>
      </w:r>
    </w:p>
    <w:p w14:paraId="1FD3628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9、进行基金会计核算并编制基金财务会计报告；</w:t>
      </w:r>
    </w:p>
    <w:p w14:paraId="0B785B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10、编制季度报告、中期报告和年度报告；</w:t>
      </w:r>
    </w:p>
    <w:p w14:paraId="235E9BA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11、严格按照《基金法》、《基金合同》及其他有关规定，履行信息披露及报告义务；</w:t>
      </w:r>
    </w:p>
    <w:p w14:paraId="7F8724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12、保守基金商业秘密，不泄露基金投资计划、投资意向等。除《基金法》、《基金合同》及其他有关规定另有规定外，在基金信息公开披露前应予保密，不向他人泄露；</w:t>
      </w:r>
    </w:p>
    <w:p w14:paraId="7E88596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13、按《基金合同》的约定确定基金收益分配方案，及时向基金份额持有人分配基金收益；</w:t>
      </w:r>
    </w:p>
    <w:p w14:paraId="4FDA2CD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14、按规定受理申购与赎回申请，及时、足额支付赎回款项；</w:t>
      </w:r>
    </w:p>
    <w:p w14:paraId="7FF61F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15、依据《基金法》、《基金合同》及其他有关规定召集基金份额持有人大会或配合基金托管人、基金份额持有人依法召集基金份额持有人大会；</w:t>
      </w:r>
    </w:p>
    <w:p w14:paraId="20242A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16、按规定保存基金财产管理业务活动的会计账册、报表、记录和其他相关资料15年以上；</w:t>
      </w:r>
    </w:p>
    <w:p w14:paraId="266FF9C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0CEAC2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18、组织并参加基金财产清算小组，参与基金财产的保管、清理、估价、变现和分配；</w:t>
      </w:r>
    </w:p>
    <w:p w14:paraId="03AE17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19、面临解散、依法被撤销或者被依法宣告破产时，及时报告中国证监会并通知基金托管人；</w:t>
      </w:r>
    </w:p>
    <w:p w14:paraId="48B9F5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20、因违反《基金合同》导致基金财产的损失或损害基金份额持有人合法权益时，应当承担赔偿责任，其赔偿责任不因其退任而免除；</w:t>
      </w:r>
    </w:p>
    <w:p w14:paraId="211599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21、监督基金托管人按法律法规和《基金合同》规定履行自己的义务，基金托管人违反《基金合同》造成基金财产损失时，基金管理人应为基金份额持有人利益向基金托管人追偿；</w:t>
      </w:r>
    </w:p>
    <w:p w14:paraId="54AA9E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22、当基金管理人将其义务委托第三方处理时，应当对第三方处理有关基金事务的行为承担责任；</w:t>
      </w:r>
    </w:p>
    <w:p w14:paraId="30A068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23、以基金管理人名义，代表基金份额持有人利益行使诉讼权利或实施其他法律行为；</w:t>
      </w:r>
    </w:p>
    <w:p w14:paraId="14E643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24、基金管理人在募集期间未能达到基金的备案条件，《基金合同》不能生效，基金管理人承担全部募集费用，将已募集资金加计银行同期活期存款利息在基金募集期结束后30日内退还基金认购人；</w:t>
      </w:r>
    </w:p>
    <w:p w14:paraId="60A8678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25、执行生效的基金份额持有人大会的决议；</w:t>
      </w:r>
    </w:p>
    <w:p w14:paraId="37996DC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26、建立并保存基金份额持有人名册；</w:t>
      </w:r>
    </w:p>
    <w:p w14:paraId="141558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27、法律法规及中国证监会规定的和《基金合同》约定的其他义务。</w:t>
      </w:r>
    </w:p>
    <w:p w14:paraId="11E41A2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四、基金管理人的承诺</w:t>
      </w:r>
    </w:p>
    <w:p w14:paraId="76CCFEC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1、基金管理人承诺不从事违反《中华人民共和国证券法》的行为，并承诺建立健全内部控制制度，采取有效措施，防止违反《中华人民共和国证券法》行为的发生； </w:t>
      </w:r>
    </w:p>
    <w:p w14:paraId="3157B8C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2、基金管理人承诺不从事违反《基金法》的行为，并承诺建立健全内部风险控制制度，采取有效措施，防止下列行为的发生：</w:t>
      </w:r>
    </w:p>
    <w:p w14:paraId="0D581D5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（1）将基金管理人固有财产或者他人财产混同于基金财产从事证券投资；</w:t>
      </w:r>
    </w:p>
    <w:p w14:paraId="086A0F7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（2）不公平地对待管理的不同基金财产；</w:t>
      </w:r>
    </w:p>
    <w:p w14:paraId="67DFE39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（3）利用基金财产或者职务之便为基金份额持有人以外的第三人牟取利益；</w:t>
      </w:r>
    </w:p>
    <w:p w14:paraId="132A8A1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（4）向基金份额持有人违规承诺收益或者承担损失；</w:t>
      </w:r>
    </w:p>
    <w:p w14:paraId="61FF9E3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（5）侵占、挪用基金财产；</w:t>
      </w:r>
      <w:r w:rsidRPr="00BD090D">
        <w:rPr>
          <w:rFonts w:ascii="宋体" w:eastAsia="宋体" w:hAnsi="宋体" w:hint="eastAsia"/>
          <w:szCs w:val="21"/>
        </w:rPr>
        <w:tab/>
      </w:r>
    </w:p>
    <w:p w14:paraId="2664ACD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（6）泄露因职务便利获取的未公开信息、利用该信息从事或者明示、暗示他人从事相关的交易活动；</w:t>
      </w:r>
    </w:p>
    <w:p w14:paraId="7F47BBA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（7）玩忽职守，不按照规定履行职责；</w:t>
      </w:r>
    </w:p>
    <w:p w14:paraId="7DF6BF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（8）法律、行政法规和中国证监会规定禁止的其他行为。 </w:t>
      </w:r>
    </w:p>
    <w:p w14:paraId="7E24FB2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3、基金管理人承诺严格遵守基金合同，并承诺建立健全内部控制制度，采取有效措施，防止违反基金合同行为的发生； </w:t>
      </w:r>
    </w:p>
    <w:p w14:paraId="6BC52D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4、基金管理人承诺加强人员管理，强化职业操守，督促和约束员工遵守国家有关法律法规及行业规范，诚实信用、勤勉尽责；</w:t>
      </w:r>
    </w:p>
    <w:p w14:paraId="065F9E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5、基金管理人承诺不从事其他法规规定禁止从事的行为。 </w:t>
      </w:r>
    </w:p>
    <w:p w14:paraId="1D48CCD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五、基金经理承诺</w:t>
      </w:r>
    </w:p>
    <w:p w14:paraId="0CE5FD1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1、依照有关法律法规和基金合同的规定，本着谨慎的原则为基金份额持有人谋取最大</w:t>
      </w:r>
      <w:r w:rsidRPr="00BD090D">
        <w:rPr>
          <w:rFonts w:ascii="宋体" w:eastAsia="宋体" w:hAnsi="宋体" w:hint="eastAsia"/>
          <w:szCs w:val="21"/>
        </w:rPr>
        <w:lastRenderedPageBreak/>
        <w:t>利益；</w:t>
      </w:r>
    </w:p>
    <w:p w14:paraId="6E2A1CC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2、不利用职务之便为自己、受雇人或任何第三者牟取利益； </w:t>
      </w:r>
    </w:p>
    <w:p w14:paraId="60A034C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3、不泄露在任职期间知悉的有关证券、基金的商业秘密，尚未依法公开的基金投资内容、基金投资计划等信息，或利用该信息从事或者明示、暗示他人从事相关的交易活动；</w:t>
      </w:r>
    </w:p>
    <w:p w14:paraId="7D15684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4、不以任何形式为其他组织或个人进行证券交易。</w:t>
      </w:r>
    </w:p>
    <w:p w14:paraId="394DFED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六、基金管理人的内部控制制度</w:t>
      </w:r>
    </w:p>
    <w:p w14:paraId="0035C3E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1、风险控制目标</w:t>
      </w:r>
    </w:p>
    <w:p w14:paraId="29A8B0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（1）在有效控制风险的前提下，实现基金份额持有人利益最大化；</w:t>
      </w:r>
    </w:p>
    <w:p w14:paraId="4779EB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（2）确保国家有关法律法规、行业规章和公司各项规章制度的贯彻执行；</w:t>
      </w:r>
    </w:p>
    <w:p w14:paraId="2B5D010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（3）建立符合现代企业制度要求的法人治理结构，形成科学合理的决策机制、执行机制和监督机制；</w:t>
      </w:r>
    </w:p>
    <w:p w14:paraId="29FDFF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（4）将各种风险控制在合理的范围内，保障公司发展战略和经营目标的全面实施，维护基金份额持有人、公司及公司股东的合法权益；</w:t>
      </w:r>
    </w:p>
    <w:p w14:paraId="103813E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（5）建立行之有效的风险控制系统，保障业务稳健运行，减轻或规避各种风险对公司发展战略和经营目标的干扰。</w:t>
      </w:r>
    </w:p>
    <w:p w14:paraId="5261349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2、建立风险控制制度应遵循的原则</w:t>
      </w:r>
    </w:p>
    <w:p w14:paraId="762BD90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（1）全面性原则：风险控制制度应覆盖公司的各项业务、各个部门和各级人员，并渗透到决策、执行、监督、反馈等各个经营环节；</w:t>
      </w:r>
    </w:p>
    <w:p w14:paraId="0B32B12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（2）审慎性原则：内部风险控制的核心是有效防范各种风险，公司组织体系的构成、内部管理制度的建立都要以防范风险、审慎经营为出发点；</w:t>
      </w:r>
    </w:p>
    <w:p w14:paraId="32C2C82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7585A0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225A777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（5）适时性原则：内部风险控制应随着公司经营战略、经营方针、经营理念等内部环境的变化和国家法律、法规、政策制度等外部环境的改变及时进行相应的修改和完善；</w:t>
      </w:r>
    </w:p>
    <w:p w14:paraId="03A672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3、风险控制体系</w:t>
      </w:r>
    </w:p>
    <w:p w14:paraId="237B5B1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（1）风险控制制度体系</w:t>
      </w:r>
    </w:p>
    <w:p w14:paraId="4E629C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公司风险控制制度体系由三个不同层次的制度构成：第一个层次是公司章程、内部控制大纲；第二个层次是基本管理制度；第三个层次是部门管理制度及各项业务规则。</w:t>
      </w:r>
    </w:p>
    <w:p w14:paraId="38106E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（2）风险控制组织体系</w:t>
      </w:r>
    </w:p>
    <w:p w14:paraId="696F1A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风险控制组织体系包括两个层次：</w:t>
      </w:r>
    </w:p>
    <w:p w14:paraId="664E039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第一层次：公司董事会层面对公司经营管理过程中的各类风险进行预防和控制的组织，主要是通过董事会下设的风险控制委员会和督察长来实现的。</w:t>
      </w:r>
    </w:p>
    <w:p w14:paraId="59EC1C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5219F51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48DC16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第二层次：公司经营管理层包括风险控制委员会、监察稽核部及各职能部门对经营风险的预防和控制。</w:t>
      </w:r>
    </w:p>
    <w:p w14:paraId="3E4C67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1435776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6231D8B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2D54F1A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4、关于授权、研究、投资、交易等方面的控制点</w:t>
      </w:r>
    </w:p>
    <w:p w14:paraId="2EC84E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（1）授权制度</w:t>
      </w:r>
    </w:p>
    <w:p w14:paraId="558A40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33E322F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（2）研究业务</w:t>
      </w:r>
    </w:p>
    <w:p w14:paraId="2BC0A14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17F771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（3）基金投资业务</w:t>
      </w:r>
    </w:p>
    <w:p w14:paraId="0ABC37D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71B6EAB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（4）交易业务</w:t>
      </w:r>
    </w:p>
    <w:p w14:paraId="1156CCB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49F758E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（5）基金会计核算</w:t>
      </w:r>
    </w:p>
    <w:p w14:paraId="311B3F8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7D61308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（6）信息披露</w:t>
      </w:r>
    </w:p>
    <w:p w14:paraId="148F890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6187BCC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（7）监察稽核</w:t>
      </w:r>
    </w:p>
    <w:p w14:paraId="2F633C0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0D0372F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585D9E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5、风险管理和内部控制的措施</w:t>
      </w:r>
    </w:p>
    <w:p w14:paraId="1AA600D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（1）建立内控结构，完善内控制度：公司建立、健全了内控结构，高管人员具有明确的内控分工，确保各项业务活动有恰当的组织和授权，确保监察活动的独立进行，并得到高管人员的支持。</w:t>
      </w:r>
    </w:p>
    <w:p w14:paraId="6D7A70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（2）建立相互分离、相互制衡的内控机制：建立、健全了各项制度，做到基金经理、投资经理分开，研究、决策分开，基金交易集中，形成不同部门、不同岗位之间的制衡机制，从制度上减少和防范风险。</w:t>
      </w:r>
    </w:p>
    <w:p w14:paraId="0D3F790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（3）建立、健全岗位责任制：建立、健全了岗位责任制，使每个员工都明确自己的任务、职责，并及时将各自工作领域中的风险隐患上报，以防范和减少风险。</w:t>
      </w:r>
    </w:p>
    <w:p w14:paraId="5712BF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054400A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（5）建立有效的内部监控系统：建立了足够、有效的内部监控系统，如计算机预警系统、投资监控系统，能对可能出现的各种风险进行全面和实时的监控。</w:t>
      </w:r>
    </w:p>
    <w:p w14:paraId="1CD973B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（6）使用数量化的风险管理手段：采取数量化、技术化的风险控制手段，建立数量化</w:t>
      </w:r>
      <w:r w:rsidRPr="00BD090D">
        <w:rPr>
          <w:rFonts w:ascii="宋体" w:eastAsia="宋体" w:hAnsi="宋体" w:hint="eastAsia"/>
          <w:szCs w:val="21"/>
        </w:rPr>
        <w:lastRenderedPageBreak/>
        <w:t>的风险管理模型，用以提示市场风险，以便公司及时采取有效的措施，对风险进行分散、控制和规避，尽可能地减少损失。</w:t>
      </w:r>
    </w:p>
    <w:p w14:paraId="5D38E8A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（7）提供足够的培训：制定了完整的培训计划，为所有员工提供足够和适当的培训，使员工明确其职责所在，控制风险。</w:t>
      </w:r>
    </w:p>
    <w:p w14:paraId="6B4333B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6、基金管理人承诺上述关于内部控制的披露真实、准确，并承诺将根据市场环境的变化及公司的发展不断完善合规控制。</w:t>
      </w:r>
    </w:p>
    <w:p w14:paraId="0C2347B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0835B0D"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A48C935"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255BB4AC"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3" w:name="_Toc89276775"/>
      <w:r w:rsidRPr="00BD090D">
        <w:rPr>
          <w:rFonts w:ascii="Arial Unicode MS" w:eastAsia="宋体" w:hAnsi="Arial Unicode MS" w:cs="Arial" w:hint="eastAsia"/>
          <w:kern w:val="0"/>
          <w:sz w:val="28"/>
          <w:szCs w:val="28"/>
        </w:rPr>
        <w:lastRenderedPageBreak/>
        <w:t>第四部分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基金托管人</w:t>
      </w:r>
      <w:bookmarkEnd w:id="3"/>
    </w:p>
    <w:p w14:paraId="4A2EE9B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(一)基金托管人概况</w:t>
      </w:r>
    </w:p>
    <w:p w14:paraId="09653890"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1.</w:t>
      </w:r>
      <w:r w:rsidRPr="005373A2">
        <w:rPr>
          <w:rFonts w:ascii="宋体" w:eastAsia="宋体" w:hAnsi="宋体" w:hint="eastAsia"/>
          <w:szCs w:val="21"/>
        </w:rPr>
        <w:tab/>
        <w:t>基本情况</w:t>
      </w:r>
    </w:p>
    <w:p w14:paraId="0B37ABD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名称：中国民生银行股份有限公司（以下简称“中国民生银行”）</w:t>
      </w:r>
    </w:p>
    <w:p w14:paraId="71C8A53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住所：北京市西城区复兴门内大街2号</w:t>
      </w:r>
    </w:p>
    <w:p w14:paraId="3977BCDF"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办公地址：北京市西城区复兴门内大街2号</w:t>
      </w:r>
    </w:p>
    <w:p w14:paraId="41959B57"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法定代表人：高迎欣</w:t>
      </w:r>
    </w:p>
    <w:p w14:paraId="23753AC3"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成立日期：1996年2月7日</w:t>
      </w:r>
    </w:p>
    <w:p w14:paraId="635C22B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基金托管业务批准文号：证监基金字［2004］101号</w:t>
      </w:r>
    </w:p>
    <w:p w14:paraId="60AD3C3E"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组织形式：其他股份有限公司（上市）</w:t>
      </w:r>
    </w:p>
    <w:p w14:paraId="70ED0E55"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注册资本：43,782,418,502元人民币</w:t>
      </w:r>
    </w:p>
    <w:p w14:paraId="514BBDBA"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 xml:space="preserve">电话：010-58560666 </w:t>
      </w:r>
    </w:p>
    <w:p w14:paraId="61BA634F"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联系人：罗菲菲</w:t>
      </w:r>
    </w:p>
    <w:p w14:paraId="4680A644"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中国民生银行成立于1996年，是中国第一家主要由民营企业发起设立的全国性股份制商业银行，也是严格按照中国《公司法》和《商业银行法》设立的一家现代金融企业。</w:t>
      </w:r>
    </w:p>
    <w:p w14:paraId="50774D01"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2000年12月19日，中国民生银行A 股股票（代码：600016）在上海证券交易所挂牌上市。2005年10月26日，中国民生银行完成股权分置改革，成为国内首家实施股权分置改革的商业银行。2009年11月26日，中国民生银行H股股票（代码：01988）在香港证券交易所挂牌上市。上市以来，中国民生银行不断完善公司治理，大力推进改革转型，持续创新商业模式和产品服务，致力于成为一家“让人信赖、受人尊敬”的上市公司。</w:t>
      </w:r>
    </w:p>
    <w:p w14:paraId="0BD1F216"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2、主要人员情况</w:t>
      </w:r>
    </w:p>
    <w:p w14:paraId="1040FDDA"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崔岩女士，中国民生银行资产托管部负责人，博士研究生，具有基金托管人高级管理人员任职资格，从事过全球托管业务、托管业务运作、银行信息管理等工作，具有多年金融从业经历，具备扎实的总部管理经历。曾任中国工商银行总行资产托管部营销专家。</w:t>
      </w:r>
    </w:p>
    <w:p w14:paraId="28574F17"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3、基金托管业务经营情况</w:t>
      </w:r>
    </w:p>
    <w:p w14:paraId="3881F65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中国民生银行股份有限公司于2004年7月9日获得基金托管资格，成为《中华人民共和国证券投资基金法》颁布后首家获批从事基金托管业务的银行。为了更好地发挥后发优势，大力发展托管业务，中国民生银行股份有限公司资产托管部从成立伊始就本着充分保护基金持有人的利益、为客户提供高品质托管服务的原则，高起点地建立系统、完善制度、组织人</w:t>
      </w:r>
      <w:r w:rsidRPr="005373A2">
        <w:rPr>
          <w:rFonts w:ascii="宋体" w:eastAsia="宋体" w:hAnsi="宋体" w:hint="eastAsia"/>
          <w:szCs w:val="21"/>
        </w:rPr>
        <w:lastRenderedPageBreak/>
        <w:t>员。资产托管部目前共有员工78人，平均年龄39岁，100%员工拥有大学本科以上学历，67%以上员工具有硕士以上学位。</w:t>
      </w:r>
    </w:p>
    <w:p w14:paraId="6CD4C218"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中国民生银行坚持以客户需求为导向，秉承“诚信、严谨、高效、务实”的经营理念，依托丰富的资产托管经验、专业的托管业务服务和先进的托管业务平台，为境内外客户提供安全、准确、及时、高效的专业托管服务。中国民生银行资产托管部于2018年2月6日发布了“爱托管”品牌，近百余家资管机构及合作客户的代表受邀参加了启动仪式。资产托管部始终坚持以客户为中心，致力于为客户提供全面的综合金融服务。对内大力整合行内资源，对外广泛搭建客户服务平台，向各类托管客户提供专业化、增值化的托管综合金融服务，得到各界的充分认可，也在市场上树立了良好品牌形象，成为市场上一家有特色的托管银行。自2010年至今，中国民生银行荣获《金融理财》杂志颁发的“最具潜力托管银行”、“最佳创新托管银行”、“金牌创新力托管银行”奖和“年度金牌托管银行”奖，荣获《21世纪经济报道》颁发的“最佳金融服务托管银行”奖，尤其继2019年被《金融时报》评为年度唯一“最佳资产托管银行”之后，在2020年度再次被评为唯一“最具资产托管创新力银行”。</w:t>
      </w:r>
    </w:p>
    <w:p w14:paraId="39270609"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截至2021年9月30日，中国民生银行托管建信稳定得利债券型证券投资基金、中银新趋势灵活配置混合型证券投资基金、长信利盈灵活配置混合型证券投资基金等共307只证券投资基金，基金托管规模10688.82亿元。</w:t>
      </w:r>
    </w:p>
    <w:p w14:paraId="291F4FBA"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(二)基金托管人的内部控制制度</w:t>
      </w:r>
    </w:p>
    <w:p w14:paraId="31425ED9"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1.内部风险控制目标</w:t>
      </w:r>
    </w:p>
    <w:p w14:paraId="5A3D8139"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(1)建立完整、严密、高效的风险控制体系，形成科学的决策机制、执行机制和监督机制，防范和化解经营风险，保障资产托管业务的稳健运行和托管财产的安全完整。</w:t>
      </w:r>
    </w:p>
    <w:p w14:paraId="0493521C"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(2)大力培育合规文化，自觉形成守法经营、规范运作的经营思想和经营理念，严格控制合规风险，保证资产托管业务符合国家有关法律法规和行业监管规则。</w:t>
      </w:r>
    </w:p>
    <w:p w14:paraId="22C1ACF4"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(3)以相互制衡健全有效的风控组织结构为保障，以完善健全的制度为基础，以落实到位的过程控制为着眼点，以先进的信息技术手段为依托，建立全面、系统、动态、主动、有利于差错防弊、堵塞漏洞、消除隐患、保证业务稳健运行的风险控制制度，确保托管业务信息真实、准确、完整、及时。</w:t>
      </w:r>
    </w:p>
    <w:p w14:paraId="7B14C9A1"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2.内部风险控制组织结构</w:t>
      </w:r>
    </w:p>
    <w:p w14:paraId="67882025"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总行高级管理层负责部署全行的风险管理工作。总行风险管理委员会是总行高级管理层下设的风险管理专业委员会，对高级管理层负责，支持高级管理层履行职责。资产托管业务风险控制工作在总行风险管理委员会的统一部署和指导下开展。</w:t>
      </w:r>
    </w:p>
    <w:p w14:paraId="6C46129E"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lastRenderedPageBreak/>
        <w:t>总行各部门紧密配合，共同把控资产托管业务运行中的风险，具体职责与分工如下：总行风险管理部作为总行风险管理委员会秘书机构，是全行风险管理的统筹部门，对资产托管部的风险控制工作进行指导；总行法律合规部负责资产托管业务项下的相关合同、协议等法律性文件的审定，对业务开展进行合规检查并督导问题整改落实；总行审计部对全行托管业务进行内部审计，包括定期内部审计、现场和非现场检查等；总行办公室与资产托管部共同制定声誉风险应急预案。</w:t>
      </w:r>
    </w:p>
    <w:p w14:paraId="574515CF"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3.内部风险控制原则</w:t>
      </w:r>
    </w:p>
    <w:p w14:paraId="10627AF2"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(1)合法合规原则。风险控制应符合和体现国家法律、法规、规章和各项政策。</w:t>
      </w:r>
    </w:p>
    <w:p w14:paraId="2D135A1A"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(2)全面性原则。风险控制覆盖托管部的各个业务中心、各个岗位和各级人员，并涵盖资产托管业务各环节。</w:t>
      </w:r>
    </w:p>
    <w:p w14:paraId="5A745629"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(3)有效性原则。资产托管业务从业人员应全力维护内部控制制度的有效执行，任何人都没有超越制度约束的权力。</w:t>
      </w:r>
    </w:p>
    <w:p w14:paraId="3C1A3E02"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(4)预防性原则。必须树立“预防为主”的管理理念，控制资产托管业务中风险发生的源头，防患于未然，尽量避免业务操作中各种问题的产生。</w:t>
      </w:r>
    </w:p>
    <w:p w14:paraId="55C9A7C5"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(5)及时性原则。资产托管业务风险控制制度的制定应当具有前瞻性，并且随着托管部经营战略、经营方针、经营理念等内部环境的变化和国家法律法规、政策制度等外部环境的改变进行及时的修改或完善。发现问题，要及时处理，堵塞漏洞。</w:t>
      </w:r>
    </w:p>
    <w:p w14:paraId="343610A0"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(6)独立性原则。各业务中心、各岗位职能上保持相对独立性。风险与合规管理中心是资产托管部下设的执行机构，不受其他业务中心和个人干涉。业务操作人员和检查人员严格分开，以保证风险控制机构的工作不受干扰。</w:t>
      </w:r>
    </w:p>
    <w:p w14:paraId="19289EB9"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(7)相互制约原则。各业务中心、各岗位权责明确，相互牵制，通过切实可行的相互制衡措施来消除风险控制的盲点。</w:t>
      </w:r>
    </w:p>
    <w:p w14:paraId="465DD574"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(8)防火墙原则。托管银行自身财务与托管资产财务严格分开；托管业务日常操作部门与行政、研发和营销等部门隔离。</w:t>
      </w:r>
    </w:p>
    <w:p w14:paraId="18D2B077"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4.内部风险控制制度和措施</w:t>
      </w:r>
    </w:p>
    <w:p w14:paraId="65C8793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(1)制度建设：建立了明确的岗位职责、科学的业务流程、详细的操作手册、严格的人员行为规范等一系列规章制度。</w:t>
      </w:r>
    </w:p>
    <w:p w14:paraId="56DFA885"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(2)建立健全的组织管理结构：前后台分离，不同部门、岗位相互牵制。</w:t>
      </w:r>
    </w:p>
    <w:p w14:paraId="5D50D938"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(3)风险识别与评估：定期组织进行风险识别、评估，制定并实施风险控制措施。</w:t>
      </w:r>
    </w:p>
    <w:p w14:paraId="01AA308F"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(4)相对独立的业务操作空间：业务操作区相对独立，实施门禁管理和音像监控。</w:t>
      </w:r>
    </w:p>
    <w:p w14:paraId="7915910C"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lastRenderedPageBreak/>
        <w:t>(5)人员管理：进行定期的业务与职业道德培训，使员工树立风险防范与控制理念，并签订承诺书。</w:t>
      </w:r>
    </w:p>
    <w:p w14:paraId="4B6A74E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(6)应急预案：制定完备的应急预案，并组织员工定期演练；建立异地灾备中心，保证业务不中断。</w:t>
      </w:r>
    </w:p>
    <w:p w14:paraId="4E142E9E"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5.资产托管部内部风险控制</w:t>
      </w:r>
    </w:p>
    <w:p w14:paraId="774D35AB"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中国民生银行股份有限公司从控制环境、风险评估、控制活动、信息沟通、监控等五个方面构建了托管业务风险控制体系。</w:t>
      </w:r>
    </w:p>
    <w:p w14:paraId="6810CBE4"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(1)坚持风险管理与业务发展同等重要的理念。托管业务是商业银行新兴的中间业务，中国民生银行股份有限公司资产托管部从成立之日起就特别强调规范运作，一直将建立一个系统、高效的风险防范和控制体系作为工作重点。随着市场环境的变化和托管业务的快速发展，新问题新情况不断出现，我们始终将风险管理放在与业务发展同等重要的位置，视风险防范和控制为托管业务生存和发展的生命线。</w:t>
      </w:r>
    </w:p>
    <w:p w14:paraId="676AE3E2"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(2)实施全员风险管理。将风险控制责任落实到具体业务中心和业务岗位，每位员工对自己岗位职责范围内的风险负责。</w:t>
      </w:r>
    </w:p>
    <w:p w14:paraId="0AB55130"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(3)建立分工明确、相互牵制的风险控制组织结构。我们通过建立纵向双人制，横向多中心制的内部组织结构，形成不同中心、不同岗位相互制衡的组织结构。</w:t>
      </w:r>
    </w:p>
    <w:p w14:paraId="68F84A1E"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(4)以制度建设作为风险管理的核心。我们十分重视内部控制制度的建设，已经建立了一整套内部风险控制制度，包括业务管理办法、内部控制制度、员工行为规范、岗位职责及涵括所有后台运作环节的操作手册。以上制度随着外部环境和业务的发展还会不断增加和完善。</w:t>
      </w:r>
    </w:p>
    <w:p w14:paraId="18405D22"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(5)制度的执行和监督是风险控制的关键。制度落实检查是风险控制管理的有力保证。资产托管部内部设置风险与合规管理中心，依照有关法律规章，定期对业务的运行进行检查。总行审计部不定期对托管业务进行审计。</w:t>
      </w:r>
    </w:p>
    <w:p w14:paraId="78419AF8"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(6)将先进的技术手段运用于风险控制中。托管业务系统需求不仅从业务方面而且从风险控制方面都要经过多方论证，托管业务技术系统具有较强的自动风险控制功能。</w:t>
      </w:r>
    </w:p>
    <w:p w14:paraId="07E31016"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(三)基金托管人对基金管理人运作基金进行监督的方法和程序</w:t>
      </w:r>
    </w:p>
    <w:p w14:paraId="2CECD65D"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根据《基金法》、基金合同、基金托管协议和有关法律法规的规定，基金托管人对基金的投资范围和投资对象、基金投资比例、基金资产的核算、基金资产净值的计算、基金管理人报酬的计提和支付、基金托管人报酬的计提和支付、基金申购资金的到账和赎回资金的划付、基金收益分配等进行监督和核查。</w:t>
      </w:r>
    </w:p>
    <w:p w14:paraId="14E8745F" w14:textId="77777777" w:rsidR="005373A2" w:rsidRPr="005373A2"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lastRenderedPageBreak/>
        <w:t>基金托管人发现基金管理人违反《基金法》、基金合同、基金托管协议或有关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14:paraId="0A5C0612" w14:textId="7FC1EAC2" w:rsidR="00BD090D" w:rsidRPr="00BD090D" w:rsidRDefault="005373A2" w:rsidP="005373A2">
      <w:pPr>
        <w:spacing w:line="360" w:lineRule="auto"/>
        <w:ind w:firstLineChars="200" w:firstLine="420"/>
        <w:rPr>
          <w:rFonts w:ascii="宋体" w:eastAsia="宋体" w:hAnsi="宋体"/>
          <w:szCs w:val="21"/>
        </w:rPr>
      </w:pPr>
      <w:r w:rsidRPr="005373A2">
        <w:rPr>
          <w:rFonts w:ascii="宋体" w:eastAsia="宋体" w:hAnsi="宋体" w:hint="eastAsia"/>
          <w:szCs w:val="21"/>
        </w:rPr>
        <w:t>基金托管人发现基金管理人有重大违规行为，应立即报告中国证监会，同时通知基金管理人限期纠正。</w:t>
      </w:r>
    </w:p>
    <w:p w14:paraId="07619119" w14:textId="77777777" w:rsidR="00BD090D" w:rsidRPr="00BD090D" w:rsidRDefault="00BD090D" w:rsidP="00BD090D">
      <w:pPr>
        <w:spacing w:line="360" w:lineRule="auto"/>
        <w:ind w:firstLineChars="200" w:firstLine="420"/>
        <w:rPr>
          <w:rFonts w:ascii="宋体" w:eastAsia="宋体" w:hAnsi="宋体"/>
          <w:szCs w:val="21"/>
        </w:rPr>
      </w:pPr>
    </w:p>
    <w:p w14:paraId="4508142B"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1FA9647"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656407C5"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4" w:name="_Toc89276776"/>
      <w:r w:rsidRPr="00BD090D">
        <w:rPr>
          <w:rFonts w:ascii="Arial Unicode MS" w:eastAsia="宋体" w:hAnsi="Arial Unicode MS" w:cs="Arial" w:hint="eastAsia"/>
          <w:kern w:val="0"/>
          <w:sz w:val="28"/>
          <w:szCs w:val="28"/>
        </w:rPr>
        <w:lastRenderedPageBreak/>
        <w:t>第五部分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相关服务机构</w:t>
      </w:r>
      <w:bookmarkEnd w:id="4"/>
    </w:p>
    <w:p w14:paraId="498AF293" w14:textId="77777777" w:rsidR="00BD090D" w:rsidRPr="00BD090D" w:rsidRDefault="00BD090D" w:rsidP="00BD090D">
      <w:pPr>
        <w:spacing w:line="360" w:lineRule="auto"/>
        <w:ind w:firstLineChars="200" w:firstLine="420"/>
        <w:rPr>
          <w:rFonts w:ascii="宋体" w:eastAsia="宋体" w:hAnsi="宋体"/>
          <w:szCs w:val="21"/>
        </w:rPr>
      </w:pPr>
    </w:p>
    <w:p w14:paraId="7288BB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一、基金份额发售机构</w:t>
      </w:r>
    </w:p>
    <w:p w14:paraId="028876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1、直销机构：富荣基金管理有限公司直销中心</w:t>
      </w:r>
    </w:p>
    <w:p w14:paraId="483B35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注册地址：广州市南沙区海滨路171号南沙金融大厦11楼1101之一J20室 </w:t>
      </w:r>
    </w:p>
    <w:p w14:paraId="228EF89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办公地址：深圳市福田区八卦四路52号安吉尔大厦24层</w:t>
      </w:r>
    </w:p>
    <w:p w14:paraId="61E2BE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法定代表人：杨小舟</w:t>
      </w:r>
    </w:p>
    <w:p w14:paraId="52C155F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电话：0755-84356629</w:t>
      </w:r>
    </w:p>
    <w:p w14:paraId="5E0ACBB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传真：0755-83230902</w:t>
      </w:r>
    </w:p>
    <w:p w14:paraId="5F367BD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客服电话：4006855600</w:t>
      </w:r>
    </w:p>
    <w:p w14:paraId="483A5FD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网址：www.furamc.com.cn</w:t>
      </w:r>
    </w:p>
    <w:p w14:paraId="027CA34A" w14:textId="4D581CEC" w:rsid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2、其他销售机构：</w:t>
      </w:r>
    </w:p>
    <w:p w14:paraId="279867E3" w14:textId="35183D74" w:rsidR="006E10CB" w:rsidRDefault="00B87954" w:rsidP="00BD090D">
      <w:pPr>
        <w:spacing w:line="360" w:lineRule="auto"/>
        <w:ind w:firstLineChars="200" w:firstLine="420"/>
        <w:rPr>
          <w:rFonts w:ascii="宋体" w:eastAsia="宋体" w:hAnsi="宋体"/>
          <w:szCs w:val="21"/>
        </w:rPr>
      </w:pPr>
      <w:r>
        <w:rPr>
          <w:rFonts w:ascii="宋体" w:eastAsia="宋体" w:hAnsi="宋体" w:hint="eastAsia"/>
          <w:szCs w:val="21"/>
        </w:rPr>
        <w:t>本基金暂无其他</w:t>
      </w:r>
      <w:r w:rsidR="008D3556">
        <w:rPr>
          <w:rFonts w:ascii="宋体" w:eastAsia="宋体" w:hAnsi="宋体" w:hint="eastAsia"/>
          <w:szCs w:val="21"/>
        </w:rPr>
        <w:t>销售</w:t>
      </w:r>
      <w:r>
        <w:rPr>
          <w:rFonts w:ascii="宋体" w:eastAsia="宋体" w:hAnsi="宋体" w:hint="eastAsia"/>
          <w:szCs w:val="21"/>
        </w:rPr>
        <w:t>机构。</w:t>
      </w:r>
    </w:p>
    <w:p w14:paraId="029106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二、登记机构</w:t>
      </w:r>
    </w:p>
    <w:p w14:paraId="10C58E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名称：富荣基金管理有限公司 </w:t>
      </w:r>
    </w:p>
    <w:p w14:paraId="05F4A6E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住所：广东省广州市南沙区海滨路171号南沙金融大厦11楼1101之一J20 </w:t>
      </w:r>
    </w:p>
    <w:p w14:paraId="15B3EBE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办公地址：深圳市福田区八卦四路52号安吉尔大厦24层 </w:t>
      </w:r>
    </w:p>
    <w:p w14:paraId="326E4B4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法定代表人：杨小舟 </w:t>
      </w:r>
    </w:p>
    <w:p w14:paraId="4C4B310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联系人：黄文飞</w:t>
      </w:r>
    </w:p>
    <w:p w14:paraId="7BA433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电话： 0755-84356604</w:t>
      </w:r>
    </w:p>
    <w:p w14:paraId="655D84C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传真： 0755-83230787</w:t>
      </w:r>
    </w:p>
    <w:p w14:paraId="4FBB7F5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三、出具法律意见书的律师事务所</w:t>
      </w:r>
    </w:p>
    <w:p w14:paraId="671002A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名称：上海市通力律师事务所</w:t>
      </w:r>
    </w:p>
    <w:p w14:paraId="6C43357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住所：上海市银城中路68号时代金融中心19楼</w:t>
      </w:r>
    </w:p>
    <w:p w14:paraId="6966B3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办公地址：上海市银城中路68号时代金融中心19楼</w:t>
      </w:r>
    </w:p>
    <w:p w14:paraId="23FF3C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负责人：韩炯</w:t>
      </w:r>
    </w:p>
    <w:p w14:paraId="11D373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电话：021-31358666</w:t>
      </w:r>
    </w:p>
    <w:p w14:paraId="77F75BB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传真：021-31358600</w:t>
      </w:r>
    </w:p>
    <w:p w14:paraId="0A49AD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经办律师：安冬 陆奇</w:t>
      </w:r>
    </w:p>
    <w:p w14:paraId="478262D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联系人： 陆奇</w:t>
      </w:r>
    </w:p>
    <w:p w14:paraId="701776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四、审计基金财产的会计师事务所</w:t>
      </w:r>
    </w:p>
    <w:p w14:paraId="4F26172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名称：安永华明会计师事务所（特殊普通合伙）</w:t>
      </w:r>
    </w:p>
    <w:p w14:paraId="0352DC7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住所：中国北京市东城区东长安街1号东方广场安永大楼16层</w:t>
      </w:r>
    </w:p>
    <w:p w14:paraId="1CE02B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办公地址：中国北京市东城区东长安街1号东方广场安永大楼16层</w:t>
      </w:r>
    </w:p>
    <w:p w14:paraId="5EE6344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法定代表人：毛鞍宁</w:t>
      </w:r>
    </w:p>
    <w:p w14:paraId="4071204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电话：+86 10 58153000</w:t>
      </w:r>
    </w:p>
    <w:p w14:paraId="4EEF0C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传真：+86 10 85188298</w:t>
      </w:r>
    </w:p>
    <w:p w14:paraId="43C018E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签字注册会计师：吴翠蓉  高鹤</w:t>
      </w:r>
    </w:p>
    <w:p w14:paraId="3B88B79A"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联系人：吴翠蓉 </w:t>
      </w:r>
    </w:p>
    <w:p w14:paraId="06F86CAF"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036E31F8" w14:textId="4D579F56"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5" w:name="_Toc89276777"/>
      <w:r w:rsidRPr="00BD090D">
        <w:rPr>
          <w:rFonts w:ascii="Arial Unicode MS" w:eastAsia="宋体" w:hAnsi="Arial Unicode MS" w:cs="Arial" w:hint="eastAsia"/>
          <w:kern w:val="0"/>
          <w:sz w:val="28"/>
          <w:szCs w:val="28"/>
        </w:rPr>
        <w:lastRenderedPageBreak/>
        <w:t>第六部分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w:t>
      </w:r>
      <w:r w:rsidR="00581396">
        <w:rPr>
          <w:rFonts w:ascii="Arial Unicode MS" w:eastAsia="宋体" w:hAnsi="Arial Unicode MS" w:cs="Arial" w:hint="eastAsia"/>
          <w:kern w:val="0"/>
          <w:sz w:val="28"/>
          <w:szCs w:val="28"/>
        </w:rPr>
        <w:t>的募集</w:t>
      </w:r>
      <w:bookmarkEnd w:id="5"/>
    </w:p>
    <w:p w14:paraId="357FBA01" w14:textId="77777777" w:rsidR="00BD090D" w:rsidRPr="00BD090D" w:rsidRDefault="00BD090D" w:rsidP="00BD090D">
      <w:pPr>
        <w:spacing w:line="360" w:lineRule="auto"/>
        <w:ind w:firstLineChars="200" w:firstLine="420"/>
        <w:rPr>
          <w:rFonts w:ascii="宋体" w:eastAsia="宋体" w:hAnsi="宋体"/>
          <w:szCs w:val="21"/>
        </w:rPr>
      </w:pPr>
    </w:p>
    <w:p w14:paraId="000F9A13" w14:textId="0482B75C"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基金管理人按照《基金法》、《运作办法》、《销售办法》、基金合同及其他有关规定募集本基金，并于20</w:t>
      </w:r>
      <w:r w:rsidR="00CD0B04">
        <w:rPr>
          <w:rFonts w:ascii="宋体" w:eastAsia="宋体" w:hAnsi="宋体" w:hint="eastAsia"/>
          <w:szCs w:val="21"/>
        </w:rPr>
        <w:t>20</w:t>
      </w:r>
      <w:r w:rsidRPr="00BD090D">
        <w:rPr>
          <w:rFonts w:ascii="宋体" w:eastAsia="宋体" w:hAnsi="宋体" w:hint="eastAsia"/>
          <w:szCs w:val="21"/>
        </w:rPr>
        <w:t>年</w:t>
      </w:r>
      <w:r w:rsidR="00CD0B04">
        <w:rPr>
          <w:rFonts w:ascii="宋体" w:eastAsia="宋体" w:hAnsi="宋体" w:hint="eastAsia"/>
          <w:szCs w:val="21"/>
        </w:rPr>
        <w:t>11</w:t>
      </w:r>
      <w:r w:rsidRPr="00BD090D">
        <w:rPr>
          <w:rFonts w:ascii="宋体" w:eastAsia="宋体" w:hAnsi="宋体" w:hint="eastAsia"/>
          <w:szCs w:val="21"/>
        </w:rPr>
        <w:t>月</w:t>
      </w:r>
      <w:r w:rsidR="00CD0B04">
        <w:rPr>
          <w:rFonts w:ascii="宋体" w:eastAsia="宋体" w:hAnsi="宋体" w:hint="eastAsia"/>
          <w:szCs w:val="21"/>
        </w:rPr>
        <w:t>18</w:t>
      </w:r>
      <w:r w:rsidRPr="00BD090D">
        <w:rPr>
          <w:rFonts w:ascii="宋体" w:eastAsia="宋体" w:hAnsi="宋体" w:hint="eastAsia"/>
          <w:szCs w:val="21"/>
        </w:rPr>
        <w:t>日经中国证监会证监许可[</w:t>
      </w:r>
      <w:r w:rsidR="00CD0B04">
        <w:rPr>
          <w:rFonts w:ascii="宋体" w:eastAsia="宋体" w:hAnsi="宋体" w:hint="eastAsia"/>
          <w:szCs w:val="21"/>
        </w:rPr>
        <w:t>2020</w:t>
      </w:r>
      <w:r w:rsidRPr="00BD090D">
        <w:rPr>
          <w:rFonts w:ascii="宋体" w:eastAsia="宋体" w:hAnsi="宋体" w:hint="eastAsia"/>
          <w:szCs w:val="21"/>
        </w:rPr>
        <w:t>]</w:t>
      </w:r>
      <w:r w:rsidR="00CD0B04">
        <w:rPr>
          <w:rFonts w:ascii="宋体" w:eastAsia="宋体" w:hAnsi="宋体" w:hint="eastAsia"/>
          <w:szCs w:val="21"/>
        </w:rPr>
        <w:t>3101</w:t>
      </w:r>
      <w:r w:rsidRPr="00BD090D">
        <w:rPr>
          <w:rFonts w:ascii="宋体" w:eastAsia="宋体" w:hAnsi="宋体" w:hint="eastAsia"/>
          <w:szCs w:val="21"/>
        </w:rPr>
        <w:t>号文准予注册募集。</w:t>
      </w:r>
      <w:r w:rsidR="00581396">
        <w:rPr>
          <w:rFonts w:ascii="宋体" w:eastAsia="宋体" w:hAnsi="宋体" w:hint="eastAsia"/>
          <w:szCs w:val="21"/>
        </w:rPr>
        <w:t>本基金自2</w:t>
      </w:r>
      <w:r w:rsidR="00581396">
        <w:rPr>
          <w:rFonts w:ascii="宋体" w:eastAsia="宋体" w:hAnsi="宋体"/>
          <w:szCs w:val="21"/>
        </w:rPr>
        <w:t>020</w:t>
      </w:r>
      <w:r w:rsidR="00581396">
        <w:rPr>
          <w:rFonts w:ascii="宋体" w:eastAsia="宋体" w:hAnsi="宋体" w:hint="eastAsia"/>
          <w:szCs w:val="21"/>
        </w:rPr>
        <w:t>年1</w:t>
      </w:r>
      <w:r w:rsidR="00581396">
        <w:rPr>
          <w:rFonts w:ascii="宋体" w:eastAsia="宋体" w:hAnsi="宋体"/>
          <w:szCs w:val="21"/>
        </w:rPr>
        <w:t>2</w:t>
      </w:r>
      <w:r w:rsidR="00581396">
        <w:rPr>
          <w:rFonts w:ascii="宋体" w:eastAsia="宋体" w:hAnsi="宋体" w:hint="eastAsia"/>
          <w:szCs w:val="21"/>
        </w:rPr>
        <w:t>月</w:t>
      </w:r>
      <w:r w:rsidR="00581396">
        <w:rPr>
          <w:rFonts w:ascii="宋体" w:eastAsia="宋体" w:hAnsi="宋体"/>
          <w:szCs w:val="21"/>
        </w:rPr>
        <w:t>21</w:t>
      </w:r>
      <w:r w:rsidR="00581396">
        <w:rPr>
          <w:rFonts w:ascii="宋体" w:eastAsia="宋体" w:hAnsi="宋体" w:hint="eastAsia"/>
          <w:szCs w:val="21"/>
        </w:rPr>
        <w:t>日通过销售机构公开募集，截至2</w:t>
      </w:r>
      <w:r w:rsidR="00581396">
        <w:rPr>
          <w:rFonts w:ascii="宋体" w:eastAsia="宋体" w:hAnsi="宋体"/>
          <w:szCs w:val="21"/>
        </w:rPr>
        <w:t>020</w:t>
      </w:r>
      <w:r w:rsidR="00581396">
        <w:rPr>
          <w:rFonts w:ascii="宋体" w:eastAsia="宋体" w:hAnsi="宋体" w:hint="eastAsia"/>
          <w:szCs w:val="21"/>
        </w:rPr>
        <w:t>年1</w:t>
      </w:r>
      <w:r w:rsidR="00581396">
        <w:rPr>
          <w:rFonts w:ascii="宋体" w:eastAsia="宋体" w:hAnsi="宋体"/>
          <w:szCs w:val="21"/>
        </w:rPr>
        <w:t>2</w:t>
      </w:r>
      <w:r w:rsidR="00581396">
        <w:rPr>
          <w:rFonts w:ascii="宋体" w:eastAsia="宋体" w:hAnsi="宋体" w:hint="eastAsia"/>
          <w:szCs w:val="21"/>
        </w:rPr>
        <w:t>月3</w:t>
      </w:r>
      <w:r w:rsidR="00581396">
        <w:rPr>
          <w:rFonts w:ascii="宋体" w:eastAsia="宋体" w:hAnsi="宋体"/>
          <w:szCs w:val="21"/>
        </w:rPr>
        <w:t>0</w:t>
      </w:r>
      <w:r w:rsidR="00581396">
        <w:rPr>
          <w:rFonts w:ascii="宋体" w:eastAsia="宋体" w:hAnsi="宋体" w:hint="eastAsia"/>
          <w:szCs w:val="21"/>
        </w:rPr>
        <w:t>日，基金募集工作已顺利结束。</w:t>
      </w:r>
    </w:p>
    <w:p w14:paraId="0C9E7F37"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378323D1"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6" w:name="_Toc89276778"/>
      <w:r w:rsidRPr="00BD090D">
        <w:rPr>
          <w:rFonts w:ascii="Arial Unicode MS" w:eastAsia="宋体" w:hAnsi="Arial Unicode MS" w:cs="Arial" w:hint="eastAsia"/>
          <w:kern w:val="0"/>
          <w:sz w:val="28"/>
          <w:szCs w:val="28"/>
        </w:rPr>
        <w:lastRenderedPageBreak/>
        <w:t>第七部分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基金合同的生效</w:t>
      </w:r>
      <w:bookmarkEnd w:id="6"/>
    </w:p>
    <w:p w14:paraId="3D01E3AA" w14:textId="77777777" w:rsidR="00BD090D" w:rsidRPr="00BD090D" w:rsidRDefault="00BD090D" w:rsidP="00BD090D">
      <w:pPr>
        <w:spacing w:line="360" w:lineRule="auto"/>
        <w:ind w:firstLineChars="200" w:firstLine="420"/>
        <w:rPr>
          <w:rFonts w:ascii="宋体" w:eastAsia="宋体" w:hAnsi="宋体"/>
          <w:szCs w:val="21"/>
        </w:rPr>
      </w:pPr>
    </w:p>
    <w:p w14:paraId="4F5B01A4" w14:textId="5D68BBF1" w:rsidR="006C7E99" w:rsidRPr="00BD090D" w:rsidRDefault="006F69A3" w:rsidP="00BD090D">
      <w:pPr>
        <w:spacing w:line="360" w:lineRule="auto"/>
        <w:ind w:firstLineChars="200" w:firstLine="420"/>
        <w:rPr>
          <w:rFonts w:ascii="宋体" w:eastAsia="宋体" w:hAnsi="宋体"/>
          <w:szCs w:val="21"/>
        </w:rPr>
      </w:pPr>
      <w:r w:rsidRPr="006F69A3">
        <w:rPr>
          <w:rFonts w:ascii="宋体" w:eastAsia="宋体" w:hAnsi="宋体" w:hint="eastAsia"/>
          <w:szCs w:val="21"/>
        </w:rPr>
        <w:t>根据《基金法》、《运作办法》以及基金合同、招募说明书、基金份额发售公告的有关规定，本基金募集结果符合有关条件，本基金管理人于20</w:t>
      </w:r>
      <w:r w:rsidR="006C7E99">
        <w:rPr>
          <w:rFonts w:ascii="宋体" w:eastAsia="宋体" w:hAnsi="宋体"/>
          <w:szCs w:val="21"/>
        </w:rPr>
        <w:t>20</w:t>
      </w:r>
      <w:r w:rsidRPr="006F69A3">
        <w:rPr>
          <w:rFonts w:ascii="宋体" w:eastAsia="宋体" w:hAnsi="宋体" w:hint="eastAsia"/>
          <w:szCs w:val="21"/>
        </w:rPr>
        <w:t>年</w:t>
      </w:r>
      <w:r>
        <w:rPr>
          <w:rFonts w:ascii="宋体" w:eastAsia="宋体" w:hAnsi="宋体"/>
          <w:szCs w:val="21"/>
        </w:rPr>
        <w:t>12</w:t>
      </w:r>
      <w:r w:rsidRPr="006F69A3">
        <w:rPr>
          <w:rFonts w:ascii="宋体" w:eastAsia="宋体" w:hAnsi="宋体" w:hint="eastAsia"/>
          <w:szCs w:val="21"/>
        </w:rPr>
        <w:t>月</w:t>
      </w:r>
      <w:r>
        <w:rPr>
          <w:rFonts w:ascii="宋体" w:eastAsia="宋体" w:hAnsi="宋体"/>
          <w:szCs w:val="21"/>
        </w:rPr>
        <w:t>31</w:t>
      </w:r>
      <w:r w:rsidRPr="006F69A3">
        <w:rPr>
          <w:rFonts w:ascii="宋体" w:eastAsia="宋体" w:hAnsi="宋体" w:hint="eastAsia"/>
          <w:szCs w:val="21"/>
        </w:rPr>
        <w:t>日向中国证监会办理完毕基金备案手续并已获书面确认，基金合同自该日期</w:t>
      </w:r>
      <w:r w:rsidR="00016488">
        <w:rPr>
          <w:rFonts w:ascii="宋体" w:eastAsia="宋体" w:hAnsi="宋体" w:hint="eastAsia"/>
          <w:szCs w:val="21"/>
        </w:rPr>
        <w:t>起</w:t>
      </w:r>
      <w:r w:rsidRPr="006F69A3">
        <w:rPr>
          <w:rFonts w:ascii="宋体" w:eastAsia="宋体" w:hAnsi="宋体" w:hint="eastAsia"/>
          <w:szCs w:val="21"/>
        </w:rPr>
        <w:t>正式生效。自基金合同生效之日起，本基金管理人正式开始管理本基金。</w:t>
      </w:r>
    </w:p>
    <w:p w14:paraId="4371854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基金合同生效满三年后的对应日，若本基金资产净值低于2亿元，基金合同应当终止，且不得通过召开基金份额持有人大会的方式延续基金合同期限。</w:t>
      </w:r>
    </w:p>
    <w:p w14:paraId="7513B57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生效日起三年后继续存续的，连续20个工作日出现基金份额持有人数量不满200人或者基金资产净值低于5000万元情形的，基金管理人应当在定期报告中予以披露；连续60个工作日出现前述情形的，基金管理人应当十个工作日内向中国证监会报告并提出解决方案，如持续运作、转换运作方式、与其他基金合并或者终止基金合同等，并六个月内召集基金份额持有人大会进行表决。</w:t>
      </w:r>
    </w:p>
    <w:p w14:paraId="102640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法律法规或监管机构另有规定时，从其规定。</w:t>
      </w:r>
    </w:p>
    <w:p w14:paraId="2674CD47"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69F3F55B"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7" w:name="_Toc89276779"/>
      <w:r w:rsidRPr="00BD090D">
        <w:rPr>
          <w:rFonts w:ascii="Arial Unicode MS" w:eastAsia="宋体" w:hAnsi="Arial Unicode MS" w:cs="Arial" w:hint="eastAsia"/>
          <w:kern w:val="0"/>
          <w:sz w:val="28"/>
          <w:szCs w:val="28"/>
        </w:rPr>
        <w:lastRenderedPageBreak/>
        <w:t>第八部分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基金的封闭期和开放期</w:t>
      </w:r>
      <w:bookmarkEnd w:id="7"/>
    </w:p>
    <w:p w14:paraId="4F1898B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一、 基金的封闭期 </w:t>
      </w:r>
    </w:p>
    <w:p w14:paraId="7DA7C3E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封闭期为自基金合同生效日起（包括基金合同生效日）或自每一开放期结束之日次日起（包括该日）一年的期间。第一个封闭期为基金合同生效日起至基金合同生效日一年后对应日的前一日止，第二个封闭期为第一个开放期结束之日次日起至该封闭期首日的一年后对应日的前一日止，以此类推。本基金封闭期内不办理申购与赎回业务，也不上市交易。</w:t>
      </w:r>
    </w:p>
    <w:p w14:paraId="281449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 基金的开放期</w:t>
      </w:r>
    </w:p>
    <w:p w14:paraId="2D4D89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自每个封闭期结束之后第一个工作日起进入开放期，期间可以办理申购与赎回业务。开放期间原则上为5至20个工作日，开放期的具体时间由基金管理人在每一开放期开始前依照《信息披露办法》的有关规定在规定媒介上予以公告。</w:t>
      </w:r>
    </w:p>
    <w:p w14:paraId="12AAAF7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具体时间以基金管理人届时公告为准。</w:t>
      </w:r>
    </w:p>
    <w:p w14:paraId="3919655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三、 封闭期与开放期示例 </w:t>
      </w:r>
    </w:p>
    <w:p w14:paraId="1E513B3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例如，本基金的基金合同于 2017年6月19日生效，则本基金的第一个封闭期为基金合同生效之日起一年的期间，即 2017年6月19日至 2018年6月18日，首个封闭期结束之后第一个工作日为 2018 年6月19日，假设第一个开放期时间为5个工作日，首个开放期为 2018 年6月19日至 2018年6月25日； 第二个封闭期为首个开放期结束之日次日起（包括该日）一年的期间，即 2018年6月26日至 2019年6月25日，以此类推。 </w:t>
      </w:r>
    </w:p>
    <w:p w14:paraId="2D59251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又如，本基金的基金合同于2017年7月4日生效，则本基金的第一个封闭期为基金合同生效之日起一年的期间，即 2017年7月4日至 2018 年7月3日，假设第一个开放期时间为5个工作日，首个封闭期结束之后第一个工作日为 2018 年7月4日，首个开放期为自 2018 年7月4日至 2018 年7月10日；第二个封闭期为首个开放期结束之日次日起（包括该日）一年的期间，即 2018 年7月11日至2019年7月10日，以此类推。</w:t>
      </w:r>
    </w:p>
    <w:p w14:paraId="4FF1A09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3AB105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549E654B"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5BA0D4F9"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8" w:name="_Toc89276780"/>
      <w:r w:rsidRPr="00BD090D">
        <w:rPr>
          <w:rFonts w:ascii="Arial Unicode MS" w:eastAsia="宋体" w:hAnsi="Arial Unicode MS" w:cs="Arial" w:hint="eastAsia"/>
          <w:kern w:val="0"/>
          <w:sz w:val="28"/>
          <w:szCs w:val="28"/>
        </w:rPr>
        <w:lastRenderedPageBreak/>
        <w:t>第九部分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基金份额的申购与赎回</w:t>
      </w:r>
      <w:bookmarkEnd w:id="8"/>
    </w:p>
    <w:p w14:paraId="44172F6C" w14:textId="77777777" w:rsidR="00BD090D" w:rsidRPr="00BD090D" w:rsidRDefault="00BD090D" w:rsidP="00BD090D">
      <w:pPr>
        <w:spacing w:line="360" w:lineRule="auto"/>
        <w:ind w:firstLineChars="200" w:firstLine="420"/>
        <w:rPr>
          <w:rFonts w:ascii="宋体" w:eastAsia="宋体" w:hAnsi="宋体"/>
          <w:szCs w:val="21"/>
        </w:rPr>
      </w:pPr>
    </w:p>
    <w:p w14:paraId="488309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一、申购与赎回的场所</w:t>
      </w:r>
    </w:p>
    <w:p w14:paraId="660A36E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 </w:t>
      </w:r>
    </w:p>
    <w:p w14:paraId="30E936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二、申购与赎回办理的开放日及时间</w:t>
      </w:r>
    </w:p>
    <w:p w14:paraId="7DCE4D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1、开放日及开放时间 </w:t>
      </w:r>
    </w:p>
    <w:p w14:paraId="6E778CF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本基金办理基金份额的申购和赎回的开放日为开放期内的每个工作日。投资人在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 </w:t>
      </w:r>
    </w:p>
    <w:p w14:paraId="7B67900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基金合同生效后，若出现新的证券交易市场、证券交易所交易时间变更或其他特殊情况，基金管理人将视情况对前述开放日及开放时间进行相应的调整，但应在实施日前依照《信息披露办法》的有关规定在规定媒介上公告。 </w:t>
      </w:r>
    </w:p>
    <w:p w14:paraId="4F0E6F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2、开放期及业务办理时间 </w:t>
      </w:r>
    </w:p>
    <w:p w14:paraId="77D5C30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除法律法规或基金合同另有约定外，自首个封闭期结束之后第一个工作日起（包括该日），本基金进入首个开放期，开始办理申购和赎回业务。本基金每个封闭期结束之后第一个工作日起进入下一个开放期。 </w:t>
      </w:r>
    </w:p>
    <w:p w14:paraId="5EA7A4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开放期内下一开放日基金份额申购、赎回的价格；但若投资人在开放期最后一日业务办理时间结束之后提出申购、赎回或者转换申请的，视为无效申请。开放期以及开放期办理申购与赎回业务的具体事宜见招募说明书及基金管理人届时发布的相关公告。</w:t>
      </w:r>
    </w:p>
    <w:p w14:paraId="606D349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三、申购与赎回的原则</w:t>
      </w:r>
    </w:p>
    <w:p w14:paraId="5886569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1、“未知价”原则，即申购、赎回价格以申请当日收市后计算的基金份额净值为基准进行计算； </w:t>
      </w:r>
    </w:p>
    <w:p w14:paraId="34B40C3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 xml:space="preserve">2、“金额申购、份额赎回”原则，即申购以金额申请，赎回以份额申请； </w:t>
      </w:r>
    </w:p>
    <w:p w14:paraId="7A45400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3、当日的申购与赎回申请可以在基金管理人规定的时间以内撤销； </w:t>
      </w:r>
    </w:p>
    <w:p w14:paraId="4DB6CA5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4、赎回遵循“先进先出”原则，即按照投资人认购、申购的先后次序进行顺序赎回。 </w:t>
      </w:r>
    </w:p>
    <w:p w14:paraId="787CB46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5、办理申购、赎回业务时，应当遵循基金份额持有人利益优先原则，确保投资者的合法权益不受损害并得到公平对待。</w:t>
      </w:r>
    </w:p>
    <w:p w14:paraId="6320F27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基金管理人可在法律法规允许的情况下，对上述原则进行调整。基金管理人必须在新规则开始实施前依照《信息披露办法》的有关规定在规定媒介上公告。 </w:t>
      </w:r>
    </w:p>
    <w:p w14:paraId="0202713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四、申购与赎回的数额限制</w:t>
      </w:r>
    </w:p>
    <w:p w14:paraId="32BDDE03" w14:textId="5BA8863A" w:rsidR="00BD090D" w:rsidRPr="00BD090D" w:rsidRDefault="00BD090D" w:rsidP="005A6C07">
      <w:pPr>
        <w:spacing w:line="360" w:lineRule="auto"/>
        <w:ind w:firstLineChars="200" w:firstLine="420"/>
        <w:rPr>
          <w:rFonts w:ascii="宋体" w:eastAsia="宋体" w:hAnsi="宋体"/>
          <w:szCs w:val="21"/>
        </w:rPr>
      </w:pPr>
      <w:r w:rsidRPr="00BD090D">
        <w:rPr>
          <w:rFonts w:ascii="宋体" w:eastAsia="宋体" w:hAnsi="宋体" w:hint="eastAsia"/>
          <w:szCs w:val="21"/>
        </w:rPr>
        <w:t>1、每个基金交易账户首次申购基金份额的最低金额为1.00元，追加单笔申购最低金额为1.00元；详情请见当地销售机构公告；</w:t>
      </w:r>
    </w:p>
    <w:p w14:paraId="38FAF82D" w14:textId="4E93EF1E"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2、每个基金交易账户最低持有基金份额余额为1份，若某笔赎回导致单个基金交易账户的基金份额余额少于1份时，余额部分基金份额必须一同赎回； </w:t>
      </w:r>
    </w:p>
    <w:p w14:paraId="0F0FB416" w14:textId="5D26126F"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3、本基金目前对单个投资人累计持有份额不设上限限制，基金管理人可以规定单个投资者累计持有的基金份额数量限制，具体规定见定期更新的招募说明书或相关公告；</w:t>
      </w:r>
    </w:p>
    <w:p w14:paraId="687C6C62" w14:textId="4153F298"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4、基金管理人有权规定单一投资者单日或单笔申购金额上限，具体金额请参见更新的招募说明书或相关公告。</w:t>
      </w:r>
    </w:p>
    <w:p w14:paraId="0856D4E1" w14:textId="6300E146"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5、基金管理人有权规定本基金的总规模限额和单日净申购比例上限，具体规模或比例上限请参见更新招募说明书或相关公告。</w:t>
      </w:r>
    </w:p>
    <w:p w14:paraId="06317716" w14:textId="1F93C901"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2B23513" w14:textId="39893595"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7、基金管理人可在法律法规允许的情况下，调整上述规定申购金额和赎回份额等数量限制。基金管理人必须在调整实施前依照《信息披露办法》的有关规定在规定媒介上公告。</w:t>
      </w:r>
    </w:p>
    <w:p w14:paraId="79AAE89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五、申购与赎回的程序</w:t>
      </w:r>
    </w:p>
    <w:p w14:paraId="2CA944F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1、申购和赎回的申请方式</w:t>
      </w:r>
    </w:p>
    <w:p w14:paraId="74C7916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投资人必须根据销售机构规定的程序，在开放日的具体业务办理时间内提出申购或赎回的申请。</w:t>
      </w:r>
    </w:p>
    <w:p w14:paraId="27229FF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2、申购和赎回的款项支付</w:t>
      </w:r>
    </w:p>
    <w:p w14:paraId="765FCEB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投资人申购基金份额时，必须全额交付申购款项，投资人交付申购款项，申购申请即为</w:t>
      </w:r>
      <w:r w:rsidRPr="00BD090D">
        <w:rPr>
          <w:rFonts w:ascii="宋体" w:eastAsia="宋体" w:hAnsi="宋体" w:hint="eastAsia"/>
          <w:szCs w:val="21"/>
        </w:rPr>
        <w:lastRenderedPageBreak/>
        <w:t>成立。登记机构确认基金份额时，申购生效。</w:t>
      </w:r>
    </w:p>
    <w:p w14:paraId="548A830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递交赎回申请，赎回成立；登记机构确认赎回时，赎回生效。基金份额持有人赎回申请成功后，基金管理人将在T+7日(包括该日)内支付赎回款项。在发生巨额赎回时，款项的支付办法参照基金合同有关条款处理。遇证券交易所或交易市场数据传输延迟、通讯系统故障、银行数据交换系统故障或其它非基金管理人及基金托管人所能控制的因素影响业务处理流程时，赎回款项顺延至下一个工作日划出。在发生基金合同载明的延缓支付赎回款项的情形时，款项的支付办法参照基金合同有关条款处理。</w:t>
      </w:r>
    </w:p>
    <w:p w14:paraId="60D236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3、申购和赎回申请的确认</w:t>
      </w:r>
    </w:p>
    <w:p w14:paraId="7B7A2B1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14:paraId="18D432F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销售机构对申购、赎回申请的受理并不代表该申请一定成功，而仅代表销售机构已经接收到申购、赎回申请。申购与赎回的确认以登记机构的确认结果为准。对于申请的确认情况，投资者应及时查询。</w:t>
      </w:r>
    </w:p>
    <w:p w14:paraId="1FB4730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六、申购费率、赎回费率</w:t>
      </w:r>
    </w:p>
    <w:p w14:paraId="68AD444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1、投资者可以多次申购本基金，申购费率按每笔申购申请单独计算。</w:t>
      </w:r>
    </w:p>
    <w:p w14:paraId="5A206FB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本基金基金份额采用前端收费模式收取基金申购费用。投资者的申购费用如下：</w:t>
      </w:r>
    </w:p>
    <w:p w14:paraId="296AB4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表2：本基金份额的申购费率</w:t>
      </w:r>
    </w:p>
    <w:tbl>
      <w:tblPr>
        <w:tblStyle w:val="ab"/>
        <w:tblW w:w="0" w:type="auto"/>
        <w:tblLook w:val="04A0" w:firstRow="1" w:lastRow="0" w:firstColumn="1" w:lastColumn="0" w:noHBand="0" w:noVBand="1"/>
      </w:tblPr>
      <w:tblGrid>
        <w:gridCol w:w="4261"/>
        <w:gridCol w:w="4261"/>
      </w:tblGrid>
      <w:tr w:rsidR="00C754A8" w:rsidRPr="00775B1F" w14:paraId="43A4C2FF" w14:textId="77777777" w:rsidTr="00C754A8">
        <w:tc>
          <w:tcPr>
            <w:tcW w:w="4261" w:type="dxa"/>
          </w:tcPr>
          <w:p w14:paraId="7D90A208"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申购金额（M）</w:t>
            </w:r>
          </w:p>
        </w:tc>
        <w:tc>
          <w:tcPr>
            <w:tcW w:w="4261" w:type="dxa"/>
          </w:tcPr>
          <w:p w14:paraId="30A4F702"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申购费率</w:t>
            </w:r>
          </w:p>
        </w:tc>
      </w:tr>
      <w:tr w:rsidR="00C754A8" w:rsidRPr="00775B1F" w14:paraId="6D8218B3" w14:textId="77777777" w:rsidTr="00C754A8">
        <w:tc>
          <w:tcPr>
            <w:tcW w:w="4261" w:type="dxa"/>
          </w:tcPr>
          <w:p w14:paraId="22D97E1D"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M＜100万元</w:t>
            </w:r>
          </w:p>
        </w:tc>
        <w:tc>
          <w:tcPr>
            <w:tcW w:w="4261" w:type="dxa"/>
          </w:tcPr>
          <w:p w14:paraId="0CC7F156"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0.80%</w:t>
            </w:r>
          </w:p>
        </w:tc>
      </w:tr>
      <w:tr w:rsidR="00C754A8" w:rsidRPr="00775B1F" w14:paraId="51788042" w14:textId="77777777" w:rsidTr="00C754A8">
        <w:tc>
          <w:tcPr>
            <w:tcW w:w="4261" w:type="dxa"/>
          </w:tcPr>
          <w:p w14:paraId="32FA8E87"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100万元≤M＜300万元</w:t>
            </w:r>
          </w:p>
        </w:tc>
        <w:tc>
          <w:tcPr>
            <w:tcW w:w="4261" w:type="dxa"/>
          </w:tcPr>
          <w:p w14:paraId="513AA27D"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0.50%</w:t>
            </w:r>
          </w:p>
        </w:tc>
      </w:tr>
      <w:tr w:rsidR="00C754A8" w:rsidRPr="00775B1F" w14:paraId="22DC85E1" w14:textId="77777777" w:rsidTr="00C754A8">
        <w:tc>
          <w:tcPr>
            <w:tcW w:w="4261" w:type="dxa"/>
          </w:tcPr>
          <w:p w14:paraId="16DD3E91"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300万元≤M＜500万元</w:t>
            </w:r>
          </w:p>
        </w:tc>
        <w:tc>
          <w:tcPr>
            <w:tcW w:w="4261" w:type="dxa"/>
          </w:tcPr>
          <w:p w14:paraId="40B60B4E"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0.30%</w:t>
            </w:r>
          </w:p>
        </w:tc>
      </w:tr>
      <w:tr w:rsidR="00C754A8" w:rsidRPr="00775B1F" w14:paraId="6AA0488E" w14:textId="77777777" w:rsidTr="00C754A8">
        <w:tc>
          <w:tcPr>
            <w:tcW w:w="4261" w:type="dxa"/>
          </w:tcPr>
          <w:p w14:paraId="0108DAB7"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M≥500万元</w:t>
            </w:r>
          </w:p>
        </w:tc>
        <w:tc>
          <w:tcPr>
            <w:tcW w:w="4261" w:type="dxa"/>
          </w:tcPr>
          <w:p w14:paraId="4BBB4704" w14:textId="77777777" w:rsidR="00C754A8" w:rsidRPr="00775B1F" w:rsidRDefault="00C754A8" w:rsidP="00C754A8">
            <w:pPr>
              <w:spacing w:line="360" w:lineRule="auto"/>
              <w:rPr>
                <w:rFonts w:ascii="宋体" w:eastAsia="宋体" w:hAnsi="宋体"/>
                <w:szCs w:val="21"/>
              </w:rPr>
            </w:pPr>
            <w:r w:rsidRPr="00775B1F">
              <w:rPr>
                <w:rFonts w:ascii="宋体" w:eastAsia="宋体" w:hAnsi="宋体" w:hint="eastAsia"/>
                <w:szCs w:val="21"/>
              </w:rPr>
              <w:t>每笔1000元</w:t>
            </w:r>
          </w:p>
        </w:tc>
      </w:tr>
    </w:tbl>
    <w:p w14:paraId="220C6EAB" w14:textId="77777777" w:rsidR="00BD090D" w:rsidRPr="00BD090D" w:rsidRDefault="00BD090D" w:rsidP="00BD090D">
      <w:pPr>
        <w:spacing w:line="360" w:lineRule="auto"/>
        <w:ind w:firstLineChars="200" w:firstLine="420"/>
        <w:rPr>
          <w:rFonts w:ascii="宋体" w:eastAsia="宋体" w:hAnsi="宋体"/>
          <w:szCs w:val="21"/>
        </w:rPr>
      </w:pPr>
    </w:p>
    <w:p w14:paraId="51FE4BF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本基金的申购费用由投资人承担，主要用于本基金的市场推广、销售、登记等各项费用，不列入基金财产。</w:t>
      </w:r>
    </w:p>
    <w:p w14:paraId="23B6401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2、赎回费率见下表：</w:t>
      </w:r>
    </w:p>
    <w:p w14:paraId="21C6878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表3：本基金的赎回费率</w:t>
      </w:r>
    </w:p>
    <w:tbl>
      <w:tblPr>
        <w:tblStyle w:val="ab"/>
        <w:tblW w:w="0" w:type="auto"/>
        <w:tblLook w:val="04A0" w:firstRow="1" w:lastRow="0" w:firstColumn="1" w:lastColumn="0" w:noHBand="0" w:noVBand="1"/>
      </w:tblPr>
      <w:tblGrid>
        <w:gridCol w:w="4261"/>
        <w:gridCol w:w="4261"/>
      </w:tblGrid>
      <w:tr w:rsidR="00C8223B" w:rsidRPr="00731D58" w14:paraId="6F98D0A7" w14:textId="77777777" w:rsidTr="00C8223B">
        <w:tc>
          <w:tcPr>
            <w:tcW w:w="4261" w:type="dxa"/>
          </w:tcPr>
          <w:p w14:paraId="58493A13"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lastRenderedPageBreak/>
              <w:t>持有期间（Y）</w:t>
            </w:r>
          </w:p>
        </w:tc>
        <w:tc>
          <w:tcPr>
            <w:tcW w:w="4261" w:type="dxa"/>
          </w:tcPr>
          <w:p w14:paraId="0C45DF6B"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赎回费率</w:t>
            </w:r>
          </w:p>
        </w:tc>
      </w:tr>
      <w:tr w:rsidR="00C8223B" w:rsidRPr="00731D58" w14:paraId="35E0BF0D" w14:textId="77777777" w:rsidTr="00C8223B">
        <w:tc>
          <w:tcPr>
            <w:tcW w:w="4261" w:type="dxa"/>
          </w:tcPr>
          <w:p w14:paraId="54898D21"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Y＜7日</w:t>
            </w:r>
          </w:p>
        </w:tc>
        <w:tc>
          <w:tcPr>
            <w:tcW w:w="4261" w:type="dxa"/>
          </w:tcPr>
          <w:p w14:paraId="3BF80B92"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1.5%</w:t>
            </w:r>
          </w:p>
        </w:tc>
      </w:tr>
      <w:tr w:rsidR="00C8223B" w:rsidRPr="00731D58" w14:paraId="18CD42FD" w14:textId="77777777" w:rsidTr="00C8223B">
        <w:tc>
          <w:tcPr>
            <w:tcW w:w="4261" w:type="dxa"/>
          </w:tcPr>
          <w:p w14:paraId="0A0E157E"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7日 ≤ Y&lt;一年</w:t>
            </w:r>
          </w:p>
        </w:tc>
        <w:tc>
          <w:tcPr>
            <w:tcW w:w="4261" w:type="dxa"/>
          </w:tcPr>
          <w:p w14:paraId="595B25FD"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0.1%</w:t>
            </w:r>
          </w:p>
        </w:tc>
      </w:tr>
      <w:tr w:rsidR="00C8223B" w:rsidRPr="00731D58" w14:paraId="1048C9E1" w14:textId="77777777" w:rsidTr="00C8223B">
        <w:tc>
          <w:tcPr>
            <w:tcW w:w="4261" w:type="dxa"/>
          </w:tcPr>
          <w:p w14:paraId="158FA2DA"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Y≥一年</w:t>
            </w:r>
          </w:p>
        </w:tc>
        <w:tc>
          <w:tcPr>
            <w:tcW w:w="4261" w:type="dxa"/>
          </w:tcPr>
          <w:p w14:paraId="42674EDA" w14:textId="77777777" w:rsidR="00C8223B" w:rsidRPr="00731D58" w:rsidRDefault="00C8223B" w:rsidP="00016488">
            <w:pPr>
              <w:spacing w:line="360" w:lineRule="auto"/>
              <w:rPr>
                <w:rFonts w:ascii="宋体" w:eastAsia="宋体" w:hAnsi="宋体"/>
                <w:szCs w:val="21"/>
              </w:rPr>
            </w:pPr>
            <w:r w:rsidRPr="00731D58">
              <w:rPr>
                <w:rFonts w:ascii="宋体" w:eastAsia="宋体" w:hAnsi="宋体" w:hint="eastAsia"/>
                <w:szCs w:val="21"/>
              </w:rPr>
              <w:t>0%</w:t>
            </w:r>
          </w:p>
        </w:tc>
      </w:tr>
    </w:tbl>
    <w:p w14:paraId="5375778E" w14:textId="0565552C"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注：1</w:t>
      </w:r>
      <w:r w:rsidR="00C74357">
        <w:rPr>
          <w:rFonts w:ascii="宋体" w:eastAsia="宋体" w:hAnsi="宋体" w:hint="eastAsia"/>
          <w:szCs w:val="21"/>
        </w:rPr>
        <w:t>年</w:t>
      </w:r>
      <w:r w:rsidRPr="00BD090D">
        <w:rPr>
          <w:rFonts w:ascii="宋体" w:eastAsia="宋体" w:hAnsi="宋体" w:hint="eastAsia"/>
          <w:szCs w:val="21"/>
        </w:rPr>
        <w:t>为</w:t>
      </w:r>
      <w:r w:rsidR="00C74357">
        <w:rPr>
          <w:rFonts w:ascii="宋体" w:eastAsia="宋体" w:hAnsi="宋体" w:hint="eastAsia"/>
          <w:szCs w:val="21"/>
        </w:rPr>
        <w:t>3</w:t>
      </w:r>
      <w:r w:rsidR="00C74357">
        <w:rPr>
          <w:rFonts w:ascii="宋体" w:eastAsia="宋体" w:hAnsi="宋体"/>
          <w:szCs w:val="21"/>
        </w:rPr>
        <w:t>65</w:t>
      </w:r>
      <w:r w:rsidR="00C74357">
        <w:rPr>
          <w:rFonts w:ascii="宋体" w:eastAsia="宋体" w:hAnsi="宋体" w:hint="eastAsia"/>
          <w:szCs w:val="21"/>
        </w:rPr>
        <w:t>天</w:t>
      </w:r>
    </w:p>
    <w:p w14:paraId="5C7872F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本基金的赎回费用由基金份额持有人承担，其中持有期小于7日的赎回费全额计入基金财产，其余情况的赎回费25%计入基金财产。</w:t>
      </w:r>
    </w:p>
    <w:p w14:paraId="13DFCC5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七、申购份额与赎回金额的计算方式</w:t>
      </w:r>
    </w:p>
    <w:p w14:paraId="0BAF188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1.申购金额的计算方式：</w:t>
      </w:r>
    </w:p>
    <w:p w14:paraId="574D7E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1）申购费用适用比例费率的情形下：</w:t>
      </w:r>
    </w:p>
    <w:p w14:paraId="5304D8C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净申购金额=申购金额/（1+申购费率）</w:t>
      </w:r>
    </w:p>
    <w:p w14:paraId="7BFC3C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申购费用=申购金额-净申购金额</w:t>
      </w:r>
    </w:p>
    <w:p w14:paraId="16B38D6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申购份额=净申购金额/T日基金份额净值</w:t>
      </w:r>
    </w:p>
    <w:p w14:paraId="0143B7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2）申购费用适用固定金额的情形下：</w:t>
      </w:r>
    </w:p>
    <w:p w14:paraId="1DDDCDD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申购费用=固定金额</w:t>
      </w:r>
    </w:p>
    <w:p w14:paraId="612F6CC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净申购金额=申购金额-固定金额</w:t>
      </w:r>
    </w:p>
    <w:p w14:paraId="736CFD4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申购份额=净申购金额/T日基金份额净值</w:t>
      </w:r>
    </w:p>
    <w:p w14:paraId="373E3D7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上述计算结果均按四舍五入方法，保留到小数点后2位，由此产生的收益或损失由基金财产承担。</w:t>
      </w:r>
    </w:p>
    <w:p w14:paraId="69C853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例3：假定T日基金份额净值为1.0560元，某投资人本次申购本基金40万元，对应的本次申购费率为0.80%，该投资人可得到的基金份额为：</w:t>
      </w:r>
    </w:p>
    <w:p w14:paraId="454760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净申购金额=400,000/（1+0.80%）＝396,825.40元</w:t>
      </w:r>
    </w:p>
    <w:p w14:paraId="5E47D5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申购费用=400,000-396,825.40＝3,174.60元</w:t>
      </w:r>
    </w:p>
    <w:p w14:paraId="04E4DE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申购份额=396,825.40/1.0560＝375,781.63份</w:t>
      </w:r>
    </w:p>
    <w:p w14:paraId="5B2FEC7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即：投资人投资40万元申购本基金，对应的申购费率为0.80%，假定申购当日基金份额净值为1.0560元，可得到375,781.63份基金份额。</w:t>
      </w:r>
    </w:p>
    <w:p w14:paraId="58902EB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例4：假定T日基金份额净值为1.0560元，某投资人投资600万元申购本基金，对应的申购费用为1000元，则其可得到的申购份额为：</w:t>
      </w:r>
    </w:p>
    <w:p w14:paraId="2E5CB18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申购费用＝1000元</w:t>
      </w:r>
    </w:p>
    <w:p w14:paraId="3513E88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净申购金额＝6,000,000－1000＝5,999,000.00元</w:t>
      </w:r>
    </w:p>
    <w:p w14:paraId="57CC646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申购份额＝5,999,000.00/1.0560＝5,680,871.21份</w:t>
      </w:r>
    </w:p>
    <w:p w14:paraId="57338ED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即：投资人投资600万元申购本基金，对应的申购费用为1000元，假定申购当日基金份额净值为1.0560元，可得到5,680,871.21份基金份额。</w:t>
      </w:r>
    </w:p>
    <w:p w14:paraId="6FFBB16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2、赎回金额的计算方式：</w:t>
      </w:r>
    </w:p>
    <w:p w14:paraId="25D0F0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赎回总金额=赎回份额×T日基金份额净值</w:t>
      </w:r>
    </w:p>
    <w:p w14:paraId="5B9F321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赎回费用=赎回总金额×赎回费率</w:t>
      </w:r>
    </w:p>
    <w:p w14:paraId="05520C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净赎回金额=赎回总金额—赎回费用</w:t>
      </w:r>
    </w:p>
    <w:p w14:paraId="37C4C9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上述计算结果均按四舍五入方法，保留到小数点后2位，由此产生的收益或损失由基金财产承担。</w:t>
      </w:r>
    </w:p>
    <w:p w14:paraId="137D164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例5：某投资者赎回本基金1万份基金份额，持有时间为三年，对应的赎回费率为0%，假设赎回当日基金份额净值是1.2500 元，则其可得到的赎回金额为：</w:t>
      </w:r>
    </w:p>
    <w:p w14:paraId="40CBA2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赎回总金额=10,000×1.2500=12,500.00 元</w:t>
      </w:r>
    </w:p>
    <w:p w14:paraId="5F1FBE9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赎回费用=12,500×0%=0.00 元</w:t>
      </w:r>
    </w:p>
    <w:p w14:paraId="5FDEAE2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净赎回金额=12,500.00-0.00=12,500.00 元</w:t>
      </w:r>
    </w:p>
    <w:p w14:paraId="7CCBA9B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即：投资者赎回本基金1万份基金份额，持有时间为三年，对应的赎回费率为0%，假设赎回当日基金份额净值是1.2500元，则其可得到的赎回金额为12,500.00元。</w:t>
      </w:r>
    </w:p>
    <w:p w14:paraId="2C3BB1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本基金份额净值的计算，保留到小数点后4位，小数点后第5位四舍五入，由此产生的收益或损失由基金财产承担。基金合同生效后，在封闭期内，基金管理人应当至少每周公告一次基金份额净值和基金份额累计净值。在开放期内，T日的基金份额净值和基金份额累计净值在当天收市后计算，并在T+1日内公告。遇特殊情况，经中国证监会同意，可以适当延迟计算或公告。</w:t>
      </w:r>
    </w:p>
    <w:p w14:paraId="0923756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4、基金管理人可以在基金合同约定的范围内调整费率或收费方式，并最迟应于新的费率或收费方式实施日前依照《信息披露办法》的有关规定在规定媒介上公告。</w:t>
      </w:r>
    </w:p>
    <w:p w14:paraId="305ADB0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管理人可以在不违背法律法规规定及《基金合同》约定的情形下根据市场情况制定基金促销计划，定期或不定期地开展基金促销活动。在基金促销活动期间，按相关监管部门要求履行必要手续后，基金管理人可以适当调低基金申购费率。</w:t>
      </w:r>
    </w:p>
    <w:p w14:paraId="2890D4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6、当本基金发生大额申购或赎回情形时，基金管理人可以对本基金采用摆动定价机制，以确保基金估值的公平性。具体处理原则与操作规范遵循相关法律法规以及监管部门、自律规则的规定。</w:t>
      </w:r>
    </w:p>
    <w:p w14:paraId="573857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八、申购与赎回的登记</w:t>
      </w:r>
    </w:p>
    <w:p w14:paraId="278D677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1、经基金销售机构同意，基金投资者提出的申购和赎回申请，在基金管理人规定的时间之前可以撤销。</w:t>
      </w:r>
    </w:p>
    <w:p w14:paraId="76C6C36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2、投资者申购基金成功后，登记机构在T+1日为投资者登记权益并办理登记手续，投资人自T+2日（含该日）后有权赎回该部分基金份额。</w:t>
      </w:r>
    </w:p>
    <w:p w14:paraId="42422BD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3、投资人赎回基金成功后，登记机构在T+1日为投资者办理扣除权益的登记手续。</w:t>
      </w:r>
    </w:p>
    <w:p w14:paraId="7F98BB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4、基金管理人可以在法律法规允许的范围内，对上述登记办理时间进行调整，但不得实质影响投资者的合法权益，并最迟于开始实施前依照《信息披露办法》的有关规定进行公告。</w:t>
      </w:r>
    </w:p>
    <w:p w14:paraId="216133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九、拒绝或暂停申购的情形及处理</w:t>
      </w:r>
    </w:p>
    <w:p w14:paraId="28F6E1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在开放期内发生下列情况时，基金管理人可拒绝或暂停接受投资人的申购申请： </w:t>
      </w:r>
    </w:p>
    <w:p w14:paraId="22303D1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1、因不可抗力导致基金无法正常运作。 </w:t>
      </w:r>
    </w:p>
    <w:p w14:paraId="2FA598A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2、发生基金合同规定的暂停基金资产估值情况时。 </w:t>
      </w:r>
    </w:p>
    <w:p w14:paraId="7EDE99C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3、证券交易所交易时间非正常停市，导致基金管理人无法计算当日基金资产净值。 </w:t>
      </w:r>
    </w:p>
    <w:p w14:paraId="3CBD85D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4、接受某笔或某些申购申请可能会影响或损害现有基金份额持有人利益时。 </w:t>
      </w:r>
    </w:p>
    <w:p w14:paraId="4DC34A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5、基金资产规模过大，使基金管理人无法找到合适的投资品种，或其他可能对基金业绩产生负面影响，或发生其他损害现有基金份额持有人利益的情形。 </w:t>
      </w:r>
    </w:p>
    <w:p w14:paraId="580A93C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6、基金管理人、基金托管人、基金销售机构或登记机构的技术保障等异常情况发生导致基金销售系统或基金登记系统或基金会计系统无法正常运行。</w:t>
      </w:r>
    </w:p>
    <w:p w14:paraId="28D4403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7、个人投资者申购。</w:t>
      </w:r>
    </w:p>
    <w:p w14:paraId="71B143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14:paraId="386AAE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9、当特定资产占前一估值日基金资产净值50%以上的，且与基金托管人协商一致的，基金管理人应当暂停接受申购申请。</w:t>
      </w:r>
    </w:p>
    <w:p w14:paraId="6FBEC56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10、法律法规规定或中国证监会认定的其他情形。 </w:t>
      </w:r>
    </w:p>
    <w:p w14:paraId="04A7EF7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发生上述第 1、2、3、5、6、9、10项暂停申购情形之一且基金管理人决定暂停基金投资者的申购申请时，基金管理人应当根据有关规定在规定媒介上刊登暂停申购公告。如果投资人的申购申请全部或部分被拒绝的，被拒绝的申购款项将退还给投资人。在暂停申购的情</w:t>
      </w:r>
      <w:r w:rsidRPr="00BD090D">
        <w:rPr>
          <w:rFonts w:ascii="宋体" w:eastAsia="宋体" w:hAnsi="宋体" w:hint="eastAsia"/>
          <w:szCs w:val="21"/>
        </w:rPr>
        <w:lastRenderedPageBreak/>
        <w:t xml:space="preserve">况消除时，基金管理人应及时恢复申购业务的办理，且开放期按暂停申购的期间相应顺延，具体时间以基金管理人届时的公告为准。 </w:t>
      </w:r>
    </w:p>
    <w:p w14:paraId="399A633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十、暂停赎回或延缓支付赎回款项的情形  </w:t>
      </w:r>
    </w:p>
    <w:p w14:paraId="72DC73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在开放期内发生下列情形时，基金管理人可暂停接受投资人的赎回申请或延缓支付赎回款项：</w:t>
      </w:r>
    </w:p>
    <w:p w14:paraId="0E478C0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1、因不可抗力导致基金管理人不能支付赎回款项。</w:t>
      </w:r>
    </w:p>
    <w:p w14:paraId="69D4C27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2、发生基金合同规定的暂停基金资产估值情况时。</w:t>
      </w:r>
    </w:p>
    <w:p w14:paraId="2236013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3、证券交易所交易时间非正常停市，导致基金管理人无法计算当日基金资产净值。</w:t>
      </w:r>
    </w:p>
    <w:p w14:paraId="0CDA54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4、基金管理人继续接受赎回申请将损害现有基金份额持有人利益的情形时。</w:t>
      </w:r>
    </w:p>
    <w:p w14:paraId="2ED96C9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5、当特定资产占前一估值日基金资产净值50%以上的，且与基金托管人协商一致，基金管理人应当延缓支付赎回款项或暂停接受基金赎回申请。</w:t>
      </w:r>
    </w:p>
    <w:p w14:paraId="6626F1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6、法律法规规定或中国证监会认定的其他情形。</w:t>
      </w:r>
    </w:p>
    <w:p w14:paraId="7F1C2F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发生上述情形之一且基金管理人决定拒绝接受或暂停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且开放期按暂停赎回的期间相应顺延，具体时间以基金管理人届时的公告为准。</w:t>
      </w:r>
    </w:p>
    <w:p w14:paraId="776833B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十一、巨额赎回的情形及处理方式</w:t>
      </w:r>
    </w:p>
    <w:p w14:paraId="739628A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1、巨额赎回的认定</w:t>
      </w:r>
    </w:p>
    <w:p w14:paraId="62A3BC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若本基金开放期单个开放日内的基金份额净赎回申请(赎回申请份额总数加上基金转换中转出申请份额总数后扣除申购申请份额总数及基金转换中转入申请份额总数后的余额)超过前一工作日的基金总份额的20%，即认为是发生了巨额赎回。</w:t>
      </w:r>
    </w:p>
    <w:p w14:paraId="3E95C95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2、巨额赎回的处理方式</w:t>
      </w:r>
    </w:p>
    <w:p w14:paraId="135903F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当基金出现巨额赎回时，基金管理人可以根据基金当时的资产组合状况决定全额赎回或部分延缓支付赎回款项。</w:t>
      </w:r>
    </w:p>
    <w:p w14:paraId="58FAD9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（1）全额赎回：当基金管理人有能力支付投资人的全部赎回申请时，按正常赎回程序执行。</w:t>
      </w:r>
    </w:p>
    <w:p w14:paraId="2A730B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（2）延缓支付赎回款项：</w:t>
      </w:r>
    </w:p>
    <w:p w14:paraId="1A969B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在开放期内，当基金出现巨额赎回时，在单个基金份额持有人赎回申请超过前一估值日</w:t>
      </w:r>
      <w:r w:rsidRPr="00BD090D">
        <w:rPr>
          <w:rFonts w:ascii="宋体" w:eastAsia="宋体" w:hAnsi="宋体" w:hint="eastAsia"/>
          <w:szCs w:val="21"/>
        </w:rPr>
        <w:lastRenderedPageBreak/>
        <w:t>基金总份额20% 的情形下，基金管理人可以根据第（1）项办理，亦可在对符合法律法规及基金合同约定的赎回申请全部接受和确认，当日按比例办理的赎回份额不得低于前一日基金总份额的20%，其余赎回申请采取延缓支付赎回款项的措施。</w:t>
      </w:r>
    </w:p>
    <w:p w14:paraId="1EDBDD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即对于已接受的赎回申请，如基金管理人认为全额支付投资人的赎回款项有困难或认为全额支付投资人的赎回款项可能会对基金的资产净值造成较大波动的，基金管理人可以对赎回款项进行延缓支付，但不得超过20个工作日。延缓支付的赎回申请以赎回申请当日的基金份额净值为基础计算赎回金额。</w:t>
      </w:r>
    </w:p>
    <w:p w14:paraId="73D500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（3）延期办理：在开放期内，当基金出现巨额赎回时，在单个基金份额持有人赎回申请超过前一估值日基金总份额50%的情形下， 基金管理人可对该单个基金份额持有人超出该比例的赎回申请实施延期办理，对于此类持有人剩余部分赎回申请以及其他持有人的赎回申请，应当按上述第（1）、（2）项规则办理。对于上述持有人被延期办理的部分，如投资人在提交赎回申请时选择取消赎回的，当日未获办理部分将被撤销；如投资人在提交赎回申请时选择延期赎回或未作明确选择的，将自动转入下一个开放日继续赎回直至办理完毕，因此导致延期办理期限超过开放期的，开放期可以相应延长并公告，但延长的开放期最长不可超过20个工作日，延长的开放期内不办理申购亦不接受新的赎回申请，即基金管理人仅为原开放期内因提交赎回申请超过基金总份额50%以上而被延期办理赎回的单个基金份额持有人办理赎回业务。延期的赎回申请与下一开放日赎回申请一并处理，无优先权并以下一开放日基金份额净值为基础计算赎回金额，以此类推。部分延期赎回不受单笔赎回最低份额的限制。</w:t>
      </w:r>
    </w:p>
    <w:p w14:paraId="4D8CC4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3、巨额赎回的公告</w:t>
      </w:r>
    </w:p>
    <w:p w14:paraId="2C58E2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当发生上述巨额赎回并延缓支付赎回款项时，基金管理人应当通过邮寄、传真或者招募说明书规定的其他方式在3个交易日内通知基金份额持有人，说明有关处理方法，并在2日内在规定媒介上刊登公告。</w:t>
      </w:r>
    </w:p>
    <w:p w14:paraId="68EB36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十二、暂停申购或赎回的公告和重新开放申购或赎回的公告</w:t>
      </w:r>
    </w:p>
    <w:p w14:paraId="22982ED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1、发生上述暂停申购或赎回情况的，基金管理人应在规定期限内在规定媒介上刊登暂停公告。</w:t>
      </w:r>
    </w:p>
    <w:p w14:paraId="4348C3D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2、如发生暂停的时间为1日，基金管理人应于重新开放日，在规定媒介上刊登基金重新开放申购或赎回公告，并公布最近1个开放日的基金份额净值。</w:t>
      </w:r>
    </w:p>
    <w:p w14:paraId="598F017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3、如发生暂停的时间超过1日，暂停结束，基金重新开放申购或赎回时，基金管理人应根据《信息披露办法》的规定在规定媒介上刊登基金重新开放申购或赎回公告，并公告最</w:t>
      </w:r>
      <w:r w:rsidRPr="00BD090D">
        <w:rPr>
          <w:rFonts w:ascii="宋体" w:eastAsia="宋体" w:hAnsi="宋体" w:hint="eastAsia"/>
          <w:szCs w:val="21"/>
        </w:rPr>
        <w:lastRenderedPageBreak/>
        <w:t>近1个工作日的基金份额净值。</w:t>
      </w:r>
    </w:p>
    <w:p w14:paraId="5E38796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十三、基金转换</w:t>
      </w:r>
    </w:p>
    <w:p w14:paraId="3795C38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077ACF7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十四、基金份额的转让</w:t>
      </w:r>
    </w:p>
    <w:p w14:paraId="0D769FC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ADCD6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十五、基金的非交易过户</w:t>
      </w:r>
    </w:p>
    <w:p w14:paraId="2527AA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DB7F75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5993FB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十六、基金的转托管</w:t>
      </w:r>
    </w:p>
    <w:p w14:paraId="332D36D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基金份额持有人可办理已持有基金份额在不同销售机构之间的转托管，基金销售机构可以按照规定的标准收取转托管费。</w:t>
      </w:r>
    </w:p>
    <w:p w14:paraId="689E22F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十七、定期定额投资计划</w:t>
      </w:r>
    </w:p>
    <w:p w14:paraId="15B002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C4C4A0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十八、基金份额的冻结和解冻</w:t>
      </w:r>
    </w:p>
    <w:p w14:paraId="35C1A29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基金登记机构只受理国家有权机关依法要求的基金份额的冻结与解冻，以及登记机构认可、符合法律法规的其他情况下的冻结与解冻。</w:t>
      </w:r>
    </w:p>
    <w:p w14:paraId="6086B0A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十九、实施侧袋机制期间本基金的申购与赎回</w:t>
      </w:r>
    </w:p>
    <w:p w14:paraId="2A34BD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本基金实施侧袋机制的，本基金的申购与赎回安排详见招募说明书“侧袋机制”部分的规定。</w:t>
      </w:r>
    </w:p>
    <w:p w14:paraId="445403F8"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9" w:name="_Toc89276781"/>
      <w:r w:rsidRPr="00BD090D">
        <w:rPr>
          <w:rFonts w:ascii="Arial Unicode MS" w:eastAsia="宋体" w:hAnsi="Arial Unicode MS" w:cs="Arial" w:hint="eastAsia"/>
          <w:kern w:val="0"/>
          <w:sz w:val="28"/>
          <w:szCs w:val="28"/>
        </w:rPr>
        <w:t>第十部分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基金的投资</w:t>
      </w:r>
      <w:bookmarkEnd w:id="9"/>
    </w:p>
    <w:p w14:paraId="66292738" w14:textId="77777777" w:rsidR="00BD090D" w:rsidRPr="00BD090D" w:rsidRDefault="00BD090D" w:rsidP="00BD090D">
      <w:pPr>
        <w:spacing w:line="360" w:lineRule="auto"/>
        <w:ind w:firstLineChars="200" w:firstLine="420"/>
        <w:rPr>
          <w:rFonts w:ascii="宋体" w:eastAsia="宋体" w:hAnsi="宋体"/>
          <w:szCs w:val="21"/>
        </w:rPr>
      </w:pPr>
    </w:p>
    <w:p w14:paraId="53D27F4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一、投资目标</w:t>
      </w:r>
    </w:p>
    <w:p w14:paraId="4D69FB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本基金在追求基金资产长期稳健增值的基础上，力争为基金份额持有人创造超越业绩比较基准的稳定收益。</w:t>
      </w:r>
    </w:p>
    <w:p w14:paraId="75E5DB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二、投资范围</w:t>
      </w:r>
    </w:p>
    <w:p w14:paraId="0E236D5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投资范围主要为具有较好流动性的金融工具，包括国债、央行票据、地方政府债、金融债、企业债、公司债、短期融资券、超短期融资券、中期票据、公开发行的次级债、同业存单、资产支持证券、可分离交易可转债的纯债部分、银行存款、债券回购、货币市场工具，以及法律法规或中国证监会允许基金投资的其他金融工具。</w:t>
      </w:r>
    </w:p>
    <w:p w14:paraId="0026450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本基金不投资股票。</w:t>
      </w:r>
    </w:p>
    <w:p w14:paraId="5731D2C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如法律法规或监管机构以后允许基金投资其他品种，基金管理人在履行适当程序后，可以将其纳入投资范围，其投资比例遵循届时有效法律法规或相关规定。</w:t>
      </w:r>
    </w:p>
    <w:p w14:paraId="2D7055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投资组合资产配置比例：本基金投资于债券的比例不低于基金资产的80%。但应开放期流动性需要，为保护基金份额持有人利益，在每次开放期前一个月、开放期及开放期结束后一个月的期间内，基金投资不受上述比例限制。</w:t>
      </w:r>
    </w:p>
    <w:p w14:paraId="4984F22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开放期内，本基金持有现金或者到期日在一年以内的政府债券的比例不低于基金资产净值的5%，其中现金不包括结算备付金、存出保证金、应收申购款等，在封闭期内，本基金不受上述5%的限制。</w:t>
      </w:r>
    </w:p>
    <w:p w14:paraId="0C4B1F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如果法律法规或中国证监会变更投资品种的投资比例限制，基金管理人在履行适当程序后，可以调整上述投资品种的投资比例。</w:t>
      </w:r>
    </w:p>
    <w:p w14:paraId="3912E6C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三、投资策略</w:t>
      </w:r>
    </w:p>
    <w:p w14:paraId="252C840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本基金在封闭期与开放期采取不同的投资策略。</w:t>
      </w:r>
    </w:p>
    <w:p w14:paraId="37D13C8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（一）封闭期投资策略 </w:t>
      </w:r>
    </w:p>
    <w:p w14:paraId="710B23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1、资产配置策略 </w:t>
      </w:r>
    </w:p>
    <w:p w14:paraId="5367D63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本基金将在基金合同约定的投资范围内，通过对宏观经济运行状况、国家货币政策和财政政策、国家产业政策及资本市场资金环境的研究，把握大类资产的预期收益率、利差水平、</w:t>
      </w:r>
      <w:r w:rsidRPr="00BD090D">
        <w:rPr>
          <w:rFonts w:ascii="宋体" w:eastAsia="宋体" w:hAnsi="宋体" w:hint="eastAsia"/>
          <w:szCs w:val="21"/>
        </w:rPr>
        <w:lastRenderedPageBreak/>
        <w:t xml:space="preserve">风险水平，在有效控制风险的基础上，对债券和货币市场工具等大类资产之间的配置比例进行定期或不定期的调整，以达到控制风险、增加收益的目的。 </w:t>
      </w:r>
    </w:p>
    <w:p w14:paraId="5190F4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2、利率预期策略</w:t>
      </w:r>
    </w:p>
    <w:p w14:paraId="40FE2FF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本基金将通过对宏观经济以及货币政策等因素的深入研究，判断利率变化的方向和时间，利用情景分析模拟利率变化的各种情形，并在考虑封闭剩余期限的基础上，最终结合组合风险承受能力确定债券组合的目标久期。 </w:t>
      </w:r>
    </w:p>
    <w:p w14:paraId="728341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3、信用债券投资策略 </w:t>
      </w:r>
    </w:p>
    <w:p w14:paraId="307A16C8" w14:textId="77777777" w:rsidR="008426D5" w:rsidRDefault="008426D5" w:rsidP="00BD090D">
      <w:pPr>
        <w:spacing w:line="360" w:lineRule="auto"/>
        <w:ind w:firstLineChars="200" w:firstLine="420"/>
        <w:rPr>
          <w:rFonts w:ascii="宋体" w:eastAsia="宋体" w:hAnsi="宋体"/>
          <w:szCs w:val="21"/>
        </w:rPr>
      </w:pPr>
      <w:r w:rsidRPr="008426D5">
        <w:rPr>
          <w:rFonts w:ascii="宋体" w:eastAsia="宋体" w:hAnsi="宋体" w:hint="eastAsia"/>
          <w:szCs w:val="21"/>
        </w:rPr>
        <w:t>在信用债投资方面，本基金投资于主体评级不低于AA的短期融资券、超短期融资券，投资于债项评级不低于AA的信用债（短期融资券、超短期融资券除外）。本基金持有的全部信用债中，投资于债项评级AA信用债的比例不超过20%，投资于债项评级AA+信用债的比例不超过50%，投资于债项评级AAA信用债的比例不低于50%。</w:t>
      </w:r>
    </w:p>
    <w:p w14:paraId="56C8C7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信用类债券是本基金重要投资标的，信用风险管理对于提高债券组合收益率至关重要。本基金将根据宏观经济运行状况、行业发展周期、公司业务状况、公司治理结构、财务状况等因素综合评估信用风险，确定信用类债券的信用风险利差，有效管理组合的整体信用风险。同时，本基金将运用本基金管理人比较完善的信用债券评级体系，对信用债券发行人基本面的深入调研分析，结合流动性、信用利差、信用评级、违约风险等的综合评估结果，选取具有价格优势和套利机会的优质信用债券产品进行投资。 </w:t>
      </w:r>
    </w:p>
    <w:p w14:paraId="6F8EF9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4、收益率利差策略 </w:t>
      </w:r>
    </w:p>
    <w:p w14:paraId="5B13B92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本基金除考虑系统性的利率风险对收益率曲线形状的影响之外，还将考虑债券市场微观因素对收益率曲线的影响，如历史期限结构、新债发行、回购及市场拆借利率等，形成一定阶段内的收益率曲线变动趋势的预期，并适时调整基金的债券投资组合。 </w:t>
      </w:r>
    </w:p>
    <w:p w14:paraId="1EB2AD0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5、属类配置策略 </w:t>
      </w:r>
    </w:p>
    <w:p w14:paraId="47A42D7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不同类型的债券在收益率、流动性和信用风险上存在差异，债券资产有必要配置于不同类型的债券品种以及在不同市场上进行配置，以寻求收益性、流动性和信用风险补偿间的最佳平衡点。本基金将综合信用分析、流动性分析、税收及 市场结构等因素分析的结果来决定投资组合的类别资产配置策略。 </w:t>
      </w:r>
    </w:p>
    <w:p w14:paraId="007240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6、个券选择策略 </w:t>
      </w:r>
    </w:p>
    <w:p w14:paraId="3A10D1B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根据债券市场收益率数据，运用利率模型对单个债券进行估值分析，并结合债券的信用评级、流动性、息票率、税赋等因素，选择具有良好投资价值的债券品种进行投资。对于含权类债券品种，如可转换债券等，本基金还将结合公司基本面分析，综合运用衍生工</w:t>
      </w:r>
      <w:r w:rsidRPr="00BD090D">
        <w:rPr>
          <w:rFonts w:ascii="宋体" w:eastAsia="宋体" w:hAnsi="宋体" w:hint="eastAsia"/>
          <w:szCs w:val="21"/>
        </w:rPr>
        <w:lastRenderedPageBreak/>
        <w:t xml:space="preserve">具定价模型分析债券的内在价值。 </w:t>
      </w:r>
    </w:p>
    <w:p w14:paraId="32498DB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7、资产支持证券的投资策略 </w:t>
      </w:r>
    </w:p>
    <w:p w14:paraId="4ACF0BB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本基金将在综合考虑市场利率、发行条款、支持资产的构成和质量等因素的基础上，对资产证券化产品的收益和风险匹配情况等进行定性和定量的全方面分析，评估其相对投资价值并作出相应的投资决策，力求在控制投资风险的前提下尽可能的提高本基金的收益。 </w:t>
      </w:r>
    </w:p>
    <w:p w14:paraId="04020C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（二）开放期投资策略 </w:t>
      </w:r>
    </w:p>
    <w:p w14:paraId="5D9735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开放期内，本基金为保持较高的组合流动性，方便投资人安排投资，在遵守本基金有关投资限制与投资比例的前提下，将主要投资于高流动性的投资品种，防范流动性风险，满足开放期流动性的需求。</w:t>
      </w:r>
    </w:p>
    <w:p w14:paraId="0CE6E43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四、投资决策流程</w:t>
      </w:r>
    </w:p>
    <w:p w14:paraId="10CCD02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具体的投资流程为：</w:t>
      </w:r>
    </w:p>
    <w:p w14:paraId="1C59D29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固定收益部和研究部按照研究员岗位分工进行宏观经济研究、债券市场研究支持。宏观经济研究主要从宏观经济分析、货币政策分析和财政政策分析三方面入手，对未来利率变化趋势进行预测；债券市场研究主要从债券市场交易情况分析、债券市场收益率曲线分析寻找投资机会，选择最佳的交易策略。</w:t>
      </w:r>
    </w:p>
    <w:p w14:paraId="3CF0B8B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（2）固定收益部定期召开例会讨论固定收益产品投资方案和未来的行情判断，结合宏观经济、债券市场两方面研究结果确定下期的固定收益产品投资策略,并报投资决策委员会备案。</w:t>
      </w:r>
    </w:p>
    <w:p w14:paraId="79EAC70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（3）基金经理负责执行投资方案。</w:t>
      </w:r>
    </w:p>
    <w:p w14:paraId="3EE2382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（4）公司所管理的基金投资交易均采用集中交易制度。投资执行与投资决策严格分离，基金的所有证券买卖活动须通过交易部统一分配，集中交易完成。</w:t>
      </w:r>
    </w:p>
    <w:p w14:paraId="079002B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（5）基金经理根据市场变化在权限范围及时进行投资策略调整，超过投资权限的报投资决策委员会审议。</w:t>
      </w:r>
    </w:p>
    <w:p w14:paraId="3AC4C6D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投资合规性控制从以下方面展开：</w:t>
      </w:r>
    </w:p>
    <w:p w14:paraId="2A0D5E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（1）风险管理委员会：通过对基金投资的研究、决策、执行等，从制度上、操作程序上进行控制，保证公司管理基金投资的各项制度、措施、工作流程符合相关法律、法规和基金合同的要求。</w:t>
      </w:r>
    </w:p>
    <w:p w14:paraId="5DF5151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（2）督察长：可列席公司投资决策委员会议，全程监控交易指令的执行情况，保证合规性控制的实施。</w:t>
      </w:r>
    </w:p>
    <w:p w14:paraId="1E3801A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（3）监察稽核部：可对基金投资管理过程的各环节进行例行和专项稽核，根据授权察</w:t>
      </w:r>
      <w:r w:rsidRPr="00BD090D">
        <w:rPr>
          <w:rFonts w:ascii="宋体" w:eastAsia="宋体" w:hAnsi="宋体" w:hint="eastAsia"/>
          <w:szCs w:val="21"/>
        </w:rPr>
        <w:lastRenderedPageBreak/>
        <w:t>看基金的交易情况，确保投资决策和交易指令得到全面、准确的执行。</w:t>
      </w:r>
    </w:p>
    <w:p w14:paraId="65A54B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（4）交易部负责对投资指令进行审核，对日常交易行为实时监控。</w:t>
      </w:r>
    </w:p>
    <w:p w14:paraId="115303A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事务部通过与托管行和交易部有关数据的核对，对当日交易操作进行复核，如发现有违反法律法规、监管要求、基金合同、资产管理合同或公司相关规定，须立刻通报交易部、监察稽核部和固定收益部，并按照公司相关风险报告程序上报。</w:t>
      </w:r>
    </w:p>
    <w:p w14:paraId="38C0F9C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五、投资限制</w:t>
      </w:r>
    </w:p>
    <w:p w14:paraId="5E3B6A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1、组合限制</w:t>
      </w:r>
    </w:p>
    <w:p w14:paraId="2862A9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基金的投资组合应遵循以下限制：</w:t>
      </w:r>
    </w:p>
    <w:p w14:paraId="6BFC8C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（1）本基金对债券的投资比例不低于基金资产的80%；但应开放期流动性需要，为保护基金份额持有人利益，在每次开放期前一个月、开放期及开放期结束后一个月的期间内，基金投资不受上述比例限制；</w:t>
      </w:r>
    </w:p>
    <w:p w14:paraId="529696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（2）开放期内，本基金持有现金或者到期日在一年以内的政府债券的比例不低于基金资产净值的5%，其中现金不包括结算备付金、存出保证金、应收申购款等，在封闭期内，本基金不受上述5%的限制；</w:t>
      </w:r>
    </w:p>
    <w:p w14:paraId="762273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（3）本基金持有一家公司发行的证券，其市值不超过基金资产净值的10％；</w:t>
      </w:r>
    </w:p>
    <w:p w14:paraId="22A2E81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（4）本基金管理人管理的全部基金持有一家公司发行的证券，不超过该证券的10％；</w:t>
      </w:r>
    </w:p>
    <w:p w14:paraId="5EAECEF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（5）本基金投资于同一原始权益人的各类资产支持证券的比例，不得超过基金资产净值的10％；</w:t>
      </w:r>
    </w:p>
    <w:p w14:paraId="7345AE7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（6）本基金持有的全部资产支持证券，其市值不得超过基金资产净值的20％；</w:t>
      </w:r>
    </w:p>
    <w:p w14:paraId="53421C6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（7）本基金持有的同一(指同一信用级别)资产支持证券的比例，不得超过该资产支持证券规模的10％；</w:t>
      </w:r>
    </w:p>
    <w:p w14:paraId="2A48CF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（8）本基金管理人管理的全部基金投资于同一原始权益人的各类资产支持证券，不得超过其各类资产支持证券合计规模的10％；</w:t>
      </w:r>
    </w:p>
    <w:p w14:paraId="4651DAA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4D3F2FD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（10）本基金在全国银行间同业市场中的债券回购最长期限为一年，债券回购到期后不展期；</w:t>
      </w:r>
    </w:p>
    <w:p w14:paraId="0C1AEA6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（11)在封闭期内，基金的总资产不得超过基金净资产的200%。开放期内，基金总资产不得超过基金净资产的140%；</w:t>
      </w:r>
    </w:p>
    <w:p w14:paraId="7FA02E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（12）开放期内，本基金主动投资于流动性受限资产的市值合计不得超过基金资产净值的15%；</w:t>
      </w:r>
    </w:p>
    <w:p w14:paraId="3F282C4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因证券市场波动、基金规模变动等基金管理人之外的因素致使基金不符合前述比例限制的，基金管理人不得主动新增流动性受限资产的投资；</w:t>
      </w:r>
    </w:p>
    <w:p w14:paraId="033755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（13）本基金与私募类证券资管产品及中国证监会认定的其他主体为交易对手开展逆回购交易的，可接受质押品的资质要求应当与基金合同约定的投资范围保持一致；</w:t>
      </w:r>
    </w:p>
    <w:p w14:paraId="7CE9CB1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（14）法律法规及中国证监会规定的和《基金合同》约定的其他投资限制。</w:t>
      </w:r>
    </w:p>
    <w:p w14:paraId="3020C31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除上述第（2）、第（9）、第（12）-（13）项外，因证券市场波动、证券发行人合并、基金规模变动等基金管理人之外的因素致使基金投资比例不符合上述规定投资比例的，基金管理人应当在10个交易日内进行调整，但中国证监会规定的特殊情形或基金合同另有约定的除外。法律法规另有规定的，从其规定。</w:t>
      </w:r>
    </w:p>
    <w:p w14:paraId="73EA223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830CE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果法律法规或监管部门对上述投资组合比例限制进行变更的，以变更后的规定为准；法律法规或监管部门取消上述限制，如适用于本基金，在履行适当程序后本基金投资不再受相关限制，不需要经过基金份额持有人大会审议。</w:t>
      </w:r>
    </w:p>
    <w:p w14:paraId="03731D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2、禁止行为</w:t>
      </w:r>
    </w:p>
    <w:p w14:paraId="72302D9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为维护基金份额持有人的合法权益，基金财产不得用于下列投资或者活动：</w:t>
      </w:r>
    </w:p>
    <w:p w14:paraId="3D5298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（1）承销证券；</w:t>
      </w:r>
    </w:p>
    <w:p w14:paraId="24A6F24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（2）违反规定向他人贷款或者提供担保；</w:t>
      </w:r>
    </w:p>
    <w:p w14:paraId="33A8E4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（3）从事承担无限责任的投资；</w:t>
      </w:r>
    </w:p>
    <w:p w14:paraId="715605B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（4）买卖其他基金份额，但是中国证监会另有规定的除外；</w:t>
      </w:r>
    </w:p>
    <w:p w14:paraId="0C2612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（5）向其基金管理人、基金托管人出资；</w:t>
      </w:r>
    </w:p>
    <w:p w14:paraId="2B98DF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（6）从事内幕交易、操纵证券交易价格及其他不正当的证券交易活动；</w:t>
      </w:r>
    </w:p>
    <w:p w14:paraId="22B4AF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（7）法律、行政法规和中国证监会规定禁止的其他活动。</w:t>
      </w:r>
    </w:p>
    <w:p w14:paraId="08C0C2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运用基金财产买卖基金管理人、基金托管人及其控股股东、实际控制人或者与其他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w:t>
      </w:r>
      <w:r w:rsidRPr="00BD090D">
        <w:rPr>
          <w:rFonts w:ascii="宋体" w:eastAsia="宋体" w:hAnsi="宋体" w:hint="eastAsia"/>
          <w:szCs w:val="21"/>
        </w:rPr>
        <w:lastRenderedPageBreak/>
        <w:t>事先得到基金托管人的同意，并按相关法律法规予以披露。重大关联交易应提交基金管理人董事会审议，并经过三分之二以上的独立董事通过。基金管理人董事会应至少每半年对关联交易事项进行审查。</w:t>
      </w:r>
    </w:p>
    <w:p w14:paraId="65F6F8E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法律、行政法规或监管部门取消上述限制，如适用于本基金，基金管理人在履行适当程序后，则本基金投资不再受相关限制。</w:t>
      </w:r>
    </w:p>
    <w:p w14:paraId="4EB8413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六、业绩比较基准</w:t>
      </w:r>
    </w:p>
    <w:p w14:paraId="0DA9A4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本基金的业绩比较基准为中债综合指数（总财富）收益率×90%+一年期定期存款利率（税后）×10%。</w:t>
      </w:r>
    </w:p>
    <w:p w14:paraId="4028234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中债综合指数（总财富）收益率由中央国债登记结算有限公司编制，该指数旨在综合反映债券全市场整体价格和投资回报情况。指数涵盖了银行间市场和交易所市场，具有广泛的市场代表性，适合作为市场债券投资收益的衡量标准；由于本基金投资于债券资产的比例不低于基金资产净值的80%，持有现金或者到期日在一年以内的政府债券不低于基金资产净值的5%，采用90%作为业绩比较基准中债券投资所代表的权重，10%乘以一年定期银行存款利率（税后）作为资产所对应的权重可以较好的反映本基金的风险收益特征。</w:t>
      </w:r>
    </w:p>
    <w:p w14:paraId="5EDE7A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果今后法律法规发生变化，或者有更权威的、更能为市场普遍接受的业绩比较基准推出，或者是市场上出现更加适合用于本基金的业绩基准的指数时，本基金管理人在与基金托管人协商一致，并履行适当程序后调整或变更业绩比较基准并及时公告，而无需召开基金份额持有人大会。</w:t>
      </w:r>
    </w:p>
    <w:p w14:paraId="180FE3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七、风险收益特征</w:t>
      </w:r>
    </w:p>
    <w:p w14:paraId="34A5660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本基金属于债券型证券投资基金，其预期风险收益水平低于股票型基金、混合型基金，高于货币市场基金。</w:t>
      </w:r>
    </w:p>
    <w:p w14:paraId="48491FF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八、基金管理人代表基金行使债权人权利的处理原则及方法</w:t>
      </w:r>
    </w:p>
    <w:p w14:paraId="385B60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1、有利于基金资产的安全与增值；</w:t>
      </w:r>
    </w:p>
    <w:p w14:paraId="24877EB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2、基金管理人按照国家有关规定代表基金独立行使债权人权利，保护基金份额持有人的利益；</w:t>
      </w:r>
    </w:p>
    <w:p w14:paraId="7D141C2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3、不通过关联交易为自身、雇员、授权代理人或任何存在利害关系的第三人牟取任何不当利益。</w:t>
      </w:r>
    </w:p>
    <w:p w14:paraId="0789B5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九、侧袋机制的实施和投资运作安排</w:t>
      </w:r>
    </w:p>
    <w:p w14:paraId="49160F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当基金持有特定资产且存在或潜在大额赎回申请时，根据最大限度保护基金份额持有人利益的原则，基金管理人经与基金托管人协商一致，并咨询会计师事务所意见后，可以依照</w:t>
      </w:r>
      <w:r w:rsidRPr="00BD090D">
        <w:rPr>
          <w:rFonts w:ascii="宋体" w:eastAsia="宋体" w:hAnsi="宋体" w:hint="eastAsia"/>
          <w:szCs w:val="21"/>
        </w:rPr>
        <w:lastRenderedPageBreak/>
        <w:t>法律法规及基金合同的约定启用侧袋机制，无需召开基金份额持有人大会审议。</w:t>
      </w:r>
    </w:p>
    <w:p w14:paraId="6E674F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侧袋机制实施期间，本部分约定的投资组合比例、投资策略、组合限制、业绩比较基准、风险收益特征等约定仅适用于主袋账户。</w:t>
      </w:r>
    </w:p>
    <w:p w14:paraId="0C5673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侧袋账户的实施条件、实施程序、运作安排、投资安排、特定资产的处置变现和支付等对投资者权益有重大影响的事项详见招募说明书“侧袋机制”部分的规定。 </w:t>
      </w:r>
    </w:p>
    <w:p w14:paraId="5C596320" w14:textId="1CCD3B0F" w:rsidR="009E4620" w:rsidRDefault="009E4620" w:rsidP="009E4620">
      <w:pPr>
        <w:spacing w:line="360" w:lineRule="auto"/>
        <w:ind w:firstLineChars="200" w:firstLine="420"/>
        <w:rPr>
          <w:rFonts w:ascii="宋体" w:eastAsia="宋体" w:hAnsi="宋体"/>
          <w:szCs w:val="21"/>
        </w:rPr>
      </w:pPr>
      <w:r>
        <w:rPr>
          <w:rFonts w:ascii="宋体" w:eastAsia="宋体" w:hAnsi="宋体" w:hint="eastAsia"/>
          <w:szCs w:val="21"/>
        </w:rPr>
        <w:t>十</w:t>
      </w:r>
      <w:r w:rsidRPr="009E4620">
        <w:rPr>
          <w:rFonts w:ascii="宋体" w:eastAsia="宋体" w:hAnsi="宋体" w:hint="eastAsia"/>
          <w:szCs w:val="21"/>
        </w:rPr>
        <w:t>、基金投资组合报告</w:t>
      </w:r>
    </w:p>
    <w:p w14:paraId="4AF7434B" w14:textId="09A4DBE1" w:rsidR="009E4620" w:rsidRPr="009E4620" w:rsidRDefault="009E4620" w:rsidP="009E4620">
      <w:pPr>
        <w:spacing w:line="360" w:lineRule="auto"/>
        <w:ind w:firstLineChars="200" w:firstLine="420"/>
        <w:rPr>
          <w:rFonts w:ascii="宋体" w:eastAsia="宋体" w:hAnsi="宋体"/>
          <w:szCs w:val="21"/>
        </w:rPr>
      </w:pPr>
      <w:r w:rsidRPr="009E4620">
        <w:rPr>
          <w:rFonts w:ascii="宋体" w:eastAsia="宋体" w:hAnsi="宋体" w:hint="eastAsia"/>
          <w:szCs w:val="21"/>
        </w:rPr>
        <w:t>基金管理人的董事会及董事保证本报告所载资料不存在虚假记载、误导性陈述或重大遗漏，并对其内容的真实性、准确性和完整性承担个别及连带责任。基金托管人中国</w:t>
      </w:r>
      <w:r>
        <w:rPr>
          <w:rFonts w:ascii="宋体" w:eastAsia="宋体" w:hAnsi="宋体" w:hint="eastAsia"/>
          <w:szCs w:val="21"/>
        </w:rPr>
        <w:t>民生</w:t>
      </w:r>
      <w:r w:rsidRPr="009E4620">
        <w:rPr>
          <w:rFonts w:ascii="宋体" w:eastAsia="宋体" w:hAnsi="宋体" w:hint="eastAsia"/>
          <w:szCs w:val="21"/>
        </w:rPr>
        <w:t>银行股份有限公司根据本基金合同规定，已</w:t>
      </w:r>
      <w:r>
        <w:rPr>
          <w:rFonts w:ascii="宋体" w:eastAsia="宋体" w:hAnsi="宋体" w:hint="eastAsia"/>
          <w:szCs w:val="21"/>
        </w:rPr>
        <w:t>于2</w:t>
      </w:r>
      <w:r>
        <w:rPr>
          <w:rFonts w:ascii="宋体" w:eastAsia="宋体" w:hAnsi="宋体"/>
          <w:szCs w:val="21"/>
        </w:rPr>
        <w:t>021</w:t>
      </w:r>
      <w:r>
        <w:rPr>
          <w:rFonts w:ascii="宋体" w:eastAsia="宋体" w:hAnsi="宋体" w:hint="eastAsia"/>
          <w:szCs w:val="21"/>
        </w:rPr>
        <w:t>年</w:t>
      </w:r>
      <w:r w:rsidR="00BA5564">
        <w:rPr>
          <w:rFonts w:ascii="宋体" w:eastAsia="宋体" w:hAnsi="宋体" w:hint="eastAsia"/>
          <w:szCs w:val="21"/>
        </w:rPr>
        <w:t>1</w:t>
      </w:r>
      <w:r w:rsidR="00BA5564">
        <w:rPr>
          <w:rFonts w:ascii="宋体" w:eastAsia="宋体" w:hAnsi="宋体"/>
          <w:szCs w:val="21"/>
        </w:rPr>
        <w:t>2</w:t>
      </w:r>
      <w:r>
        <w:rPr>
          <w:rFonts w:ascii="宋体" w:eastAsia="宋体" w:hAnsi="宋体" w:hint="eastAsia"/>
          <w:szCs w:val="21"/>
        </w:rPr>
        <w:t>月</w:t>
      </w:r>
      <w:r w:rsidR="00BA5564">
        <w:rPr>
          <w:rFonts w:ascii="宋体" w:eastAsia="宋体" w:hAnsi="宋体" w:hint="eastAsia"/>
          <w:szCs w:val="21"/>
        </w:rPr>
        <w:t>9</w:t>
      </w:r>
      <w:r>
        <w:rPr>
          <w:rFonts w:ascii="宋体" w:eastAsia="宋体" w:hAnsi="宋体" w:hint="eastAsia"/>
          <w:szCs w:val="21"/>
        </w:rPr>
        <w:t>日</w:t>
      </w:r>
      <w:r w:rsidRPr="009E4620">
        <w:rPr>
          <w:rFonts w:ascii="宋体" w:eastAsia="宋体" w:hAnsi="宋体" w:hint="eastAsia"/>
          <w:szCs w:val="21"/>
        </w:rPr>
        <w:t>复核了本报告中的财务指标、净值表现和投资组合报告等内容，保证复核内容不存在虚假记载、误导性陈述或者重大遗漏。</w:t>
      </w:r>
    </w:p>
    <w:p w14:paraId="2C591CAB" w14:textId="2B1301F9" w:rsidR="009E4620" w:rsidRDefault="009E4620" w:rsidP="009E4620">
      <w:pPr>
        <w:spacing w:line="360" w:lineRule="auto"/>
        <w:ind w:firstLineChars="200" w:firstLine="420"/>
        <w:rPr>
          <w:rFonts w:ascii="宋体" w:eastAsia="宋体" w:hAnsi="宋体"/>
          <w:szCs w:val="21"/>
        </w:rPr>
      </w:pPr>
      <w:r w:rsidRPr="009E4620">
        <w:rPr>
          <w:rFonts w:ascii="宋体" w:eastAsia="宋体" w:hAnsi="宋体" w:hint="eastAsia"/>
          <w:szCs w:val="21"/>
        </w:rPr>
        <w:t>本投资组合报告所载数据截至2021年</w:t>
      </w:r>
      <w:r w:rsidR="003C2798">
        <w:rPr>
          <w:rFonts w:ascii="宋体" w:eastAsia="宋体" w:hAnsi="宋体" w:hint="eastAsia"/>
          <w:szCs w:val="21"/>
        </w:rPr>
        <w:t>9</w:t>
      </w:r>
      <w:r w:rsidRPr="009E4620">
        <w:rPr>
          <w:rFonts w:ascii="宋体" w:eastAsia="宋体" w:hAnsi="宋体" w:hint="eastAsia"/>
          <w:szCs w:val="21"/>
        </w:rPr>
        <w:t>月</w:t>
      </w:r>
      <w:r w:rsidR="003C2798">
        <w:rPr>
          <w:rFonts w:ascii="宋体" w:eastAsia="宋体" w:hAnsi="宋体" w:hint="eastAsia"/>
          <w:szCs w:val="21"/>
        </w:rPr>
        <w:t>3</w:t>
      </w:r>
      <w:r w:rsidR="003C2798">
        <w:rPr>
          <w:rFonts w:ascii="宋体" w:eastAsia="宋体" w:hAnsi="宋体"/>
          <w:szCs w:val="21"/>
        </w:rPr>
        <w:t>0</w:t>
      </w:r>
      <w:r w:rsidRPr="009E4620">
        <w:rPr>
          <w:rFonts w:ascii="宋体" w:eastAsia="宋体" w:hAnsi="宋体" w:hint="eastAsia"/>
          <w:szCs w:val="21"/>
        </w:rPr>
        <w:t>日，本报告中所列财务数据未经审计。</w:t>
      </w:r>
    </w:p>
    <w:p w14:paraId="59816519" w14:textId="77777777" w:rsidR="003C2798" w:rsidRPr="0058096F" w:rsidRDefault="003C2798" w:rsidP="003C2798">
      <w:pPr>
        <w:pStyle w:val="zhangjiep"/>
        <w:rPr>
          <w:rFonts w:cstheme="minorBidi"/>
          <w:kern w:val="2"/>
          <w:sz w:val="21"/>
          <w:szCs w:val="21"/>
        </w:rPr>
      </w:pPr>
      <w:bookmarkStart w:id="10" w:name="_Toc85725557"/>
      <w:r w:rsidRPr="0058096F">
        <w:rPr>
          <w:rFonts w:cstheme="minorBidi"/>
          <w:kern w:val="2"/>
          <w:sz w:val="21"/>
          <w:szCs w:val="21"/>
        </w:rPr>
        <w:t xml:space="preserve">1、 </w:t>
      </w:r>
      <w:r w:rsidRPr="0058096F">
        <w:rPr>
          <w:rFonts w:cstheme="minorBidi" w:hint="eastAsia"/>
          <w:kern w:val="2"/>
          <w:sz w:val="21"/>
          <w:szCs w:val="21"/>
        </w:rPr>
        <w:t>报告期末基金资产组合情况</w:t>
      </w:r>
      <w:bookmarkEnd w:id="10"/>
    </w:p>
    <w:tbl>
      <w:tblPr>
        <w:tblW w:w="0" w:type="auto"/>
        <w:tblInd w:w="108" w:type="dxa"/>
        <w:tblLook w:val="04A0" w:firstRow="1" w:lastRow="0" w:firstColumn="1" w:lastColumn="0" w:noHBand="0" w:noVBand="1"/>
      </w:tblPr>
      <w:tblGrid>
        <w:gridCol w:w="717"/>
        <w:gridCol w:w="2226"/>
        <w:gridCol w:w="3099"/>
        <w:gridCol w:w="2372"/>
      </w:tblGrid>
      <w:tr w:rsidR="003C2798" w:rsidRPr="003C2798" w14:paraId="39D6B24A" w14:textId="77777777" w:rsidTr="00016488">
        <w:tc>
          <w:tcPr>
            <w:tcW w:w="1340" w:type="dxa"/>
            <w:tcBorders>
              <w:top w:val="single" w:sz="8" w:space="0" w:color="000000"/>
              <w:left w:val="single" w:sz="8" w:space="0" w:color="000000"/>
              <w:bottom w:val="single" w:sz="6" w:space="0" w:color="000000"/>
              <w:right w:val="single" w:sz="8" w:space="0" w:color="000000"/>
            </w:tcBorders>
            <w:vAlign w:val="center"/>
            <w:hideMark/>
          </w:tcPr>
          <w:p w14:paraId="54106891"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序号</w:t>
            </w:r>
          </w:p>
        </w:tc>
        <w:tc>
          <w:tcPr>
            <w:tcW w:w="3819" w:type="dxa"/>
            <w:tcBorders>
              <w:top w:val="single" w:sz="8" w:space="0" w:color="000000"/>
              <w:left w:val="single" w:sz="8" w:space="0" w:color="000000"/>
              <w:bottom w:val="single" w:sz="6" w:space="0" w:color="000000"/>
              <w:right w:val="single" w:sz="8" w:space="0" w:color="000000"/>
            </w:tcBorders>
            <w:vAlign w:val="center"/>
            <w:hideMark/>
          </w:tcPr>
          <w:p w14:paraId="14885F8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项目</w:t>
            </w:r>
          </w:p>
        </w:tc>
        <w:tc>
          <w:tcPr>
            <w:tcW w:w="2019" w:type="dxa"/>
            <w:tcBorders>
              <w:top w:val="single" w:sz="8" w:space="0" w:color="000000"/>
              <w:left w:val="single" w:sz="8" w:space="0" w:color="000000"/>
              <w:bottom w:val="single" w:sz="6" w:space="0" w:color="000000"/>
              <w:right w:val="single" w:sz="8" w:space="0" w:color="000000"/>
            </w:tcBorders>
            <w:vAlign w:val="center"/>
            <w:hideMark/>
          </w:tcPr>
          <w:p w14:paraId="4EC5007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金额</w:t>
            </w:r>
            <w:r w:rsidRPr="0058096F">
              <w:rPr>
                <w:rFonts w:cstheme="minorBidi"/>
                <w:kern w:val="2"/>
                <w:sz w:val="21"/>
                <w:szCs w:val="21"/>
              </w:rPr>
              <w:t>(元)</w:t>
            </w:r>
          </w:p>
        </w:tc>
        <w:tc>
          <w:tcPr>
            <w:tcW w:w="3019" w:type="dxa"/>
            <w:tcBorders>
              <w:top w:val="single" w:sz="8" w:space="0" w:color="000000"/>
              <w:left w:val="single" w:sz="8" w:space="0" w:color="000000"/>
              <w:bottom w:val="single" w:sz="6" w:space="0" w:color="000000"/>
              <w:right w:val="single" w:sz="8" w:space="0" w:color="000000"/>
            </w:tcBorders>
            <w:vAlign w:val="center"/>
            <w:hideMark/>
          </w:tcPr>
          <w:p w14:paraId="76AF3023"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占基金总资产的比例（</w:t>
            </w:r>
            <w:r w:rsidRPr="0058096F">
              <w:rPr>
                <w:rFonts w:cstheme="minorBidi"/>
                <w:kern w:val="2"/>
                <w:sz w:val="21"/>
                <w:szCs w:val="21"/>
              </w:rPr>
              <w:t>%）</w:t>
            </w:r>
          </w:p>
        </w:tc>
      </w:tr>
      <w:tr w:rsidR="003C2798" w:rsidRPr="003C2798" w14:paraId="36D10F49"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7C82993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93CFF77"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权益投资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421577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E2544E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41349F29"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0D44344C" w14:textId="77777777" w:rsidR="003C2798" w:rsidRPr="00016488" w:rsidRDefault="003C2798" w:rsidP="0058096F">
            <w:pPr>
              <w:pStyle w:val="zhangjiep"/>
              <w:jc w:val="both"/>
              <w:rPr>
                <w:szCs w:val="21"/>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C96F3BF"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其中：股票</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611995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C3465D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5DF22504"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1ACAB38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D54F38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基金投资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F0FDE4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ECE5DD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4893CE48"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2D83019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3</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5E0D05B"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固定收益投资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CA5E60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1,012,058,000.00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375C85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75.75</w:t>
            </w:r>
          </w:p>
        </w:tc>
      </w:tr>
      <w:tr w:rsidR="003C2798" w:rsidRPr="003C2798" w14:paraId="6628E616"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695D72BA" w14:textId="77777777" w:rsidR="003C2798" w:rsidRPr="00016488" w:rsidRDefault="003C2798" w:rsidP="0058096F">
            <w:pPr>
              <w:pStyle w:val="zhangjiep"/>
              <w:jc w:val="both"/>
              <w:rPr>
                <w:szCs w:val="21"/>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10729D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其中：债券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ADD79B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1,012,058,000.00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D9271E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75.75</w:t>
            </w:r>
          </w:p>
        </w:tc>
      </w:tr>
      <w:tr w:rsidR="003C2798" w:rsidRPr="003C2798" w14:paraId="0F1ED413"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4A0FD027" w14:textId="77777777" w:rsidR="003C2798" w:rsidRPr="00016488" w:rsidRDefault="003C2798" w:rsidP="0058096F">
            <w:pPr>
              <w:pStyle w:val="zhangjiep"/>
              <w:jc w:val="both"/>
              <w:rPr>
                <w:szCs w:val="21"/>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BB1532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资产支持证券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CD05AC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037936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24028763"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2CBAA7D5"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4</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FC5626F"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贵金属投资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25DFDD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ADEE4F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38986CD8"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1010A88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A1DE210"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金融衍生品投资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776614C"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37F602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470EF743"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4A94688B"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A7B80AD"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F04411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310,000,145.00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141094F"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23.20</w:t>
            </w:r>
          </w:p>
        </w:tc>
      </w:tr>
      <w:tr w:rsidR="003C2798" w:rsidRPr="003C2798" w14:paraId="1185807C"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24309DD5" w14:textId="77777777" w:rsidR="003C2798" w:rsidRPr="00016488" w:rsidRDefault="003C2798" w:rsidP="0058096F">
            <w:pPr>
              <w:pStyle w:val="zhangjiep"/>
              <w:jc w:val="both"/>
              <w:rPr>
                <w:szCs w:val="21"/>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823BBB5"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其中：买断式回购的买入返售金融资产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DE50BF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708A3E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257C9D9B"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499ED02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CA4C128"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银行存款和结算备付金合计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7931CF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57,022.41</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1C9CAF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0.00</w:t>
            </w:r>
          </w:p>
        </w:tc>
      </w:tr>
      <w:tr w:rsidR="003C2798" w:rsidRPr="003C2798" w14:paraId="04A006C1"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38B7136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2705D4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其他资产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BB7B7E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13,964,816.28</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217C2FC"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1.05</w:t>
            </w:r>
          </w:p>
        </w:tc>
      </w:tr>
      <w:tr w:rsidR="003C2798" w:rsidRPr="003C2798" w14:paraId="765A4A6D"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0A2FDF5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9982CE0"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DFE7B8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1,336,079,983.69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6D5779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100.00</w:t>
            </w:r>
          </w:p>
        </w:tc>
      </w:tr>
    </w:tbl>
    <w:p w14:paraId="00E61EA1" w14:textId="77777777" w:rsidR="003C2798" w:rsidRPr="0058096F" w:rsidRDefault="003C2798" w:rsidP="0058096F">
      <w:pPr>
        <w:pStyle w:val="zhangjiep"/>
        <w:jc w:val="both"/>
        <w:rPr>
          <w:rFonts w:cstheme="minorBidi"/>
          <w:kern w:val="2"/>
          <w:sz w:val="21"/>
          <w:szCs w:val="21"/>
        </w:rPr>
      </w:pPr>
    </w:p>
    <w:p w14:paraId="1731B0AD" w14:textId="77777777" w:rsidR="003C2798" w:rsidRPr="0058096F" w:rsidRDefault="003C2798" w:rsidP="0058096F">
      <w:pPr>
        <w:pStyle w:val="zhangjiep"/>
        <w:jc w:val="both"/>
        <w:rPr>
          <w:rFonts w:cstheme="minorBidi"/>
          <w:kern w:val="2"/>
          <w:sz w:val="21"/>
          <w:szCs w:val="21"/>
        </w:rPr>
      </w:pPr>
      <w:bookmarkStart w:id="11" w:name="_Toc85725558"/>
      <w:r w:rsidRPr="0058096F">
        <w:rPr>
          <w:rFonts w:cstheme="minorBidi"/>
          <w:kern w:val="2"/>
          <w:sz w:val="21"/>
          <w:szCs w:val="21"/>
        </w:rPr>
        <w:t xml:space="preserve">2、 </w:t>
      </w:r>
      <w:r w:rsidRPr="0058096F">
        <w:rPr>
          <w:rFonts w:cstheme="minorBidi" w:hint="eastAsia"/>
          <w:kern w:val="2"/>
          <w:sz w:val="21"/>
          <w:szCs w:val="21"/>
        </w:rPr>
        <w:t>报告期末按行业分类的股票投资组合</w:t>
      </w:r>
      <w:bookmarkEnd w:id="11"/>
    </w:p>
    <w:p w14:paraId="68539A7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2.1 </w:t>
      </w:r>
      <w:r w:rsidRPr="0058096F">
        <w:rPr>
          <w:rFonts w:cstheme="minorBidi" w:hint="eastAsia"/>
          <w:kern w:val="2"/>
          <w:sz w:val="21"/>
          <w:szCs w:val="21"/>
        </w:rPr>
        <w:t>、报告期末按行业分类的境内股票投资组合</w:t>
      </w:r>
    </w:p>
    <w:p w14:paraId="6A58ABDD"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lastRenderedPageBreak/>
        <w:t>  本基金本报告期末未持有股票。</w:t>
      </w:r>
    </w:p>
    <w:p w14:paraId="66C6387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2.2 </w:t>
      </w:r>
      <w:r w:rsidRPr="0058096F">
        <w:rPr>
          <w:rFonts w:cstheme="minorBidi" w:hint="eastAsia"/>
          <w:kern w:val="2"/>
          <w:sz w:val="21"/>
          <w:szCs w:val="21"/>
        </w:rPr>
        <w:t>、报告期末按行业分类的港股通投资股票投资组合</w:t>
      </w:r>
    </w:p>
    <w:p w14:paraId="5D711EBF"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  本基金本报告期末未持有港股通股票。</w:t>
      </w:r>
    </w:p>
    <w:p w14:paraId="57B56658" w14:textId="77777777" w:rsidR="003C2798" w:rsidRPr="00016488" w:rsidRDefault="003C2798" w:rsidP="0058096F">
      <w:pPr>
        <w:pStyle w:val="zhangjiep"/>
        <w:jc w:val="both"/>
        <w:rPr>
          <w:szCs w:val="21"/>
        </w:rPr>
      </w:pPr>
      <w:r w:rsidRPr="0058096F">
        <w:rPr>
          <w:rFonts w:cstheme="minorBidi"/>
          <w:kern w:val="2"/>
          <w:sz w:val="21"/>
          <w:szCs w:val="21"/>
        </w:rPr>
        <w:br/>
      </w:r>
      <w:bookmarkStart w:id="12" w:name="_Toc85725559"/>
      <w:r w:rsidRPr="0058096F">
        <w:rPr>
          <w:rFonts w:cstheme="minorBidi"/>
          <w:kern w:val="2"/>
          <w:sz w:val="21"/>
          <w:szCs w:val="21"/>
        </w:rPr>
        <w:t>3</w:t>
      </w:r>
      <w:r w:rsidRPr="0058096F">
        <w:rPr>
          <w:rFonts w:cstheme="minorBidi" w:hint="eastAsia"/>
          <w:kern w:val="2"/>
          <w:sz w:val="21"/>
          <w:szCs w:val="21"/>
        </w:rPr>
        <w:t>、</w:t>
      </w:r>
      <w:r w:rsidRPr="0058096F">
        <w:rPr>
          <w:rFonts w:cstheme="minorBidi"/>
          <w:kern w:val="2"/>
          <w:sz w:val="21"/>
          <w:szCs w:val="21"/>
        </w:rPr>
        <w:t xml:space="preserve"> </w:t>
      </w:r>
      <w:r w:rsidRPr="0058096F">
        <w:rPr>
          <w:rFonts w:cstheme="minorBidi" w:hint="eastAsia"/>
          <w:kern w:val="2"/>
          <w:sz w:val="21"/>
          <w:szCs w:val="21"/>
        </w:rPr>
        <w:t>报告期末按公允价值占基金资产净值比例大小排序的前十名股票投资明细</w:t>
      </w:r>
      <w:bookmarkEnd w:id="12"/>
    </w:p>
    <w:p w14:paraId="6524197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  本基金本报告期末未持有股票。</w:t>
      </w:r>
    </w:p>
    <w:p w14:paraId="34F16F07" w14:textId="77777777" w:rsidR="003C2798" w:rsidRPr="0058096F" w:rsidRDefault="003C2798" w:rsidP="0058096F">
      <w:pPr>
        <w:pStyle w:val="biaogeright"/>
        <w:jc w:val="both"/>
        <w:rPr>
          <w:rFonts w:cstheme="minorBidi"/>
          <w:kern w:val="2"/>
          <w:sz w:val="21"/>
          <w:szCs w:val="21"/>
        </w:rPr>
      </w:pPr>
    </w:p>
    <w:p w14:paraId="2D3D2AFF" w14:textId="77777777" w:rsidR="003C2798" w:rsidRPr="00016488" w:rsidRDefault="003C2798" w:rsidP="0058096F">
      <w:pPr>
        <w:pStyle w:val="zhangjiep"/>
        <w:jc w:val="both"/>
        <w:rPr>
          <w:szCs w:val="21"/>
        </w:rPr>
      </w:pPr>
      <w:bookmarkStart w:id="13" w:name="_Toc85725560"/>
      <w:r w:rsidRPr="0058096F">
        <w:rPr>
          <w:rFonts w:cstheme="minorBidi"/>
          <w:kern w:val="2"/>
          <w:sz w:val="21"/>
          <w:szCs w:val="21"/>
        </w:rPr>
        <w:t>4</w:t>
      </w:r>
      <w:r w:rsidRPr="0058096F">
        <w:rPr>
          <w:rFonts w:cstheme="minorBidi" w:hint="eastAsia"/>
          <w:kern w:val="2"/>
          <w:sz w:val="21"/>
          <w:szCs w:val="21"/>
        </w:rPr>
        <w:t>、报告期末按债券品种分类的债券投资组合</w:t>
      </w:r>
      <w:bookmarkEnd w:id="13"/>
    </w:p>
    <w:tbl>
      <w:tblPr>
        <w:tblW w:w="9045" w:type="dxa"/>
        <w:tblInd w:w="108" w:type="dxa"/>
        <w:tblLook w:val="04A0" w:firstRow="1" w:lastRow="0" w:firstColumn="1" w:lastColumn="0" w:noHBand="0" w:noVBand="1"/>
      </w:tblPr>
      <w:tblGrid>
        <w:gridCol w:w="1206"/>
        <w:gridCol w:w="2480"/>
        <w:gridCol w:w="2410"/>
        <w:gridCol w:w="2949"/>
      </w:tblGrid>
      <w:tr w:rsidR="003C2798" w:rsidRPr="003C2798" w14:paraId="4B17DEC5"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1EA74F1B"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序号</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139289D1"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债券品种</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77BDC39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公允价值</w:t>
            </w:r>
            <w:r w:rsidRPr="0058096F">
              <w:rPr>
                <w:rFonts w:cstheme="minorBidi"/>
                <w:kern w:val="2"/>
                <w:sz w:val="21"/>
                <w:szCs w:val="21"/>
              </w:rPr>
              <w:t>(元)</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46050EDC"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占基金资产净值比例（％）</w:t>
            </w:r>
          </w:p>
        </w:tc>
      </w:tr>
      <w:tr w:rsidR="003C2798" w:rsidRPr="003C2798" w14:paraId="7894A584"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6DCA050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7A2FD919"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国家债券</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18A8822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1395E59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32DCE141"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799EC1D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5A7F7646"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央行票据</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66E9508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1FC3BAA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2C4BB714"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5EBA37C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3</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28F9C959"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金融债券</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11AE13D5"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1,012,058,000.00</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5E3B843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99.50</w:t>
            </w:r>
          </w:p>
        </w:tc>
      </w:tr>
      <w:tr w:rsidR="003C2798" w:rsidRPr="003C2798" w14:paraId="13F33AE4"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6FBB3B3A" w14:textId="77777777" w:rsidR="003C2798" w:rsidRPr="00016488" w:rsidRDefault="003C2798" w:rsidP="0058096F">
            <w:pPr>
              <w:pStyle w:val="zhangjiep"/>
              <w:jc w:val="both"/>
              <w:rPr>
                <w:szCs w:val="21"/>
              </w:rPr>
            </w:pP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7CDC0C6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其中：政策性金融债</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20D5318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1,012,058,000.00</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2DD9B4A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99.50</w:t>
            </w:r>
          </w:p>
        </w:tc>
      </w:tr>
      <w:tr w:rsidR="003C2798" w:rsidRPr="003C2798" w14:paraId="3B1939F8"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7526EB5B"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4</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711FFA8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企业债券</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72DB835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6A4A2FD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717A4671"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51D1BF2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5</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769F0FC2"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企业短期融资券</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4F2C8873"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7A7B911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22F31D8A"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7AED5FA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6</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7F7B5438"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中期票据</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395ADE5B"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6E11263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762DE61C"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63C0F4CC"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7C7C22C1"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可转债（可交换债）</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414E2E7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6F5A4C4C"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3F7733DC"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59E1AC9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41A716C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同业存单</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422124FC"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0C94B1D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25644BD8"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5B0D65F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9</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2C0CEBC0"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其他</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06BD01B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1BF8731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05140791" w14:textId="77777777" w:rsidTr="003C2798">
        <w:tc>
          <w:tcPr>
            <w:tcW w:w="1206" w:type="dxa"/>
            <w:tcBorders>
              <w:top w:val="single" w:sz="8" w:space="0" w:color="000000"/>
              <w:left w:val="single" w:sz="8" w:space="0" w:color="000000"/>
              <w:bottom w:val="single" w:sz="6" w:space="0" w:color="000000"/>
              <w:right w:val="single" w:sz="8" w:space="0" w:color="000000"/>
            </w:tcBorders>
            <w:vAlign w:val="center"/>
            <w:hideMark/>
          </w:tcPr>
          <w:p w14:paraId="13BE551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w:t>
            </w:r>
          </w:p>
        </w:tc>
        <w:tc>
          <w:tcPr>
            <w:tcW w:w="2480" w:type="dxa"/>
            <w:tcBorders>
              <w:top w:val="single" w:sz="8" w:space="0" w:color="000000"/>
              <w:left w:val="single" w:sz="8" w:space="0" w:color="000000"/>
              <w:bottom w:val="single" w:sz="6" w:space="0" w:color="000000"/>
              <w:right w:val="single" w:sz="8" w:space="0" w:color="000000"/>
            </w:tcBorders>
            <w:vAlign w:val="center"/>
            <w:hideMark/>
          </w:tcPr>
          <w:p w14:paraId="07D23E7A"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合计</w:t>
            </w:r>
          </w:p>
        </w:tc>
        <w:tc>
          <w:tcPr>
            <w:tcW w:w="2410" w:type="dxa"/>
            <w:tcBorders>
              <w:top w:val="single" w:sz="8" w:space="0" w:color="000000"/>
              <w:left w:val="single" w:sz="8" w:space="0" w:color="000000"/>
              <w:bottom w:val="single" w:sz="6" w:space="0" w:color="000000"/>
              <w:right w:val="single" w:sz="8" w:space="0" w:color="000000"/>
            </w:tcBorders>
            <w:vAlign w:val="center"/>
            <w:hideMark/>
          </w:tcPr>
          <w:p w14:paraId="27B384DF"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1,012,058,000.00</w:t>
            </w:r>
          </w:p>
        </w:tc>
        <w:tc>
          <w:tcPr>
            <w:tcW w:w="2949" w:type="dxa"/>
            <w:tcBorders>
              <w:top w:val="single" w:sz="8" w:space="0" w:color="000000"/>
              <w:left w:val="single" w:sz="8" w:space="0" w:color="000000"/>
              <w:bottom w:val="single" w:sz="6" w:space="0" w:color="000000"/>
              <w:right w:val="single" w:sz="8" w:space="0" w:color="000000"/>
            </w:tcBorders>
            <w:vAlign w:val="center"/>
            <w:hideMark/>
          </w:tcPr>
          <w:p w14:paraId="2CFD1B7B"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99.50</w:t>
            </w:r>
          </w:p>
        </w:tc>
      </w:tr>
    </w:tbl>
    <w:p w14:paraId="6C72FCE5" w14:textId="77777777" w:rsidR="003C2798" w:rsidRPr="0058096F" w:rsidRDefault="003C2798" w:rsidP="0058096F">
      <w:pPr>
        <w:pStyle w:val="zhangjiep"/>
        <w:jc w:val="both"/>
        <w:rPr>
          <w:rFonts w:cstheme="minorBidi"/>
          <w:kern w:val="2"/>
          <w:sz w:val="21"/>
          <w:szCs w:val="21"/>
        </w:rPr>
      </w:pPr>
    </w:p>
    <w:p w14:paraId="125CD860" w14:textId="77777777" w:rsidR="003C2798" w:rsidRPr="0058096F" w:rsidRDefault="003C2798" w:rsidP="0058096F">
      <w:pPr>
        <w:pStyle w:val="zhangjiep"/>
        <w:jc w:val="both"/>
        <w:rPr>
          <w:rFonts w:cstheme="minorBidi"/>
          <w:kern w:val="2"/>
          <w:sz w:val="21"/>
          <w:szCs w:val="21"/>
        </w:rPr>
      </w:pPr>
      <w:bookmarkStart w:id="14" w:name="_Toc85725561"/>
      <w:r w:rsidRPr="0058096F">
        <w:rPr>
          <w:rFonts w:cstheme="minorBidi"/>
          <w:kern w:val="2"/>
          <w:sz w:val="21"/>
          <w:szCs w:val="21"/>
        </w:rPr>
        <w:t xml:space="preserve">5、 </w:t>
      </w:r>
      <w:r w:rsidRPr="0058096F">
        <w:rPr>
          <w:rFonts w:cstheme="minorBidi" w:hint="eastAsia"/>
          <w:kern w:val="2"/>
          <w:sz w:val="21"/>
          <w:szCs w:val="21"/>
        </w:rPr>
        <w:t>报告期末按公允价值占基金资产净值比例大小排序的前五名债券投资明细</w:t>
      </w:r>
      <w:bookmarkEnd w:id="14"/>
    </w:p>
    <w:tbl>
      <w:tblPr>
        <w:tblW w:w="9120" w:type="dxa"/>
        <w:tblInd w:w="108" w:type="dxa"/>
        <w:tblLook w:val="04A0" w:firstRow="1" w:lastRow="0" w:firstColumn="1" w:lastColumn="0" w:noHBand="0" w:noVBand="1"/>
      </w:tblPr>
      <w:tblGrid>
        <w:gridCol w:w="441"/>
        <w:gridCol w:w="1200"/>
        <w:gridCol w:w="1893"/>
        <w:gridCol w:w="1626"/>
        <w:gridCol w:w="2160"/>
        <w:gridCol w:w="1800"/>
      </w:tblGrid>
      <w:tr w:rsidR="003C2798" w:rsidRPr="003C2798" w14:paraId="3E463FD8" w14:textId="77777777" w:rsidTr="00016488">
        <w:tc>
          <w:tcPr>
            <w:tcW w:w="300" w:type="dxa"/>
            <w:tcBorders>
              <w:top w:val="single" w:sz="8" w:space="0" w:color="000000"/>
              <w:left w:val="single" w:sz="8" w:space="0" w:color="000000"/>
              <w:bottom w:val="single" w:sz="6" w:space="0" w:color="000000"/>
              <w:right w:val="single" w:sz="8" w:space="0" w:color="000000"/>
            </w:tcBorders>
            <w:vAlign w:val="center"/>
            <w:hideMark/>
          </w:tcPr>
          <w:p w14:paraId="0EE5A608"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序号</w:t>
            </w:r>
          </w:p>
        </w:tc>
        <w:tc>
          <w:tcPr>
            <w:tcW w:w="1200" w:type="dxa"/>
            <w:tcBorders>
              <w:top w:val="single" w:sz="8" w:space="0" w:color="000000"/>
              <w:left w:val="single" w:sz="8" w:space="0" w:color="000000"/>
              <w:bottom w:val="single" w:sz="6" w:space="0" w:color="000000"/>
              <w:right w:val="single" w:sz="8" w:space="0" w:color="000000"/>
            </w:tcBorders>
            <w:vAlign w:val="center"/>
            <w:hideMark/>
          </w:tcPr>
          <w:p w14:paraId="1B1F3B81"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债券代码</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83A78FD"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债券名称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640536F"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数量（张）</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CCD94C7"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公允价值</w:t>
            </w:r>
            <w:r w:rsidRPr="0058096F">
              <w:rPr>
                <w:rFonts w:cstheme="minorBidi"/>
                <w:kern w:val="2"/>
                <w:sz w:val="21"/>
                <w:szCs w:val="21"/>
              </w:rPr>
              <w:t>(元)</w:t>
            </w:r>
          </w:p>
        </w:tc>
        <w:tc>
          <w:tcPr>
            <w:tcW w:w="1800" w:type="dxa"/>
            <w:tcBorders>
              <w:top w:val="single" w:sz="8" w:space="0" w:color="000000"/>
              <w:left w:val="single" w:sz="8" w:space="0" w:color="000000"/>
              <w:bottom w:val="single" w:sz="6" w:space="0" w:color="000000"/>
              <w:right w:val="single" w:sz="8" w:space="0" w:color="000000"/>
            </w:tcBorders>
            <w:vAlign w:val="center"/>
            <w:hideMark/>
          </w:tcPr>
          <w:p w14:paraId="35D16CC3"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占基金资产净值比例（％）</w:t>
            </w:r>
          </w:p>
        </w:tc>
      </w:tr>
      <w:tr w:rsidR="003C2798" w:rsidRPr="003C2798" w14:paraId="43BB9F33"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280C147E"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727AE323"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200302</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6F68ACD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20进出02</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DBBF9D8"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1,600,000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F6C946E"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159,728,000.00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3872C4F"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15.70</w:t>
            </w:r>
          </w:p>
        </w:tc>
      </w:tr>
      <w:tr w:rsidR="003C2798" w:rsidRPr="003C2798" w14:paraId="00ADAE6B"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0FD752D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29146B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092018001</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A51A63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20</w:t>
            </w:r>
            <w:r w:rsidRPr="0058096F">
              <w:rPr>
                <w:rFonts w:cstheme="minorBidi" w:hint="eastAsia"/>
                <w:kern w:val="2"/>
                <w:sz w:val="21"/>
                <w:szCs w:val="21"/>
              </w:rPr>
              <w:t>农发清发</w:t>
            </w:r>
            <w:r w:rsidRPr="0058096F">
              <w:rPr>
                <w:rFonts w:cstheme="minorBidi"/>
                <w:kern w:val="2"/>
                <w:sz w:val="21"/>
                <w:szCs w:val="21"/>
              </w:rPr>
              <w:t>01</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961F1AF"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1,400,000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D81836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139,958,000.00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C9B663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13.76</w:t>
            </w:r>
          </w:p>
        </w:tc>
      </w:tr>
      <w:tr w:rsidR="003C2798" w:rsidRPr="003C2798" w14:paraId="2187C7B2"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2208EF3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3</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BCD577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190207</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FA035D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19国开07</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603E930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1,200,000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B9A9103"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120,576,000.00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3B9FF6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11.85</w:t>
            </w:r>
          </w:p>
        </w:tc>
      </w:tr>
      <w:tr w:rsidR="003C2798" w:rsidRPr="003C2798" w14:paraId="2FBE21DE"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7104B0C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4</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BFDEC0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190202</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755860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19国开02</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6703126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7BE505A7"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80,184,000.00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C16BF85"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7.88</w:t>
            </w:r>
          </w:p>
        </w:tc>
      </w:tr>
      <w:tr w:rsidR="003C2798" w:rsidRPr="003C2798" w14:paraId="14434D3A" w14:textId="77777777" w:rsidTr="00016488">
        <w:tc>
          <w:tcPr>
            <w:tcW w:w="0" w:type="auto"/>
            <w:tcBorders>
              <w:top w:val="single" w:sz="8" w:space="0" w:color="000000"/>
              <w:left w:val="single" w:sz="8" w:space="0" w:color="000000"/>
              <w:bottom w:val="single" w:sz="6" w:space="0" w:color="000000"/>
              <w:right w:val="single" w:sz="8" w:space="0" w:color="000000"/>
            </w:tcBorders>
            <w:vAlign w:val="center"/>
            <w:hideMark/>
          </w:tcPr>
          <w:p w14:paraId="2C25FF3E"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5</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8BDACD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210401</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F9C7A3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21农发01</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10A509A"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3C2E0A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80,128,000.00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630AC0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7.88</w:t>
            </w:r>
          </w:p>
        </w:tc>
      </w:tr>
    </w:tbl>
    <w:p w14:paraId="74F659A6" w14:textId="77777777" w:rsidR="003C2798" w:rsidRPr="0058096F" w:rsidRDefault="003C2798" w:rsidP="0058096F">
      <w:pPr>
        <w:pStyle w:val="zhangjiep"/>
        <w:jc w:val="both"/>
        <w:rPr>
          <w:rFonts w:cstheme="minorBidi"/>
          <w:kern w:val="2"/>
          <w:sz w:val="21"/>
          <w:szCs w:val="21"/>
        </w:rPr>
      </w:pPr>
    </w:p>
    <w:p w14:paraId="29DA1C42" w14:textId="77777777" w:rsidR="003C2798" w:rsidRPr="0058096F" w:rsidRDefault="003C2798" w:rsidP="0058096F">
      <w:pPr>
        <w:pStyle w:val="zhangjiep"/>
        <w:jc w:val="both"/>
        <w:rPr>
          <w:rFonts w:cstheme="minorBidi"/>
          <w:kern w:val="2"/>
          <w:sz w:val="21"/>
          <w:szCs w:val="21"/>
        </w:rPr>
      </w:pPr>
      <w:bookmarkStart w:id="15" w:name="_Toc85725562"/>
      <w:r w:rsidRPr="0058096F">
        <w:rPr>
          <w:rFonts w:cstheme="minorBidi"/>
          <w:kern w:val="2"/>
          <w:sz w:val="21"/>
          <w:szCs w:val="21"/>
        </w:rPr>
        <w:t xml:space="preserve">6 </w:t>
      </w:r>
      <w:r w:rsidRPr="0058096F">
        <w:rPr>
          <w:rFonts w:cstheme="minorBidi" w:hint="eastAsia"/>
          <w:kern w:val="2"/>
          <w:sz w:val="21"/>
          <w:szCs w:val="21"/>
        </w:rPr>
        <w:t>、报告期末按公允价值占基金资产净值比例大小排序的前十名资产支持证券投资明细</w:t>
      </w:r>
      <w:bookmarkEnd w:id="15"/>
    </w:p>
    <w:p w14:paraId="2F7AD9A2"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  本基金本报告期末未持有资产支持证券。</w:t>
      </w:r>
    </w:p>
    <w:p w14:paraId="16FBE489" w14:textId="77777777" w:rsidR="003C2798" w:rsidRPr="0058096F" w:rsidRDefault="003C2798" w:rsidP="0058096F">
      <w:pPr>
        <w:pStyle w:val="zhangjiep"/>
        <w:jc w:val="both"/>
        <w:rPr>
          <w:rFonts w:cstheme="minorBidi"/>
          <w:kern w:val="2"/>
          <w:sz w:val="21"/>
          <w:szCs w:val="21"/>
        </w:rPr>
      </w:pPr>
    </w:p>
    <w:p w14:paraId="587B1696" w14:textId="77777777" w:rsidR="003C2798" w:rsidRPr="0058096F" w:rsidRDefault="003C2798" w:rsidP="0058096F">
      <w:pPr>
        <w:pStyle w:val="zhangjiep"/>
        <w:jc w:val="both"/>
        <w:rPr>
          <w:rFonts w:cstheme="minorBidi"/>
          <w:kern w:val="2"/>
          <w:sz w:val="21"/>
          <w:szCs w:val="21"/>
        </w:rPr>
      </w:pPr>
      <w:bookmarkStart w:id="16" w:name="_Toc85725563"/>
      <w:r w:rsidRPr="0058096F">
        <w:rPr>
          <w:rFonts w:cstheme="minorBidi"/>
          <w:kern w:val="2"/>
          <w:sz w:val="21"/>
          <w:szCs w:val="21"/>
        </w:rPr>
        <w:t xml:space="preserve">7 </w:t>
      </w:r>
      <w:r w:rsidRPr="0058096F">
        <w:rPr>
          <w:rFonts w:cstheme="minorBidi" w:hint="eastAsia"/>
          <w:kern w:val="2"/>
          <w:sz w:val="21"/>
          <w:szCs w:val="21"/>
        </w:rPr>
        <w:t>、报告期末按公允价值占基金资产净值比例大小排序的前五名贵金属投资明细</w:t>
      </w:r>
      <w:bookmarkEnd w:id="16"/>
    </w:p>
    <w:p w14:paraId="051E68E3"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lastRenderedPageBreak/>
        <w:t>  本基金本报告期末未持有贵金属。</w:t>
      </w:r>
    </w:p>
    <w:p w14:paraId="7AAA919F" w14:textId="77777777" w:rsidR="003C2798" w:rsidRPr="0058096F" w:rsidRDefault="003C2798" w:rsidP="0058096F">
      <w:pPr>
        <w:pStyle w:val="zhangjiep"/>
        <w:jc w:val="both"/>
        <w:rPr>
          <w:rFonts w:cstheme="minorBidi"/>
          <w:kern w:val="2"/>
          <w:sz w:val="21"/>
          <w:szCs w:val="21"/>
        </w:rPr>
      </w:pPr>
    </w:p>
    <w:p w14:paraId="7CA173B3" w14:textId="77777777" w:rsidR="003C2798" w:rsidRPr="0058096F" w:rsidRDefault="003C2798" w:rsidP="0058096F">
      <w:pPr>
        <w:pStyle w:val="zhangjiep"/>
        <w:jc w:val="both"/>
        <w:rPr>
          <w:rFonts w:cstheme="minorBidi"/>
          <w:kern w:val="2"/>
          <w:sz w:val="21"/>
          <w:szCs w:val="21"/>
        </w:rPr>
      </w:pPr>
      <w:bookmarkStart w:id="17" w:name="_Toc85725564"/>
      <w:r w:rsidRPr="0058096F">
        <w:rPr>
          <w:rFonts w:cstheme="minorBidi"/>
          <w:kern w:val="2"/>
          <w:sz w:val="21"/>
          <w:szCs w:val="21"/>
        </w:rPr>
        <w:t xml:space="preserve">8 </w:t>
      </w:r>
      <w:r w:rsidRPr="0058096F">
        <w:rPr>
          <w:rFonts w:cstheme="minorBidi" w:hint="eastAsia"/>
          <w:kern w:val="2"/>
          <w:sz w:val="21"/>
          <w:szCs w:val="21"/>
        </w:rPr>
        <w:t>、报告期末按公允价值占基金资产净值比例大小排序的前五名权证投资明细</w:t>
      </w:r>
      <w:bookmarkEnd w:id="17"/>
    </w:p>
    <w:p w14:paraId="58E08C71"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  本基金本报告期末未持有权证。</w:t>
      </w:r>
    </w:p>
    <w:p w14:paraId="3978B2FA" w14:textId="77777777" w:rsidR="003C2798" w:rsidRPr="0058096F" w:rsidRDefault="003C2798" w:rsidP="0058096F">
      <w:pPr>
        <w:pStyle w:val="zhangjiep"/>
        <w:jc w:val="both"/>
        <w:rPr>
          <w:rFonts w:cstheme="minorBidi"/>
          <w:kern w:val="2"/>
          <w:sz w:val="21"/>
          <w:szCs w:val="21"/>
        </w:rPr>
      </w:pPr>
    </w:p>
    <w:p w14:paraId="6676F82F" w14:textId="77777777" w:rsidR="003C2798" w:rsidRPr="0058096F" w:rsidRDefault="003C2798" w:rsidP="0058096F">
      <w:pPr>
        <w:pStyle w:val="zhangjiep"/>
        <w:jc w:val="both"/>
        <w:rPr>
          <w:rFonts w:cstheme="minorBidi"/>
          <w:kern w:val="2"/>
          <w:sz w:val="21"/>
          <w:szCs w:val="21"/>
        </w:rPr>
      </w:pPr>
      <w:bookmarkStart w:id="18" w:name="_Toc85725565"/>
      <w:r w:rsidRPr="0058096F">
        <w:rPr>
          <w:rFonts w:cstheme="minorBidi"/>
          <w:kern w:val="2"/>
          <w:sz w:val="21"/>
          <w:szCs w:val="21"/>
        </w:rPr>
        <w:t xml:space="preserve">9 </w:t>
      </w:r>
      <w:r w:rsidRPr="0058096F">
        <w:rPr>
          <w:rFonts w:cstheme="minorBidi" w:hint="eastAsia"/>
          <w:kern w:val="2"/>
          <w:sz w:val="21"/>
          <w:szCs w:val="21"/>
        </w:rPr>
        <w:t>、报告期末本基金投资的股指期货交易情况说明</w:t>
      </w:r>
      <w:bookmarkEnd w:id="18"/>
    </w:p>
    <w:p w14:paraId="7D1C1B55"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9.1 </w:t>
      </w:r>
      <w:r w:rsidRPr="0058096F">
        <w:rPr>
          <w:rFonts w:cstheme="minorBidi" w:hint="eastAsia"/>
          <w:kern w:val="2"/>
          <w:sz w:val="21"/>
          <w:szCs w:val="21"/>
        </w:rPr>
        <w:t>、报告期末本基金投资的股指期货持仓和损益明细</w:t>
      </w:r>
    </w:p>
    <w:p w14:paraId="3A517A2D"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本基金本报告期末未投资股指期货。</w:t>
      </w:r>
    </w:p>
    <w:p w14:paraId="62C8D235" w14:textId="77777777" w:rsidR="003C2798" w:rsidRPr="0058096F" w:rsidRDefault="003C2798" w:rsidP="0058096F">
      <w:pPr>
        <w:pStyle w:val="zhangjiep"/>
        <w:jc w:val="both"/>
        <w:rPr>
          <w:rFonts w:cstheme="minorBidi"/>
          <w:kern w:val="2"/>
          <w:sz w:val="21"/>
          <w:szCs w:val="21"/>
        </w:rPr>
      </w:pPr>
    </w:p>
    <w:p w14:paraId="4D352E7E" w14:textId="77777777" w:rsidR="003C2798" w:rsidRPr="0058096F" w:rsidRDefault="003C2798" w:rsidP="0058096F">
      <w:pPr>
        <w:pStyle w:val="zhangjiep"/>
        <w:jc w:val="both"/>
        <w:rPr>
          <w:rFonts w:cstheme="minorBidi"/>
          <w:kern w:val="2"/>
          <w:sz w:val="21"/>
          <w:szCs w:val="21"/>
        </w:rPr>
      </w:pPr>
      <w:r w:rsidRPr="0058096F">
        <w:rPr>
          <w:rFonts w:cstheme="minorBidi"/>
          <w:kern w:val="2"/>
          <w:sz w:val="21"/>
          <w:szCs w:val="21"/>
        </w:rPr>
        <w:t xml:space="preserve">9.2、 </w:t>
      </w:r>
      <w:r w:rsidRPr="0058096F">
        <w:rPr>
          <w:rFonts w:cstheme="minorBidi" w:hint="eastAsia"/>
          <w:kern w:val="2"/>
          <w:sz w:val="21"/>
          <w:szCs w:val="21"/>
        </w:rPr>
        <w:t>本基金投资股指期货的投资政策</w:t>
      </w:r>
    </w:p>
    <w:p w14:paraId="0C457F8D"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本基金本报告期末未投资股指期货。</w:t>
      </w:r>
    </w:p>
    <w:p w14:paraId="613B0DA7" w14:textId="77777777" w:rsidR="003C2798" w:rsidRPr="0058096F" w:rsidRDefault="003C2798" w:rsidP="0058096F">
      <w:pPr>
        <w:pStyle w:val="zhangjiep"/>
        <w:jc w:val="both"/>
        <w:rPr>
          <w:rFonts w:cstheme="minorBidi"/>
          <w:kern w:val="2"/>
          <w:sz w:val="21"/>
          <w:szCs w:val="21"/>
        </w:rPr>
      </w:pPr>
    </w:p>
    <w:p w14:paraId="318799CF" w14:textId="77777777" w:rsidR="003C2798" w:rsidRPr="0058096F" w:rsidRDefault="003C2798" w:rsidP="0058096F">
      <w:pPr>
        <w:pStyle w:val="zhangjiep"/>
        <w:jc w:val="both"/>
        <w:rPr>
          <w:rFonts w:cstheme="minorBidi"/>
          <w:kern w:val="2"/>
          <w:sz w:val="21"/>
          <w:szCs w:val="21"/>
        </w:rPr>
      </w:pPr>
      <w:bookmarkStart w:id="19" w:name="_Toc85725566"/>
      <w:r w:rsidRPr="0058096F">
        <w:rPr>
          <w:rFonts w:cstheme="minorBidi"/>
          <w:kern w:val="2"/>
          <w:sz w:val="21"/>
          <w:szCs w:val="21"/>
        </w:rPr>
        <w:t xml:space="preserve">10 </w:t>
      </w:r>
      <w:r w:rsidRPr="0058096F">
        <w:rPr>
          <w:rFonts w:cstheme="minorBidi" w:hint="eastAsia"/>
          <w:kern w:val="2"/>
          <w:sz w:val="21"/>
          <w:szCs w:val="21"/>
        </w:rPr>
        <w:t>、报告期末本基金投资的国债期货交易情况说明</w:t>
      </w:r>
      <w:bookmarkEnd w:id="19"/>
    </w:p>
    <w:p w14:paraId="3A24616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10.1 </w:t>
      </w:r>
      <w:r w:rsidRPr="0058096F">
        <w:rPr>
          <w:rFonts w:cstheme="minorBidi" w:hint="eastAsia"/>
          <w:kern w:val="2"/>
          <w:sz w:val="21"/>
          <w:szCs w:val="21"/>
        </w:rPr>
        <w:t>、本期国债期货投资政策</w:t>
      </w:r>
    </w:p>
    <w:p w14:paraId="20B8B582"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本基金本报告期末未投资国债期货。</w:t>
      </w:r>
    </w:p>
    <w:p w14:paraId="69180BF3" w14:textId="77777777" w:rsidR="003C2798" w:rsidRPr="0058096F" w:rsidRDefault="003C2798" w:rsidP="0058096F">
      <w:pPr>
        <w:pStyle w:val="zhangjiep"/>
        <w:jc w:val="both"/>
        <w:rPr>
          <w:rFonts w:cstheme="minorBidi"/>
          <w:kern w:val="2"/>
          <w:sz w:val="21"/>
          <w:szCs w:val="21"/>
        </w:rPr>
      </w:pPr>
    </w:p>
    <w:p w14:paraId="5A8F4D4E"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10.2、 </w:t>
      </w:r>
      <w:r w:rsidRPr="0058096F">
        <w:rPr>
          <w:rFonts w:cstheme="minorBidi" w:hint="eastAsia"/>
          <w:kern w:val="2"/>
          <w:sz w:val="21"/>
          <w:szCs w:val="21"/>
        </w:rPr>
        <w:t>报告期末本基金投资的国债期货持仓和损益明细</w:t>
      </w:r>
    </w:p>
    <w:p w14:paraId="469595FB"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本基金本报告期末未投资国债期货。</w:t>
      </w:r>
    </w:p>
    <w:p w14:paraId="73A7A68E" w14:textId="77777777" w:rsidR="003C2798" w:rsidRPr="0058096F" w:rsidRDefault="003C2798" w:rsidP="0058096F">
      <w:pPr>
        <w:pStyle w:val="zhangjiep"/>
        <w:jc w:val="both"/>
        <w:rPr>
          <w:rFonts w:cstheme="minorBidi"/>
          <w:kern w:val="2"/>
          <w:sz w:val="21"/>
          <w:szCs w:val="21"/>
        </w:rPr>
      </w:pPr>
    </w:p>
    <w:p w14:paraId="01AD96C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10.3 </w:t>
      </w:r>
      <w:r w:rsidRPr="0058096F">
        <w:rPr>
          <w:rFonts w:cstheme="minorBidi" w:hint="eastAsia"/>
          <w:kern w:val="2"/>
          <w:sz w:val="21"/>
          <w:szCs w:val="21"/>
        </w:rPr>
        <w:t>、本期国债期货投资评价</w:t>
      </w:r>
    </w:p>
    <w:p w14:paraId="7B7D965F"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本基金本报告期末未投资国债期货。</w:t>
      </w:r>
    </w:p>
    <w:p w14:paraId="1BFEAB0F" w14:textId="77777777" w:rsidR="003C2798" w:rsidRPr="0058096F" w:rsidRDefault="003C2798" w:rsidP="0058096F">
      <w:pPr>
        <w:pStyle w:val="zhangjiep"/>
        <w:jc w:val="both"/>
        <w:rPr>
          <w:rFonts w:cstheme="minorBidi"/>
          <w:kern w:val="2"/>
          <w:sz w:val="21"/>
          <w:szCs w:val="21"/>
        </w:rPr>
      </w:pPr>
    </w:p>
    <w:p w14:paraId="13F52243" w14:textId="77777777" w:rsidR="003C2798" w:rsidRPr="0058096F" w:rsidRDefault="003C2798" w:rsidP="0058096F">
      <w:pPr>
        <w:pStyle w:val="zhangjiep"/>
        <w:jc w:val="both"/>
        <w:rPr>
          <w:rFonts w:cstheme="minorBidi"/>
          <w:kern w:val="2"/>
          <w:sz w:val="21"/>
          <w:szCs w:val="21"/>
        </w:rPr>
      </w:pPr>
      <w:bookmarkStart w:id="20" w:name="_Toc85725567"/>
      <w:r w:rsidRPr="0058096F">
        <w:rPr>
          <w:rFonts w:cstheme="minorBidi"/>
          <w:kern w:val="2"/>
          <w:sz w:val="21"/>
          <w:szCs w:val="21"/>
        </w:rPr>
        <w:t xml:space="preserve">11 </w:t>
      </w:r>
      <w:r w:rsidRPr="0058096F">
        <w:rPr>
          <w:rFonts w:cstheme="minorBidi" w:hint="eastAsia"/>
          <w:kern w:val="2"/>
          <w:sz w:val="21"/>
          <w:szCs w:val="21"/>
        </w:rPr>
        <w:t>、投资组合报告附注</w:t>
      </w:r>
      <w:bookmarkEnd w:id="20"/>
      <w:r w:rsidRPr="0058096F">
        <w:rPr>
          <w:rFonts w:cstheme="minorBidi"/>
          <w:kern w:val="2"/>
          <w:sz w:val="21"/>
          <w:szCs w:val="21"/>
        </w:rPr>
        <w:t xml:space="preserve"> </w:t>
      </w:r>
    </w:p>
    <w:p w14:paraId="3E302694"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11.1、 </w:t>
      </w:r>
      <w:r w:rsidRPr="0058096F">
        <w:rPr>
          <w:rFonts w:cstheme="minorBidi" w:hint="eastAsia"/>
          <w:kern w:val="2"/>
          <w:sz w:val="21"/>
          <w:szCs w:val="21"/>
        </w:rPr>
        <w:t>本基金投资的前十名证券的发行主体中，中国进出口银行在报告编制日前一年内曾受到交易商协会、中国人民银行、中国银行保险监督管理委员会（含原中国银行业监督管理委员会、中国保险监督管理委员会）或其派出机构的处罚。</w:t>
      </w:r>
    </w:p>
    <w:p w14:paraId="5844C51F"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14B096E" w14:textId="77777777" w:rsidR="003C2798" w:rsidRPr="0058096F" w:rsidRDefault="003C2798" w:rsidP="0058096F">
      <w:pPr>
        <w:pStyle w:val="zhangjiep"/>
        <w:jc w:val="both"/>
        <w:rPr>
          <w:rFonts w:cstheme="minorBidi"/>
          <w:kern w:val="2"/>
          <w:sz w:val="21"/>
          <w:szCs w:val="21"/>
        </w:rPr>
      </w:pPr>
    </w:p>
    <w:p w14:paraId="16B5B2A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11.2 </w:t>
      </w:r>
      <w:r w:rsidRPr="0058096F">
        <w:rPr>
          <w:rFonts w:cstheme="minorBidi" w:hint="eastAsia"/>
          <w:kern w:val="2"/>
          <w:sz w:val="21"/>
          <w:szCs w:val="21"/>
        </w:rPr>
        <w:t>、本基金本报告期末未持有股票。</w:t>
      </w:r>
    </w:p>
    <w:p w14:paraId="53929305" w14:textId="77777777" w:rsidR="003C2798" w:rsidRPr="0058096F" w:rsidRDefault="003C2798" w:rsidP="0058096F">
      <w:pPr>
        <w:pStyle w:val="zhangjiep"/>
        <w:jc w:val="both"/>
        <w:rPr>
          <w:rFonts w:cstheme="minorBidi"/>
          <w:kern w:val="2"/>
          <w:sz w:val="21"/>
          <w:szCs w:val="21"/>
        </w:rPr>
      </w:pPr>
    </w:p>
    <w:p w14:paraId="391EFA10"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11.3 </w:t>
      </w:r>
      <w:r w:rsidRPr="0058096F">
        <w:rPr>
          <w:rFonts w:cstheme="minorBidi" w:hint="eastAsia"/>
          <w:kern w:val="2"/>
          <w:sz w:val="21"/>
          <w:szCs w:val="21"/>
        </w:rPr>
        <w:t>、其他资产构成</w:t>
      </w:r>
    </w:p>
    <w:tbl>
      <w:tblPr>
        <w:tblW w:w="9045" w:type="dxa"/>
        <w:tblInd w:w="108" w:type="dxa"/>
        <w:tblLook w:val="04A0" w:firstRow="1" w:lastRow="0" w:firstColumn="1" w:lastColumn="0" w:noHBand="0" w:noVBand="1"/>
      </w:tblPr>
      <w:tblGrid>
        <w:gridCol w:w="1266"/>
        <w:gridCol w:w="3676"/>
        <w:gridCol w:w="4103"/>
      </w:tblGrid>
      <w:tr w:rsidR="003C2798" w:rsidRPr="003C2798" w14:paraId="1DA04755" w14:textId="77777777" w:rsidTr="00016488">
        <w:tc>
          <w:tcPr>
            <w:tcW w:w="1342" w:type="dxa"/>
            <w:tcBorders>
              <w:top w:val="single" w:sz="8" w:space="0" w:color="000000"/>
              <w:left w:val="single" w:sz="8" w:space="0" w:color="000000"/>
              <w:bottom w:val="single" w:sz="6" w:space="0" w:color="000000"/>
              <w:right w:val="single" w:sz="8" w:space="0" w:color="000000"/>
            </w:tcBorders>
            <w:vAlign w:val="center"/>
            <w:hideMark/>
          </w:tcPr>
          <w:p w14:paraId="746C0A15"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序号</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6FCBB266"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名称</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7487ED1C"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金额</w:t>
            </w:r>
            <w:r w:rsidRPr="0058096F">
              <w:rPr>
                <w:rFonts w:cstheme="minorBidi"/>
                <w:kern w:val="2"/>
                <w:sz w:val="21"/>
                <w:szCs w:val="21"/>
              </w:rPr>
              <w:t>(元)</w:t>
            </w:r>
          </w:p>
        </w:tc>
      </w:tr>
      <w:tr w:rsidR="003C2798" w:rsidRPr="003C2798" w14:paraId="07E45A5B"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28DD3A9B"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lastRenderedPageBreak/>
              <w:t>1</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4A1E2506"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存出保证金</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17F336C"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6A816DEB"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5E6AF74D"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2</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489E2AB0"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应收证券清算款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76D87EB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11CF48CC"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0262C8EF"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3</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22C3364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应收股利</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605A673"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698C0696"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5828645E"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4</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209F5513"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应收利息</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1B8F7519"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13,964,816.28</w:t>
            </w:r>
          </w:p>
        </w:tc>
      </w:tr>
      <w:tr w:rsidR="003C2798" w:rsidRPr="003C2798" w14:paraId="4F8A5F51"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3BE5A5C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5</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4156B60"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应收申购款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74C548E5"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1F0098F3"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0A779672"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6</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28D35C19"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其他应收款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4F80E5E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66786009"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74F8676F"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7</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8A50043"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其他</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6D07FCC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w:t>
            </w:r>
          </w:p>
        </w:tc>
      </w:tr>
      <w:tr w:rsidR="003C2798" w:rsidRPr="003C2798" w14:paraId="2B72DC7A" w14:textId="77777777" w:rsidTr="00016488">
        <w:tc>
          <w:tcPr>
            <w:tcW w:w="720" w:type="dxa"/>
            <w:tcBorders>
              <w:top w:val="single" w:sz="8" w:space="0" w:color="000000"/>
              <w:left w:val="single" w:sz="8" w:space="0" w:color="000000"/>
              <w:bottom w:val="single" w:sz="6" w:space="0" w:color="000000"/>
              <w:right w:val="single" w:sz="8" w:space="0" w:color="000000"/>
            </w:tcBorders>
            <w:vAlign w:val="center"/>
            <w:hideMark/>
          </w:tcPr>
          <w:p w14:paraId="33093713"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8</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0392ACC5"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合计</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2CFAC561"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13,964,816.28</w:t>
            </w:r>
          </w:p>
        </w:tc>
      </w:tr>
    </w:tbl>
    <w:p w14:paraId="7080FDAC" w14:textId="77777777" w:rsidR="003C2798" w:rsidRPr="0058096F" w:rsidRDefault="003C2798" w:rsidP="0058096F">
      <w:pPr>
        <w:pStyle w:val="zhangjiep"/>
        <w:jc w:val="both"/>
        <w:rPr>
          <w:rFonts w:cstheme="minorBidi"/>
          <w:kern w:val="2"/>
          <w:sz w:val="21"/>
          <w:szCs w:val="21"/>
        </w:rPr>
      </w:pPr>
    </w:p>
    <w:p w14:paraId="1F90A905"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11.4 </w:t>
      </w:r>
      <w:r w:rsidRPr="0058096F">
        <w:rPr>
          <w:rFonts w:cstheme="minorBidi" w:hint="eastAsia"/>
          <w:kern w:val="2"/>
          <w:sz w:val="21"/>
          <w:szCs w:val="21"/>
        </w:rPr>
        <w:t>、报告期末持有的处于转股期的可转换债券明细</w:t>
      </w:r>
    </w:p>
    <w:p w14:paraId="0BB0F046"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本基金本报告期末未持有处于转股期的可转换债券。</w:t>
      </w:r>
    </w:p>
    <w:p w14:paraId="1DFE5D89" w14:textId="77777777" w:rsidR="003C2798" w:rsidRPr="0058096F" w:rsidRDefault="003C2798" w:rsidP="0058096F">
      <w:pPr>
        <w:pStyle w:val="zhangjiep"/>
        <w:jc w:val="both"/>
        <w:rPr>
          <w:rFonts w:cstheme="minorBidi"/>
          <w:kern w:val="2"/>
          <w:sz w:val="21"/>
          <w:szCs w:val="21"/>
        </w:rPr>
      </w:pPr>
    </w:p>
    <w:p w14:paraId="42571BC6" w14:textId="77777777" w:rsidR="003C2798" w:rsidRPr="0058096F" w:rsidRDefault="003C2798" w:rsidP="0058096F">
      <w:pPr>
        <w:pStyle w:val="biaogeright"/>
        <w:jc w:val="both"/>
        <w:rPr>
          <w:rFonts w:cstheme="minorBidi"/>
          <w:kern w:val="2"/>
          <w:sz w:val="21"/>
          <w:szCs w:val="21"/>
        </w:rPr>
      </w:pPr>
      <w:r w:rsidRPr="0058096F">
        <w:rPr>
          <w:rFonts w:cstheme="minorBidi"/>
          <w:kern w:val="2"/>
          <w:sz w:val="21"/>
          <w:szCs w:val="21"/>
        </w:rPr>
        <w:t xml:space="preserve">11.5 </w:t>
      </w:r>
      <w:r w:rsidRPr="0058096F">
        <w:rPr>
          <w:rFonts w:cstheme="minorBidi" w:hint="eastAsia"/>
          <w:kern w:val="2"/>
          <w:sz w:val="21"/>
          <w:szCs w:val="21"/>
        </w:rPr>
        <w:t>、报告期末前十名股票中存在流通受限情况的说明</w:t>
      </w:r>
    </w:p>
    <w:p w14:paraId="22D14DF4" w14:textId="77777777" w:rsidR="003C2798" w:rsidRPr="0058096F" w:rsidRDefault="003C2798" w:rsidP="0058096F">
      <w:pPr>
        <w:pStyle w:val="biaogeright"/>
        <w:jc w:val="both"/>
        <w:rPr>
          <w:rFonts w:cstheme="minorBidi"/>
          <w:kern w:val="2"/>
          <w:sz w:val="21"/>
          <w:szCs w:val="21"/>
        </w:rPr>
      </w:pPr>
      <w:r w:rsidRPr="0058096F">
        <w:rPr>
          <w:rFonts w:cstheme="minorBidi" w:hint="eastAsia"/>
          <w:kern w:val="2"/>
          <w:sz w:val="21"/>
          <w:szCs w:val="21"/>
        </w:rPr>
        <w:t>本基金本报告期末未持有股票。</w:t>
      </w:r>
    </w:p>
    <w:p w14:paraId="52A84702" w14:textId="77777777" w:rsidR="003C2798" w:rsidRPr="0058096F" w:rsidRDefault="003C2798" w:rsidP="0058096F">
      <w:pPr>
        <w:pStyle w:val="zhangjiep"/>
        <w:jc w:val="both"/>
        <w:rPr>
          <w:rFonts w:cstheme="minorBidi"/>
          <w:kern w:val="2"/>
          <w:sz w:val="21"/>
          <w:szCs w:val="21"/>
        </w:rPr>
      </w:pPr>
    </w:p>
    <w:p w14:paraId="03D4361D" w14:textId="77777777" w:rsidR="00644EF7" w:rsidRDefault="003C2798" w:rsidP="00644EF7">
      <w:pPr>
        <w:pStyle w:val="biaogeright"/>
        <w:jc w:val="both"/>
        <w:rPr>
          <w:rFonts w:cstheme="minorBidi"/>
          <w:kern w:val="2"/>
          <w:sz w:val="21"/>
          <w:szCs w:val="21"/>
        </w:rPr>
      </w:pPr>
      <w:r w:rsidRPr="0058096F">
        <w:rPr>
          <w:rFonts w:cstheme="minorBidi"/>
          <w:kern w:val="2"/>
          <w:sz w:val="21"/>
          <w:szCs w:val="21"/>
        </w:rPr>
        <w:t xml:space="preserve">11.6 </w:t>
      </w:r>
      <w:r w:rsidRPr="0058096F">
        <w:rPr>
          <w:rFonts w:cstheme="minorBidi" w:hint="eastAsia"/>
          <w:kern w:val="2"/>
          <w:sz w:val="21"/>
          <w:szCs w:val="21"/>
        </w:rPr>
        <w:t>、投资组合报告附注的其他文字描述部分</w:t>
      </w:r>
    </w:p>
    <w:p w14:paraId="0B7655C3" w14:textId="0CFA9288" w:rsidR="009E4620" w:rsidRDefault="003C2798" w:rsidP="00644EF7">
      <w:pPr>
        <w:pStyle w:val="biaogeright"/>
        <w:jc w:val="both"/>
        <w:rPr>
          <w:rFonts w:cstheme="minorBidi"/>
          <w:kern w:val="2"/>
          <w:sz w:val="21"/>
          <w:szCs w:val="21"/>
        </w:rPr>
      </w:pPr>
      <w:r w:rsidRPr="0058096F">
        <w:rPr>
          <w:rFonts w:cstheme="minorBidi" w:hint="eastAsia"/>
          <w:kern w:val="2"/>
          <w:sz w:val="21"/>
          <w:szCs w:val="21"/>
        </w:rPr>
        <w:t>由于四舍五入原因，分项之和与合计可能有尾差。</w:t>
      </w:r>
    </w:p>
    <w:p w14:paraId="09E7F7BA" w14:textId="77777777" w:rsidR="003C2798" w:rsidRPr="003C2798" w:rsidRDefault="003C2798" w:rsidP="0058096F">
      <w:pPr>
        <w:pStyle w:val="zhangjiep"/>
        <w:jc w:val="both"/>
        <w:rPr>
          <w:szCs w:val="21"/>
        </w:rPr>
      </w:pPr>
    </w:p>
    <w:p w14:paraId="5B277E92" w14:textId="01BB5289" w:rsidR="009E4620" w:rsidRPr="009E4620" w:rsidRDefault="009E4620" w:rsidP="009E4620">
      <w:pPr>
        <w:spacing w:line="360" w:lineRule="auto"/>
        <w:ind w:firstLineChars="200" w:firstLine="420"/>
        <w:rPr>
          <w:rFonts w:ascii="宋体" w:eastAsia="宋体" w:hAnsi="宋体"/>
          <w:szCs w:val="21"/>
        </w:rPr>
      </w:pPr>
      <w:r>
        <w:rPr>
          <w:rFonts w:ascii="宋体" w:eastAsia="宋体" w:hAnsi="宋体" w:hint="eastAsia"/>
          <w:szCs w:val="21"/>
        </w:rPr>
        <w:t>十一</w:t>
      </w:r>
      <w:r w:rsidRPr="009E4620">
        <w:rPr>
          <w:rFonts w:ascii="宋体" w:eastAsia="宋体" w:hAnsi="宋体" w:hint="eastAsia"/>
          <w:szCs w:val="21"/>
        </w:rPr>
        <w:t>、基金净值表现</w:t>
      </w:r>
    </w:p>
    <w:p w14:paraId="17017054" w14:textId="77777777" w:rsidR="003C2798" w:rsidRPr="0058096F" w:rsidRDefault="003C2798" w:rsidP="003C2798">
      <w:pPr>
        <w:pStyle w:val="a7"/>
        <w:spacing w:line="360" w:lineRule="auto"/>
        <w:ind w:firstLine="422"/>
        <w:rPr>
          <w:rFonts w:ascii="宋体" w:eastAsia="宋体" w:hAnsi="宋体"/>
          <w:sz w:val="21"/>
          <w:szCs w:val="21"/>
        </w:rPr>
      </w:pPr>
      <w:r w:rsidRPr="0058096F">
        <w:rPr>
          <w:rFonts w:ascii="宋体" w:eastAsia="宋体" w:hAnsi="宋体"/>
          <w:sz w:val="21"/>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2D3EFBCB"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hint="eastAsia"/>
          <w:kern w:val="2"/>
          <w:sz w:val="21"/>
          <w:szCs w:val="21"/>
        </w:rPr>
        <w:t>（</w:t>
      </w:r>
      <w:r w:rsidRPr="0058096F">
        <w:rPr>
          <w:rFonts w:cstheme="minorBidi"/>
          <w:kern w:val="2"/>
          <w:sz w:val="21"/>
          <w:szCs w:val="21"/>
        </w:rPr>
        <w:t>1）基金份额净值增长率及其与同期业绩比较基准收益率的比较</w:t>
      </w:r>
    </w:p>
    <w:tbl>
      <w:tblPr>
        <w:tblW w:w="9045" w:type="dxa"/>
        <w:tblInd w:w="108" w:type="dxa"/>
        <w:tblLook w:val="04A0" w:firstRow="1" w:lastRow="0" w:firstColumn="1" w:lastColumn="0" w:noHBand="0" w:noVBand="1"/>
      </w:tblPr>
      <w:tblGrid>
        <w:gridCol w:w="2410"/>
        <w:gridCol w:w="1210"/>
        <w:gridCol w:w="1085"/>
        <w:gridCol w:w="1085"/>
        <w:gridCol w:w="1085"/>
        <w:gridCol w:w="1085"/>
        <w:gridCol w:w="1085"/>
      </w:tblGrid>
      <w:tr w:rsidR="003C2798" w:rsidRPr="00B50B5B" w14:paraId="03FCD81E" w14:textId="77777777" w:rsidTr="0058096F">
        <w:tc>
          <w:tcPr>
            <w:tcW w:w="2410" w:type="dxa"/>
            <w:tcBorders>
              <w:top w:val="single" w:sz="8" w:space="0" w:color="000000"/>
              <w:left w:val="single" w:sz="8" w:space="0" w:color="000000"/>
              <w:bottom w:val="single" w:sz="6" w:space="0" w:color="000000"/>
              <w:right w:val="single" w:sz="8" w:space="0" w:color="000000"/>
            </w:tcBorders>
            <w:vAlign w:val="center"/>
            <w:hideMark/>
          </w:tcPr>
          <w:p w14:paraId="644E6AD8"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hint="eastAsia"/>
                <w:kern w:val="2"/>
                <w:sz w:val="21"/>
                <w:szCs w:val="21"/>
              </w:rPr>
              <w:t>阶段</w:t>
            </w:r>
          </w:p>
        </w:tc>
        <w:tc>
          <w:tcPr>
            <w:tcW w:w="1210" w:type="dxa"/>
            <w:tcBorders>
              <w:top w:val="single" w:sz="8" w:space="0" w:color="000000"/>
              <w:left w:val="single" w:sz="8" w:space="0" w:color="000000"/>
              <w:bottom w:val="single" w:sz="6" w:space="0" w:color="000000"/>
              <w:right w:val="single" w:sz="8" w:space="0" w:color="000000"/>
            </w:tcBorders>
            <w:vAlign w:val="center"/>
            <w:hideMark/>
          </w:tcPr>
          <w:p w14:paraId="2F65C0FA" w14:textId="77777777" w:rsidR="003C2798" w:rsidRPr="0058096F" w:rsidRDefault="003C2798" w:rsidP="0058096F">
            <w:pPr>
              <w:pStyle w:val="zhangjiep2"/>
              <w:ind w:left="0"/>
              <w:rPr>
                <w:rFonts w:cstheme="minorBidi"/>
                <w:kern w:val="2"/>
                <w:sz w:val="21"/>
                <w:szCs w:val="21"/>
              </w:rPr>
            </w:pPr>
            <w:r w:rsidRPr="0058096F">
              <w:rPr>
                <w:rFonts w:cstheme="minorBidi" w:hint="eastAsia"/>
                <w:kern w:val="2"/>
                <w:sz w:val="21"/>
                <w:szCs w:val="21"/>
              </w:rPr>
              <w:t>净值增长率①</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6DA90EDC" w14:textId="77777777" w:rsidR="003C2798" w:rsidRPr="0058096F" w:rsidRDefault="003C2798" w:rsidP="0058096F">
            <w:pPr>
              <w:pStyle w:val="zhangjiep2"/>
              <w:ind w:left="0"/>
              <w:rPr>
                <w:rFonts w:cstheme="minorBidi"/>
                <w:kern w:val="2"/>
                <w:sz w:val="21"/>
                <w:szCs w:val="21"/>
              </w:rPr>
            </w:pPr>
            <w:r w:rsidRPr="0058096F">
              <w:rPr>
                <w:rFonts w:cstheme="minorBidi" w:hint="eastAsia"/>
                <w:kern w:val="2"/>
                <w:sz w:val="21"/>
                <w:szCs w:val="21"/>
              </w:rPr>
              <w:t>净值增长率标准差②</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09ABF82D" w14:textId="77777777" w:rsidR="003C2798" w:rsidRPr="0058096F" w:rsidRDefault="003C2798" w:rsidP="0058096F">
            <w:pPr>
              <w:pStyle w:val="zhangjiep2"/>
              <w:ind w:left="0"/>
              <w:rPr>
                <w:rFonts w:cstheme="minorBidi"/>
                <w:kern w:val="2"/>
                <w:sz w:val="21"/>
                <w:szCs w:val="21"/>
              </w:rPr>
            </w:pPr>
            <w:r w:rsidRPr="0058096F">
              <w:rPr>
                <w:rFonts w:cstheme="minorBidi" w:hint="eastAsia"/>
                <w:kern w:val="2"/>
                <w:sz w:val="21"/>
                <w:szCs w:val="21"/>
              </w:rPr>
              <w:t>业绩比较基准收益率③</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255C7957" w14:textId="77777777" w:rsidR="003C2798" w:rsidRPr="0058096F" w:rsidRDefault="003C2798" w:rsidP="0058096F">
            <w:pPr>
              <w:pStyle w:val="zhangjiep2"/>
              <w:ind w:left="0"/>
              <w:rPr>
                <w:rFonts w:cstheme="minorBidi"/>
                <w:kern w:val="2"/>
                <w:sz w:val="21"/>
                <w:szCs w:val="21"/>
              </w:rPr>
            </w:pPr>
            <w:r w:rsidRPr="0058096F">
              <w:rPr>
                <w:rFonts w:cstheme="minorBidi" w:hint="eastAsia"/>
                <w:kern w:val="2"/>
                <w:sz w:val="21"/>
                <w:szCs w:val="21"/>
              </w:rPr>
              <w:t>业绩比较基准收益率标准差④</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67A7D1C6"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hint="eastAsia"/>
                <w:kern w:val="2"/>
                <w:sz w:val="21"/>
                <w:szCs w:val="21"/>
              </w:rPr>
              <w:t>①</w:t>
            </w:r>
            <w:r w:rsidRPr="0058096F">
              <w:rPr>
                <w:rFonts w:cstheme="minorBidi"/>
                <w:kern w:val="2"/>
                <w:sz w:val="21"/>
                <w:szCs w:val="21"/>
              </w:rPr>
              <w:t>-绩</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2C278A99"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hint="eastAsia"/>
                <w:kern w:val="2"/>
                <w:sz w:val="21"/>
                <w:szCs w:val="21"/>
              </w:rPr>
              <w:t>②</w:t>
            </w:r>
            <w:r w:rsidRPr="0058096F">
              <w:rPr>
                <w:rFonts w:cstheme="minorBidi"/>
                <w:kern w:val="2"/>
                <w:sz w:val="21"/>
                <w:szCs w:val="21"/>
              </w:rPr>
              <w:t>-绩</w:t>
            </w:r>
          </w:p>
        </w:tc>
      </w:tr>
      <w:tr w:rsidR="003C2798" w:rsidRPr="00B50B5B" w14:paraId="1DB27D9F" w14:textId="77777777" w:rsidTr="0058096F">
        <w:tc>
          <w:tcPr>
            <w:tcW w:w="2410" w:type="dxa"/>
            <w:tcBorders>
              <w:top w:val="single" w:sz="8" w:space="0" w:color="000000"/>
              <w:left w:val="single" w:sz="8" w:space="0" w:color="000000"/>
              <w:bottom w:val="single" w:sz="6" w:space="0" w:color="000000"/>
              <w:right w:val="single" w:sz="8" w:space="0" w:color="000000"/>
            </w:tcBorders>
            <w:vAlign w:val="center"/>
            <w:hideMark/>
          </w:tcPr>
          <w:p w14:paraId="15FBA3C9" w14:textId="77777777" w:rsidR="003C2798" w:rsidRPr="0058096F" w:rsidRDefault="003C2798" w:rsidP="0058096F">
            <w:pPr>
              <w:pStyle w:val="zhangjiep2"/>
              <w:rPr>
                <w:rFonts w:cstheme="minorBidi"/>
                <w:kern w:val="2"/>
                <w:sz w:val="21"/>
                <w:szCs w:val="21"/>
              </w:rPr>
            </w:pPr>
            <w:r w:rsidRPr="0058096F">
              <w:rPr>
                <w:rFonts w:cstheme="minorBidi" w:hint="eastAsia"/>
                <w:kern w:val="2"/>
                <w:sz w:val="21"/>
                <w:szCs w:val="21"/>
              </w:rPr>
              <w:t>过去三个月</w:t>
            </w:r>
          </w:p>
        </w:tc>
        <w:tc>
          <w:tcPr>
            <w:tcW w:w="1210" w:type="dxa"/>
            <w:tcBorders>
              <w:top w:val="single" w:sz="8" w:space="0" w:color="000000"/>
              <w:left w:val="single" w:sz="8" w:space="0" w:color="000000"/>
              <w:bottom w:val="single" w:sz="6" w:space="0" w:color="000000"/>
              <w:right w:val="single" w:sz="8" w:space="0" w:color="000000"/>
            </w:tcBorders>
            <w:vAlign w:val="center"/>
            <w:hideMark/>
          </w:tcPr>
          <w:p w14:paraId="71C701ED"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0.57%</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7AA1CBDE"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0.01%</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2C16FDB5"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1.52%</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090FDE8D"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0.05%</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40D979E0"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-0.95%</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7225581E"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-0.04%</w:t>
            </w:r>
          </w:p>
        </w:tc>
      </w:tr>
      <w:tr w:rsidR="003C2798" w:rsidRPr="00B50B5B" w14:paraId="1B810E09" w14:textId="77777777" w:rsidTr="0058096F">
        <w:tc>
          <w:tcPr>
            <w:tcW w:w="2410" w:type="dxa"/>
            <w:tcBorders>
              <w:top w:val="single" w:sz="8" w:space="0" w:color="000000"/>
              <w:left w:val="single" w:sz="8" w:space="0" w:color="000000"/>
              <w:bottom w:val="single" w:sz="6" w:space="0" w:color="000000"/>
              <w:right w:val="single" w:sz="8" w:space="0" w:color="000000"/>
            </w:tcBorders>
            <w:vAlign w:val="center"/>
            <w:hideMark/>
          </w:tcPr>
          <w:p w14:paraId="638A0704" w14:textId="77777777" w:rsidR="003C2798" w:rsidRPr="0058096F" w:rsidRDefault="003C2798" w:rsidP="0058096F">
            <w:pPr>
              <w:pStyle w:val="zhangjiep2"/>
              <w:rPr>
                <w:rFonts w:cstheme="minorBidi"/>
                <w:kern w:val="2"/>
                <w:sz w:val="21"/>
                <w:szCs w:val="21"/>
              </w:rPr>
            </w:pPr>
            <w:r w:rsidRPr="0058096F">
              <w:rPr>
                <w:rFonts w:cstheme="minorBidi" w:hint="eastAsia"/>
                <w:kern w:val="2"/>
                <w:sz w:val="21"/>
                <w:szCs w:val="21"/>
              </w:rPr>
              <w:t>过去六个月</w:t>
            </w:r>
          </w:p>
        </w:tc>
        <w:tc>
          <w:tcPr>
            <w:tcW w:w="1210" w:type="dxa"/>
            <w:tcBorders>
              <w:top w:val="single" w:sz="8" w:space="0" w:color="000000"/>
              <w:left w:val="single" w:sz="8" w:space="0" w:color="000000"/>
              <w:bottom w:val="single" w:sz="6" w:space="0" w:color="000000"/>
              <w:right w:val="single" w:sz="8" w:space="0" w:color="000000"/>
            </w:tcBorders>
            <w:vAlign w:val="center"/>
            <w:hideMark/>
          </w:tcPr>
          <w:p w14:paraId="413BFE84"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1.23%</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359FF488"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0.01%</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5474D26E"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2.69%</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20B9BBAD"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0.04%</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10619D0A"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-1.46%</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0BD23D29"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-0.03%</w:t>
            </w:r>
          </w:p>
        </w:tc>
      </w:tr>
      <w:tr w:rsidR="003C2798" w:rsidRPr="00B50B5B" w14:paraId="23AF7D01" w14:textId="77777777" w:rsidTr="0058096F">
        <w:tc>
          <w:tcPr>
            <w:tcW w:w="2410" w:type="dxa"/>
            <w:tcBorders>
              <w:top w:val="single" w:sz="8" w:space="0" w:color="000000"/>
              <w:left w:val="single" w:sz="8" w:space="0" w:color="000000"/>
              <w:bottom w:val="single" w:sz="6" w:space="0" w:color="000000"/>
              <w:right w:val="single" w:sz="8" w:space="0" w:color="000000"/>
            </w:tcBorders>
            <w:vAlign w:val="center"/>
            <w:hideMark/>
          </w:tcPr>
          <w:p w14:paraId="41043554" w14:textId="77777777" w:rsidR="003C2798" w:rsidRPr="0058096F" w:rsidRDefault="003C2798" w:rsidP="0058096F">
            <w:pPr>
              <w:pStyle w:val="zhangjiep2"/>
              <w:rPr>
                <w:rFonts w:cstheme="minorBidi"/>
                <w:kern w:val="2"/>
                <w:sz w:val="21"/>
                <w:szCs w:val="21"/>
              </w:rPr>
            </w:pPr>
            <w:r w:rsidRPr="0058096F">
              <w:rPr>
                <w:rFonts w:cstheme="minorBidi" w:hint="eastAsia"/>
                <w:kern w:val="2"/>
                <w:sz w:val="21"/>
                <w:szCs w:val="21"/>
              </w:rPr>
              <w:t>自基金合同生效起至今</w:t>
            </w:r>
          </w:p>
        </w:tc>
        <w:tc>
          <w:tcPr>
            <w:tcW w:w="1210" w:type="dxa"/>
            <w:tcBorders>
              <w:top w:val="single" w:sz="8" w:space="0" w:color="000000"/>
              <w:left w:val="single" w:sz="8" w:space="0" w:color="000000"/>
              <w:bottom w:val="single" w:sz="6" w:space="0" w:color="000000"/>
              <w:right w:val="single" w:sz="8" w:space="0" w:color="000000"/>
            </w:tcBorders>
            <w:vAlign w:val="center"/>
            <w:hideMark/>
          </w:tcPr>
          <w:p w14:paraId="597EAAFC"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1.71%</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6B726CB9"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0.01%</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1FC1D39E"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3.57%</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69E02924"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0.04%</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579734A0"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-1.86%</w:t>
            </w:r>
          </w:p>
        </w:tc>
        <w:tc>
          <w:tcPr>
            <w:tcW w:w="1085" w:type="dxa"/>
            <w:tcBorders>
              <w:top w:val="single" w:sz="8" w:space="0" w:color="000000"/>
              <w:left w:val="single" w:sz="8" w:space="0" w:color="000000"/>
              <w:bottom w:val="single" w:sz="6" w:space="0" w:color="000000"/>
              <w:right w:val="single" w:sz="8" w:space="0" w:color="000000"/>
            </w:tcBorders>
            <w:vAlign w:val="center"/>
            <w:hideMark/>
          </w:tcPr>
          <w:p w14:paraId="5ECAC334" w14:textId="77777777" w:rsidR="003C2798" w:rsidRPr="0058096F" w:rsidRDefault="003C2798" w:rsidP="0058096F">
            <w:pPr>
              <w:pStyle w:val="zhangjiep2"/>
              <w:ind w:firstLineChars="100" w:firstLine="210"/>
              <w:rPr>
                <w:rFonts w:cstheme="minorBidi"/>
                <w:kern w:val="2"/>
                <w:sz w:val="21"/>
                <w:szCs w:val="21"/>
              </w:rPr>
            </w:pPr>
            <w:r w:rsidRPr="0058096F">
              <w:rPr>
                <w:rFonts w:cstheme="minorBidi"/>
                <w:kern w:val="2"/>
                <w:sz w:val="21"/>
                <w:szCs w:val="21"/>
              </w:rPr>
              <w:t>-0.03%</w:t>
            </w:r>
          </w:p>
        </w:tc>
      </w:tr>
    </w:tbl>
    <w:p w14:paraId="1E5B6469" w14:textId="780E3795" w:rsidR="003C2798" w:rsidRPr="0058096F" w:rsidRDefault="003C2798" w:rsidP="003C2798">
      <w:pPr>
        <w:pStyle w:val="neirong"/>
        <w:rPr>
          <w:rFonts w:cstheme="minorBidi"/>
          <w:kern w:val="2"/>
          <w:sz w:val="21"/>
          <w:szCs w:val="21"/>
        </w:rPr>
      </w:pPr>
      <w:r w:rsidRPr="0058096F">
        <w:rPr>
          <w:rFonts w:cstheme="minorBidi" w:hint="eastAsia"/>
          <w:kern w:val="2"/>
          <w:sz w:val="21"/>
          <w:szCs w:val="21"/>
        </w:rPr>
        <w:t>注：本基金的业绩比较基准为中债综合指数（总财富）收益率×</w:t>
      </w:r>
      <w:r w:rsidRPr="0058096F">
        <w:rPr>
          <w:rFonts w:cstheme="minorBidi"/>
          <w:kern w:val="2"/>
          <w:sz w:val="21"/>
          <w:szCs w:val="21"/>
        </w:rPr>
        <w:t>90%+1年期定期存款利率（税后）×10%</w:t>
      </w:r>
    </w:p>
    <w:p w14:paraId="3327C9D7" w14:textId="77777777" w:rsidR="003C2798" w:rsidRDefault="003C2798" w:rsidP="003C2798">
      <w:pPr>
        <w:widowControl/>
        <w:jc w:val="left"/>
        <w:rPr>
          <w:rFonts w:ascii="宋体" w:eastAsia="宋体" w:hAnsi="宋体" w:cs="宋体"/>
          <w:kern w:val="0"/>
          <w:sz w:val="24"/>
          <w:szCs w:val="24"/>
        </w:rPr>
      </w:pPr>
    </w:p>
    <w:p w14:paraId="187711B4" w14:textId="321AD93C" w:rsidR="003C2798" w:rsidRPr="0058096F" w:rsidRDefault="003C2798" w:rsidP="003C2798">
      <w:pPr>
        <w:pStyle w:val="zhangjiep2"/>
        <w:rPr>
          <w:rFonts w:cstheme="minorBidi"/>
          <w:kern w:val="2"/>
          <w:sz w:val="21"/>
          <w:szCs w:val="21"/>
        </w:rPr>
      </w:pPr>
      <w:r w:rsidRPr="0058096F">
        <w:rPr>
          <w:rFonts w:cstheme="minorBidi" w:hint="eastAsia"/>
          <w:kern w:val="2"/>
          <w:sz w:val="21"/>
          <w:szCs w:val="21"/>
        </w:rPr>
        <w:lastRenderedPageBreak/>
        <w:t>（</w:t>
      </w:r>
      <w:r w:rsidRPr="0058096F">
        <w:rPr>
          <w:rFonts w:cstheme="minorBidi"/>
          <w:kern w:val="2"/>
          <w:sz w:val="21"/>
          <w:szCs w:val="21"/>
        </w:rPr>
        <w:t>2）自基金合同生效以来基金累计净值增长率变动及其与同期业绩比较基准收益率变动的比较</w:t>
      </w:r>
    </w:p>
    <w:p w14:paraId="2AEEDCA4" w14:textId="77777777" w:rsidR="003C2798" w:rsidRDefault="003C2798" w:rsidP="003C2798">
      <w:pPr>
        <w:pStyle w:val="biaogeleft"/>
      </w:pPr>
      <w:r>
        <w:rPr>
          <w:rFonts w:hAnsi="等线"/>
          <w:noProof/>
          <w:color w:val="000000"/>
        </w:rPr>
        <w:drawing>
          <wp:inline distT="0" distB="0" distL="0" distR="0" wp14:anchorId="3B0E8470" wp14:editId="36FB9F98">
            <wp:extent cx="5600700" cy="3638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638550"/>
                    </a:xfrm>
                    <a:prstGeom prst="rect">
                      <a:avLst/>
                    </a:prstGeom>
                    <a:noFill/>
                    <a:ln>
                      <a:noFill/>
                    </a:ln>
                  </pic:spPr>
                </pic:pic>
              </a:graphicData>
            </a:graphic>
          </wp:inline>
        </w:drawing>
      </w:r>
    </w:p>
    <w:p w14:paraId="28934689" w14:textId="77777777" w:rsidR="003C2798" w:rsidRPr="0058096F" w:rsidRDefault="003C2798" w:rsidP="0058096F">
      <w:pPr>
        <w:pStyle w:val="zhangjiep2"/>
        <w:rPr>
          <w:rFonts w:cstheme="minorBidi"/>
          <w:kern w:val="2"/>
          <w:sz w:val="21"/>
          <w:szCs w:val="21"/>
        </w:rPr>
      </w:pPr>
      <w:r w:rsidRPr="0058096F">
        <w:rPr>
          <w:rFonts w:cstheme="minorBidi" w:hint="eastAsia"/>
          <w:kern w:val="2"/>
          <w:sz w:val="21"/>
          <w:szCs w:val="21"/>
        </w:rPr>
        <w:t>注：①本基金的基金合同于</w:t>
      </w:r>
      <w:r w:rsidRPr="0058096F">
        <w:rPr>
          <w:rFonts w:cstheme="minorBidi"/>
          <w:kern w:val="2"/>
          <w:sz w:val="21"/>
          <w:szCs w:val="21"/>
        </w:rPr>
        <w:t>2020年12月31日生效，截至2021年09月30日止，本基金成立未满1年。</w:t>
      </w:r>
      <w:r w:rsidRPr="0058096F">
        <w:rPr>
          <w:rFonts w:cstheme="minorBidi"/>
          <w:kern w:val="2"/>
          <w:sz w:val="21"/>
          <w:szCs w:val="21"/>
        </w:rPr>
        <w:br/>
      </w:r>
      <w:r w:rsidRPr="0058096F">
        <w:rPr>
          <w:rFonts w:cstheme="minorBidi" w:hint="eastAsia"/>
          <w:kern w:val="2"/>
          <w:sz w:val="21"/>
          <w:szCs w:val="21"/>
        </w:rPr>
        <w:t>  ②本基金的建仓期为</w:t>
      </w:r>
      <w:r w:rsidRPr="0058096F">
        <w:rPr>
          <w:rFonts w:cstheme="minorBidi"/>
          <w:kern w:val="2"/>
          <w:sz w:val="21"/>
          <w:szCs w:val="21"/>
        </w:rPr>
        <w:t>6个月，建仓期结束时各项资产配置比例符合合同约定。</w:t>
      </w:r>
    </w:p>
    <w:p w14:paraId="3505D022" w14:textId="77777777" w:rsidR="003C2798" w:rsidRPr="00703F86" w:rsidRDefault="003C2798" w:rsidP="003C2798">
      <w:pPr>
        <w:spacing w:line="360" w:lineRule="auto"/>
        <w:ind w:firstLineChars="200" w:firstLine="420"/>
        <w:rPr>
          <w:rFonts w:ascii="宋体" w:eastAsia="宋体" w:hAnsi="宋体"/>
          <w:szCs w:val="21"/>
        </w:rPr>
      </w:pPr>
    </w:p>
    <w:p w14:paraId="052A9875" w14:textId="23D46E4A" w:rsidR="009E4620" w:rsidRPr="003C2798" w:rsidRDefault="009E4620" w:rsidP="009E4620">
      <w:pPr>
        <w:spacing w:line="360" w:lineRule="auto"/>
        <w:ind w:firstLineChars="200" w:firstLine="420"/>
        <w:rPr>
          <w:rFonts w:ascii="宋体" w:eastAsia="宋体" w:hAnsi="宋体"/>
          <w:szCs w:val="21"/>
        </w:rPr>
      </w:pPr>
    </w:p>
    <w:p w14:paraId="2797C801" w14:textId="77777777" w:rsidR="009E4620" w:rsidRPr="00BD090D" w:rsidRDefault="009E4620" w:rsidP="009E4620">
      <w:pPr>
        <w:spacing w:line="360" w:lineRule="auto"/>
        <w:ind w:firstLineChars="200" w:firstLine="420"/>
        <w:rPr>
          <w:rFonts w:ascii="宋体" w:eastAsia="宋体" w:hAnsi="宋体"/>
          <w:szCs w:val="21"/>
        </w:rPr>
      </w:pPr>
    </w:p>
    <w:p w14:paraId="5757E475"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1" w:name="_Toc89276782"/>
      <w:r w:rsidRPr="00BD090D">
        <w:rPr>
          <w:rFonts w:ascii="Arial Unicode MS" w:eastAsia="宋体" w:hAnsi="Arial Unicode MS" w:cs="Arial" w:hint="eastAsia"/>
          <w:kern w:val="0"/>
          <w:sz w:val="28"/>
          <w:szCs w:val="28"/>
        </w:rPr>
        <w:t>第十一部分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基金的财产</w:t>
      </w:r>
      <w:bookmarkEnd w:id="21"/>
    </w:p>
    <w:p w14:paraId="61E44088" w14:textId="77777777" w:rsidR="00BD090D" w:rsidRPr="00BD090D" w:rsidRDefault="00BD090D" w:rsidP="00BD090D">
      <w:pPr>
        <w:spacing w:line="360" w:lineRule="auto"/>
        <w:ind w:firstLineChars="200" w:firstLine="420"/>
        <w:rPr>
          <w:rFonts w:ascii="宋体" w:eastAsia="宋体" w:hAnsi="宋体"/>
          <w:szCs w:val="21"/>
        </w:rPr>
      </w:pPr>
    </w:p>
    <w:p w14:paraId="0C8C8E0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一、基金资产总值</w:t>
      </w:r>
    </w:p>
    <w:p w14:paraId="073271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基金资产总值是指基金拥有的各类有价证券、银行存款本息、基金应收申购款及其他资产的价值总和。</w:t>
      </w:r>
    </w:p>
    <w:p w14:paraId="3529A6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二、基金资产净值</w:t>
      </w:r>
    </w:p>
    <w:p w14:paraId="19F47EB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基金资产净值是指基金资产总值减去基金负债后的价值。</w:t>
      </w:r>
    </w:p>
    <w:p w14:paraId="53AE6F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三、基金财产的账户</w:t>
      </w:r>
    </w:p>
    <w:p w14:paraId="6601EB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基金托管人根据相关法律法规、规范性文件为本基金开立资金账户、证券账户以及投资所需的其他专用账户。开立的基金专用账户与基金管理人、基金托管人、基金销售机构和基</w:t>
      </w:r>
      <w:r w:rsidRPr="00BD090D">
        <w:rPr>
          <w:rFonts w:ascii="宋体" w:eastAsia="宋体" w:hAnsi="宋体" w:hint="eastAsia"/>
          <w:szCs w:val="21"/>
        </w:rPr>
        <w:lastRenderedPageBreak/>
        <w:t>金登记机构自有的财产账户以及其他基金财产账户相独立。</w:t>
      </w:r>
    </w:p>
    <w:p w14:paraId="72C1A82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四、基金财产的保管和处分</w:t>
      </w:r>
    </w:p>
    <w:p w14:paraId="0A5D46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75DBE6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25D45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F45531B"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51922B4B"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6F93B914"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2" w:name="_Toc89276783"/>
      <w:r w:rsidRPr="00BD090D">
        <w:rPr>
          <w:rFonts w:ascii="Arial Unicode MS" w:eastAsia="宋体" w:hAnsi="Arial Unicode MS" w:cs="Arial" w:hint="eastAsia"/>
          <w:kern w:val="0"/>
          <w:sz w:val="28"/>
          <w:szCs w:val="28"/>
        </w:rPr>
        <w:lastRenderedPageBreak/>
        <w:t>第十二部分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基金资产的估值</w:t>
      </w:r>
      <w:bookmarkEnd w:id="22"/>
    </w:p>
    <w:p w14:paraId="1130367F" w14:textId="77777777" w:rsidR="00BD090D" w:rsidRPr="00BD090D" w:rsidRDefault="00BD090D" w:rsidP="00BD090D">
      <w:pPr>
        <w:spacing w:line="360" w:lineRule="auto"/>
        <w:ind w:firstLineChars="200" w:firstLine="420"/>
        <w:rPr>
          <w:rFonts w:ascii="宋体" w:eastAsia="宋体" w:hAnsi="宋体"/>
          <w:szCs w:val="21"/>
        </w:rPr>
      </w:pPr>
    </w:p>
    <w:p w14:paraId="01A74D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一、估值日</w:t>
      </w:r>
    </w:p>
    <w:p w14:paraId="0A6541E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本基金的估值日为本基金相关的证券交易场所的交易日以及国家法律法规规定需要对外披露基金净值的非交易日。</w:t>
      </w:r>
    </w:p>
    <w:p w14:paraId="699D4B3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二、估值对象</w:t>
      </w:r>
    </w:p>
    <w:p w14:paraId="525ACF8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基金所拥有的各类有价证券、资产支持证券以及银行存款本息和其它资产及负债。</w:t>
      </w:r>
    </w:p>
    <w:p w14:paraId="00D8A16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三、估值原则 </w:t>
      </w:r>
    </w:p>
    <w:p w14:paraId="11B580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基金管理人在确定相关金融资产和金融负债的公允价值时，应符合《企业会计准则》、监管部门有关规定。</w:t>
      </w:r>
    </w:p>
    <w:p w14:paraId="7B0522A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F0FA0D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5997E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C9398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（三）如经济环境发生重大变化或证券发行人发生影响证券价格的重大事件，使潜在估值调整对前一估值日的基金资产净值的影响在0.25%以上的，应对估值进行调整并确定公允价值。</w:t>
      </w:r>
    </w:p>
    <w:p w14:paraId="554C5BD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四、估值方法</w:t>
      </w:r>
    </w:p>
    <w:p w14:paraId="6D6C9F7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1、交易所市场交易的固定收益品种的估值</w:t>
      </w:r>
    </w:p>
    <w:p w14:paraId="7B2FBB2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（1）对在交易所市场上市交易或挂牌转让的固定收益品种（基金合同另有规定的除外），</w:t>
      </w:r>
      <w:r w:rsidRPr="00BD090D">
        <w:rPr>
          <w:rFonts w:ascii="宋体" w:eastAsia="宋体" w:hAnsi="宋体" w:hint="eastAsia"/>
          <w:szCs w:val="21"/>
        </w:rPr>
        <w:lastRenderedPageBreak/>
        <w:t>选取第三方估值机构提供的相应品种当日的估值净价进行估值；</w:t>
      </w:r>
    </w:p>
    <w:p w14:paraId="712BB64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（2）交易所上市交易的可转换债券，选取每日收盘价作为估值全价；</w:t>
      </w:r>
    </w:p>
    <w:p w14:paraId="34FCF6B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（3）对在交易所市场挂牌转让的资产支持证券，采用估值技术确定公允价值，在估值技术难以可靠计量公允价值的情况下，按成本估值；</w:t>
      </w:r>
    </w:p>
    <w:p w14:paraId="6792CA5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（4）对在交易所市场发行未上市或未挂牌转让的固定收益品种，采用估值技术确定公允价值，在估值技术难以可靠计量公允价值的情况下，按成本估值。</w:t>
      </w:r>
    </w:p>
    <w:p w14:paraId="056933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2、银行间市场交易的固定收益品种的估值</w:t>
      </w:r>
    </w:p>
    <w:p w14:paraId="2FFC36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（1）银行间市场交易的固定收益品种，选取第三方估值机构提供的相应品种当日的估值净价进行估值。</w:t>
      </w:r>
    </w:p>
    <w:p w14:paraId="79B8DCD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（2）对银行间市场未上市，且第三方估值机构未提供估值价格的固定收益品种，按成本估值。</w:t>
      </w:r>
    </w:p>
    <w:p w14:paraId="43FDA7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3、首次公开发行未上市的债券，采用估值技术确定公允价值，在估值技术难以可靠计量公允价值的情况下，按成本估值。</w:t>
      </w:r>
    </w:p>
    <w:p w14:paraId="7512D9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4、资产支持证券采用估值技术确定公允价值，在估值技术难以可靠计量公允价值的情况下，按成本估值。</w:t>
      </w:r>
    </w:p>
    <w:p w14:paraId="6F3CF23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5、同一债券同时在两个或两个以上市场交易的，按债券所处的市场分别估值。</w:t>
      </w:r>
    </w:p>
    <w:p w14:paraId="1024F6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6、当本基金发生大额申购或赎回情形时，基金管理人可以对本基金采用摆动定价机制，以确保基金估值的公平性。具体处理原则与操作规范遵循相关法律法规以及监管部门、自律组织的规定。</w:t>
      </w:r>
    </w:p>
    <w:p w14:paraId="750EBAB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7、如有确凿证据表明按上述方法进行估值不能客观反映其公允价值的，基金管理人可根据具体情况与基金托管人商定后，按最能反映公允价值的价格估值。</w:t>
      </w:r>
    </w:p>
    <w:p w14:paraId="511D053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8、相关法律法规以及监管部门有强制规定的，从其规定。如有新增事项，按国家最新规定估值。</w:t>
      </w:r>
    </w:p>
    <w:p w14:paraId="615F1FE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95879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226CDC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五、估值程序</w:t>
      </w:r>
    </w:p>
    <w:p w14:paraId="55B1A1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基金管理人每个工作日计算基金资产净值及基金份额净值，并按规定公告。</w:t>
      </w:r>
    </w:p>
    <w:p w14:paraId="1A90E43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应每个工作日对基金资产估值。但基金管理人根据法律法规或基金合同的规定暂停估值时除外。基金管理人每个工作日对基金资产估值后，将基金份额净值结果发送基金托管人，经基金托管人复核无误后，以约定的方式将复核结果提交给基金管理人，由基金管理人按约定对外公布。</w:t>
      </w:r>
    </w:p>
    <w:p w14:paraId="438FDAF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六、估值错误的处理</w:t>
      </w:r>
    </w:p>
    <w:p w14:paraId="00CFE6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基金管理人和基金托管人将采取必要、适当、合理的措施确保基金资产估值的准确性、及时性。当基金份额净值小数点后4位以内(含第4位)发生估值错误时，视为基金份额净值错误。</w:t>
      </w:r>
    </w:p>
    <w:p w14:paraId="42B9AD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基金合同的当事人应按照以下约定处理：</w:t>
      </w:r>
    </w:p>
    <w:p w14:paraId="683C691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估值错误类型</w:t>
      </w:r>
    </w:p>
    <w:p w14:paraId="709814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55A7CB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上述估值错误的主要类型包括但不限于：资料申报差错、数据传输差错、数据计算差错、系统故障差错、下达指令差错等。</w:t>
      </w:r>
    </w:p>
    <w:p w14:paraId="4B6E166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2、估值错误处理原则</w:t>
      </w:r>
    </w:p>
    <w:p w14:paraId="595F06B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D90D6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（2）估值错误的责任方对有关当事人的直接损失负责，不对间接损失负责，并且仅对估值错误的有关直接当事人负责，不对第三方负责。</w:t>
      </w:r>
    </w:p>
    <w:p w14:paraId="287710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ABAA5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（4）估值错误调整采用尽量恢复至假设未发生估值错误的正确情形的方式。</w:t>
      </w:r>
    </w:p>
    <w:p w14:paraId="657D855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3、估值错误处理程序</w:t>
      </w:r>
    </w:p>
    <w:p w14:paraId="1B72273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估值错误被发现后，有关的当事人应当及时进行处理，处理的程序如下：</w:t>
      </w:r>
    </w:p>
    <w:p w14:paraId="055728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（1）查明估值错误发生的原因，列明所有的当事人，并根据估值错误发生的原因确定估值错误的责任方；</w:t>
      </w:r>
    </w:p>
    <w:p w14:paraId="7BA9122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（2）根据估值错误处理原则或当事人协商的方法对因估值错误造成的损失进行评估；</w:t>
      </w:r>
    </w:p>
    <w:p w14:paraId="202962C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（3）根据估值错误处理原则或当事人协商的方法由估值错误的责任方进行更正和赔偿损失；</w:t>
      </w:r>
    </w:p>
    <w:p w14:paraId="6EBFC15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（4）根据估值错误处理的方法，需要修改基金登记机构交易数据的，由基金登记机构进行更正，并就估值错误的更正向有关当事人进行确认。</w:t>
      </w:r>
    </w:p>
    <w:p w14:paraId="4D68036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4、基金份额净值估值错误处理的方法如下：</w:t>
      </w:r>
    </w:p>
    <w:p w14:paraId="2A57BBF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（1）基金份额净值估值出现错误时，基金管理人应当立即予以纠正，通报基金托管人，并采取合理的措施防止损失进一步扩大。</w:t>
      </w:r>
    </w:p>
    <w:p w14:paraId="02D2F7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（2）错误偏差达到基金份额净值的0.25%时，基金管理人应当通报基金托管人并报中国证监会备案；错误偏差达到基金份额净值的0.5%时，基金管理人应当公告，并报中国证监会备案。</w:t>
      </w:r>
    </w:p>
    <w:p w14:paraId="726824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（3）当基金份额净值计算差错给基金和基金份额持有人造成损失需要进行赔偿时，基金管理人和基金托管人应根据实际情况界定双方承担的责任，经确认后按以下条款进行赔偿：</w:t>
      </w:r>
    </w:p>
    <w:p w14:paraId="205B251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3AA454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基金</w:t>
      </w:r>
      <w:r w:rsidRPr="00BD090D">
        <w:rPr>
          <w:rFonts w:ascii="宋体" w:eastAsia="宋体" w:hAnsi="宋体" w:hint="eastAsia"/>
          <w:szCs w:val="21"/>
        </w:rPr>
        <w:lastRenderedPageBreak/>
        <w:t>管理人和基金托管人有权向获得不当得利之主体主张返还不当得利。</w:t>
      </w:r>
    </w:p>
    <w:p w14:paraId="1631C7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p>
    <w:p w14:paraId="0EC932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4）由于基金管理人提供的信息错误（包括但不限于基金申购或赎回金额等），进而导致基金份额净值计算错误而引起的基金份额持有人和基金财产的损失，由基金管理人负责赔付。</w:t>
      </w:r>
    </w:p>
    <w:p w14:paraId="5792B92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（4）基金管理人和基金托管人由于各自技术系统设置而产生的净值计算尾差，以基金管理人计算结果为准。</w:t>
      </w:r>
    </w:p>
    <w:p w14:paraId="32D5D42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（5）前述内容如法律法规或监管机关另有规定的，从其规定处理。如果行业另有通行做法，基金管理人和基金托管人应本着平等和保护基金份额持有人利益的原则进行协商。</w:t>
      </w:r>
    </w:p>
    <w:p w14:paraId="5037A9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七、暂停估值的情形</w:t>
      </w:r>
    </w:p>
    <w:p w14:paraId="02812B0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1、基金投资所涉及的证券交易市场遇法定节假日或因其他原因暂停营业时；</w:t>
      </w:r>
    </w:p>
    <w:p w14:paraId="305B5B8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2、因不可抗力致使基金管理人、基金托管人无法准确评估基金资产价值时；</w:t>
      </w:r>
    </w:p>
    <w:p w14:paraId="3BD3B45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3、当特定资产占前一估值日基金资产净值 50%以上的，经与基金托管人协商一致的；</w:t>
      </w:r>
    </w:p>
    <w:p w14:paraId="43BA84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4、法律法规、中国证监会和基金合同认定的其它情形。</w:t>
      </w:r>
    </w:p>
    <w:p w14:paraId="657788D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八、基金净值的确认</w:t>
      </w:r>
    </w:p>
    <w:p w14:paraId="35C8826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按约定予以公布。</w:t>
      </w:r>
    </w:p>
    <w:p w14:paraId="683EB5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九、特殊情况的处理方法</w:t>
      </w:r>
    </w:p>
    <w:p w14:paraId="48D44F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1、基金管理人或基金托管人按估值方法的第7项进行估值时，所造成的误差不作为基金资产估值错误处理。</w:t>
      </w:r>
    </w:p>
    <w:p w14:paraId="13EC8F6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由于不可抗力原因，或由于证券交易所、登记结算公司等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545A01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十、实施侧袋机制期间的基金资产估值</w:t>
      </w:r>
    </w:p>
    <w:p w14:paraId="0B1C0F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本基金实施侧袋机制的，应根据本部分的约定对主袋账户资产进行估值并披露主袋账户</w:t>
      </w:r>
      <w:r w:rsidRPr="00BD090D">
        <w:rPr>
          <w:rFonts w:ascii="宋体" w:eastAsia="宋体" w:hAnsi="宋体" w:hint="eastAsia"/>
          <w:szCs w:val="21"/>
        </w:rPr>
        <w:lastRenderedPageBreak/>
        <w:t>的基金资产净值和基金份额净值，暂停披露侧袋账户的基金份额净值，估值安排详见招募说明书“侧袋机制”部分的规定。</w:t>
      </w:r>
    </w:p>
    <w:p w14:paraId="4E7E92B4" w14:textId="77777777" w:rsidR="00BD090D" w:rsidRPr="00BD090D" w:rsidRDefault="00BD090D" w:rsidP="00BD090D">
      <w:pPr>
        <w:spacing w:line="360" w:lineRule="auto"/>
        <w:ind w:firstLineChars="200" w:firstLine="420"/>
        <w:rPr>
          <w:rFonts w:ascii="宋体" w:eastAsia="宋体" w:hAnsi="宋体"/>
          <w:szCs w:val="21"/>
        </w:rPr>
      </w:pPr>
    </w:p>
    <w:p w14:paraId="68CED2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15DA560"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09E2D7D"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2F43F78B"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3" w:name="_Toc89276784"/>
      <w:r w:rsidRPr="00BD090D">
        <w:rPr>
          <w:rFonts w:ascii="Arial Unicode MS" w:eastAsia="宋体" w:hAnsi="Arial Unicode MS" w:cs="Arial" w:hint="eastAsia"/>
          <w:kern w:val="0"/>
          <w:sz w:val="28"/>
          <w:szCs w:val="28"/>
        </w:rPr>
        <w:lastRenderedPageBreak/>
        <w:t>第十三部分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基金的收益分配</w:t>
      </w:r>
      <w:bookmarkEnd w:id="23"/>
    </w:p>
    <w:p w14:paraId="5D7C4EE2" w14:textId="77777777" w:rsidR="00BD090D" w:rsidRPr="00BD090D" w:rsidRDefault="00BD090D" w:rsidP="00BD090D">
      <w:pPr>
        <w:spacing w:line="360" w:lineRule="auto"/>
        <w:ind w:firstLineChars="200" w:firstLine="420"/>
        <w:rPr>
          <w:rFonts w:ascii="宋体" w:eastAsia="宋体" w:hAnsi="宋体"/>
          <w:szCs w:val="21"/>
        </w:rPr>
      </w:pPr>
    </w:p>
    <w:p w14:paraId="04EB279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一、基金利润的构成</w:t>
      </w:r>
    </w:p>
    <w:p w14:paraId="4C59BBF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基金利润指基金利息收入、投资收益、公允价值变动收益和其他收入扣除相关费用后的余额；基金已实现收益指基金利润减去公允价值变动损益后的余额。</w:t>
      </w:r>
    </w:p>
    <w:p w14:paraId="298DE2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二、基金可供分配利润</w:t>
      </w:r>
    </w:p>
    <w:p w14:paraId="433EEEA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基金可供分配利润指截至收益分配基准日基金未分配利润与未分配利润中已实现收益的孰低数。</w:t>
      </w:r>
    </w:p>
    <w:p w14:paraId="60565FA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三、基金收益分配原则</w:t>
      </w:r>
    </w:p>
    <w:p w14:paraId="6CA03B1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1、在符合有关基金分红条件的前提下，基金管理人可以根据实际情况进行收益分配，具体分配方案以公告为准，若基金合同生效不满3个月可不进行收益分配；</w:t>
      </w:r>
    </w:p>
    <w:p w14:paraId="5A08E99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2、本基金收益分配方式分两种：现金分红与红利再投资，投资者可选择现金红利或将现金红利自动转为基金份额进行再投资；若投资者不选择，本基金默认的收益分配方式是现金分红；</w:t>
      </w:r>
    </w:p>
    <w:p w14:paraId="22F6B4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3、基金收益分配后基金份额净值不能低于面值，即基金收益分配基准日的基金份额净值减去每单位基金份额收益分配金额后不能低于面值；</w:t>
      </w:r>
    </w:p>
    <w:p w14:paraId="6D88BFB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4、每一基金份额享有同等分配权；</w:t>
      </w:r>
    </w:p>
    <w:p w14:paraId="322FCFD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5、法律法规或监管机关另有规定的，从其规定。</w:t>
      </w:r>
    </w:p>
    <w:p w14:paraId="6F44FE0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本基金每次收益分配比例详见届时基金管理人发布的公告。</w:t>
      </w:r>
    </w:p>
    <w:p w14:paraId="44D383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在不违反法律法规且对基金份额持有人利益无实质不利影响的前提下，基金管理人在履行适当程序后，可对上述基金收益分配原则进行调整。</w:t>
      </w:r>
    </w:p>
    <w:p w14:paraId="01790C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四、收益分配方案</w:t>
      </w:r>
    </w:p>
    <w:p w14:paraId="1BDA448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基金收益分配方案中应载明截止收益分配基准日的可供分配利润、基金收益分配对象、分配时间、分配数额及比例、分配方式等内容。</w:t>
      </w:r>
    </w:p>
    <w:p w14:paraId="1F831B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五、收益分配方案的确定、公告与实施</w:t>
      </w:r>
    </w:p>
    <w:p w14:paraId="03B74F0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本基金收益分配方案由基金管理人拟定，并由基金托管人复核，在2日内在规定媒介公告。</w:t>
      </w:r>
    </w:p>
    <w:p w14:paraId="2A608DE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六、基金收益分配中发生的费用</w:t>
      </w:r>
    </w:p>
    <w:p w14:paraId="553100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基金收益分配时所发生的银行转账或其他手续费用由投资者自行承担。当投资者的现金</w:t>
      </w:r>
      <w:r w:rsidRPr="00BD090D">
        <w:rPr>
          <w:rFonts w:ascii="宋体" w:eastAsia="宋体" w:hAnsi="宋体" w:hint="eastAsia"/>
          <w:szCs w:val="21"/>
        </w:rPr>
        <w:lastRenderedPageBreak/>
        <w:t>红利小于一定金额，不足以支付银行转账或其他手续费用时，基金登记机构可将基金份额持有人的现金红利自动转为基金份额。红利再投资的计算方法，依照《业务规则》执行。</w:t>
      </w:r>
    </w:p>
    <w:p w14:paraId="53E23AF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七、实施侧袋机制期间的收益分配</w:t>
      </w:r>
    </w:p>
    <w:p w14:paraId="28FE384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本基金实施侧袋机制的，侧袋账户不进行收益分配。</w:t>
      </w:r>
    </w:p>
    <w:p w14:paraId="3BC1EE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19E20ED9"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106062FE"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5CC25AAD"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4" w:name="_Toc89276785"/>
      <w:r w:rsidRPr="00BD090D">
        <w:rPr>
          <w:rFonts w:ascii="Arial Unicode MS" w:eastAsia="宋体" w:hAnsi="Arial Unicode MS" w:cs="Arial" w:hint="eastAsia"/>
          <w:kern w:val="0"/>
          <w:sz w:val="28"/>
          <w:szCs w:val="28"/>
        </w:rPr>
        <w:lastRenderedPageBreak/>
        <w:t>第十四部分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基金费用与税收</w:t>
      </w:r>
      <w:bookmarkEnd w:id="24"/>
    </w:p>
    <w:p w14:paraId="271D85BA" w14:textId="77777777" w:rsidR="00BD090D" w:rsidRPr="00BD090D" w:rsidRDefault="00BD090D" w:rsidP="00BD090D">
      <w:pPr>
        <w:spacing w:line="360" w:lineRule="auto"/>
        <w:ind w:firstLineChars="200" w:firstLine="420"/>
        <w:rPr>
          <w:rFonts w:ascii="宋体" w:eastAsia="宋体" w:hAnsi="宋体"/>
          <w:szCs w:val="21"/>
        </w:rPr>
      </w:pPr>
    </w:p>
    <w:p w14:paraId="329FF3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一、基金费用的种类</w:t>
      </w:r>
    </w:p>
    <w:p w14:paraId="3D3E380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1、基金管理人的管理费；</w:t>
      </w:r>
    </w:p>
    <w:p w14:paraId="16F89A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2、基金托管人的托管费；</w:t>
      </w:r>
    </w:p>
    <w:p w14:paraId="5A45089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3、《基金合同》生效后与基金相关的信息披露费用；</w:t>
      </w:r>
    </w:p>
    <w:p w14:paraId="256769A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4、《基金合同》生效后与基金运作相关的会计师费、律师费、诉讼费、仲裁费等；</w:t>
      </w:r>
    </w:p>
    <w:p w14:paraId="0B4D6C5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5、基金份额持有人大会费用；</w:t>
      </w:r>
    </w:p>
    <w:p w14:paraId="3440EC7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6、基金的相关账户的开户及维护费用；</w:t>
      </w:r>
    </w:p>
    <w:p w14:paraId="39BC5B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7、基金的证券交易费用；</w:t>
      </w:r>
    </w:p>
    <w:p w14:paraId="0A1FBD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8、基金的银行汇划费用；</w:t>
      </w:r>
    </w:p>
    <w:p w14:paraId="7EAF5A1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9、按照国家有关规定和《基金合同》约定，可以在基金财产中列支的其他费用。</w:t>
      </w:r>
    </w:p>
    <w:p w14:paraId="282019F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二、基金费用计提方法、计提标准和支付方式</w:t>
      </w:r>
    </w:p>
    <w:p w14:paraId="729206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1、基金管理人的管理费</w:t>
      </w:r>
    </w:p>
    <w:p w14:paraId="66FD414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本基金的管理费按前一日基金资产净值的0.3%年费率计提。管理费的计算方法如下：</w:t>
      </w:r>
    </w:p>
    <w:p w14:paraId="1CBF51B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H＝E×0.3%÷当年天数</w:t>
      </w:r>
    </w:p>
    <w:p w14:paraId="72AF718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H为每日应计提的基金管理费</w:t>
      </w:r>
    </w:p>
    <w:p w14:paraId="4FA47A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E为前一日的基金资产净值</w:t>
      </w:r>
    </w:p>
    <w:p w14:paraId="73ED1AB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基金管理费每日计算，逐日累计至每月月末，按月支付。由基金托管人根据与基金管理人核对一致的财务数据，自动在次月初3个工作日内、按照指定的账户路径进行资金支付，基金管理人无需再出具资金划拨指令。若遇法定节假日、公休假或不可抗力等，支付日期顺延。 </w:t>
      </w:r>
    </w:p>
    <w:p w14:paraId="6A271E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2、基金托管人的托管费、</w:t>
      </w:r>
    </w:p>
    <w:p w14:paraId="79D9226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本基金的托管费按前一日基金资产净值的0.05%的年费率计提。托管费的计算方法如下：</w:t>
      </w:r>
    </w:p>
    <w:p w14:paraId="1A0A139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H＝E×0.05%÷当年天数</w:t>
      </w:r>
    </w:p>
    <w:p w14:paraId="0F9DCA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H为每日应计提的基金托管费</w:t>
      </w:r>
    </w:p>
    <w:p w14:paraId="337F3F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E为前一日的基金资产净值</w:t>
      </w:r>
    </w:p>
    <w:p w14:paraId="33B56F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基金托管费每日计算，逐日累计至每月月末，按月支付。由基金托管人根据与基金管理人核对一致的财务数据，自动在次月初3个工作日内、按照指定的账户路径进行资金支付，</w:t>
      </w:r>
      <w:r w:rsidRPr="00BD090D">
        <w:rPr>
          <w:rFonts w:ascii="宋体" w:eastAsia="宋体" w:hAnsi="宋体" w:hint="eastAsia"/>
          <w:szCs w:val="21"/>
        </w:rPr>
        <w:lastRenderedPageBreak/>
        <w:t>基金管理人无需再出具资金划拨指令。若遇法定节假日、公休日或不可抗力等，支付日期顺延。</w:t>
      </w:r>
    </w:p>
    <w:p w14:paraId="5287DC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上述“一、基金费用的种类”中第3－9项费用，根据有关法规及相应协议规定，按费用实际支出金额列入当期费用，由基金托管人从基金财产中支付。</w:t>
      </w:r>
    </w:p>
    <w:p w14:paraId="4114049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三、不列入基金费用的项目</w:t>
      </w:r>
    </w:p>
    <w:p w14:paraId="3801470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下列费用不列入基金费用：</w:t>
      </w:r>
    </w:p>
    <w:p w14:paraId="240EFB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1、基金管理人和基金托管人因未履行或未完全履行义务导致的费用支出或基金财产的损失；</w:t>
      </w:r>
    </w:p>
    <w:p w14:paraId="6DE10DB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2、基金管理人和基金托管人处理与基金运作无关的事项发生的费用；</w:t>
      </w:r>
    </w:p>
    <w:p w14:paraId="6DD854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3、《基金合同》生效前的相关费用；</w:t>
      </w:r>
    </w:p>
    <w:p w14:paraId="1F20AC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4、其他根据相关法律法规及中国证监会的有关规定不得列入基金费用的项目。</w:t>
      </w:r>
    </w:p>
    <w:p w14:paraId="4378AA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四、实施侧袋机制期间的基金费用</w:t>
      </w:r>
    </w:p>
    <w:p w14:paraId="072F378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本基金实施侧袋机制的，与侧袋账户有关的费用可以从侧袋账户中列支，但应待侧袋账户资产变现后方可列支，有关费用可酌情收取或减免，但不得收取管理费，详见招募说明书“侧袋机制”部分的规定。</w:t>
      </w:r>
    </w:p>
    <w:p w14:paraId="3970CE7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五、基金税收</w:t>
      </w:r>
    </w:p>
    <w:p w14:paraId="37AC8D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本基金运作过程中涉及的各纳税主体，其纳税义务按国家税收法律、法规执行。</w:t>
      </w:r>
    </w:p>
    <w:p w14:paraId="71C0605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基金财产投资的相关税收，由基金份额持有人承担，基金管理人或者其他扣缴义务人按照国家有关税收征收的规定代扣代缴。</w:t>
      </w:r>
    </w:p>
    <w:p w14:paraId="7C3E152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74BE175C"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3B932C6B"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181BD26D"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5" w:name="_Toc89276786"/>
      <w:r w:rsidRPr="00BD090D">
        <w:rPr>
          <w:rFonts w:ascii="Arial Unicode MS" w:eastAsia="宋体" w:hAnsi="Arial Unicode MS" w:cs="Arial" w:hint="eastAsia"/>
          <w:kern w:val="0"/>
          <w:sz w:val="28"/>
          <w:szCs w:val="28"/>
        </w:rPr>
        <w:lastRenderedPageBreak/>
        <w:t>第十五部分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基金的会计与审计</w:t>
      </w:r>
      <w:bookmarkEnd w:id="25"/>
    </w:p>
    <w:p w14:paraId="7E6452FF" w14:textId="77777777" w:rsidR="00BD090D" w:rsidRPr="00BD090D" w:rsidRDefault="00BD090D" w:rsidP="00BD090D">
      <w:pPr>
        <w:spacing w:line="360" w:lineRule="auto"/>
        <w:ind w:firstLineChars="200" w:firstLine="420"/>
        <w:rPr>
          <w:rFonts w:ascii="宋体" w:eastAsia="宋体" w:hAnsi="宋体"/>
          <w:szCs w:val="21"/>
        </w:rPr>
      </w:pPr>
    </w:p>
    <w:p w14:paraId="69D0F1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一、基金会计政策</w:t>
      </w:r>
    </w:p>
    <w:p w14:paraId="0FD563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1、基金管理人为本基金的基金会计责任方；</w:t>
      </w:r>
    </w:p>
    <w:p w14:paraId="086942A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2、基金的会计年度为公历年度的1月1日至12月31日；基金首次募集的会计年度按如下原则：如果基金合同生效少于2个月，可以并入下一个会计年度披露；</w:t>
      </w:r>
    </w:p>
    <w:p w14:paraId="492E58B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3、基金核算以人民币为记账本位币，以人民币元为记账单位；</w:t>
      </w:r>
    </w:p>
    <w:p w14:paraId="120EDE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4、会计制度执行国家有关会计制度；</w:t>
      </w:r>
    </w:p>
    <w:p w14:paraId="5F89AC5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5、本基金独立建账、独立核算；</w:t>
      </w:r>
    </w:p>
    <w:p w14:paraId="3FA470F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6、基金管理人及基金托管人各自保留完整的会计账目、凭证并进行日常的会计核算，按照有关规定编制基金会计报表；</w:t>
      </w:r>
    </w:p>
    <w:p w14:paraId="228DE5B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7、基金托管人每月与基金管理人就基金的会计核算、报表编制等进行核对并以书面方式确认。</w:t>
      </w:r>
    </w:p>
    <w:p w14:paraId="38B30D6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二、基金的年度审计</w:t>
      </w:r>
    </w:p>
    <w:p w14:paraId="4815F36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1、基金管理人聘请与基金管理人、基金托管人相互独立的符合《中华人民共和国证券法》规定的会计师事务所及其注册会计师对本基金的年度财务报表进行审计。</w:t>
      </w:r>
    </w:p>
    <w:p w14:paraId="0D28494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2、会计师事务所更换经办注册会计师，应事先征得基金管理人同意。</w:t>
      </w:r>
    </w:p>
    <w:p w14:paraId="5D8F26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3、基金管理人认为有充足理由更换会计师事务所，须通报基金托管人。更换会计师事务所需在2日内在规定媒介公告。</w:t>
      </w:r>
    </w:p>
    <w:p w14:paraId="57BECEBE" w14:textId="77777777" w:rsidR="00BD090D" w:rsidRPr="00BD090D" w:rsidRDefault="00BD090D" w:rsidP="00BD090D">
      <w:pPr>
        <w:spacing w:line="360" w:lineRule="auto"/>
        <w:ind w:firstLineChars="200" w:firstLine="420"/>
        <w:rPr>
          <w:rFonts w:ascii="宋体" w:eastAsia="宋体" w:hAnsi="宋体"/>
          <w:szCs w:val="21"/>
        </w:rPr>
      </w:pPr>
    </w:p>
    <w:p w14:paraId="4E0E21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F28C4A2" w14:textId="77777777" w:rsidR="00E93E50"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2A0C421C" w14:textId="77777777" w:rsidR="00BD090D" w:rsidRPr="00BD090D" w:rsidRDefault="00E93E50" w:rsidP="00E93E50">
      <w:pPr>
        <w:widowControl/>
        <w:jc w:val="left"/>
        <w:rPr>
          <w:rFonts w:ascii="宋体" w:eastAsia="宋体" w:hAnsi="宋体"/>
          <w:szCs w:val="21"/>
        </w:rPr>
      </w:pPr>
      <w:r>
        <w:rPr>
          <w:rFonts w:ascii="宋体" w:eastAsia="宋体" w:hAnsi="宋体"/>
          <w:szCs w:val="21"/>
        </w:rPr>
        <w:br w:type="page"/>
      </w:r>
    </w:p>
    <w:p w14:paraId="3350FC0C"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6" w:name="_Toc89276787"/>
      <w:r w:rsidRPr="00BD090D">
        <w:rPr>
          <w:rFonts w:ascii="Arial Unicode MS" w:eastAsia="宋体" w:hAnsi="Arial Unicode MS" w:cs="Arial" w:hint="eastAsia"/>
          <w:kern w:val="0"/>
          <w:sz w:val="28"/>
          <w:szCs w:val="28"/>
        </w:rPr>
        <w:lastRenderedPageBreak/>
        <w:t>第十六部分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基金的信息披露</w:t>
      </w:r>
      <w:bookmarkEnd w:id="26"/>
    </w:p>
    <w:p w14:paraId="44E223F6" w14:textId="77777777" w:rsidR="00BD090D" w:rsidRPr="00BD090D" w:rsidRDefault="00BD090D" w:rsidP="00BD090D">
      <w:pPr>
        <w:spacing w:line="360" w:lineRule="auto"/>
        <w:ind w:firstLineChars="200" w:firstLine="420"/>
        <w:rPr>
          <w:rFonts w:ascii="宋体" w:eastAsia="宋体" w:hAnsi="宋体"/>
          <w:szCs w:val="21"/>
        </w:rPr>
      </w:pPr>
    </w:p>
    <w:p w14:paraId="328A78C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一、本基金的信息披露应符合《基金法》、《运作办法》、《信息披露办法》、《流动性风险管理规定》、《基金合同》及其他有关规定。相关法律法规关于信息披露的规定发生变化时，本基金从其最新规定。</w:t>
      </w:r>
    </w:p>
    <w:p w14:paraId="054806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二、信息披露义务人</w:t>
      </w:r>
    </w:p>
    <w:p w14:paraId="3735881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本基金信息披露义务人包括基金管理人、基金托管人、召集基金份额持有人大会的基金份额持有人等法律、行政法规和中国证监会规定的自然人、法人和非法人组织。</w:t>
      </w:r>
    </w:p>
    <w:p w14:paraId="1BB1F7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本基金信息披露义务人以保护基金份额持有人利益为根本出发点，按照法律法规和中国证监会的规定披露基金信息，并保证所披露信息的真实性、准确性、完整性、及时性、简明性和易得性。</w:t>
      </w:r>
    </w:p>
    <w:p w14:paraId="15663A0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0DCBC1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三、本基金信息披露义务人承诺公开披露的基金信息，不得有下列行为：</w:t>
      </w:r>
    </w:p>
    <w:p w14:paraId="5CD9B13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1、虚假记载、误导性陈述或者重大遗漏；</w:t>
      </w:r>
    </w:p>
    <w:p w14:paraId="266FD0E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2、对证券投资业绩进行预测；</w:t>
      </w:r>
    </w:p>
    <w:p w14:paraId="2AAE5D4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3、违规承诺收益或者承担损失；</w:t>
      </w:r>
    </w:p>
    <w:p w14:paraId="7E3C3B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4、诋毁其他基金管理人、基金托管人或者基金销售机构；</w:t>
      </w:r>
    </w:p>
    <w:p w14:paraId="67C6D3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5、登载任何自然人、法人和非法人组织的祝贺性、恭维性或推荐性的文字；</w:t>
      </w:r>
    </w:p>
    <w:p w14:paraId="51AA69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6、中国证监会禁止的其他行为。</w:t>
      </w:r>
    </w:p>
    <w:p w14:paraId="11AD59D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四、本基金公开披露的信息应采用中文文本。如同时采用外文文本的，基金信息披露义务人应保证不同文本的内容一致。不同文本之间发生歧义的，以中文文本为准。</w:t>
      </w:r>
    </w:p>
    <w:p w14:paraId="425CA3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本基金公开披露的信息采用阿拉伯数字；除特别说明外，货币单位为人民币元。</w:t>
      </w:r>
    </w:p>
    <w:p w14:paraId="76FE7AD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五、公开披露的基金信息</w:t>
      </w:r>
    </w:p>
    <w:p w14:paraId="1BBB16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公开披露的基金信息包括：</w:t>
      </w:r>
    </w:p>
    <w:p w14:paraId="735412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（一）基金招募说明书、《基金合同》、基金托管协议、基金产品资料概要</w:t>
      </w:r>
    </w:p>
    <w:p w14:paraId="7B5C090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1、《基金合同》是界定《基金合同》当事人的各项权利、义务关系，明确基金份额持有</w:t>
      </w:r>
      <w:r w:rsidRPr="00BD090D">
        <w:rPr>
          <w:rFonts w:ascii="宋体" w:eastAsia="宋体" w:hAnsi="宋体" w:hint="eastAsia"/>
          <w:szCs w:val="21"/>
        </w:rPr>
        <w:lastRenderedPageBreak/>
        <w:t>人大会召开的规则及具体程序，说明基金产品的特性等涉及基金投资者重大利益的事项的法律文件。</w:t>
      </w:r>
    </w:p>
    <w:p w14:paraId="14D317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131C30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3、基金托管协议是界定基金托管人和基金管理人在基金财产保管及基金运作监督等活动中的权利、义务关系的法律文件。</w:t>
      </w:r>
    </w:p>
    <w:p w14:paraId="6D12FB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C5A181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775A0CA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（二）基金份额发售公告</w:t>
      </w:r>
    </w:p>
    <w:p w14:paraId="54A36F2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基金管理人应当就基金份额发售的具体事宜编制基金份额发售公告，并在披露招募说明书的当日登载于规定媒介上。</w:t>
      </w:r>
    </w:p>
    <w:p w14:paraId="1CEB1B8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（三）《基金合同》生效公告</w:t>
      </w:r>
    </w:p>
    <w:p w14:paraId="028C026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基金管理人应当在收到中国证监会确认文件的次日在规定媒介上登载《基金合同》生效公告。</w:t>
      </w:r>
    </w:p>
    <w:p w14:paraId="504412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基金合同生效公告中将说明基金募集情况及基金管理人、基金管理人股东、基金管理人高级管理人员或基金经理持有的基金份额、承诺持有的期限等情况。</w:t>
      </w:r>
    </w:p>
    <w:p w14:paraId="5E78ACD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（四）基金净值信息</w:t>
      </w:r>
    </w:p>
    <w:p w14:paraId="568AD88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《基金合同》生效后，在封闭期内，基金管理人应当至少每周在规定网站披露一次基金</w:t>
      </w:r>
      <w:r w:rsidRPr="00BD090D">
        <w:rPr>
          <w:rFonts w:ascii="宋体" w:eastAsia="宋体" w:hAnsi="宋体" w:hint="eastAsia"/>
          <w:szCs w:val="21"/>
        </w:rPr>
        <w:lastRenderedPageBreak/>
        <w:t>份额净值和基金份额累计净值。</w:t>
      </w:r>
    </w:p>
    <w:p w14:paraId="27A227B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开放期内，基金管理人应当在不晚于每个开放日的次日，通过规定网站、基金销售机构网站或者营业网点披露开放日的基金份额净值和基金份额累计净值。基金管理人应当在不晚于半年度和年度最后一日的次日，在规定网站披露半年度和年度最后一日的基金份额净值和基金份额累计净值。</w:t>
      </w:r>
    </w:p>
    <w:p w14:paraId="12D9409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（五）基金份额申购、赎回价格</w:t>
      </w:r>
    </w:p>
    <w:p w14:paraId="338F966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268ACE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（六）基金定期报告，包括基金年度报告、基金中期报告和基金季度报告</w:t>
      </w:r>
    </w:p>
    <w:p w14:paraId="3631598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1E454E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基金管理人应当在上半年结束之日起两个月内，编制完成基金中期报告，将中期报告登载在规定网站上，并将中期报告提示性公告登载在规定报刊上。</w:t>
      </w:r>
    </w:p>
    <w:p w14:paraId="63F2296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基金管理人应当在季度结束之日起15个工作日内，编制完成基金季度报告，将季度报告登载在规定网站上，并将季度报告提示性公告登载在规定报刊上。</w:t>
      </w:r>
    </w:p>
    <w:p w14:paraId="5C2C05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基金年度报告、基金中期报告和基金季度报告中针对发起资金部分分别披露基金管理人固有资金、基金管理人股东、基金管理人高级管理人员或基金经理等持有基金的份额、期限及期间的变动情况。</w:t>
      </w:r>
    </w:p>
    <w:p w14:paraId="1FCB98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基金合同生效不足2个月的，基金管理人可以不编制当期季度报告、中期报告或者年度报告。</w:t>
      </w:r>
    </w:p>
    <w:p w14:paraId="60B47D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734E8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基金管理人应当在基金年度报告和中期报告中披露基金组合资产情况及其流动性风险分析等。</w:t>
      </w:r>
    </w:p>
    <w:p w14:paraId="13BD977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（七）临时报告</w:t>
      </w:r>
    </w:p>
    <w:p w14:paraId="6B698C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本基金发生重大事件，有关信息披露义务人应当在2日内编制临时报告书，并登载在规</w:t>
      </w:r>
      <w:r w:rsidRPr="00BD090D">
        <w:rPr>
          <w:rFonts w:ascii="宋体" w:eastAsia="宋体" w:hAnsi="宋体" w:hint="eastAsia"/>
          <w:szCs w:val="21"/>
        </w:rPr>
        <w:lastRenderedPageBreak/>
        <w:t>定报刊和规定网站上。</w:t>
      </w:r>
    </w:p>
    <w:p w14:paraId="4B4E27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前款所称重大事件，是指可能对基金份额持有人权益或者基金份额的价格产生重大影响的下列事件：</w:t>
      </w:r>
    </w:p>
    <w:p w14:paraId="104EF1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1、基金份额持有人大会的召开及决定的事项；</w:t>
      </w:r>
    </w:p>
    <w:p w14:paraId="3F8E1A4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2、基金合同终止、基金清算；</w:t>
      </w:r>
    </w:p>
    <w:p w14:paraId="499411E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3、转换基金运作方式、基金合并（不包括本基金封闭期与开放期的转换）；</w:t>
      </w:r>
    </w:p>
    <w:p w14:paraId="507FB68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4、更换基金管理人、基金托管人、基金份额登记机构，基金改聘会计师事务所；</w:t>
      </w:r>
    </w:p>
    <w:p w14:paraId="4E89B97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5、基金管理人委托基金服务机构代为办理基金的份额登记、核算、估值等事项，基金托管人委托基金服务机构代为办理基金的核算、估值、复核等事项；</w:t>
      </w:r>
    </w:p>
    <w:p w14:paraId="149E2B4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6、基金管理人、基金托管人的法定名称、住所发生变更；</w:t>
      </w:r>
    </w:p>
    <w:p w14:paraId="12EF43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7、基金管理人变更持有百分之五以上股权的股东、基金管理人的实际控制人变更；</w:t>
      </w:r>
    </w:p>
    <w:p w14:paraId="7FFB418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8、基金募集期延长或提前结束募集；</w:t>
      </w:r>
    </w:p>
    <w:p w14:paraId="650DE56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9、基金管理人的高级管理人员、基金经理和基金托管人专门基金托管部门负责人发生变动；</w:t>
      </w:r>
    </w:p>
    <w:p w14:paraId="6127A3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10、基金管理人的董事在最近12个月内变更超过百分之五十，基金管理人、基金托管人专门基金托管部门的主要业务人员在最近12个月内变动超过百分之三十；</w:t>
      </w:r>
    </w:p>
    <w:p w14:paraId="48C685F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11、涉及基金管理业务、基金财产、基金托管业务的诉讼或者仲裁；</w:t>
      </w:r>
    </w:p>
    <w:p w14:paraId="030E3A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12、基金管理人或其高级管理人员、基金经理因基金管理业务相关行为受到重大行政处罚、刑事处罚，基金托管人或其专门基金托管部门负责人因基金托管业务相关行为受到重大行政处罚、刑事处罚；</w:t>
      </w:r>
    </w:p>
    <w:p w14:paraId="53E394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CBC42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14、基金收益分配事项；</w:t>
      </w:r>
    </w:p>
    <w:p w14:paraId="3D45CB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15、管理费、托管费、申购费、赎回费等费用计提标准、计提方式和费率发生变更；</w:t>
      </w:r>
    </w:p>
    <w:p w14:paraId="399C76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16、基金份额净值估值错误达基金份额净值百分之零点五；</w:t>
      </w:r>
    </w:p>
    <w:p w14:paraId="427A91D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17、本基金进入开放期；</w:t>
      </w:r>
    </w:p>
    <w:p w14:paraId="7338FB2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18、本基金在开放期内发生巨额赎回并延缓支付赎回款项；</w:t>
      </w:r>
    </w:p>
    <w:p w14:paraId="6C080D8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19、本基金暂停接受申购、赎回申请或重新接受申购、赎回申请；</w:t>
      </w:r>
    </w:p>
    <w:p w14:paraId="0BFB4E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20、发生涉及本基金申购、赎回事项调整或潜在影响投资者赎回等重大事项时；</w:t>
      </w:r>
    </w:p>
    <w:p w14:paraId="4305447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21、本基金采用摆动定价机制进行估值；</w:t>
      </w:r>
    </w:p>
    <w:p w14:paraId="3C1F92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22、增加或调整基金份额类别；</w:t>
      </w:r>
    </w:p>
    <w:p w14:paraId="225142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23、基金信息披露义务人认为可能对基金份额持有人权益或者基金份额的价格产生重大影响的其他事项或中国证监会规定的其他事项。</w:t>
      </w:r>
    </w:p>
    <w:p w14:paraId="227521D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（八）澄清公告</w:t>
      </w:r>
    </w:p>
    <w:p w14:paraId="02A0977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65DF7F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（九）基金份额持有人大会决议</w:t>
      </w:r>
    </w:p>
    <w:p w14:paraId="4A3C97A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基金份额持有人大会决定的事项，应当依法报中国证监会备案，并予以公告。</w:t>
      </w:r>
    </w:p>
    <w:p w14:paraId="11937EC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（十）投资资产支持证券信息披露</w:t>
      </w:r>
    </w:p>
    <w:p w14:paraId="62732A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7740AF0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（十一）实施侧袋机制期间的信息披露</w:t>
      </w:r>
    </w:p>
    <w:p w14:paraId="0786E58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本基金实施侧袋机制的，相关信息披露义务人应当根据法律法规、基金合同和招募说明书的规定进行信息披露，详见招募说明书“侧袋机制”部分的规定。</w:t>
      </w:r>
    </w:p>
    <w:p w14:paraId="5D21159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（十二）中国证监会规定的其他信息。</w:t>
      </w:r>
    </w:p>
    <w:p w14:paraId="5945DA4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季度报告、中期报告、年度报告等定期报告和招募说明书（更新）中充分披露基金的相关情况并揭示相关风险，说明本基金单一投资者持有的基金份额或者构成一致行动人的多个投资者持有的基金份额可达到或者超过50%，且本基金不向个人投资者销售。</w:t>
      </w:r>
    </w:p>
    <w:p w14:paraId="67D3DE3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六、信息披露事务管理</w:t>
      </w:r>
    </w:p>
    <w:p w14:paraId="46019B1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基金管理人、基金托管人应当建立健全信息披露管理制度，指定专门部门及高级管理人员负责管理信息披露事务。</w:t>
      </w:r>
    </w:p>
    <w:p w14:paraId="46A755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基金信息披露义务人公开披露基金信息，应当符合中国证监会相关基金信息披露内容与格式准则等法律规定。</w:t>
      </w:r>
    </w:p>
    <w:p w14:paraId="1C7717E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基金托管人应当按照相关法律法规、中国证监会的规定和《基金合同》的约定，对基金管理人编制的基金资产净值、基金份额净值、基金份额申购赎回价格、基金定期报告、更新</w:t>
      </w:r>
      <w:r w:rsidRPr="00BD090D">
        <w:rPr>
          <w:rFonts w:ascii="宋体" w:eastAsia="宋体" w:hAnsi="宋体" w:hint="eastAsia"/>
          <w:szCs w:val="21"/>
        </w:rPr>
        <w:lastRenderedPageBreak/>
        <w:t>的招募说明书、基金产品资料概要、基金清算报告等公开披露的相关基金信息进行复核、审查，并向基金管理人进行书面或电子确认。</w:t>
      </w:r>
    </w:p>
    <w:p w14:paraId="1FDC277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基金管理人、基金托管人应当在规定报刊中选择披露信息的报刊。基金管理人、基金托管人应当向中国证监会基金电子披露网站报送拟披露的基金信息，并保证相关报送信息的真实、准确、完整、及时。</w:t>
      </w:r>
    </w:p>
    <w:p w14:paraId="5BE315C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31C7AF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为基金信息披露义务人公开披露的基金信息出具审计报告、法律意见书的专业机构，应当制作工作底稿，并将相关档案至少保存到《基金合同》终止后10年。</w:t>
      </w:r>
    </w:p>
    <w:p w14:paraId="5496B9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七、信息披露文件的存放与查阅</w:t>
      </w:r>
    </w:p>
    <w:p w14:paraId="35653F8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依法必须披露的信息发布后，基金管理人、基金托管人应当按照相关法律法规规定将信息置备于各自住所，供社会公众查阅、复制。</w:t>
      </w:r>
    </w:p>
    <w:p w14:paraId="0844167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八、暂停或延迟披露基金相关信息的情形</w:t>
      </w:r>
    </w:p>
    <w:p w14:paraId="371F5C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当出现下述情况时，基金管理人和基金托管人可暂停或延迟披露基金相关信息：</w:t>
      </w:r>
    </w:p>
    <w:p w14:paraId="491D2F1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1、不可抗力；</w:t>
      </w:r>
    </w:p>
    <w:p w14:paraId="7FA4FA98" w14:textId="77777777" w:rsidR="00BD090D" w:rsidRPr="00BD090D" w:rsidRDefault="00322047" w:rsidP="00BD090D">
      <w:pPr>
        <w:spacing w:line="360" w:lineRule="auto"/>
        <w:ind w:firstLineChars="200" w:firstLine="420"/>
        <w:rPr>
          <w:rFonts w:ascii="宋体" w:eastAsia="宋体" w:hAnsi="宋体"/>
          <w:szCs w:val="21"/>
        </w:rPr>
      </w:pPr>
      <w:r>
        <w:rPr>
          <w:rFonts w:ascii="宋体" w:eastAsia="宋体" w:hAnsi="宋体" w:hint="eastAsia"/>
          <w:szCs w:val="21"/>
        </w:rPr>
        <w:t>2</w:t>
      </w:r>
      <w:r w:rsidR="00BD090D" w:rsidRPr="00BD090D">
        <w:rPr>
          <w:rFonts w:ascii="宋体" w:eastAsia="宋体" w:hAnsi="宋体" w:hint="eastAsia"/>
          <w:szCs w:val="21"/>
        </w:rPr>
        <w:t>、法律法规规定、基金合同约定或中国证监会认定的其他情形。</w:t>
      </w:r>
    </w:p>
    <w:p w14:paraId="772E86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EEF165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539EC3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5A26D7AF" w14:textId="77777777" w:rsidR="004A4EC9"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1F2D4425" w14:textId="77777777" w:rsidR="00BD090D" w:rsidRPr="00BD090D" w:rsidRDefault="004A4EC9" w:rsidP="004A4EC9">
      <w:pPr>
        <w:widowControl/>
        <w:jc w:val="left"/>
        <w:rPr>
          <w:rFonts w:ascii="宋体" w:eastAsia="宋体" w:hAnsi="宋体"/>
          <w:szCs w:val="21"/>
        </w:rPr>
      </w:pPr>
      <w:r>
        <w:rPr>
          <w:rFonts w:ascii="宋体" w:eastAsia="宋体" w:hAnsi="宋体"/>
          <w:szCs w:val="21"/>
        </w:rPr>
        <w:br w:type="page"/>
      </w:r>
    </w:p>
    <w:p w14:paraId="269C04AD"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7" w:name="_Toc89276788"/>
      <w:r w:rsidRPr="00BD090D">
        <w:rPr>
          <w:rFonts w:ascii="Arial Unicode MS" w:eastAsia="宋体" w:hAnsi="Arial Unicode MS" w:cs="Arial" w:hint="eastAsia"/>
          <w:kern w:val="0"/>
          <w:sz w:val="28"/>
          <w:szCs w:val="28"/>
        </w:rPr>
        <w:lastRenderedPageBreak/>
        <w:t>第十七部分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侧袋机制</w:t>
      </w:r>
      <w:bookmarkEnd w:id="27"/>
    </w:p>
    <w:p w14:paraId="4A6C346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一、侧袋机制的实施条件</w:t>
      </w:r>
    </w:p>
    <w:p w14:paraId="3422CE7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657D23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基金管理人应当在启用侧袋机制后及时发布临时公告，并及时聘请符合《中华人民共和国证券法》规定的会计师事务所进行审计并披露专项审计意见。</w:t>
      </w:r>
    </w:p>
    <w:p w14:paraId="622990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二、实施侧袋机制期间基金份额的申购与赎回</w:t>
      </w:r>
    </w:p>
    <w:p w14:paraId="6F865D6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10B995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2、实施侧袋机制期间，基金管理人不办理侧袋账户份额的申购、赎回和转换；同时，基金管理人按照基金合同和招募说明书的约定办理主袋账户份额的赎回，并根据主袋账户运作情况确定是否暂停申购。</w:t>
      </w:r>
    </w:p>
    <w:p w14:paraId="3AB4B6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工作日主袋账户总份额的20%认定。</w:t>
      </w:r>
    </w:p>
    <w:p w14:paraId="41CE500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三、实施侧袋机制期间的基金投资</w:t>
      </w:r>
    </w:p>
    <w:p w14:paraId="22E199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43D905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基金管理人原则上应当在侧袋机制启用后20个交易日内完成对主袋账户投资组合的调整，因资产流动性受限等中国证监会规定的情形除外。</w:t>
      </w:r>
    </w:p>
    <w:p w14:paraId="77A4E73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基金管理人不得在侧袋账户中进行除特定资产处置变现以外的其他投资操作。</w:t>
      </w:r>
    </w:p>
    <w:p w14:paraId="0C4835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四、实施侧袋机制期间的基金估值</w:t>
      </w:r>
    </w:p>
    <w:p w14:paraId="494A92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本基金实施侧袋机制的，基金管理人和基金托管人应对主袋账户资产进行估值并披露主袋账户的基金资产净值和份额净值，暂停披露侧袋账户份额净值。侧袋账户的会计核算应符合《企业会计准则》的相关要求。</w:t>
      </w:r>
    </w:p>
    <w:p w14:paraId="4CD00B5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五、实施侧袋账户期间的基金费用</w:t>
      </w:r>
    </w:p>
    <w:p w14:paraId="644F5C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1、本基金实施侧袋机制的，主袋账户的管理费和托管费按主袋账户基金资产净值作为基数计提。侧袋账户的托管费根据法律法规按侧袋账户资产净值为基数计提，法律法规对侧袋账户的计提基数等另有规定的，从其规定。</w:t>
      </w:r>
    </w:p>
    <w:p w14:paraId="53A1281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2、与侧袋账户有关的费用可从侧袋账户中列支，但应待侧袋账户资产变现后方可列支，有关费用可酌情收取或减免，但不得收取管理费。</w:t>
      </w:r>
    </w:p>
    <w:p w14:paraId="688AC1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六、侧袋账户中特定资产的处置变现和支付</w:t>
      </w:r>
    </w:p>
    <w:p w14:paraId="2E342DB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特定资产以可出售、可转让、恢复交易等方式恢复流动性后，基金管理人应当按照基金份额持有人利益最大化原则，采取将特定资产予以处置变现等方式，及时向侧袋账户份额持有人支付对应变现款项。</w:t>
      </w:r>
    </w:p>
    <w:p w14:paraId="22C982B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27A989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侧袋账户资产全部完成变现并终止侧袋机制后，基金管理人应及时聘请符合《中华人民共和国证券法》规定的会计师事务所进行审计并披露专项审计意见。</w:t>
      </w:r>
    </w:p>
    <w:p w14:paraId="2E1231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七、侧袋机制的信息披露</w:t>
      </w:r>
    </w:p>
    <w:p w14:paraId="0B02861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1、临时公告</w:t>
      </w:r>
    </w:p>
    <w:p w14:paraId="7ADF2B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在启用侧袋机制、处置特定资产、终止侧袋机制以及发生其他可能对投资者利益产生重大影响的事项后基金管理人应及时发布临时公告。</w:t>
      </w:r>
    </w:p>
    <w:p w14:paraId="5E890D4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2、基金净值信息</w:t>
      </w:r>
    </w:p>
    <w:p w14:paraId="4ACE6C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6C2A132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3、定期报告</w:t>
      </w:r>
    </w:p>
    <w:p w14:paraId="252EE2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14:paraId="12C13A2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19E1DC0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8C24F1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2161ADDB"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8" w:name="_Toc89276789"/>
      <w:r w:rsidRPr="00BD090D">
        <w:rPr>
          <w:rFonts w:ascii="Arial Unicode MS" w:eastAsia="宋体" w:hAnsi="Arial Unicode MS" w:cs="Arial" w:hint="eastAsia"/>
          <w:kern w:val="0"/>
          <w:sz w:val="28"/>
          <w:szCs w:val="28"/>
        </w:rPr>
        <w:lastRenderedPageBreak/>
        <w:t>第十八部分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风险揭示</w:t>
      </w:r>
      <w:bookmarkEnd w:id="28"/>
    </w:p>
    <w:p w14:paraId="3B576561" w14:textId="77777777" w:rsidR="00BD090D" w:rsidRPr="00BD090D" w:rsidRDefault="00BD090D" w:rsidP="00BD090D">
      <w:pPr>
        <w:spacing w:line="360" w:lineRule="auto"/>
        <w:ind w:firstLineChars="200" w:firstLine="420"/>
        <w:rPr>
          <w:rFonts w:ascii="宋体" w:eastAsia="宋体" w:hAnsi="宋体"/>
          <w:szCs w:val="21"/>
        </w:rPr>
      </w:pPr>
    </w:p>
    <w:p w14:paraId="22D9044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一、投资于本基金的主要风险</w:t>
      </w:r>
    </w:p>
    <w:p w14:paraId="7A8590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投资于本基金的主要风险有：</w:t>
      </w:r>
    </w:p>
    <w:p w14:paraId="70FACDA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1、市场风险</w:t>
      </w:r>
    </w:p>
    <w:p w14:paraId="60B025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证券市场价格受到各种因素的影响，导致基金收益水平变化而产生风险，主要包括：</w:t>
      </w:r>
    </w:p>
    <w:p w14:paraId="6095FBF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（1）政策风险。因国家宏观政策（如货币政策、财政政策、行业政策、地区发展政策等）发生变化，导致市场价格波动而产生风险。</w:t>
      </w:r>
    </w:p>
    <w:p w14:paraId="74F0C9E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（2）经济周期风险。随着经济运行的周期性变化，证券市场的收益水平也呈周期性变化。本基金主要投资于债券，收益水平也会随之变化，从而产生风险。</w:t>
      </w:r>
    </w:p>
    <w:p w14:paraId="547EE7E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（3）利率风险。金融市场利率的波动会导致证券市场价格和收益率的变动。</w:t>
      </w:r>
    </w:p>
    <w:p w14:paraId="2393774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（4）通货膨胀风险。如果发生通货膨胀，基金投资于证券所获得的收益可能会被通货膨胀抵消，从而影响基金资产的保值增值。</w:t>
      </w:r>
    </w:p>
    <w:p w14:paraId="6B541AB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（5）再投资风险。再投资风险反映了利率下降对固定收益证券利息收入再投资收益的影响，这与利率上升所带来的价格风险（即利率风险）互为消长。</w:t>
      </w:r>
    </w:p>
    <w:p w14:paraId="1491A73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2、信用风险</w:t>
      </w:r>
    </w:p>
    <w:p w14:paraId="32C9910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信用风险主要指债券、资产支持证券等信用证券发行主体信用状况恶化，导致信用评级下降甚至到期不能履行合约进行兑付的风险，另外，信用风险也包括证券交易对手因违约而产生的证券交割风险。</w:t>
      </w:r>
    </w:p>
    <w:p w14:paraId="79CD600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3、流动性风险</w:t>
      </w:r>
    </w:p>
    <w:p w14:paraId="56EAE0D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（1）基金申购、赎回安排</w:t>
      </w:r>
    </w:p>
    <w:p w14:paraId="0BC147C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本基金的申购、赎回安排详见本招募说明书“第九部分 基金份额的申购与赎回” 章节。</w:t>
      </w:r>
    </w:p>
    <w:p w14:paraId="10EBF1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（2）拟投资市场、行业及资产的流动性风险评估</w:t>
      </w:r>
    </w:p>
    <w:p w14:paraId="469C31D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投资市场主要为证券交易所、全国银行间债券市场等流动性较好的规范性交易场所，主要投资对象为具有较好流动性的金融工具（包括国内依法发行上市的债券和货币市场工具等），同时本基金基于分散投资的原则在行业和个券方面未有高集中度的特征，综合评估在正常市场环境下本基金的流动性风险适中。</w:t>
      </w:r>
    </w:p>
    <w:p w14:paraId="7130A80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（3）巨额赎回情形下的流动性风险管理措施</w:t>
      </w:r>
    </w:p>
    <w:p w14:paraId="72AABA6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当本基金出现巨额赎回情形时，基金管理人可以根据基金当时的资产组合状况或巨额赎</w:t>
      </w:r>
      <w:r w:rsidRPr="00BD090D">
        <w:rPr>
          <w:rFonts w:ascii="宋体" w:eastAsia="宋体" w:hAnsi="宋体" w:hint="eastAsia"/>
          <w:szCs w:val="21"/>
        </w:rPr>
        <w:lastRenderedPageBreak/>
        <w:t xml:space="preserve">回份额占比情况决定全额赎回或延缓支付赎回款项或延期办理。同时，如本基金单个基金份额持有人在单个开放日申请赎回基金份额超过基金总份额一定比例以上的，基金管理人有权对其采取延缓支付赎回款项或延期办理赎回申请的措施。 </w:t>
      </w:r>
    </w:p>
    <w:p w14:paraId="1ABD111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（4）实施备用的流动性风险管理工具的情形、程序及对投资者的潜在影响</w:t>
      </w:r>
    </w:p>
    <w:p w14:paraId="6245E1A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市场大幅波动、流动性枯竭等极端情况下发生无法应对投资者巨额赎回的情形时，基金管理人将以保障投资者合法权益为前提，严格按照法律法规及基金合同的规定，谨慎选取延期办理赎回申请、暂停接受赎回申请、延缓支付赎回款项、收取短期赎回费、采用摆动定价、实施侧袋机制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当本基金出现上述情形时，本基金可能无法及时满足所有投资者的赎回申请，投资者收到赎回款项的时间也可能晚于预期或可能增加投资者赎回的成本。</w:t>
      </w:r>
    </w:p>
    <w:p w14:paraId="2DEE508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2A953AB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39FA643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基金管理人将根据主袋账户运作情况合理确定申购政策, 因此实施侧袋机制后主袋账户份额存在暂停申购的可能。</w:t>
      </w:r>
    </w:p>
    <w:p w14:paraId="55E41EE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启用侧袋机制后，基金管理人计算各项投资运作指标和基金业绩指标时仅需考虑主袋账户资产，</w:t>
      </w:r>
    </w:p>
    <w:p w14:paraId="2B8233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4、操作风险</w:t>
      </w:r>
    </w:p>
    <w:p w14:paraId="3D0CD57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操作风险是指基金运作过程中，因内部控制存在缺陷或者人为因素造成操作失误或违反操作规程等引致的风险，例如，越权违规交易、会计部门欺诈、交易错误、IT系统故障等风险。</w:t>
      </w:r>
    </w:p>
    <w:p w14:paraId="30652B5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5、管理风险</w:t>
      </w:r>
    </w:p>
    <w:p w14:paraId="343B7F0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6985A0C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6、合规风险</w:t>
      </w:r>
    </w:p>
    <w:p w14:paraId="467720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合规风险指基金管理或运作过程中，违反国家法律、法规的规定，或者违反《基金合同》有关规定的风险。</w:t>
      </w:r>
    </w:p>
    <w:p w14:paraId="633639D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7、本基金的特有风险</w:t>
      </w:r>
    </w:p>
    <w:p w14:paraId="325624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（1）定期开放基金的特有风险</w:t>
      </w:r>
    </w:p>
    <w:p w14:paraId="2DBBA2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本基金以定期开放的方式进行运作，封闭期长度为一年，封闭期间不接受基金的申购、赎回；在某个封闭期结束和下一封闭期开始之间设置开放期，受理本基金的申购、赎回等申请，开放期的时长为 5 至 20 个工作日。因此，在封闭期期内，基金份额持有人将面临不能赎回或卖出基金份额而出现的流动性约束。</w:t>
      </w:r>
    </w:p>
    <w:p w14:paraId="1253CEA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（2）发起式基金的特有风险</w:t>
      </w:r>
    </w:p>
    <w:p w14:paraId="342B8AF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本基金同时为发起式基金，在基金募集时，发起资金提供方将运用发起资金认购本基金的金额不低于1000 万元，认购的基金份额持有期限不低于三年。基金管理人认购的基金份额持有期限满三年后，发起资金提供方将根据自身情况决定是否继续持有，届时，发起资金提供方有可能赎回认购的本基金份额。另外，在基金合同生效满三年后的对应日，若本基金资产净值低于2亿元，基金合同应当终止，且不得通过召开基金份额持有人大会的方式延续基金合同期限，投资者将面临基金合同可能终止的不确定性风险。</w:t>
      </w:r>
    </w:p>
    <w:p w14:paraId="057F560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（3）本基金允许单一投资者持有份额达到或超过50%的风险</w:t>
      </w:r>
    </w:p>
    <w:p w14:paraId="0114807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1&gt;单一投资者大额赎回导致的基金份额净值波动风险如果单一投资者大额赎回，可能会导致基金份额净值波动的风险。主要原因是，根据本基金招募说明书和基金合同的规定，基金份额净值的计算精确到 0.0001 元，小数点后第 5 位四舍五入，当单一投资者巨额赎回时，由于基金份额净值四舍五入产生的误差计入基金份额基金财产，导致基金份额净值发生大幅波动。基金份额净值计算符合基金合同和法律法规的相关规定，单日大幅波动是在现有估值方法下出现的特殊事件。 </w:t>
      </w:r>
    </w:p>
    <w:p w14:paraId="0A91565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 xml:space="preserve">2&gt;单一投资者大额赎回导致的流动性风险，如果单一投资者大额赎回，为应对赎回，可能迫使基金以不适当的价格大量 抛售证券，使基金的净值增长率受到不利影响。 </w:t>
      </w:r>
    </w:p>
    <w:p w14:paraId="04A9D3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3&gt;单一投资者大额赎回导致的巨额赎回风险 如果单一投资者大额赎回引发巨额赎回，基金管理人可能根据《基金合同》 的约定决定延缓支付赎回款项。 </w:t>
      </w:r>
    </w:p>
    <w:p w14:paraId="022196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4&gt;单一投资者大额赎回导致的基金资产净值较低的风险 在本基金成立三年后，如果单一投资者大额赎回导致基金资产净值较低，可能出现连续 60 个工作日基金资产净值低于 5000 万元的情形，继而触发基金合同 终止条件导致基金无法继续存续。</w:t>
      </w:r>
    </w:p>
    <w:p w14:paraId="5D8C9D5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（4）投资资产支持证券的特有风险</w:t>
      </w:r>
    </w:p>
    <w:p w14:paraId="767D4DF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本基金投资资产支持证券，资产支持证券具有一定的价格波动风险、流动性风险、信用风险等风险，基金管理人将本着谨慎和控制风险的原则进行资产支持证券投资。</w:t>
      </w:r>
    </w:p>
    <w:p w14:paraId="4024E1B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1&gt;与基础资产相关的风险主要包括特定原始权益人破产风险、现金流预测风险等与基础资产相关的风险。</w:t>
      </w:r>
    </w:p>
    <w:p w14:paraId="61F4BD7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2&gt;与资产支持证券相关的风险主要包括资产支持证券信用增级措施相关风险、资产支持证券的利率风险、资产支持证券的流动性风险、评级风险等与资产支持证券相关的风险。</w:t>
      </w:r>
    </w:p>
    <w:p w14:paraId="051471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3&gt;其他风险主要包括政策风险、税收风险、发生不可抗力事件的风险、技术风险和操作风险。</w:t>
      </w:r>
    </w:p>
    <w:p w14:paraId="7C482AA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（5）基金管理人职责终止风险</w:t>
      </w:r>
    </w:p>
    <w:p w14:paraId="779993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59CAC3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二、声明</w:t>
      </w:r>
    </w:p>
    <w:p w14:paraId="52B0739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1、投资者投资于本基金，须自行承担投资风险；</w:t>
      </w:r>
    </w:p>
    <w:p w14:paraId="564F5ACB" w14:textId="136A079E"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00C64F6F">
        <w:rPr>
          <w:rFonts w:ascii="宋体" w:eastAsia="宋体" w:hAnsi="宋体" w:hint="eastAsia"/>
          <w:szCs w:val="21"/>
        </w:rPr>
        <w:t xml:space="preserve"> </w:t>
      </w:r>
      <w:r w:rsidRPr="00BD090D">
        <w:rPr>
          <w:rFonts w:ascii="宋体" w:eastAsia="宋体" w:hAnsi="宋体" w:hint="eastAsia"/>
          <w:szCs w:val="21"/>
        </w:rPr>
        <w:t>除基金管理人直接办理本基金的销售外，本基金还可以通过基金代销机构代理销售，基金管理人与基金代销机构都不能保证其收益或本金安全。</w:t>
      </w:r>
    </w:p>
    <w:p w14:paraId="3D5B1003" w14:textId="77777777" w:rsidR="00BD090D" w:rsidRPr="00BD090D" w:rsidRDefault="00BD090D" w:rsidP="00BD090D">
      <w:pPr>
        <w:spacing w:line="360" w:lineRule="auto"/>
        <w:ind w:firstLineChars="200" w:firstLine="420"/>
        <w:rPr>
          <w:rFonts w:ascii="宋体" w:eastAsia="宋体" w:hAnsi="宋体"/>
          <w:szCs w:val="21"/>
        </w:rPr>
      </w:pPr>
    </w:p>
    <w:p w14:paraId="69821D00" w14:textId="77777777" w:rsidR="00BD090D" w:rsidRPr="00BD090D" w:rsidRDefault="00BD090D" w:rsidP="00BD090D">
      <w:pPr>
        <w:spacing w:line="360" w:lineRule="auto"/>
        <w:ind w:firstLineChars="200" w:firstLine="420"/>
        <w:rPr>
          <w:rFonts w:ascii="宋体" w:eastAsia="宋体" w:hAnsi="宋体"/>
          <w:szCs w:val="21"/>
        </w:rPr>
      </w:pPr>
    </w:p>
    <w:p w14:paraId="3F9F88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63163A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0FC80C74"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29" w:name="_Toc89276790"/>
      <w:r w:rsidRPr="00BD090D">
        <w:rPr>
          <w:rFonts w:ascii="Arial Unicode MS" w:eastAsia="宋体" w:hAnsi="Arial Unicode MS" w:cs="Arial" w:hint="eastAsia"/>
          <w:kern w:val="0"/>
          <w:sz w:val="28"/>
          <w:szCs w:val="28"/>
        </w:rPr>
        <w:lastRenderedPageBreak/>
        <w:t>第十九部分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基金合同的变更、终止与基金财产的清算</w:t>
      </w:r>
      <w:bookmarkEnd w:id="29"/>
    </w:p>
    <w:p w14:paraId="08928660" w14:textId="77777777" w:rsidR="00BD090D" w:rsidRPr="00BD090D" w:rsidRDefault="00BD090D" w:rsidP="00BD090D">
      <w:pPr>
        <w:spacing w:line="360" w:lineRule="auto"/>
        <w:ind w:firstLineChars="200" w:firstLine="420"/>
        <w:rPr>
          <w:rFonts w:ascii="宋体" w:eastAsia="宋体" w:hAnsi="宋体"/>
          <w:szCs w:val="21"/>
        </w:rPr>
      </w:pPr>
    </w:p>
    <w:p w14:paraId="7839C83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一、《基金合同》的变更</w:t>
      </w:r>
    </w:p>
    <w:p w14:paraId="5BC3FB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899AC0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2、关于《基金合同》变更的基金份额持有人大会决议自生效后方可执行，并自决议生效后两日内在规定媒介公告。</w:t>
      </w:r>
    </w:p>
    <w:p w14:paraId="0A686BA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二、《基金合同》的终止事由</w:t>
      </w:r>
    </w:p>
    <w:p w14:paraId="62F665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有下列情形之一的，经履行相关程序后，《基金合同》应当终止：</w:t>
      </w:r>
    </w:p>
    <w:p w14:paraId="21930BD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1、基金份额持有人大会决定终止的；</w:t>
      </w:r>
    </w:p>
    <w:p w14:paraId="213B0B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2、基金管理人、基金托管人职责终止，在6个月内没有新基金管理人、新基金托管人承接的；</w:t>
      </w:r>
    </w:p>
    <w:p w14:paraId="7140B49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3、《基金合同》约定的其他情形；</w:t>
      </w:r>
    </w:p>
    <w:p w14:paraId="5A5D5ED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4、相关法律法规和中国证监会规定的其他情况。</w:t>
      </w:r>
    </w:p>
    <w:p w14:paraId="4B0B874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三、基金财产的清算</w:t>
      </w:r>
    </w:p>
    <w:p w14:paraId="145101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1、基金财产清算小组：自出现《基金合同》终止事由之日起30个工作日内成立清算小组，基金管理人或临时基金管理人组织基金财产清算小组并在中国证监会的监督下进行基金清算。</w:t>
      </w:r>
    </w:p>
    <w:p w14:paraId="02B4C9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财产清算小组组成：基金财产清算小组成员由基金管理人或临时基金管理人、基金托管人、具有从事证券相关业务资格的注册会计师、律师以及中国证监会指定的人员组成。基金财产清算小组可以聘用必要的工作人员。</w:t>
      </w:r>
    </w:p>
    <w:p w14:paraId="6CAAA53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3、基金财产清算小组职责：基金财产清算小组负责基金财产的保管、清理、估价、变现和分配。基金财产清算小组可以依法进行必要的民事活动。</w:t>
      </w:r>
    </w:p>
    <w:p w14:paraId="6990992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4、基金财产清算程序：</w:t>
      </w:r>
    </w:p>
    <w:p w14:paraId="6B5149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（1）《基金合同》终止情形出现时，由基金财产清算小组统一接管基金；</w:t>
      </w:r>
    </w:p>
    <w:p w14:paraId="2883AA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（2）对基金财产和债权债务进行清理和确认；</w:t>
      </w:r>
    </w:p>
    <w:p w14:paraId="5E42A62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（3）对基金财产进行估值和变现；</w:t>
      </w:r>
    </w:p>
    <w:p w14:paraId="3DED6A5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（4）制作清算报告；</w:t>
      </w:r>
    </w:p>
    <w:p w14:paraId="581506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（5）聘请会计师事务所对清算报告进行外部审计，聘请律师事务所对清算报告出具法律意见书；</w:t>
      </w:r>
    </w:p>
    <w:p w14:paraId="39B5FB4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（6）将清算报告报中国证监会备案并公告；</w:t>
      </w:r>
    </w:p>
    <w:p w14:paraId="15765B5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（7）对基金剩余财产进行分配。</w:t>
      </w:r>
    </w:p>
    <w:p w14:paraId="789BE6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5、基金财产清算的期限为6个月，但因本基金所持证券的流动性受到限制而不能及时变现的，清算期限可相应顺延。</w:t>
      </w:r>
    </w:p>
    <w:p w14:paraId="0FF74B1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四、清算费用</w:t>
      </w:r>
    </w:p>
    <w:p w14:paraId="1D08C3B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清算费用是指基金财产清算小组在进行基金清算过程中发生的所有合理费用，清算费用由基金财产清算小组优先从基金财产中支付。</w:t>
      </w:r>
    </w:p>
    <w:p w14:paraId="74482D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五、基金财产清算剩余资产的分配</w:t>
      </w:r>
    </w:p>
    <w:p w14:paraId="0FFFA2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5D113C8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六、基金财产清算的公告</w:t>
      </w:r>
    </w:p>
    <w:p w14:paraId="794C44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DF103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七、基金财产清算账册及文件的保存</w:t>
      </w:r>
    </w:p>
    <w:p w14:paraId="222584D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基金财产清算账册及有关文件由基金托管人保存不低于法律法规规定的最低期限。</w:t>
      </w:r>
    </w:p>
    <w:p w14:paraId="14670D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508ADF19" w14:textId="77777777" w:rsidR="00BD090D" w:rsidRPr="00BD090D" w:rsidRDefault="00BD090D" w:rsidP="00BD090D">
      <w:pPr>
        <w:spacing w:line="360" w:lineRule="auto"/>
        <w:ind w:firstLineChars="200" w:firstLine="420"/>
        <w:rPr>
          <w:rFonts w:ascii="宋体" w:eastAsia="宋体" w:hAnsi="宋体"/>
          <w:szCs w:val="21"/>
        </w:rPr>
      </w:pPr>
    </w:p>
    <w:p w14:paraId="7A9DB4CB" w14:textId="77777777" w:rsidR="00BD090D" w:rsidRPr="00BD090D" w:rsidRDefault="00BD090D" w:rsidP="00BD090D">
      <w:pPr>
        <w:spacing w:line="360" w:lineRule="auto"/>
        <w:ind w:firstLineChars="200" w:firstLine="420"/>
        <w:rPr>
          <w:rFonts w:ascii="宋体" w:eastAsia="宋体" w:hAnsi="宋体"/>
          <w:szCs w:val="21"/>
        </w:rPr>
      </w:pPr>
    </w:p>
    <w:p w14:paraId="0F2DD379" w14:textId="77777777" w:rsidR="00BD090D" w:rsidRPr="00BD090D" w:rsidRDefault="00BD090D" w:rsidP="00BD090D">
      <w:pPr>
        <w:spacing w:line="360" w:lineRule="auto"/>
        <w:ind w:firstLineChars="200" w:firstLine="420"/>
        <w:rPr>
          <w:rFonts w:ascii="宋体" w:eastAsia="宋体" w:hAnsi="宋体"/>
          <w:szCs w:val="21"/>
        </w:rPr>
      </w:pPr>
    </w:p>
    <w:p w14:paraId="6C168905" w14:textId="77777777" w:rsidR="00BD090D" w:rsidRPr="00BD090D" w:rsidRDefault="00BD090D" w:rsidP="00BD090D">
      <w:pPr>
        <w:spacing w:line="360" w:lineRule="auto"/>
        <w:ind w:firstLineChars="200" w:firstLine="420"/>
        <w:rPr>
          <w:rFonts w:ascii="宋体" w:eastAsia="宋体" w:hAnsi="宋体"/>
          <w:szCs w:val="21"/>
        </w:rPr>
      </w:pPr>
    </w:p>
    <w:p w14:paraId="37936A45" w14:textId="77777777" w:rsidR="00BD090D" w:rsidRPr="00BD090D" w:rsidRDefault="00BD090D" w:rsidP="00BD090D">
      <w:pPr>
        <w:spacing w:line="360" w:lineRule="auto"/>
        <w:ind w:firstLineChars="200" w:firstLine="420"/>
        <w:rPr>
          <w:rFonts w:ascii="宋体" w:eastAsia="宋体" w:hAnsi="宋体"/>
          <w:szCs w:val="21"/>
        </w:rPr>
      </w:pPr>
    </w:p>
    <w:p w14:paraId="2D60B0CF" w14:textId="77777777" w:rsidR="00BD090D" w:rsidRPr="00BD090D" w:rsidRDefault="00BD090D" w:rsidP="00BD090D">
      <w:pPr>
        <w:spacing w:line="360" w:lineRule="auto"/>
        <w:ind w:firstLineChars="200" w:firstLine="420"/>
        <w:rPr>
          <w:rFonts w:ascii="宋体" w:eastAsia="宋体" w:hAnsi="宋体"/>
          <w:szCs w:val="21"/>
        </w:rPr>
      </w:pPr>
    </w:p>
    <w:p w14:paraId="716BC392" w14:textId="77777777" w:rsidR="00BD090D" w:rsidRPr="00BD090D" w:rsidRDefault="00BD090D" w:rsidP="00BD090D">
      <w:pPr>
        <w:spacing w:line="360" w:lineRule="auto"/>
        <w:ind w:firstLineChars="200" w:firstLine="420"/>
        <w:rPr>
          <w:rFonts w:ascii="宋体" w:eastAsia="宋体" w:hAnsi="宋体"/>
          <w:szCs w:val="21"/>
        </w:rPr>
      </w:pPr>
    </w:p>
    <w:p w14:paraId="4E3AB817" w14:textId="77777777" w:rsidR="00BD090D" w:rsidRPr="00BD090D" w:rsidRDefault="00BD090D" w:rsidP="00BD090D">
      <w:pPr>
        <w:spacing w:line="360" w:lineRule="auto"/>
        <w:ind w:firstLineChars="200" w:firstLine="420"/>
        <w:rPr>
          <w:rFonts w:ascii="宋体" w:eastAsia="宋体" w:hAnsi="宋体"/>
          <w:szCs w:val="21"/>
        </w:rPr>
      </w:pPr>
    </w:p>
    <w:p w14:paraId="3DB53488"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30" w:name="_Toc89276791"/>
      <w:r w:rsidRPr="00BD090D">
        <w:rPr>
          <w:rFonts w:ascii="Arial Unicode MS" w:eastAsia="宋体" w:hAnsi="Arial Unicode MS" w:cs="Arial" w:hint="eastAsia"/>
          <w:kern w:val="0"/>
          <w:sz w:val="28"/>
          <w:szCs w:val="28"/>
        </w:rPr>
        <w:lastRenderedPageBreak/>
        <w:t>第二十部分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基金合同的内容摘要</w:t>
      </w:r>
      <w:bookmarkEnd w:id="30"/>
    </w:p>
    <w:p w14:paraId="6BAD07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一、基金份额持有人、基金管理人和基金托管人的权利、义务</w:t>
      </w:r>
    </w:p>
    <w:p w14:paraId="680B0E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1、根据《基金法》、《运作办法》及其他有关规定，基金管理人的权利包括但不限于：</w:t>
      </w:r>
    </w:p>
    <w:p w14:paraId="0B304CD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（1）依法募集资金；</w:t>
      </w:r>
    </w:p>
    <w:p w14:paraId="57013FD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（2）自《基金合同》生效之日起，根据法律法规和《基金合同》独立运用并管理基金财产；</w:t>
      </w:r>
    </w:p>
    <w:p w14:paraId="65FA92C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（3）依照《基金合同》收取基金管理费以及法律法规规定或中国证监会批准的其他费用；</w:t>
      </w:r>
    </w:p>
    <w:p w14:paraId="58DE230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（4）销售基金份额；</w:t>
      </w:r>
    </w:p>
    <w:p w14:paraId="5CF1AC1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（5）按照规定召集基金份额持有人大会；</w:t>
      </w:r>
    </w:p>
    <w:p w14:paraId="3E64AA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（6）依据《基金合同》及有关法律规定监督基金托管人，如认为基金托管人违反了《基金合同》及国家有关法律规定，应呈报中国证监会和其他监管部门，并采取必要措施保护基金投资者的利益；</w:t>
      </w:r>
    </w:p>
    <w:p w14:paraId="36F590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（7）在基金托管人更换时，提名新的基金托管人；</w:t>
      </w:r>
    </w:p>
    <w:p w14:paraId="05C411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（8）选择、更换基金销售机构，对基金销售机构的相关行为进行监督和处理；</w:t>
      </w:r>
    </w:p>
    <w:p w14:paraId="4DE449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（9）担任或委托其他符合条件的机构担任基金登记机构办理基金登记业务并获得《基金合同》规定的费用；</w:t>
      </w:r>
    </w:p>
    <w:p w14:paraId="49E611F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（10）依据《基金合同》及有关法律规定决定基金收益的分配方案；</w:t>
      </w:r>
      <w:r w:rsidRPr="00BD090D">
        <w:rPr>
          <w:rFonts w:ascii="宋体" w:eastAsia="宋体" w:hAnsi="宋体" w:hint="eastAsia"/>
          <w:szCs w:val="21"/>
        </w:rPr>
        <w:tab/>
      </w:r>
    </w:p>
    <w:p w14:paraId="1A4D157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（11）在《基金合同》约定的范围内，拒绝或暂停受理申购与赎回申请；</w:t>
      </w:r>
    </w:p>
    <w:p w14:paraId="1A3D480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（12）依照法律法规为基金的利益对被投资公司行使股东权利，为基金的利益行使因基金财产投资于证券所产生的权利；</w:t>
      </w:r>
      <w:r w:rsidRPr="00BD090D">
        <w:rPr>
          <w:rFonts w:ascii="宋体" w:eastAsia="宋体" w:hAnsi="宋体" w:hint="eastAsia"/>
          <w:szCs w:val="21"/>
        </w:rPr>
        <w:tab/>
      </w:r>
    </w:p>
    <w:p w14:paraId="3C02020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（13）在法律法规允许的前提下，为基金的利益依法为基金进行融资、融券；</w:t>
      </w:r>
    </w:p>
    <w:p w14:paraId="341572B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（14）以基金管理人的名义，代表基金份额持有人的利益行使诉讼权利或者实施其他法律行为；</w:t>
      </w:r>
      <w:r w:rsidRPr="00BD090D">
        <w:rPr>
          <w:rFonts w:ascii="宋体" w:eastAsia="宋体" w:hAnsi="宋体" w:hint="eastAsia"/>
          <w:szCs w:val="21"/>
        </w:rPr>
        <w:tab/>
      </w:r>
    </w:p>
    <w:p w14:paraId="35DE564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（15）选择、更换律师事务所、会计师事务所、证券经纪商或其他为基金提供服务的外部机构；</w:t>
      </w:r>
      <w:r w:rsidRPr="00BD090D">
        <w:rPr>
          <w:rFonts w:ascii="宋体" w:eastAsia="宋体" w:hAnsi="宋体" w:hint="eastAsia"/>
          <w:szCs w:val="21"/>
        </w:rPr>
        <w:tab/>
      </w:r>
    </w:p>
    <w:p w14:paraId="2D9FE6E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（16）在符合有关法律、法规的前提下，制订和调整有关基金认购、申购、赎回、转换和非交易过户等业务规则；</w:t>
      </w:r>
    </w:p>
    <w:p w14:paraId="6A6A56A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（17）法律法规及中国证监会规定的和《基金合同》约定的其他权利。</w:t>
      </w:r>
    </w:p>
    <w:p w14:paraId="0C8C297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2、根据《基金法》、《运作办法》及其他有关规定，基金管理人的义务包括但不限于：</w:t>
      </w:r>
    </w:p>
    <w:p w14:paraId="7820061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（1）依法募集资金，办理或者委托经中国证监会认定的其他机构代为办理基金份额的发售、申购、赎回和登记事宜；</w:t>
      </w:r>
    </w:p>
    <w:p w14:paraId="7F97436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（2）办理基金备案手续；</w:t>
      </w:r>
    </w:p>
    <w:p w14:paraId="6900A6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（3）自《基金合同》生效之日起，以诚实信用、谨慎勤勉的原则管理和运用基金财产；</w:t>
      </w:r>
    </w:p>
    <w:p w14:paraId="590404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（4）配备足够的具有专业资格的人员进行基金投资分析、决策，以专业化的经营方式管理和运作基金财产；</w:t>
      </w:r>
    </w:p>
    <w:p w14:paraId="0A32BE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（5）建立健全内部风险控制、监察与稽核、财务管理及人事管理等制度，保证所管理的基金财产和基金管理人的财产相互独立，对所管理的不同基金分别管理，分别记账，进行证券投资；</w:t>
      </w:r>
    </w:p>
    <w:p w14:paraId="57D1732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（6）除依据《基金法》、《基金合同》及其他有关规定外，不得利用基金财产为自己及任何第三人谋取利益，不得委托第三人运作基金财产；</w:t>
      </w:r>
    </w:p>
    <w:p w14:paraId="193BD9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（7）依法接受基金托管人的监督；</w:t>
      </w:r>
    </w:p>
    <w:p w14:paraId="280BCD3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（8）采取适当合理的措施使计算基金份额认购、申购、赎回和注销价格的方法符合《基金合同》等法律文件的规定，按有关规定计算并公告基金净值信息，确定基金份额申购、赎回的价格；</w:t>
      </w:r>
    </w:p>
    <w:p w14:paraId="67CC8EF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（9）进行基金会计核算并编制基金财务会计报告；</w:t>
      </w:r>
    </w:p>
    <w:p w14:paraId="2D94BD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（10）编制季度报告、中期报告和年度报告；</w:t>
      </w:r>
    </w:p>
    <w:p w14:paraId="3E2AF4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（11）严格按照《基金法》、《基金合同》及其他有关规定，履行信息披露及报告义务；</w:t>
      </w:r>
    </w:p>
    <w:p w14:paraId="10F24A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（12）保守基金商业秘密，不泄露基金投资计划、投资意向等。除《基金法》、《基金合同》及其他有关规定另有规定外，在基金信息公开披露前应予保密，不向他人泄露；</w:t>
      </w:r>
    </w:p>
    <w:p w14:paraId="3A25FFE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（13）按《基金合同》的约定确定基金收益分配方案，及时向基金份额持有人分配基金收益；</w:t>
      </w:r>
    </w:p>
    <w:p w14:paraId="5ED7B6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（14）按规定受理申购与赎回申请，及时、足额支付赎回款项；</w:t>
      </w:r>
    </w:p>
    <w:p w14:paraId="148B08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（15）依据《基金法》、《基金合同》及其他有关规定召集基金份额持有人大会或配合基金托管人、基金份额持有人依法召集基金份额持有人大会；</w:t>
      </w:r>
    </w:p>
    <w:p w14:paraId="34E0F98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（16）按规定保存基金财产管理业务活动的会计账册、报表、记录和其他相关资料15年以上；</w:t>
      </w:r>
    </w:p>
    <w:p w14:paraId="35D2978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（17）确保需要向基金投资者提供的各项文件或资料在规定时间发出，并且保证投资者能够按照《基金合同》规定的时间和方式，随时查阅到与基金有关的公开资料，并在支付合</w:t>
      </w:r>
      <w:r w:rsidRPr="00BD090D">
        <w:rPr>
          <w:rFonts w:ascii="宋体" w:eastAsia="宋体" w:hAnsi="宋体" w:hint="eastAsia"/>
          <w:szCs w:val="21"/>
        </w:rPr>
        <w:lastRenderedPageBreak/>
        <w:t>理成本的条件下得到有关资料的复印件；</w:t>
      </w:r>
    </w:p>
    <w:p w14:paraId="6B0CC35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（18）组织并参加基金财产清算小组，参与基金财产的保管、清理、估价、变现和分配；</w:t>
      </w:r>
    </w:p>
    <w:p w14:paraId="63AE55D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（19）面临解散、依法被撤销或者被依法宣告破产时，及时报告中国证监会并通知基金托管人；</w:t>
      </w:r>
    </w:p>
    <w:p w14:paraId="321F06C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（20）因违反《基金合同》导致基金财产的损失或损害基金份额持有人合法权益时，应当承担赔偿责任，其赔偿责任不因其退任而免除；</w:t>
      </w:r>
    </w:p>
    <w:p w14:paraId="6B5397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（21）监督基金托管人按法律法规和《基金合同》规定履行自己的义务，基金托管人违反《基金合同》造成基金财产损失时，基金管理人应为基金份额持有人利益向基金托管人追偿；</w:t>
      </w:r>
    </w:p>
    <w:p w14:paraId="00DD2F8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（22）当基金管理人将其义务委托第三方处理时，应当对第三方处理有关基金事务的行为承担责任；</w:t>
      </w:r>
    </w:p>
    <w:p w14:paraId="40748B4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（23）以基金管理人名义，代表基金份额持有人利益行使诉讼权利或实施其他法律行为；</w:t>
      </w:r>
    </w:p>
    <w:p w14:paraId="5210291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（24）基金管理人在募集期间未能达到基金的备案条件，《基金合同》不能生效，基金管理人承担全部募集费用，将已募集资金加计银行同期活期存款利息在基金募集期结束后30日内退还基金认购人；</w:t>
      </w:r>
    </w:p>
    <w:p w14:paraId="5104434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（25）执行生效的基金份额持有人大会的决议；</w:t>
      </w:r>
    </w:p>
    <w:p w14:paraId="2B96977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（26）建立并保存基金份额持有人名册；</w:t>
      </w:r>
    </w:p>
    <w:p w14:paraId="4B3CCC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（27）法律法规及中国证监会规定的和《基金合同》约定的其他义务。</w:t>
      </w:r>
    </w:p>
    <w:p w14:paraId="76758DC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w:t>
      </w:r>
      <w:r w:rsidRPr="00BD090D">
        <w:rPr>
          <w:rFonts w:ascii="宋体" w:eastAsia="宋体" w:hAnsi="宋体" w:hint="eastAsia"/>
          <w:szCs w:val="21"/>
        </w:rPr>
        <w:tab/>
        <w:t>基金托管人的权利与义务</w:t>
      </w:r>
    </w:p>
    <w:p w14:paraId="16CD81F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1、根据《基金法》、《运作办法》及其他有关规定，基金托管人的权利包括但不限于：</w:t>
      </w:r>
    </w:p>
    <w:p w14:paraId="64FF6C5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（1）自《基金合同》生效之日起，依法律法规和《基金合同》的规定安全保管基金财产；</w:t>
      </w:r>
    </w:p>
    <w:p w14:paraId="35EC4BB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（2）依《基金合同》约定获得基金托管费以及法律法规规定或监管部门批准的其他费用；</w:t>
      </w:r>
    </w:p>
    <w:p w14:paraId="4521FD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0CDC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（4）根据相关市场规则，为基金开设资金账户、证券账户等投资所需账户，为基金办理证券交易资金清算；</w:t>
      </w:r>
    </w:p>
    <w:p w14:paraId="3C7E10A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（5）提议召开或召集基金份额持有人大会；</w:t>
      </w:r>
    </w:p>
    <w:p w14:paraId="4B520B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（6）在基金管理人更换时，提名新的基金管理人；</w:t>
      </w:r>
    </w:p>
    <w:p w14:paraId="259D3F4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（7）法律法规及中国证监会规定的和《基金合同》约定的其他权利。</w:t>
      </w:r>
    </w:p>
    <w:p w14:paraId="1C9055A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2、根据《基金法》、《运作办法》及其他有关规定，基金托管人的义务包括但不限于：</w:t>
      </w:r>
    </w:p>
    <w:p w14:paraId="6833254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（1）以诚实信用、勤勉尽责的原则持有并安全保管基金财产；</w:t>
      </w:r>
    </w:p>
    <w:p w14:paraId="0D2B3D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（2）设立专门的基金托管部门，具有符合要求的营业场所，配备足够的、合格的熟悉基金托管业务的专职人员，负责基金财产托管事宜；</w:t>
      </w:r>
    </w:p>
    <w:p w14:paraId="4EE86C4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58FE1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（4）除依据《基金法》、《基金合同》及其他有关规定外，不得利用基金财产为自己及任何第三人谋取利益，不得委托第三人托管基金财产；</w:t>
      </w:r>
    </w:p>
    <w:p w14:paraId="3BC02F5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（5）保管由基金管理人代表基金签订的与基金有关的重大合同及有关凭证；</w:t>
      </w:r>
    </w:p>
    <w:p w14:paraId="56E4B1B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（6）按规定开设基金财产的资金账户、证券账户等投资所需账户，按照《基金合同》的约定，根据基金管理人的投资指令，及时办理清算、交割事宜；</w:t>
      </w:r>
    </w:p>
    <w:p w14:paraId="1E835BA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（7）保守基金商业秘密，除《基金法》、《基金合同》及其他有关规定另有规定外，在基金信息公开披露前予以保密，不得向他人泄露；</w:t>
      </w:r>
    </w:p>
    <w:p w14:paraId="3060E8A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（8）复核、审查基金管理人计算的基金资产净值、基金份额净值、基金份额申购、赎回价格；</w:t>
      </w:r>
    </w:p>
    <w:p w14:paraId="10C9D1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（9）办理与基金托管业务活动有关的信息披露事项；</w:t>
      </w:r>
    </w:p>
    <w:p w14:paraId="2985EA6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17E2B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（11）保存基金托管业务活动的记录、账册、报表和其他相关资料不低于法律法规规定的最低期限；</w:t>
      </w:r>
    </w:p>
    <w:p w14:paraId="30516BB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（12）从基金管理人或其委托的登记机构处接收并保存基金份额持有人名册；</w:t>
      </w:r>
    </w:p>
    <w:p w14:paraId="3E9F284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（13）按规定制作相关账册并与基金管理人核对；</w:t>
      </w:r>
    </w:p>
    <w:p w14:paraId="7AD8CD8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（14）依据基金管理人的指令或有关规定向基金份额持有人支付基金收益和赎回款项；</w:t>
      </w:r>
    </w:p>
    <w:p w14:paraId="6A50EA6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（15）依据《基金法》、《基金合同》及其他有关规定，召集基金份额持有人大会或配合基金管理人、基金份额持有人依法召集基金份额持有人大会；</w:t>
      </w:r>
    </w:p>
    <w:p w14:paraId="3D3CC30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（16）按照法律法规和《基金合同》的规定监督基金管理人的投资运作；</w:t>
      </w:r>
    </w:p>
    <w:p w14:paraId="5F131F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（17）参加基金财产清算小组，参与基金财产的保管、清理、估价、变现和分配；</w:t>
      </w:r>
    </w:p>
    <w:p w14:paraId="7BB6607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（18）面临解散、依法被撤销或者被依法宣告破产时，及时报告中国证监会和银行监管机构，并通知基金管理人；</w:t>
      </w:r>
    </w:p>
    <w:p w14:paraId="1E9FB34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（19）因违反《基金合同》导致基金财产损失时，应承担赔偿责任，其赔偿责任不因其退任而免除；</w:t>
      </w:r>
    </w:p>
    <w:p w14:paraId="6FACD8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（20）监督基金管理人按法律法规和《基金合同》规定履行自己的义务，基金管理人因违反《基金合同》造成基金财产损失时，应为基金份额持有人利益向基金管理人追偿；</w:t>
      </w:r>
    </w:p>
    <w:p w14:paraId="5509B4F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（21）执行生效的基金份额持有人大会的决议；</w:t>
      </w:r>
    </w:p>
    <w:p w14:paraId="706F3CD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（22）法律法规及中国证监会规定的和《基金合同》约定的其他义务。</w:t>
      </w:r>
    </w:p>
    <w:p w14:paraId="767D11C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（三）基金份额持有人的权利和义务</w:t>
      </w:r>
    </w:p>
    <w:p w14:paraId="371F5F2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1、根据《基金法》、《运作办法》及其他有关规定，基金份额持有人的权利包括但不限于：</w:t>
      </w:r>
    </w:p>
    <w:p w14:paraId="499211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（1）分享基金财产收益；</w:t>
      </w:r>
    </w:p>
    <w:p w14:paraId="03BB9C7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（2）参与分配清算后的剩余基金财产；</w:t>
      </w:r>
    </w:p>
    <w:p w14:paraId="4F6D690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（3）依法申请赎回其持有的基金份额；</w:t>
      </w:r>
    </w:p>
    <w:p w14:paraId="3363F4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（4）按照规定要求召开基金份额持有人大会或者召集基金份额持有人大会；</w:t>
      </w:r>
    </w:p>
    <w:p w14:paraId="1CB84D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（5）出席或者委派代表出席基金份额持有人大会，对基金份额持有人大会审议事项行使表决权；</w:t>
      </w:r>
    </w:p>
    <w:p w14:paraId="6575240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（6）查阅或者复制公开披露的基金信息资料；</w:t>
      </w:r>
    </w:p>
    <w:p w14:paraId="59F38C8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（7）监督基金管理人的投资运作；</w:t>
      </w:r>
    </w:p>
    <w:p w14:paraId="6F6350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（8）对基金管理人、基金托管人、基金服务机构损害其合法权益的行为依法提起诉讼或仲裁；</w:t>
      </w:r>
    </w:p>
    <w:p w14:paraId="50221A1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（9）法律法规及中国证监会规定的和《基金合同》约定的其他权利。</w:t>
      </w:r>
    </w:p>
    <w:p w14:paraId="4750665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2、根据《基金法》、《运作办法》及其他有关规定，基金份额持有人的义务包括但不限于：</w:t>
      </w:r>
    </w:p>
    <w:p w14:paraId="7272B3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（1）认真阅读并遵守《基金合同》、招募说明书等信息披露文件；</w:t>
      </w:r>
    </w:p>
    <w:p w14:paraId="3561FEC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（2）了解所投资基金产品，了解自身风险承受能力，自主判断基金的投资价值，自主做出投资决策，自行承担投资风险；</w:t>
      </w:r>
    </w:p>
    <w:p w14:paraId="0B7809A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（3）关注基金信息披露，及时行使权利和履行义务；</w:t>
      </w:r>
    </w:p>
    <w:p w14:paraId="17176B6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（4）交纳基金认购、申购款项及法律法规和《基金合同》所规定的费用；</w:t>
      </w:r>
    </w:p>
    <w:p w14:paraId="7880A53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（5）在其持有的基金份额范围内，承担基金亏损或者《基金合同》终止的有限责任；</w:t>
      </w:r>
    </w:p>
    <w:p w14:paraId="7A4FE5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（6）不从事任何有损基金及其他《基金合同》当事人合法权益的活动；</w:t>
      </w:r>
    </w:p>
    <w:p w14:paraId="6634D47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（7）执行生效的基金份额持有人大会的决议；</w:t>
      </w:r>
    </w:p>
    <w:p w14:paraId="13C7E6E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（8）返还在基金交易过程中因任何原因获得的不当得利；</w:t>
      </w:r>
    </w:p>
    <w:p w14:paraId="76F2B1B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（9）发起资金提供方持有认购的基金份额不少于3年；</w:t>
      </w:r>
    </w:p>
    <w:p w14:paraId="5798AC5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（10）法律法规及中国证监会规定的和《基金合同》约定的其他义务。</w:t>
      </w:r>
    </w:p>
    <w:p w14:paraId="1718975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二、基金份额持有人大会召集、议事及表决的程序和规则</w:t>
      </w:r>
    </w:p>
    <w:p w14:paraId="2572C99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基金份额持有人大会由基金份额持有人组成，基金份额持有人的合法授权代表有权代表基金份额持有人出席会议并表决。基金份额持有人持有的每一基金份额拥有平等的投票权。</w:t>
      </w:r>
    </w:p>
    <w:p w14:paraId="3FAD39D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本基金份额持有人大会不设立日常机构。</w:t>
      </w:r>
    </w:p>
    <w:p w14:paraId="738FE0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(一)召开事由</w:t>
      </w:r>
    </w:p>
    <w:p w14:paraId="7194B20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1、当出现或需要决定下列事由之一的，应当召开基金份额持有人大会，法律法规或中国证监会另有规定或基金合同另有约定的除外：</w:t>
      </w:r>
    </w:p>
    <w:p w14:paraId="707F01D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（1）终止基金合同；</w:t>
      </w:r>
    </w:p>
    <w:p w14:paraId="5375CD8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（2）更换基金管理人；</w:t>
      </w:r>
    </w:p>
    <w:p w14:paraId="695B62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（3）更换基金托管人；</w:t>
      </w:r>
    </w:p>
    <w:p w14:paraId="71D43A4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（4）转换基金运作方式；</w:t>
      </w:r>
    </w:p>
    <w:p w14:paraId="75CC0B7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（5）调整基金管理人、基金托管人的报酬标准；</w:t>
      </w:r>
    </w:p>
    <w:p w14:paraId="2FE06FB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（6）变更基金类别；</w:t>
      </w:r>
    </w:p>
    <w:p w14:paraId="502B25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（7）变更基金投资目标、范围或策略；</w:t>
      </w:r>
    </w:p>
    <w:p w14:paraId="22593DD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（8）变更基金份额持有人大会程序；</w:t>
      </w:r>
    </w:p>
    <w:p w14:paraId="54A673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（9）基金管理人或基金托管人要求召开基金份额持有人大会；</w:t>
      </w:r>
    </w:p>
    <w:p w14:paraId="109C06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（10）单独或合计持有本基金总份额10%以上（含10%）基金份额的基金份额持有人（以基金管理人收到提议当日的基金份额计算，下同）就同一事项书面要求召开基金份额持有人大会；</w:t>
      </w:r>
    </w:p>
    <w:p w14:paraId="4CB5B8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（11）本基金与其他基金的合并；</w:t>
      </w:r>
    </w:p>
    <w:p w14:paraId="72826A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（12）对基金合同当事人权利和义务产生重大影响的其他事项；</w:t>
      </w:r>
    </w:p>
    <w:p w14:paraId="1038C30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（13）法律法规、《基金合同》或中国证监会规定的其他应当召开基金份额持有人大会的事项。</w:t>
      </w:r>
    </w:p>
    <w:p w14:paraId="6C9E42F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2、在法律法规规定和《基金合同》约定的范围内且在对基金份额持有人利益无实质性不利影响的前提下，以下情况可由基金管理人和基金托管人协商后修改，不需召开基金份额持有人大会：</w:t>
      </w:r>
    </w:p>
    <w:p w14:paraId="0E7B3D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（1）法律法规要求增加的基金费用的收取；</w:t>
      </w:r>
    </w:p>
    <w:p w14:paraId="28F6B77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（2）调整本基金的申购费率、调低赎回费或变更收费方式、调整基金份额类别；</w:t>
      </w:r>
    </w:p>
    <w:p w14:paraId="1BE993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（3）因相应的法律法规发生变动而应当对《基金合同》进行修改；</w:t>
      </w:r>
    </w:p>
    <w:p w14:paraId="6AC0B0C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（4）对《基金合同》的修改对基金份额持有人利益无实质性不利影响或修改不涉及《基金合同》当事人权利义务关系发生重大变化；</w:t>
      </w:r>
    </w:p>
    <w:p w14:paraId="7D4A339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（5）在对基金份额持有人利益无实质性不利影响的前提下，基金管理人、销售机构、登记机构调整有关基金认购、申购、赎回、转换、非交易过户、转托管等业务的规则；</w:t>
      </w:r>
    </w:p>
    <w:p w14:paraId="22AAAA6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（6）在对基金份额持有人利益无实质性不利影响的前提下推出新业务或服务；</w:t>
      </w:r>
    </w:p>
    <w:p w14:paraId="0859382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（7）按照法律法规和《基金合同》规定不需召开基金份额持有人大会的其他情形。</w:t>
      </w:r>
    </w:p>
    <w:p w14:paraId="61CCAD4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 (二)会议召集人及召集方式</w:t>
      </w:r>
    </w:p>
    <w:p w14:paraId="0420469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1、除法律法规规定或《基金合同》另有约定外，基金份额持有人大会由基金管理人召集。</w:t>
      </w:r>
    </w:p>
    <w:p w14:paraId="654132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2、基金管理人未按规定召集或不能召集时，由基金托管人召集。</w:t>
      </w:r>
    </w:p>
    <w:p w14:paraId="112FA77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份额持有人大会未设立日常机构的，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C38715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份额持有人大会未设立日常机构的，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w:t>
      </w:r>
      <w:r w:rsidRPr="00BD090D">
        <w:rPr>
          <w:rFonts w:ascii="宋体" w:eastAsia="宋体" w:hAnsi="宋体" w:hint="eastAsia"/>
          <w:szCs w:val="21"/>
        </w:rPr>
        <w:lastRenderedPageBreak/>
        <w:t>应当配合。</w:t>
      </w:r>
    </w:p>
    <w:p w14:paraId="4C622D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D8B33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6、基金份额持有人会议的召集人负责选择确定开会时间、地点、方式和权益登记日。</w:t>
      </w:r>
    </w:p>
    <w:p w14:paraId="10335CE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(三)召开基金份额持有人大会的通知时间、通知内容、通知方式</w:t>
      </w:r>
    </w:p>
    <w:p w14:paraId="1D7F230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1、召开基金份额持有人大会，召集人应于会议召开前30日，在规定媒介公告。基金份额持有人大会通知应至少载明以下内容：</w:t>
      </w:r>
    </w:p>
    <w:p w14:paraId="317027C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（1）会议召开的时间、地点和会议形式；</w:t>
      </w:r>
    </w:p>
    <w:p w14:paraId="36B2BB6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（2）会议拟审议的事项、议事程序和表决方式；</w:t>
      </w:r>
    </w:p>
    <w:p w14:paraId="01CC74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（3）有权出席基金份额持有人大会的基金份额持有人的权益登记日；</w:t>
      </w:r>
    </w:p>
    <w:p w14:paraId="1BAC850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（4）授权委托证明的内容要求（包括但不限于代理人身份，代理权限和代理有效期限等）、送达时间和地点；</w:t>
      </w:r>
    </w:p>
    <w:p w14:paraId="4478143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（5）会务常设联系人姓名及联系电话；</w:t>
      </w:r>
    </w:p>
    <w:p w14:paraId="4DAD6F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（6）出席会议者必须准备的文件和必须履行的手续；</w:t>
      </w:r>
    </w:p>
    <w:p w14:paraId="11ABDC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（7）召集人需要通知的其他事项。</w:t>
      </w:r>
    </w:p>
    <w:p w14:paraId="0932EDD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1DB91E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F78E5E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(四)基金份额持有人出席会议的方式</w:t>
      </w:r>
    </w:p>
    <w:p w14:paraId="3C1844A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基金份额持有人大会可通过现场开会方式、通讯开会方式或法律法规、监管机关允许的其他方式召开，会议的召开方式由会议召集人确定。</w:t>
      </w:r>
    </w:p>
    <w:p w14:paraId="0A0EAF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1、现场开会。由基金份额持有人本人出席或以代理投票授权委托证明委派代表出席，</w:t>
      </w:r>
      <w:r w:rsidRPr="00BD090D">
        <w:rPr>
          <w:rFonts w:ascii="宋体" w:eastAsia="宋体" w:hAnsi="宋体" w:hint="eastAsia"/>
          <w:szCs w:val="21"/>
        </w:rPr>
        <w:lastRenderedPageBreak/>
        <w:t>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080219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9484E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2BC5C6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2F32A3D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在同时符合以下条件时，通讯开会的方式视为有效：</w:t>
      </w:r>
    </w:p>
    <w:p w14:paraId="44C3DA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（1）会议召集人按《基金合同》约定公布会议通知后，在2个工作日内连续公布相关提示性公告；</w:t>
      </w:r>
    </w:p>
    <w:p w14:paraId="28B09B9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A4CDB8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118D7E7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C39613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在法律法规和监管机关允许的情况下，本基金亦可采用网络、电话等其他非现场方式或者以非现场方式与现场方式结合的方式召开基金份额持有人大会，基金份额持有人可以采用书面、网络、电话、短信或其他方式进行表决，会议程序可比照现场开会和通讯方式开会的程序进行，具体方式由会议召集人确定并在会议通知中列明。</w:t>
      </w:r>
    </w:p>
    <w:p w14:paraId="4053477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4、基金份额持有人授权他人代为出席会议并表决的，授权方式可以采用书面、网络、电话、短信或其他方式，具体方式由会议召集人确定并在会议通知中列明。</w:t>
      </w:r>
    </w:p>
    <w:p w14:paraId="55EA250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(五)议事内容与程序</w:t>
      </w:r>
    </w:p>
    <w:p w14:paraId="129C6F1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1、议事内容及提案权</w:t>
      </w:r>
    </w:p>
    <w:p w14:paraId="165E998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6339CA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基金份额持有人大会的召集人发出召集会议的通知后，对原有提案的修改应当在基金份额持有人大会召开前及时公告。</w:t>
      </w:r>
    </w:p>
    <w:p w14:paraId="450E057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基金份额持有人大会不得对未事先公告的议事内容进行表决。</w:t>
      </w:r>
    </w:p>
    <w:p w14:paraId="45F398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2、议事程序</w:t>
      </w:r>
    </w:p>
    <w:p w14:paraId="2D21747A" w14:textId="1574B2A1" w:rsidR="00BD090D" w:rsidRPr="00BD090D" w:rsidRDefault="00BD090D" w:rsidP="0058096F">
      <w:pPr>
        <w:spacing w:line="360" w:lineRule="auto"/>
        <w:ind w:firstLine="420"/>
        <w:rPr>
          <w:rFonts w:ascii="宋体" w:eastAsia="宋体" w:hAnsi="宋体"/>
          <w:szCs w:val="21"/>
        </w:rPr>
      </w:pPr>
      <w:r w:rsidRPr="00BD090D">
        <w:rPr>
          <w:rFonts w:ascii="宋体" w:eastAsia="宋体" w:hAnsi="宋体" w:hint="eastAsia"/>
          <w:szCs w:val="21"/>
        </w:rPr>
        <w:t>（1）现场开会</w:t>
      </w:r>
    </w:p>
    <w:p w14:paraId="777E316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F3A286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会议召集人应当制作出席会议人员的签名册。签名册载明参加会议人员姓名（或单位名称）、身份证明文件号码、持有或代表有表决权的基金份额、委托人姓名（或单位名称）和联系方式等事项。</w:t>
      </w:r>
    </w:p>
    <w:p w14:paraId="352C546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（2）通讯开会</w:t>
      </w:r>
    </w:p>
    <w:p w14:paraId="00AFBA1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在通讯开会的情况下，首先由召集人提前30日公布提案，在所通知的表决截止日期后2个工作日内在公证机关监督下由召集人统计全部有效表决，在公证机关监督下形成决议。</w:t>
      </w:r>
    </w:p>
    <w:p w14:paraId="708375D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(六)表决</w:t>
      </w:r>
    </w:p>
    <w:p w14:paraId="7E4CF01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基金份额持有人所持每份基金份额有一票表决权。</w:t>
      </w:r>
    </w:p>
    <w:p w14:paraId="68A32A5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基金份额持有人大会决议分为一般决议和特别决议：</w:t>
      </w:r>
    </w:p>
    <w:p w14:paraId="569D692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FD7296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C5C050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基金份额持有人大会采取记名方式进行投票表决。</w:t>
      </w:r>
    </w:p>
    <w:p w14:paraId="613A72D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A54F8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基金份额持有人大会的各项提案或同一项提案内并列的各项议题应当分开审议、逐项表决。</w:t>
      </w:r>
    </w:p>
    <w:p w14:paraId="48D5CD4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(七)计票</w:t>
      </w:r>
    </w:p>
    <w:p w14:paraId="4D303BD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1、现场开会</w:t>
      </w:r>
    </w:p>
    <w:p w14:paraId="4E7458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849AA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（2）监票人应当在基金份额持有人表决后立即进行清点并由大会主持人当场公布计票结果。</w:t>
      </w:r>
    </w:p>
    <w:p w14:paraId="5A2D934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177840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（4）计票过程应由公证机关予以公证，基金管理人或基金托管人拒不出席大会的，不影响计票的效力。</w:t>
      </w:r>
    </w:p>
    <w:p w14:paraId="0111B33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2、通讯开会</w:t>
      </w:r>
    </w:p>
    <w:p w14:paraId="1F157D0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6696D6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(八)生效与公告</w:t>
      </w:r>
    </w:p>
    <w:p w14:paraId="6596C5D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基金份额持有人大会的决议，召集人应当自通过之日起5日内报中国证监会备案。</w:t>
      </w:r>
    </w:p>
    <w:p w14:paraId="642FF0B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基金份额持有人大会的决议自表决通过之日起生效。</w:t>
      </w:r>
    </w:p>
    <w:p w14:paraId="1E32F3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基金份额持有人大会决议自生效之日起2日内在规定媒介上公告。如果采用通讯方式进行表决，在公告基金份额持有人大会决议时，必须将公证书全文、公证机构、公证员姓名等一同公告。</w:t>
      </w:r>
    </w:p>
    <w:p w14:paraId="23A9C1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427F84F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（九）实施侧袋机制期间基金份额持有人大会的特殊约定</w:t>
      </w:r>
    </w:p>
    <w:p w14:paraId="311DDD3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1BC51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1、基金份额持有人行使提议权、召集权、提名权所需单独或合计代表相关基金份额10%以上（含10%）；</w:t>
      </w:r>
    </w:p>
    <w:p w14:paraId="109963F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2、现场开会的到会者在权益登记日代表的基金份额不少于本基金在权益登记日相关基金份额的二分之一（含二分之一）；</w:t>
      </w:r>
    </w:p>
    <w:p w14:paraId="679C77B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3、通讯开会的直接出具书面意见或授权他人代表出具书面意见的基金份额持有人所持有的基金份额不小于在权益登记日相关基金份额的二分之一（含二分之一）；</w:t>
      </w:r>
    </w:p>
    <w:p w14:paraId="78AA36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50ABEF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5、现场开会由出席大会的基金份额持有人和代理人所持表决权的50%以上（含50%）选举产生一名基金份额持有人作为该次基金份额持有人大会的主持人；</w:t>
      </w:r>
    </w:p>
    <w:p w14:paraId="784D475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6、一般决议须经参加大会的基金份额持有人或其代理人所持表决权的二分之一以上（含二分之一）通过；</w:t>
      </w:r>
    </w:p>
    <w:p w14:paraId="47B7FD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7、特别决议应当经参加大会的基金份额持有人或其代理人所持表决权的三分之二以上（含三分之二）通过。</w:t>
      </w:r>
    </w:p>
    <w:p w14:paraId="7882FB0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53E4CB4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十)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 </w:t>
      </w:r>
    </w:p>
    <w:p w14:paraId="0B57425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三、基金合同解除和终止的事由、程序以及基金财产清算方式</w:t>
      </w:r>
    </w:p>
    <w:p w14:paraId="2D985A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（一）《基金合同》的变更</w:t>
      </w:r>
    </w:p>
    <w:p w14:paraId="48DC31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26DCA2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2、关于《基金合同》变更的基金份额持有人大会决议自生效后方可执行，并自决议生效后两日内在规定媒介公告。</w:t>
      </w:r>
    </w:p>
    <w:p w14:paraId="08F1ED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（二）《基金合同》的终止事由</w:t>
      </w:r>
    </w:p>
    <w:p w14:paraId="441DEB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有下列情形之一的，经履行相关程序后，《基金合同》应当终止：</w:t>
      </w:r>
    </w:p>
    <w:p w14:paraId="4AEE9F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1、基金份额持有人大会决定终止的；</w:t>
      </w:r>
    </w:p>
    <w:p w14:paraId="3F757AD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2、基金管理人、基金托管人职责终止，在6个月内没有新基金管理人、新基金托管人承接的；</w:t>
      </w:r>
    </w:p>
    <w:p w14:paraId="18F6CEF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3、《基金合同》约定的其他情形；</w:t>
      </w:r>
    </w:p>
    <w:p w14:paraId="4F6DD3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4、相关法律法规和中国证监会规定的其他情况。</w:t>
      </w:r>
    </w:p>
    <w:p w14:paraId="43675B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（三）基金财产的清算</w:t>
      </w:r>
    </w:p>
    <w:p w14:paraId="6F37A0E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1、基金财产清算小组：自出现《基金合同》终止事由之日起30个工作日内成立清算小组，基金管理人或临时基金管理人组织基金财产清算小组并在中国证监会的监督下进行基金清算。</w:t>
      </w:r>
    </w:p>
    <w:p w14:paraId="4423A0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基金财产清算小组组成：基金财产清算小组成员由基金管理人或临时基金管理人、基金托管人、具有从事证券相关业务资格的注册会计师、律师以及中国证监会指定的人员组成。基金财产清算小组可以聘用必要的工作人员。</w:t>
      </w:r>
    </w:p>
    <w:p w14:paraId="25C56A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3、基金财产清算小组职责：基金财产清算小组负责基金财产的保管、清理、估价、变现和分配。基金财产清算小组可以依法进行必要的民事活动。</w:t>
      </w:r>
    </w:p>
    <w:p w14:paraId="2194275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4、基金财产清算程序：</w:t>
      </w:r>
    </w:p>
    <w:p w14:paraId="4BB50E5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（1）《基金合同》终止情形出现时，由基金财产清算小组统一接管基金；</w:t>
      </w:r>
    </w:p>
    <w:p w14:paraId="7BF3F71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（2）对基金财产和债权债务进行清理和确认；</w:t>
      </w:r>
    </w:p>
    <w:p w14:paraId="595C401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（3）对基金财产进行估值和变现；</w:t>
      </w:r>
    </w:p>
    <w:p w14:paraId="4313BED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（4）制作清算报告；</w:t>
      </w:r>
    </w:p>
    <w:p w14:paraId="678D546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（5）聘请会计师事务所对清算报告进行外部审计，聘请律师事务所对清算报告出具法律意见书；</w:t>
      </w:r>
    </w:p>
    <w:p w14:paraId="33EC283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（6）将清算报告报中国证监会备案并公告；</w:t>
      </w:r>
    </w:p>
    <w:p w14:paraId="05CFD1A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（7）对基金剩余财产进行分配。</w:t>
      </w:r>
    </w:p>
    <w:p w14:paraId="10AA96F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5、基金财产清算的期限为6个月，但因本基金所持证券的流动性受到限制而不能及时变现的，清算期限可相应顺延。</w:t>
      </w:r>
    </w:p>
    <w:p w14:paraId="7B6E240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（四）清算费用</w:t>
      </w:r>
    </w:p>
    <w:p w14:paraId="4B69C1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清算费用是指基金财产清算小组在进行基金清算过程中发生的所有合理费用，清算费用由基金财产清算小组优先从基金财产中支付。</w:t>
      </w:r>
    </w:p>
    <w:p w14:paraId="3332BB9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（五）基金财产清算剩余资产的分配</w:t>
      </w:r>
    </w:p>
    <w:p w14:paraId="3C53CF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763BD4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（六）基金财产清算的公告</w:t>
      </w:r>
    </w:p>
    <w:p w14:paraId="704E99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清算过程中的有关重大事项须及时公告；基金财产清算报告经符合《中华人民共和国证券法》规定的会计师事务所审计并由律师事务所出具法律意见书后报中国证监会备案并公告。</w:t>
      </w:r>
      <w:r w:rsidRPr="00BD090D">
        <w:rPr>
          <w:rFonts w:ascii="宋体" w:eastAsia="宋体" w:hAnsi="宋体" w:hint="eastAsia"/>
          <w:szCs w:val="21"/>
        </w:rPr>
        <w:lastRenderedPageBreak/>
        <w:t>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26B3E9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（七）基金财产清算账册及文件的保存</w:t>
      </w:r>
    </w:p>
    <w:p w14:paraId="374C391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基金财产清算账册及有关文件由基金托管人保存不低于法律法规规定的最低期限。</w:t>
      </w:r>
    </w:p>
    <w:p w14:paraId="0236D6D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四、争议解决方式</w:t>
      </w:r>
    </w:p>
    <w:p w14:paraId="0CDD95E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仲裁费、律师费用由败诉方承担，除非仲裁裁决另有决定。</w:t>
      </w:r>
    </w:p>
    <w:p w14:paraId="2BCCB2E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争议处理期间，基金合同当事人应恪守各自的职责，继续忠实、勤勉、尽责地履行基金合同规定的义务，维护基金份额持有人的合法权益。</w:t>
      </w:r>
    </w:p>
    <w:p w14:paraId="66F866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基金合同受中国法律管辖。</w:t>
      </w:r>
    </w:p>
    <w:p w14:paraId="626E2F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五、基金合同存放地和投资人取得基金合同的方式</w:t>
      </w:r>
    </w:p>
    <w:p w14:paraId="381BA94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《基金合同》可印制成册，供投资人在基金管理人、基金托管人、销售机构的办公场所和营业场所查阅。 </w:t>
      </w:r>
    </w:p>
    <w:p w14:paraId="183AB063" w14:textId="77777777" w:rsidR="00A8367A"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1E8D8F66" w14:textId="77777777" w:rsidR="00A8367A" w:rsidRDefault="00A8367A">
      <w:pPr>
        <w:widowControl/>
        <w:jc w:val="left"/>
        <w:rPr>
          <w:rFonts w:ascii="宋体" w:eastAsia="宋体" w:hAnsi="宋体"/>
          <w:szCs w:val="21"/>
        </w:rPr>
      </w:pPr>
      <w:r>
        <w:rPr>
          <w:rFonts w:ascii="宋体" w:eastAsia="宋体" w:hAnsi="宋体"/>
          <w:szCs w:val="21"/>
        </w:rPr>
        <w:br w:type="page"/>
      </w:r>
    </w:p>
    <w:p w14:paraId="37C2EFD5"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31" w:name="_Toc89276792"/>
      <w:r w:rsidRPr="00BD090D">
        <w:rPr>
          <w:rFonts w:ascii="Arial Unicode MS" w:eastAsia="宋体" w:hAnsi="Arial Unicode MS" w:cs="Arial" w:hint="eastAsia"/>
          <w:kern w:val="0"/>
          <w:sz w:val="28"/>
          <w:szCs w:val="28"/>
        </w:rPr>
        <w:lastRenderedPageBreak/>
        <w:t>第二十一部分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基金托管协议的内容摘要</w:t>
      </w:r>
      <w:bookmarkEnd w:id="31"/>
    </w:p>
    <w:p w14:paraId="4C77858F" w14:textId="77777777" w:rsidR="00BD090D" w:rsidRPr="00BD090D" w:rsidRDefault="00BD090D" w:rsidP="00BD090D">
      <w:pPr>
        <w:spacing w:line="360" w:lineRule="auto"/>
        <w:ind w:firstLineChars="200" w:firstLine="420"/>
        <w:rPr>
          <w:rFonts w:ascii="宋体" w:eastAsia="宋体" w:hAnsi="宋体"/>
          <w:szCs w:val="21"/>
        </w:rPr>
      </w:pPr>
    </w:p>
    <w:p w14:paraId="204BAE3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一、托管协议当事人</w:t>
      </w:r>
    </w:p>
    <w:p w14:paraId="12676A1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（一）基金管理人</w:t>
      </w:r>
    </w:p>
    <w:p w14:paraId="245CF23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名称：富荣基金管理有限公司</w:t>
      </w:r>
    </w:p>
    <w:p w14:paraId="1CC4A18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注册地址：广州市南沙区海滨路171号南沙金融大厦11楼1101之一J20室</w:t>
      </w:r>
    </w:p>
    <w:p w14:paraId="3E75ED2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办公地址：深圳市福田区八卦四路52号安吉尔大厦24层</w:t>
      </w:r>
    </w:p>
    <w:p w14:paraId="4D177F4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邮政编码：518038</w:t>
      </w:r>
    </w:p>
    <w:p w14:paraId="1979C02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法定代表人：杨小舟</w:t>
      </w:r>
    </w:p>
    <w:p w14:paraId="6ECD3B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成立日期：2016年1月25日</w:t>
      </w:r>
    </w:p>
    <w:p w14:paraId="528305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批准设立机关及批准设立文号：中国证监会、证监许可[2015]3118号</w:t>
      </w:r>
    </w:p>
    <w:p w14:paraId="077C4F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组织形式：有限责任公司</w:t>
      </w:r>
    </w:p>
    <w:p w14:paraId="46FD035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注册资本： 2亿元人民币</w:t>
      </w:r>
    </w:p>
    <w:p w14:paraId="7375092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存续期间：永续经营</w:t>
      </w:r>
    </w:p>
    <w:p w14:paraId="6BEDD98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经营范围：基金募集、基金销售、资产管理、特定客户资产管理和中国证监会许可的其他业务</w:t>
      </w:r>
    </w:p>
    <w:p w14:paraId="1EBE729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（二）基金托管人</w:t>
      </w:r>
    </w:p>
    <w:p w14:paraId="0B3F22B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名称：中国民生银行股份有限公司</w:t>
      </w:r>
    </w:p>
    <w:p w14:paraId="1024674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注册地址：北京市西城区复兴门内大街2号</w:t>
      </w:r>
    </w:p>
    <w:p w14:paraId="5F9A041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办公地址：北京市西城区复兴门内大街2号</w:t>
      </w:r>
    </w:p>
    <w:p w14:paraId="329C2A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邮政编码：100031</w:t>
      </w:r>
    </w:p>
    <w:p w14:paraId="2C29378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法定代表人：洪崎</w:t>
      </w:r>
    </w:p>
    <w:p w14:paraId="4444CC5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成立日期：1996年2月7日</w:t>
      </w:r>
    </w:p>
    <w:p w14:paraId="1E5F7D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基金托管业务批准文号：证监基金字[2004]101号</w:t>
      </w:r>
    </w:p>
    <w:p w14:paraId="505F2A5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组织形式：其他股份有限公司（上市）</w:t>
      </w:r>
    </w:p>
    <w:p w14:paraId="6DE808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注册资本：28,365,585,227元人民币</w:t>
      </w:r>
    </w:p>
    <w:p w14:paraId="79AD09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存续期间：持续经营</w:t>
      </w:r>
    </w:p>
    <w:p w14:paraId="7E47EF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经营范围：吸收公众存款；发放短期、中期和长期贷款；办理国内外结算；办理票据承兑与贴现、发行金融债券；代理发行、代理兑付、承销政府债券；买卖政府债券、金融债券；</w:t>
      </w:r>
      <w:r w:rsidRPr="00BD090D">
        <w:rPr>
          <w:rFonts w:ascii="宋体" w:eastAsia="宋体" w:hAnsi="宋体" w:hint="eastAsia"/>
          <w:szCs w:val="21"/>
        </w:rPr>
        <w:lastRenderedPageBreak/>
        <w:t>从事同业拆借；买卖、代理买卖外汇；从事结汇、售汇业务；从事银行卡业务；提供信用证服务及担保；代理收付款项；保险兼业代理业务（有效期至2020年02月18日）；提供保管箱服务；经国务院银行业监督管理机构批准的其他业务。</w:t>
      </w:r>
    </w:p>
    <w:p w14:paraId="28ABB99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二、基金托管人对基金管理人的业务监督和核查</w:t>
      </w:r>
    </w:p>
    <w:p w14:paraId="5EFBC24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（一）基金托管人根据有关法律法规的规定及基金合同的约定，对基金投资范围、投资对象进行监督。</w:t>
      </w:r>
    </w:p>
    <w:p w14:paraId="7B58F14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E2C7E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的投资范围主要为具有较好流动性的金融工具，包括国债、央行票据、地方政府债、金融债、企业债、公司债、短期融资券、超短期融资券、中期票据、公开发行的次级债、同业存单、资产支持证券、可分离交易可转债的纯债部分、银行存款、债券回购、货币市场工具，以及法律法规或中国证监会允许基金投资的其他金融工具。</w:t>
      </w:r>
    </w:p>
    <w:p w14:paraId="2BFE6C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本基金不投资股票。</w:t>
      </w:r>
    </w:p>
    <w:p w14:paraId="5A92E06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如法律法规或监管机构以后允许基金投资其他品种，基金管理人在履行适当程序后，可以将其纳入投资范围，其投资比例遵循届时有效法律法规或相关规定。</w:t>
      </w:r>
    </w:p>
    <w:p w14:paraId="4FB78F7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为债券型基金，投资组合比例为：本基金投资于债券的比例不低于基金资产的80%；但应开放期流动性需要，为保护基金份额持有人利益，在每次开放期前一个月、开放期及开放期结束后一个月的期间内，基金投资不受上述比例限制。</w:t>
      </w:r>
    </w:p>
    <w:p w14:paraId="500847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开放期内，本基金持有现金或者到期日在一年以内的政府债券的比例不低于基金资产净值的5%，其中现金不包括结算备付金、存出保证金、应收申购款等，在封闭期内，本基金不受上述5%的限制。</w:t>
      </w:r>
    </w:p>
    <w:p w14:paraId="689DE1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如果法律法规或中国证监会变更投资品种的投资比例限制，基金管理人在履行适当程序后，可以调整上述投资品种的投资比例。</w:t>
      </w:r>
    </w:p>
    <w:p w14:paraId="0BD954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（二）基金托管人根据有关法律法规的规定及基金合同的约定，对基金投资、融资、融券比例进行监督。基金托管人按下述比例和调整期限进行监督：</w:t>
      </w:r>
    </w:p>
    <w:p w14:paraId="2B7DA4A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（1）本基金对于债券的投资比例不低于基金资产的80%；但应开放期流动性需要，为保护基金份额持有人利益，在每次开放期前一个月、开放期及开放期结束后一个月的期间内，基金投资不受上述比例限制；</w:t>
      </w:r>
    </w:p>
    <w:p w14:paraId="0E2237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（2）开放期内，本基金持有现金或者到期日在一年以内的政府债券的比例不低于基金</w:t>
      </w:r>
      <w:r w:rsidRPr="00BD090D">
        <w:rPr>
          <w:rFonts w:ascii="宋体" w:eastAsia="宋体" w:hAnsi="宋体" w:hint="eastAsia"/>
          <w:szCs w:val="21"/>
        </w:rPr>
        <w:lastRenderedPageBreak/>
        <w:t>资产净值的5%，其中现金不包括结算备付金、存出保证金、应收申购款等，在封闭期内，本基金不受上述5%的限制；</w:t>
      </w:r>
    </w:p>
    <w:p w14:paraId="51AFFA8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（3）本基金持有一家公司发行的证券，其市值不超过基金资产净值的10％；</w:t>
      </w:r>
    </w:p>
    <w:p w14:paraId="672C104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（4）本基金管理人管理的全部基金持有一家公司发行的证券，不超过该证券的10％；</w:t>
      </w:r>
    </w:p>
    <w:p w14:paraId="20791C7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（5）本基金投资于同一原始权益人的各类资产支持证券的比例，不得超过基金资产净值的10％；</w:t>
      </w:r>
    </w:p>
    <w:p w14:paraId="6146665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（6）本基金持有的全部资产支持证券，其市值不得超过基金资产净值的20％；</w:t>
      </w:r>
    </w:p>
    <w:p w14:paraId="64D1C2C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（7）本基金持有的同一(指同一信用级别)资产支持证券的比例，不得超过该资产支持证券规模的10％；</w:t>
      </w:r>
    </w:p>
    <w:p w14:paraId="5E2ACAB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（8）本基金管理人管理的全部基金投资于同一原始权益人的各类资产支持证券，不得超过其各类资产支持证券合计规模的10％；</w:t>
      </w:r>
    </w:p>
    <w:p w14:paraId="2AB0FBE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（9）本基金应投资于信用级别评级为BBB以上(含BBB)的资产支持证券。基金持有资产支持证券期间，如果其信用等级下降、不再符合投资标准，应在评级报告发布之日起3个月内予以全部卖出；</w:t>
      </w:r>
    </w:p>
    <w:p w14:paraId="62BC595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（10）本基金在全国银行间同业市场中的债券回购最长期限为一年，债券回购到期后不展期；</w:t>
      </w:r>
    </w:p>
    <w:p w14:paraId="6EBCD7B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（11）在封闭期内，基金的总资产不得超过基金净资产的200%。开放期内，基金总资产不得超过基金净资产的140%；</w:t>
      </w:r>
    </w:p>
    <w:p w14:paraId="5DAD6C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（12）开放期内，本基金主动投资于流动性受限资产的市值合计不得超过基金资产净值的15%；</w:t>
      </w:r>
    </w:p>
    <w:p w14:paraId="611A6BE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因证券市场波动、基金规模变动等基金管理人之外的因素致使基金不符合前述比例限制的，基金管理人不得主动新增流动性受限资产的投资；</w:t>
      </w:r>
    </w:p>
    <w:p w14:paraId="4DAB74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（13）本基金与私募类证券资管产品及中国证监会认定的其他主体为交易对手开展逆回购交易的，可接受质押品的资质要求应当与基金合同约定的投资范围保持一致；</w:t>
      </w:r>
    </w:p>
    <w:p w14:paraId="45B0D44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（14）法律法规及中国证监会规定的和基金合同约定的其他投资限制。</w:t>
      </w:r>
    </w:p>
    <w:p w14:paraId="2BCB91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14:paraId="3B9EF3C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基金管理人应当自基金合同生效之日起6个月内使基金的投资组合比例符合基金合同的有关约定。在上述期间内，本基金的投资范围、投资策略应当符合基金合同的约定。基金</w:t>
      </w:r>
      <w:r w:rsidRPr="00BD090D">
        <w:rPr>
          <w:rFonts w:ascii="宋体" w:eastAsia="宋体" w:hAnsi="宋体" w:hint="eastAsia"/>
          <w:szCs w:val="21"/>
        </w:rPr>
        <w:lastRenderedPageBreak/>
        <w:t>托管人对基金的投资的监督与检查自基金合同生效之日起开始。</w:t>
      </w:r>
    </w:p>
    <w:p w14:paraId="5BFA0F4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除上述第（2）、第（9）、第（12）、（13）项外，因证券市场波动、证券发行人合并、基金规模变动等基金管理人之外的因素致使基金投资比例不符合上述规定投资比例的，基金管理人应当在10个交易日内进行调整，但中国证监会规定的特殊情形或基金合同另有约定的除外。法律法规另有规定的，从其规定。</w:t>
      </w:r>
    </w:p>
    <w:p w14:paraId="2328DA4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14BAF0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侧袋机制实施期间，本部分约定的投资组合比例、投资策略、组合限制、业绩比较基准、风险收益特征等约定仅适用于主袋账户。</w:t>
      </w:r>
    </w:p>
    <w:p w14:paraId="7F87D2A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侧袋机制的具体规则依照相关法律法规的规定和基金合同的约定执行。</w:t>
      </w:r>
    </w:p>
    <w:p w14:paraId="18A9226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（三）基金托管人根据有关法律法规的规定及基金合同的约定，对本托管协议第十五条第九款基金投资禁止行为进行监督。基金托管人通过事后监督方式对基金管理人基金投资禁止行为进行监督。</w:t>
      </w:r>
    </w:p>
    <w:p w14:paraId="2B9A1C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为维护基金份额持有人的合法权益，基金财产不得用于下列投资或者活动：</w:t>
      </w:r>
    </w:p>
    <w:p w14:paraId="52551A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（1）承销证券；</w:t>
      </w:r>
    </w:p>
    <w:p w14:paraId="25EB342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（2）违反规定向他人贷款或者提供担保；</w:t>
      </w:r>
    </w:p>
    <w:p w14:paraId="4B3BC52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（3）从事承担无限责任的投资；</w:t>
      </w:r>
    </w:p>
    <w:p w14:paraId="4F0864D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（4）买卖其他基金份额，但是中国证监会另有规定的除外；</w:t>
      </w:r>
    </w:p>
    <w:p w14:paraId="101101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（5）向其基金管理人、基金托管人出资；</w:t>
      </w:r>
    </w:p>
    <w:p w14:paraId="7766948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（6）从事内幕交易、操纵证券交易价格及其他不正当的证券交易活动；</w:t>
      </w:r>
    </w:p>
    <w:p w14:paraId="355CEA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（7）法律、行政法规和中国证监会规定禁止的其他活动。</w:t>
      </w:r>
    </w:p>
    <w:p w14:paraId="48ADE89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运用基金财产买卖基金管理人、基金托管人及其控股股东、实际控制人或者与其他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相关法律法规予以披露。重大关联交易应提交基金管理人董事会审议，并经过三分之二以上的独立董事通过。基金管理人董事会应至少每半年对关联交易事项进行审查。</w:t>
      </w:r>
    </w:p>
    <w:p w14:paraId="52C15F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法律、行政法规或监管部门取消上述限制，如适用于本基金，基金管理人在履行适当程</w:t>
      </w:r>
      <w:r w:rsidRPr="00BD090D">
        <w:rPr>
          <w:rFonts w:ascii="宋体" w:eastAsia="宋体" w:hAnsi="宋体" w:hint="eastAsia"/>
          <w:szCs w:val="21"/>
        </w:rPr>
        <w:lastRenderedPageBreak/>
        <w:t>序后，则本基金投资不再受相关限制。</w:t>
      </w:r>
    </w:p>
    <w:p w14:paraId="5F8B88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及时向基金托管人说明理由，协商解决。</w:t>
      </w:r>
    </w:p>
    <w:p w14:paraId="070F0D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如基金托管人事后发现基金管理人没有按照事先约定的交易对手或交易方式进行交易时，基金托管人应及时提醒基金管理人，基金托管人不承担由此造成的任何损失和责任。</w:t>
      </w:r>
    </w:p>
    <w:p w14:paraId="6777B2A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管理人应当对投资中期票据业务进行研究，认真评估中期票据投资业务的风险，本着审慎、勤勉尽责的原则进行中期票据的投资业务。基金管理人根据法律、法规、监管部门的规定，制定了经公司董事会批准的基金投资中期票据相关制度(以下简称“《制度》”)，以规范对中期票据的投资决策流程、风险控制。基金管理人《制度》的内容与本协议不一致的，以本协议的约定为准。</w:t>
      </w:r>
    </w:p>
    <w:p w14:paraId="760EBB8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如投资银行存款，基金托管人根据有关法律法规的规定及基金合同的约定，对基金投资银行存款的交易对手范围是否符合有关规定进行监督；基金管理人在签署银行存款协议前，应将草拟的银行存款协议送基金托管人审核。</w:t>
      </w:r>
    </w:p>
    <w:p w14:paraId="2E3D80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8742FE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基金托管人发现基金管理人的上述事项及投资指令或实际投资运作违反法律法规、基金合同和本托管协议的规定，应及时以电话提醒或书面提示等方式通知基金管理人限期纠正，并及时向中国证监会报告。基金管理人应积极配合和协助基金托管人的监督和核查。基</w:t>
      </w:r>
      <w:r w:rsidRPr="00BD090D">
        <w:rPr>
          <w:rFonts w:ascii="宋体" w:eastAsia="宋体" w:hAnsi="宋体" w:hint="eastAsia"/>
          <w:szCs w:val="21"/>
        </w:rPr>
        <w:lastRenderedPageBreak/>
        <w:t>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C5EC97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B63F9E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若基金托管人发现基金管理人依据交易程序已经生效的指令违反法律、行政法规和其他有关规定，或者违反基金合同约定的，应当立即通知基金管理人，由此造成的损失由基金管理人承担，并及时向中国证监会报告。</w:t>
      </w:r>
    </w:p>
    <w:p w14:paraId="1576EF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ED89AF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三、基金管理人对基金托管人的业务监督、核查</w:t>
      </w:r>
    </w:p>
    <w:p w14:paraId="26BE36D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管理人对基金托管人履行托管职责情况进行核查，核查事项包括基金托管人安全保管基金财产、开设基金财产的资金账户、证券账户等投资所需账户、复核基金管理人计算的基金资产净值、基金份额净值、根据基金管理人指令办理清算交收、相关信息披露和监督基金投资运作等行为。</w:t>
      </w:r>
    </w:p>
    <w:p w14:paraId="6A49F37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20F4DD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2A10D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四、基金财产的保管</w:t>
      </w:r>
    </w:p>
    <w:p w14:paraId="38D5CD5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（一）基金财产保管的原则</w:t>
      </w:r>
    </w:p>
    <w:p w14:paraId="7D347C3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618F425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基金管理人、基金托管人因依法解散、被依法撤销或者被依法宣告破产等原因进行清算的，基金财产不属于其清算财产。</w:t>
      </w:r>
    </w:p>
    <w:p w14:paraId="4FF1127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基金托管人应安全保管基金财产。未经基金管理人依据合法程序作出的合法合规指令，基金托管人不得自行运用、处分、分配基金的任何财产。非因基金财产本身承担的债务，不得对基金财产强制执行。</w:t>
      </w:r>
    </w:p>
    <w:p w14:paraId="6E5F548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基金托管人按照规定开设基金财产的资金账户和证券账户等投资需要的账户。</w:t>
      </w:r>
    </w:p>
    <w:p w14:paraId="5A3A6F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w:t>
      </w:r>
      <w:r w:rsidRPr="00BD090D">
        <w:rPr>
          <w:rFonts w:ascii="宋体" w:eastAsia="宋体" w:hAnsi="宋体" w:hint="eastAsia"/>
          <w:szCs w:val="21"/>
        </w:rPr>
        <w:tab/>
        <w:t>基金托管人对所托管的不同基金财产分别设置账户，独立核算，分账管理，确保基金财产的完整与独立。</w:t>
      </w:r>
    </w:p>
    <w:p w14:paraId="0EE66E7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w:t>
      </w:r>
      <w:r w:rsidRPr="00BD090D">
        <w:rPr>
          <w:rFonts w:ascii="宋体" w:eastAsia="宋体" w:hAnsi="宋体" w:hint="eastAsia"/>
          <w:szCs w:val="21"/>
        </w:rPr>
        <w:tab/>
        <w:t>基金托管人根据基金管理人的指令，按照基金合同和本协议的约定保管基金财产，如有特殊情况双方可另行协商解决。</w:t>
      </w:r>
    </w:p>
    <w:p w14:paraId="392877E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w:t>
      </w:r>
      <w:r w:rsidRPr="00BD090D">
        <w:rPr>
          <w:rFonts w:ascii="宋体" w:eastAsia="宋体" w:hAnsi="宋体" w:hint="eastAsia"/>
          <w:szCs w:val="21"/>
        </w:rPr>
        <w:tab/>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08C233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w:t>
      </w:r>
      <w:r w:rsidRPr="00BD090D">
        <w:rPr>
          <w:rFonts w:ascii="宋体" w:eastAsia="宋体" w:hAnsi="宋体" w:hint="eastAsia"/>
          <w:szCs w:val="21"/>
        </w:rPr>
        <w:tab/>
        <w:t>除依据法律法规和基金合同的规定外，基金托管人不得委托第三人托管基金财产。</w:t>
      </w:r>
    </w:p>
    <w:p w14:paraId="7B2F05E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（二）基金募集期间及募集资金的验资</w:t>
      </w:r>
    </w:p>
    <w:p w14:paraId="56039AA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基金募集期间应开立“基金募集专户”，用于存放募集的资金。该账户由基金管理人开立。</w:t>
      </w:r>
    </w:p>
    <w:p w14:paraId="635204F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基金募集期满或基金停止募集时，募集的基金份额总额、基金募集金额、基金份额持有人人数符合《基金法》、《运作办法》等有关规定后，基金管理人应将属于基金财产的全</w:t>
      </w:r>
      <w:r w:rsidRPr="00BD090D">
        <w:rPr>
          <w:rFonts w:ascii="宋体" w:eastAsia="宋体" w:hAnsi="宋体" w:hint="eastAsia"/>
          <w:szCs w:val="21"/>
        </w:rPr>
        <w:lastRenderedPageBreak/>
        <w:t>部资金划入基金托管人为本基金开立的基金银行账户，同时在规定时间内，聘请具有从事证券相关业务资格的会计师事务所进行验资，出具验资报告。出具的验资报告由参加验资的2名或2名以上中国注册会计师签字并加盖会计师事务所公章方为有效。</w:t>
      </w:r>
    </w:p>
    <w:p w14:paraId="5C9545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若基金募集期限届满或基金停止募集时，未能达到基金合同生效的条件，由基金管理人按规定办理退款等事宜，基金托管人应提供充分协助。</w:t>
      </w:r>
    </w:p>
    <w:p w14:paraId="65A993C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（三）基金银行账户的开立和管理</w:t>
      </w:r>
    </w:p>
    <w:p w14:paraId="3596457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基金托管人应负责本基金的银行账户的开设和管理。</w:t>
      </w:r>
    </w:p>
    <w:p w14:paraId="60F3540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托管人应以本基金名义在其营业机构开立基金的银行账户，并根据基金管理人合法合规的指令办理资金收付。账户名称、账户预留印鉴以基金管理人向基金托管人出具的开户委托文件为准，基金托管人负责账户预留印鉴的保管和使用。该账户为不可提现账户。</w:t>
      </w:r>
    </w:p>
    <w:p w14:paraId="71EB3E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基金银行账户的开立和使用，限于满足开展本基金业务的需要。基金托管人和基金管理人不得假借本基金的名义开立任何其他银行账户；亦不得使用基金的任何账户进行本基金业务以外的活动。</w:t>
      </w:r>
    </w:p>
    <w:p w14:paraId="68D12EA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基金银行账户的开立和管理应符合银行业监督管理机构的有关规定。</w:t>
      </w:r>
    </w:p>
    <w:p w14:paraId="3BF847A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w:t>
      </w:r>
      <w:r w:rsidRPr="00BD090D">
        <w:rPr>
          <w:rFonts w:ascii="宋体" w:eastAsia="宋体" w:hAnsi="宋体" w:hint="eastAsia"/>
          <w:szCs w:val="21"/>
        </w:rPr>
        <w:tab/>
        <w:t>在符合法律法规规定的条件下，基金托管人可以通过基金托管人专用账户办理基金资产的支付。</w:t>
      </w:r>
    </w:p>
    <w:p w14:paraId="3EE1192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（四）基金证券账户和结算备付金账户的开立和管理</w:t>
      </w:r>
    </w:p>
    <w:p w14:paraId="5C8F887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基金托管人在中国证券登记结算有限责任公司上海分公司、深圳分公司为本基金开立基金托管人与本基金联名的证券账户。</w:t>
      </w:r>
    </w:p>
    <w:p w14:paraId="09735B7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基金证券账户的开立和使用，仅限于满足开展本基金业务的需要。基金托管人和基金管理人不得出借或未经对方书面同意擅自转让基金的任何证券账户，亦不得使用基金的任何账户进行本基金业务以外的活动。</w:t>
      </w:r>
    </w:p>
    <w:p w14:paraId="2989492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基金证券账户的开立由基金托管人负责，账户资产的管理和运用由基金管理人负责。</w:t>
      </w:r>
    </w:p>
    <w:p w14:paraId="12C79A2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基金托管人以自身法人名义在中国证券登记结算有限责任公司开立结算备付金账户，并代表所托管的基金完成与中国证券登记结算有限责任公司的一级法人清算工作，基金管理人应予以积极协助。结算备付金、证券结算保证金等的收取按照中国证券登记结算有限责任公司的规定执行。</w:t>
      </w:r>
    </w:p>
    <w:p w14:paraId="0E72C81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w:t>
      </w:r>
      <w:r w:rsidRPr="00BD090D">
        <w:rPr>
          <w:rFonts w:ascii="宋体" w:eastAsia="宋体" w:hAnsi="宋体" w:hint="eastAsia"/>
          <w:szCs w:val="21"/>
        </w:rPr>
        <w:tab/>
        <w:t>若中国证监会或其他监管机构在本托管协议订立日之后允许基金从事其他投资品种的投资业务，涉及相关账户的开立、使用的，若无相关规定，则基金托管人比照上述关于账户开立、使用的规定执行。</w:t>
      </w:r>
    </w:p>
    <w:p w14:paraId="64727A4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（五）债券托管账户的开设和管理</w:t>
      </w:r>
    </w:p>
    <w:p w14:paraId="16CA264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生效后，基金托管人根据中国人民银行、中央国债登记结算有限责任公司、银行间市场清算所股份有限公司的有关规定，在中央国债登记结算有限责任公司、银行间市场清算所股份有限公司开立债券托管账户，并代表基金进行银行间市场债券的结算。基金管理人和基金托管人共同代表基金签订全国银行间债券市场债券回购主协议。</w:t>
      </w:r>
    </w:p>
    <w:p w14:paraId="642A360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（六）定期存款账户的开设与管理</w:t>
      </w:r>
    </w:p>
    <w:p w14:paraId="426756A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投资定期存款在存款机构开立的银行账户，包括实体或虚拟账户。定期存款账户户名应与托管专户保持一致,该账户预留印鉴经与基金托管人商议后预留。基金管理人应该在合理的时间内进行定期存款的投资和支取事宜。对于任何的定期存款投资，基金管理人都必须和存款机构签订定期存款协议，协议内容应至少包含起息日、到期日、存款金额、存款账户、存款利率、存款是否可以提前支取、定存到期支取账户、存款证实书如何交接以及存款证实书不得转让质押等条款。协议须约定基金托管人经办行名称、地址和账户，并将本基金托管专户指定为唯一回款账户，协议中涉及基金托管人相关职责的约定须由基金管理人和基金托管人双方协商一致后签署。</w:t>
      </w:r>
    </w:p>
    <w:p w14:paraId="1175042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（七）其他账户的开立和管理</w:t>
      </w:r>
    </w:p>
    <w:p w14:paraId="512D868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因业务发展需要而开立的其他账户，可以根据法律法规和基金合同的规定开立，在基金管理人和基金托管人商议后由基金托管人负责开立。新账户按有关规定使用并管理。</w:t>
      </w:r>
    </w:p>
    <w:p w14:paraId="5A8E45D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法律法规等有关规定对相关账户的开立和管理另有规定的，从其规定办理。</w:t>
      </w:r>
    </w:p>
    <w:p w14:paraId="1F19A1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（八）基金财产投资的有关有价凭证等的保管</w:t>
      </w:r>
    </w:p>
    <w:p w14:paraId="355A0E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上海分公司/深圳分公司或票据营业中心的代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但基金托管人应妥善保管保管凭证。</w:t>
      </w:r>
    </w:p>
    <w:p w14:paraId="5AF6B79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（九）与基金财产有关的重大合同的保管</w:t>
      </w:r>
    </w:p>
    <w:p w14:paraId="45EE3C5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w:t>
      </w:r>
      <w:r w:rsidRPr="00BD090D">
        <w:rPr>
          <w:rFonts w:ascii="宋体" w:eastAsia="宋体" w:hAnsi="宋体" w:hint="eastAsia"/>
          <w:szCs w:val="21"/>
        </w:rPr>
        <w:lastRenderedPageBreak/>
        <w:t>托管人至少各持有一份正本的原件。重大合同的保管期限为基金合同终止后15年。</w:t>
      </w:r>
    </w:p>
    <w:p w14:paraId="5F8E256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五、基金资产净值计算和会计核算</w:t>
      </w:r>
    </w:p>
    <w:p w14:paraId="6B3CEE8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（一）基金资产净值的计算、复核与完成的时间及程序</w:t>
      </w:r>
    </w:p>
    <w:p w14:paraId="1B97874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基金资产净值</w:t>
      </w:r>
    </w:p>
    <w:p w14:paraId="1F2DD80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基金资产净值是指基金资产总值减去基金负债后的价值。</w:t>
      </w:r>
    </w:p>
    <w:p w14:paraId="3CC677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24E0E22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基金管理人每个工作日计算基金资产净值及基金份额净值，经基金托管人复核，并按规定公告。</w:t>
      </w:r>
    </w:p>
    <w:p w14:paraId="62518DB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复核程序</w:t>
      </w:r>
    </w:p>
    <w:p w14:paraId="6DB5CC1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基金管理人每工作日对基金资产进行估值后，将基金份额净值结果以双方约定的方式提交给基金托管人，经基金托管人复核无误后，以约定的方式将复核结果提交给基金管理人，由基金管理人按约定对外公布。</w:t>
      </w:r>
    </w:p>
    <w:p w14:paraId="726373C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6C5EA3F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（二）基金资产估值方法和特殊情形的处理</w:t>
      </w:r>
    </w:p>
    <w:p w14:paraId="05C4230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估值对象</w:t>
      </w:r>
    </w:p>
    <w:p w14:paraId="507F97B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基金所拥有的各类有价证券、资产支持证券以及银行存款本息和其它资产及负债。</w:t>
      </w:r>
    </w:p>
    <w:p w14:paraId="49ECCD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估值方法</w:t>
      </w:r>
    </w:p>
    <w:p w14:paraId="1CA30EA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（1）交易所市场交易的固定收益品种的估值</w:t>
      </w:r>
    </w:p>
    <w:p w14:paraId="3674DA7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1）对在交易所市场上市交易或挂牌转让的固定收益品种（基金合同另有规定的除外），选取第三方估值机构提供的相应品种当日的估值净价进行估值；</w:t>
      </w:r>
    </w:p>
    <w:p w14:paraId="3BED752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2）交易所上市交易的可转换债券，选取每日收盘价作为估值全价</w:t>
      </w:r>
    </w:p>
    <w:p w14:paraId="1FB4FB7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3）对在交易所市场挂牌转让的资产支持证券，采用估值技术确定公允价值，在估值技术难以可靠计量公允价值的情况下，按成本估值；</w:t>
      </w:r>
    </w:p>
    <w:p w14:paraId="7D1EEB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4）对在交易所市场发行未上市或未挂牌转让的固定收益品种，采用估值技术确定公允价值，在估值技术难以可靠计量公允价值的情况下，按成本估值。</w:t>
      </w:r>
    </w:p>
    <w:p w14:paraId="263B8CF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（2）银行间市场交易的固定收益品种的估值</w:t>
      </w:r>
    </w:p>
    <w:p w14:paraId="559BD90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1）银行间市场交易的固定收益品种，选取第三方估值机构提供的相应品种当日的估值净价进行估值。</w:t>
      </w:r>
    </w:p>
    <w:p w14:paraId="56E2316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2）对银行间市场未上市，且第三方估值机构未提供估值价格的固定收益品种，按成本估值。</w:t>
      </w:r>
    </w:p>
    <w:p w14:paraId="3E8DC49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（3）首次公开发行未上市的债券，采用估值技术确定公允价值，在估值技术难以可靠计量公允价值的情况下，按成本估值。</w:t>
      </w:r>
    </w:p>
    <w:p w14:paraId="5FBB809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（4）资产支持证券采用估值技术确定公允价值，在估值技术难以可靠计量公允价值的情况下，按成本估值。</w:t>
      </w:r>
    </w:p>
    <w:p w14:paraId="3741E3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（5）同一债券同时在两个或两个以上市场交易的，按债券所处的市场分别估值。</w:t>
      </w:r>
    </w:p>
    <w:p w14:paraId="75CFBD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（6）当本基金发生大额申购或赎回情形时，基金管理人可以对本基金采用摆动定价机制，以确保基金估值的公平性。具体处理原则与操作规范遵循相关法律法规以及监管部门、自律组织的规定。</w:t>
      </w:r>
    </w:p>
    <w:p w14:paraId="3DB4086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（7）如有确凿证据表明按上述方法进行估值不能客观反映其公允价值的，基金管理人可根据具体情况与基金托管人商定后，按最能反映公允价值的价格估值。</w:t>
      </w:r>
    </w:p>
    <w:p w14:paraId="3EB2282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（8）相关法律法规以及监管部门有强制规定的，从其规定。如有新增事项，按国家最新规定估值。</w:t>
      </w:r>
    </w:p>
    <w:p w14:paraId="53BB8C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CFE828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特殊情形的处理</w:t>
      </w:r>
    </w:p>
    <w:p w14:paraId="2AE2548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基金管理人、基金托管人按估值方法的第（7）项进行估值时，所造成的误差不作为基金资产估值错误处理。</w:t>
      </w:r>
    </w:p>
    <w:p w14:paraId="47D09C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由于不可抗力原因，或由于证券交易所、登记结算公司等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9005C1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 实施侧袋机制期间的基金资产估值</w:t>
      </w:r>
    </w:p>
    <w:p w14:paraId="0DDAD53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本基金实施侧袋机制的，应根据本部分的约定对主袋账户资产进行估值并披露主袋账户的基金资产净值和份额净值，暂停披露侧袋账户份额净值。</w:t>
      </w:r>
    </w:p>
    <w:p w14:paraId="1F32BBE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（三）基金份额净值错误的处理方式</w:t>
      </w:r>
    </w:p>
    <w:p w14:paraId="785E8E3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当基金份额净值小数点后4位以内(含第4位)发生估值错误时，视为基金份额净值错误；基金份额净值估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5E82A7E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当基金份额净值计算差错给基金和基金份额持有人造成损失需要进行赔偿时，基金管理人和基金托管人应根据实际情况界定双方承担的责任，经确认后按以下条款进行赔偿：</w:t>
      </w:r>
    </w:p>
    <w:p w14:paraId="55700D2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A.</w:t>
      </w:r>
      <w:r w:rsidRPr="00BD090D">
        <w:rPr>
          <w:rFonts w:ascii="宋体" w:eastAsia="宋体" w:hAnsi="宋体" w:hint="eastAsia"/>
          <w:szCs w:val="21"/>
        </w:rPr>
        <w:tab/>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6B6636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B.</w:t>
      </w:r>
      <w:r w:rsidRPr="00BD090D">
        <w:rPr>
          <w:rFonts w:ascii="宋体" w:eastAsia="宋体" w:hAnsi="宋体" w:hint="eastAsia"/>
          <w:szCs w:val="21"/>
        </w:rPr>
        <w:tab/>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基金管理人和基金托管人有权向获得不当得利之主体主张返还不当得利。</w:t>
      </w:r>
    </w:p>
    <w:p w14:paraId="5E0FF0A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C.</w:t>
      </w:r>
      <w:r w:rsidRPr="00BD090D">
        <w:rPr>
          <w:rFonts w:ascii="宋体" w:eastAsia="宋体" w:hAnsi="宋体" w:hint="eastAsia"/>
          <w:szCs w:val="21"/>
        </w:rPr>
        <w:tab/>
        <w:t>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p>
    <w:p w14:paraId="24913EF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D.</w:t>
      </w:r>
      <w:r w:rsidRPr="00BD090D">
        <w:rPr>
          <w:rFonts w:ascii="宋体" w:eastAsia="宋体" w:hAnsi="宋体" w:hint="eastAsia"/>
          <w:szCs w:val="21"/>
        </w:rPr>
        <w:tab/>
        <w:t>由于基金管理人提供的信息错误（包括但不限于基金申购或赎回金额等），进而导致基金份额净值计算错误而引起的基金份额持有人和基金财产的损失，由基金管理人负责赔付。</w:t>
      </w:r>
    </w:p>
    <w:p w14:paraId="732A72C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基金管理人和基金托管人由于各自技术系统设置而产生的净值计算尾差，以基金管理人计算结果为准。</w:t>
      </w:r>
    </w:p>
    <w:p w14:paraId="3E83558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前述内容如法律法规或者监管部门另有规定的，从其规定处理。如果行业另有通行做法，双方当事人应本着平等和保护基金份额持有人利益的原则进行协商。</w:t>
      </w:r>
    </w:p>
    <w:p w14:paraId="4F75E0D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（四）暂停估值的情形</w:t>
      </w:r>
    </w:p>
    <w:p w14:paraId="78401B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1、基金投资所涉及的证券交易市场遇法定节假日或因其他原因暂停营业时；</w:t>
      </w:r>
    </w:p>
    <w:p w14:paraId="4E609E7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2、因不可抗力致使基金管理人、基金托管人无法准确评估基金资产价值时；</w:t>
      </w:r>
    </w:p>
    <w:p w14:paraId="6BAB14F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3、当特定资产占前一估值日基金资产净值 50%以上的，经与基金托管人协商一致的；    </w:t>
      </w:r>
    </w:p>
    <w:p w14:paraId="1D501F4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4、法律法规、中国证监会和基金合同认定的其它情形。</w:t>
      </w:r>
    </w:p>
    <w:p w14:paraId="25CB93B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（五）基金会计制度</w:t>
      </w:r>
    </w:p>
    <w:p w14:paraId="0DEEDFE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按国家有关部门规定的会计制度执行。</w:t>
      </w:r>
    </w:p>
    <w:p w14:paraId="20103D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（六）基金账册的建立</w:t>
      </w:r>
    </w:p>
    <w:p w14:paraId="2A07607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进行基金会计核算并编制基金财务会计报告。基金管理人、基金托管人分别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780C271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（七）基金财务报表与报告的编制和复核</w:t>
      </w:r>
    </w:p>
    <w:p w14:paraId="0543AAB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财务报表的编制</w:t>
      </w:r>
    </w:p>
    <w:p w14:paraId="0FF90BE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基金财务报表由基金管理人编制，基金托管人复核。</w:t>
      </w:r>
    </w:p>
    <w:p w14:paraId="604AFD4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报表复核</w:t>
      </w:r>
    </w:p>
    <w:p w14:paraId="37E27A0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基金托管人在收到基金管理人编制的基金财务报表后，进行独立的复核。核对不符时，应及时通知基金管理人共同查出原因，进行调整，直至双方数据完全一致。</w:t>
      </w:r>
    </w:p>
    <w:p w14:paraId="066F7EF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财务报表的编制与复核时间安排</w:t>
      </w:r>
    </w:p>
    <w:p w14:paraId="7E65795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报表的编制</w:t>
      </w:r>
    </w:p>
    <w:p w14:paraId="15ED6C6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14:paraId="50657FD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报表的复核</w:t>
      </w:r>
    </w:p>
    <w:p w14:paraId="60E5562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9281A1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基金管理人应留足充分的时间，便于基金托管人复核相关报表及报告。</w:t>
      </w:r>
    </w:p>
    <w:p w14:paraId="727D0BF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（八）基金管理人应在编制季度报告、中期报告或者年度报告之前及时向基金托管人提</w:t>
      </w:r>
      <w:r w:rsidRPr="00BD090D">
        <w:rPr>
          <w:rFonts w:ascii="宋体" w:eastAsia="宋体" w:hAnsi="宋体" w:hint="eastAsia"/>
          <w:szCs w:val="21"/>
        </w:rPr>
        <w:lastRenderedPageBreak/>
        <w:t>供基金业绩比较基准的基础数据和编制结果。</w:t>
      </w:r>
    </w:p>
    <w:p w14:paraId="28EDC25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六、基金份额持有人名册的保管</w:t>
      </w:r>
    </w:p>
    <w:p w14:paraId="4444901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份额持有人名册至少应包括基金份额持有人的名称和持有的基金份额。基金份额持有人名册由基金登记机构根据基金管理人的指令编制和保管，保存期自基金账户销户之日起不少于20年，基金管理人和基金托管人应分别保管基金份额持有人名册，保存期低于法律法规规定的最低期限不低于法律法规规定的最低期限，法律法规另有规定或有权机关另有要求的除外。如不能妥善保管，则按相关法规承担责任。</w:t>
      </w:r>
    </w:p>
    <w:p w14:paraId="1557B29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606A4F1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七、争议解决方式</w:t>
      </w:r>
    </w:p>
    <w:p w14:paraId="6968630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因本托管协议产生或与之相关的争议，双方当事人应通过协商、调解解决，协商、调解不能解决的，任何一方均有权将争议提交中国国际经济贸易仲裁委员会，按照该会届时有效的仲裁规则进行仲裁。仲裁地点为北京市。仲裁裁决是终局的，对各方当事人均有约束力，仲裁费、律师费用由败诉方承担，除非仲裁裁决另有决定。</w:t>
      </w:r>
    </w:p>
    <w:p w14:paraId="64AC805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争议处理期间，本托管协议双方当事人应恪守基金管理人和基金托管人职责，各自继续忠实、勤勉、尽责地履行基金合同和本托管协议规定的义务，维护基金份额持有人的合法权益。</w:t>
      </w:r>
    </w:p>
    <w:p w14:paraId="48C4D0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本协议受中国法律管辖。</w:t>
      </w:r>
    </w:p>
    <w:p w14:paraId="4192610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八、托管协议的修改与终止与基金财产的清算</w:t>
      </w:r>
    </w:p>
    <w:p w14:paraId="27A0878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（一）本托管协议的变更程序</w:t>
      </w:r>
    </w:p>
    <w:p w14:paraId="547C454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本托管协议双方当事人经协商一致，可以对本托管协议进行修改。修改后的新托管协议，其内容不得与基金合同的规定有任何冲突。基金托管协议的变更报中国证监会备案。</w:t>
      </w:r>
    </w:p>
    <w:p w14:paraId="3E7A523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（二）基金托管协议终止出现的情形</w:t>
      </w:r>
    </w:p>
    <w:p w14:paraId="75B1D6C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基金合同终止；</w:t>
      </w:r>
    </w:p>
    <w:p w14:paraId="4288C0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基金托管人解散、依法被撤销、破产或由其他基金托管人接管基金资产；</w:t>
      </w:r>
    </w:p>
    <w:p w14:paraId="134211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基金管理人解散、依法被撤销、破产或由其他基金管理人接管基金管理权；</w:t>
      </w:r>
    </w:p>
    <w:p w14:paraId="68A2BB6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发生法律法规、中国证监会或基金合同规定的终止事项。</w:t>
      </w:r>
    </w:p>
    <w:p w14:paraId="45FCBC4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（三）基金财产的清算</w:t>
      </w:r>
    </w:p>
    <w:p w14:paraId="0BCFE9C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基金财产清算小组</w:t>
      </w:r>
    </w:p>
    <w:p w14:paraId="4248460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lastRenderedPageBreak/>
        <w:t>1)</w:t>
      </w:r>
      <w:r w:rsidRPr="00BD090D">
        <w:rPr>
          <w:rFonts w:ascii="宋体" w:eastAsia="宋体" w:hAnsi="宋体" w:hint="eastAsia"/>
          <w:szCs w:val="21"/>
        </w:rPr>
        <w:tab/>
        <w:t>自出现基金合同终止事由之日起30个工作日内成立清算小组，基金管理人或临时基金管理人组织基金财产清算小组并在中国证监会的监督下进行基金清算。</w:t>
      </w:r>
    </w:p>
    <w:p w14:paraId="69B3EA2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基金财产清算小组成员由基金管理人或临时基金管理人、基金托管人、具有从事证券相关业务资格的注册会计师、律师以及中国证监会指定的人员组成。基金财产清算小组可以聘用必要的工作人员。</w:t>
      </w:r>
    </w:p>
    <w:p w14:paraId="362B22C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基金财产清算小组负责基金财产的保管、清理、估价、变现和分配。基金财产清算小组可以依法进行必要的民事活动。</w:t>
      </w:r>
    </w:p>
    <w:p w14:paraId="2FE1034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基金财产清算程序</w:t>
      </w:r>
    </w:p>
    <w:p w14:paraId="6646B6D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基金合同终止，应当按法律法规和基金合同的有关规定对基金财产进行清算。基金财产清算程序主要包括：</w:t>
      </w:r>
    </w:p>
    <w:p w14:paraId="41E15B5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1)</w:t>
      </w:r>
      <w:r w:rsidRPr="00BD090D">
        <w:rPr>
          <w:rFonts w:ascii="宋体" w:eastAsia="宋体" w:hAnsi="宋体" w:hint="eastAsia"/>
          <w:szCs w:val="21"/>
        </w:rPr>
        <w:tab/>
        <w:t>基金合同终止情形出现时，由基金财产清算小组统一接管基金；</w:t>
      </w:r>
    </w:p>
    <w:p w14:paraId="7D797DB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2)</w:t>
      </w:r>
      <w:r w:rsidRPr="00BD090D">
        <w:rPr>
          <w:rFonts w:ascii="宋体" w:eastAsia="宋体" w:hAnsi="宋体" w:hint="eastAsia"/>
          <w:szCs w:val="21"/>
        </w:rPr>
        <w:tab/>
        <w:t>对基金财产和债权债务进行清理和确认；</w:t>
      </w:r>
    </w:p>
    <w:p w14:paraId="38D85A9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对基金财产进行估值和变现；</w:t>
      </w:r>
    </w:p>
    <w:p w14:paraId="5F17A0BA"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制作清算报告；</w:t>
      </w:r>
    </w:p>
    <w:p w14:paraId="287DEBE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w:t>
      </w:r>
      <w:r w:rsidRPr="00BD090D">
        <w:rPr>
          <w:rFonts w:ascii="宋体" w:eastAsia="宋体" w:hAnsi="宋体" w:hint="eastAsia"/>
          <w:szCs w:val="21"/>
        </w:rPr>
        <w:tab/>
        <w:t>聘请会计师事务所对清算报告进行外部审计，聘请律师事务所对清算报告出具法律意见书；</w:t>
      </w:r>
    </w:p>
    <w:p w14:paraId="01D062E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w:t>
      </w:r>
      <w:r w:rsidRPr="00BD090D">
        <w:rPr>
          <w:rFonts w:ascii="宋体" w:eastAsia="宋体" w:hAnsi="宋体" w:hint="eastAsia"/>
          <w:szCs w:val="21"/>
        </w:rPr>
        <w:tab/>
        <w:t>将清算报告报中国证监会备案并公告；</w:t>
      </w:r>
    </w:p>
    <w:p w14:paraId="326DF04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7)</w:t>
      </w:r>
      <w:r w:rsidRPr="00BD090D">
        <w:rPr>
          <w:rFonts w:ascii="宋体" w:eastAsia="宋体" w:hAnsi="宋体" w:hint="eastAsia"/>
          <w:szCs w:val="21"/>
        </w:rPr>
        <w:tab/>
        <w:t>对基金剩余财产进行分配。</w:t>
      </w:r>
    </w:p>
    <w:p w14:paraId="3EA8E4B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基金财产清算的期限为6个月，但因本基金所持证券的流动性受到限制而不能及时变现的，清算期限可相应顺延。</w:t>
      </w:r>
    </w:p>
    <w:p w14:paraId="705BEF9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3.</w:t>
      </w:r>
      <w:r w:rsidRPr="00BD090D">
        <w:rPr>
          <w:rFonts w:ascii="宋体" w:eastAsia="宋体" w:hAnsi="宋体" w:hint="eastAsia"/>
          <w:szCs w:val="21"/>
        </w:rPr>
        <w:tab/>
        <w:t>清算费用</w:t>
      </w:r>
    </w:p>
    <w:p w14:paraId="12025D6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清算费用是指基金财产清算小组在进行基金清算过程中发生的所有合理费用，清算费用由基金财产清算小组优先从基金财产中支付。</w:t>
      </w:r>
    </w:p>
    <w:p w14:paraId="7FC5F61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4.</w:t>
      </w:r>
      <w:r w:rsidRPr="00BD090D">
        <w:rPr>
          <w:rFonts w:ascii="宋体" w:eastAsia="宋体" w:hAnsi="宋体" w:hint="eastAsia"/>
          <w:szCs w:val="21"/>
        </w:rPr>
        <w:tab/>
        <w:t>基金财产清算剩余资产的分配：</w:t>
      </w:r>
    </w:p>
    <w:p w14:paraId="687E7046"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55A615F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5.</w:t>
      </w:r>
      <w:r w:rsidRPr="00BD090D">
        <w:rPr>
          <w:rFonts w:ascii="宋体" w:eastAsia="宋体" w:hAnsi="宋体" w:hint="eastAsia"/>
          <w:szCs w:val="21"/>
        </w:rPr>
        <w:tab/>
        <w:t>基金财产清算的公告</w:t>
      </w:r>
    </w:p>
    <w:p w14:paraId="5FA51A6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w:t>
      </w:r>
      <w:r w:rsidRPr="00BD090D">
        <w:rPr>
          <w:rFonts w:ascii="宋体" w:eastAsia="宋体" w:hAnsi="宋体" w:hint="eastAsia"/>
          <w:szCs w:val="21"/>
        </w:rPr>
        <w:lastRenderedPageBreak/>
        <w:t>小组进行公告，基金财产清算小组应当将清算报告登载在规定网站上，并将清算报告提示性公告登载在规定报刊上。</w:t>
      </w:r>
    </w:p>
    <w:p w14:paraId="5BF245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6.</w:t>
      </w:r>
      <w:r w:rsidRPr="00BD090D">
        <w:rPr>
          <w:rFonts w:ascii="宋体" w:eastAsia="宋体" w:hAnsi="宋体" w:hint="eastAsia"/>
          <w:szCs w:val="21"/>
        </w:rPr>
        <w:tab/>
        <w:t>基金财产清算账册及文件的保存</w:t>
      </w:r>
    </w:p>
    <w:p w14:paraId="7865AFB0"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基金财产清算账册及有关文件由基金托管人保存不低于法律法规规定的最低期限。</w:t>
      </w:r>
    </w:p>
    <w:p w14:paraId="7011E55A" w14:textId="77777777" w:rsidR="00BD090D" w:rsidRPr="00BD090D" w:rsidRDefault="00BD090D" w:rsidP="00BD090D">
      <w:pPr>
        <w:spacing w:line="360" w:lineRule="auto"/>
        <w:ind w:firstLineChars="200" w:firstLine="420"/>
        <w:rPr>
          <w:rFonts w:ascii="宋体" w:eastAsia="宋体" w:hAnsi="宋体"/>
          <w:szCs w:val="21"/>
        </w:rPr>
      </w:pPr>
    </w:p>
    <w:p w14:paraId="7998959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6DB0CC33" w14:textId="77777777" w:rsidR="00A8367A"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3296BFD5" w14:textId="77777777" w:rsidR="00BD090D" w:rsidRPr="00BD090D" w:rsidRDefault="00A8367A" w:rsidP="00A8367A">
      <w:pPr>
        <w:widowControl/>
        <w:jc w:val="left"/>
        <w:rPr>
          <w:rFonts w:ascii="宋体" w:eastAsia="宋体" w:hAnsi="宋体"/>
          <w:szCs w:val="21"/>
        </w:rPr>
      </w:pPr>
      <w:r>
        <w:rPr>
          <w:rFonts w:ascii="宋体" w:eastAsia="宋体" w:hAnsi="宋体"/>
          <w:szCs w:val="21"/>
        </w:rPr>
        <w:br w:type="page"/>
      </w:r>
    </w:p>
    <w:p w14:paraId="5C4A193B" w14:textId="77777777"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32" w:name="_Toc89276793"/>
      <w:r w:rsidRPr="00BD090D">
        <w:rPr>
          <w:rFonts w:ascii="Arial Unicode MS" w:eastAsia="宋体" w:hAnsi="Arial Unicode MS" w:cs="Arial" w:hint="eastAsia"/>
          <w:kern w:val="0"/>
          <w:sz w:val="28"/>
          <w:szCs w:val="28"/>
        </w:rPr>
        <w:lastRenderedPageBreak/>
        <w:t>第二十二部分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对基金份额持有人的服务</w:t>
      </w:r>
      <w:bookmarkEnd w:id="32"/>
    </w:p>
    <w:p w14:paraId="21B6D7E2" w14:textId="77777777" w:rsidR="00BD090D" w:rsidRPr="00BD090D" w:rsidRDefault="00BD090D" w:rsidP="00BD090D">
      <w:pPr>
        <w:spacing w:line="360" w:lineRule="auto"/>
        <w:ind w:firstLineChars="200" w:firstLine="420"/>
        <w:rPr>
          <w:rFonts w:ascii="宋体" w:eastAsia="宋体" w:hAnsi="宋体"/>
          <w:szCs w:val="21"/>
        </w:rPr>
      </w:pPr>
    </w:p>
    <w:p w14:paraId="7E84BEB5"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基金管理人承诺为基金份额持有人提供一系列服务，基金管理人根据基金份额持有人的需要和市场的变化，有权增加或变更服务项目。主要服务内容如下：</w:t>
      </w:r>
    </w:p>
    <w:p w14:paraId="45951C2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（一）电话人工咨询服务</w:t>
      </w:r>
    </w:p>
    <w:p w14:paraId="04656A9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41B80B8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（二）自助查询服务</w:t>
      </w:r>
    </w:p>
    <w:p w14:paraId="4CA056D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投资者可通过基金管理人呼叫中心自动语音系统、基金管理人网上账户查询系统进行账户余额、交易情况、基金净值等信息查询。</w:t>
      </w:r>
    </w:p>
    <w:p w14:paraId="3E2FA96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（三）邮件咨询服务</w:t>
      </w:r>
    </w:p>
    <w:p w14:paraId="4581C81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投资者可通过电子邮件的形式向基金管理人提出疑问，针对投资者的问题，基金管理人将设有专员进行及时回复。</w:t>
      </w:r>
    </w:p>
    <w:p w14:paraId="1EE578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（四）免费信息订阅服务</w:t>
      </w:r>
    </w:p>
    <w:p w14:paraId="645D689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14:paraId="6E81C3FD"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（五）资料邮寄服务</w:t>
      </w:r>
    </w:p>
    <w:p w14:paraId="0348B30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基金管理人可免费为基金投资人提供基金持有证明和交易对账单邮寄服务。投资者可根据需要，通过基金管理人网站或客服热线定制、修改或取消该服务。</w:t>
      </w:r>
    </w:p>
    <w:p w14:paraId="1708DF99"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（六）客户投诉受理服务</w:t>
      </w:r>
    </w:p>
    <w:p w14:paraId="4A76B21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投资人可以通过客服热线、书信、电子邮件等渠道，对基金管理人和销售机构所提供的服务进行投诉。</w:t>
      </w:r>
    </w:p>
    <w:p w14:paraId="469A43F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对于工作日期间受理的投诉，以“及时回复”为处理原则，对于不能及时回复的投诉，</w:t>
      </w:r>
      <w:r w:rsidRPr="00BD090D">
        <w:rPr>
          <w:rFonts w:ascii="宋体" w:eastAsia="宋体" w:hAnsi="宋体" w:hint="eastAsia"/>
          <w:szCs w:val="21"/>
        </w:rPr>
        <w:lastRenderedPageBreak/>
        <w:t>基金管理人承诺在 3 个工作日之内对基金投资人的投诉做出回复。对于非工作日提出的投诉，基金管理人将在顺延到下 1 个工作日进行回复。</w:t>
      </w:r>
    </w:p>
    <w:p w14:paraId="272D418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（七）基金管理人联系方式 </w:t>
      </w:r>
    </w:p>
    <w:p w14:paraId="0E36BA3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公司网址： www.furamc.com .cn</w:t>
      </w:r>
    </w:p>
    <w:p w14:paraId="6493C832"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电子信箱：service@furamc.com.cn</w:t>
      </w:r>
    </w:p>
    <w:p w14:paraId="147400A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客服热线：4006855600</w:t>
      </w:r>
    </w:p>
    <w:p w14:paraId="414AD6DF"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客户服务部门地址：深圳市福田区八卦四路52号安吉尔大厦24层，富荣基金管理有限公司客户服务部门（收）</w:t>
      </w:r>
    </w:p>
    <w:p w14:paraId="6F2203AC"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邮编：518038</w:t>
      </w:r>
    </w:p>
    <w:p w14:paraId="06F3D57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（八）如本招募说明书存在任何您/贵机构无法理解的内容，请通过上述联系方式联系基金管理人。请确保投资前，您/贵机构已经全面理解了本招募说明书。 </w:t>
      </w:r>
    </w:p>
    <w:p w14:paraId="535048E9" w14:textId="77777777" w:rsidR="00A8367A"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A09EBF5" w14:textId="29570EBE" w:rsidR="00F749C9" w:rsidRDefault="00A8367A" w:rsidP="00A8367A">
      <w:pPr>
        <w:widowControl/>
        <w:jc w:val="left"/>
        <w:rPr>
          <w:rFonts w:ascii="宋体" w:eastAsia="宋体" w:hAnsi="宋体"/>
          <w:szCs w:val="21"/>
        </w:rPr>
      </w:pPr>
      <w:r>
        <w:rPr>
          <w:rFonts w:ascii="宋体" w:eastAsia="宋体" w:hAnsi="宋体"/>
          <w:szCs w:val="21"/>
        </w:rPr>
        <w:br w:type="page"/>
      </w:r>
    </w:p>
    <w:p w14:paraId="43E980F9" w14:textId="39B80221" w:rsidR="00F749C9" w:rsidRPr="00F749C9" w:rsidRDefault="00F749C9" w:rsidP="00F749C9">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33" w:name="_Toc482624810"/>
      <w:bookmarkStart w:id="34" w:name="_Toc2677422"/>
      <w:bookmarkStart w:id="35" w:name="_Toc30359"/>
      <w:bookmarkStart w:id="36" w:name="_Toc256666929"/>
      <w:bookmarkStart w:id="37" w:name="_Toc32243"/>
      <w:bookmarkStart w:id="38" w:name="_Toc256666809"/>
      <w:bookmarkStart w:id="39" w:name="_Toc89276794"/>
      <w:r w:rsidRPr="00F749C9">
        <w:rPr>
          <w:rFonts w:ascii="Arial Unicode MS" w:eastAsia="宋体" w:hAnsi="Arial Unicode MS" w:cs="Arial" w:hint="eastAsia"/>
          <w:kern w:val="0"/>
          <w:sz w:val="28"/>
          <w:szCs w:val="28"/>
        </w:rPr>
        <w:lastRenderedPageBreak/>
        <w:t>第二十</w:t>
      </w:r>
      <w:r w:rsidR="008D2446">
        <w:rPr>
          <w:rFonts w:ascii="Arial Unicode MS" w:eastAsia="宋体" w:hAnsi="Arial Unicode MS" w:cs="Arial" w:hint="eastAsia"/>
          <w:kern w:val="0"/>
          <w:sz w:val="28"/>
          <w:szCs w:val="28"/>
        </w:rPr>
        <w:t>三</w:t>
      </w:r>
      <w:r w:rsidRPr="00F749C9">
        <w:rPr>
          <w:rFonts w:ascii="Arial Unicode MS" w:eastAsia="宋体" w:hAnsi="Arial Unicode MS" w:cs="Arial" w:hint="eastAsia"/>
          <w:kern w:val="0"/>
          <w:sz w:val="28"/>
          <w:szCs w:val="28"/>
        </w:rPr>
        <w:t>部分</w:t>
      </w:r>
      <w:r w:rsidRPr="00F749C9">
        <w:rPr>
          <w:rFonts w:ascii="Arial Unicode MS" w:eastAsia="宋体" w:hAnsi="Arial Unicode MS" w:cs="Arial"/>
          <w:kern w:val="0"/>
          <w:sz w:val="28"/>
          <w:szCs w:val="28"/>
        </w:rPr>
        <w:t xml:space="preserve">  </w:t>
      </w:r>
      <w:r w:rsidRPr="00F749C9">
        <w:rPr>
          <w:rFonts w:ascii="Arial Unicode MS" w:eastAsia="宋体" w:hAnsi="Arial Unicode MS" w:cs="Arial" w:hint="eastAsia"/>
          <w:kern w:val="0"/>
          <w:sz w:val="28"/>
          <w:szCs w:val="28"/>
        </w:rPr>
        <w:t>其他应披露事项</w:t>
      </w:r>
      <w:bookmarkEnd w:id="33"/>
      <w:bookmarkEnd w:id="34"/>
      <w:bookmarkEnd w:id="35"/>
      <w:bookmarkEnd w:id="36"/>
      <w:bookmarkEnd w:id="37"/>
      <w:bookmarkEnd w:id="38"/>
      <w:bookmarkEnd w:id="39"/>
    </w:p>
    <w:p w14:paraId="0DF40AC8" w14:textId="77777777" w:rsidR="00F749C9" w:rsidRPr="00F749C9" w:rsidRDefault="00F749C9">
      <w:pPr>
        <w:widowControl/>
        <w:jc w:val="left"/>
        <w:rPr>
          <w:rFonts w:ascii="宋体" w:eastAsia="宋体" w:hAnsi="宋体"/>
          <w:szCs w:val="21"/>
        </w:rPr>
      </w:pPr>
    </w:p>
    <w:p w14:paraId="12092E19" w14:textId="02C2D1D0" w:rsidR="00F749C9" w:rsidRDefault="00F749C9">
      <w:pPr>
        <w:widowControl/>
        <w:jc w:val="left"/>
        <w:rPr>
          <w:rFonts w:ascii="宋体" w:eastAsia="宋体" w:hAnsi="宋体"/>
          <w:szCs w:val="21"/>
        </w:rPr>
      </w:pPr>
      <w:r w:rsidRPr="00F749C9">
        <w:rPr>
          <w:rFonts w:ascii="宋体" w:eastAsia="宋体" w:hAnsi="宋体" w:hint="eastAsia"/>
          <w:szCs w:val="21"/>
        </w:rPr>
        <w:t>报告期内本基金及基金管理人的有关更新公告：</w:t>
      </w:r>
    </w:p>
    <w:tbl>
      <w:tblPr>
        <w:tblStyle w:val="ab"/>
        <w:tblW w:w="8856" w:type="dxa"/>
        <w:tblLayout w:type="fixed"/>
        <w:tblLook w:val="04A0" w:firstRow="1" w:lastRow="0" w:firstColumn="1" w:lastColumn="0" w:noHBand="0" w:noVBand="1"/>
      </w:tblPr>
      <w:tblGrid>
        <w:gridCol w:w="817"/>
        <w:gridCol w:w="5528"/>
        <w:gridCol w:w="2511"/>
      </w:tblGrid>
      <w:tr w:rsidR="008D2446" w:rsidRPr="009901B0" w14:paraId="3CCE57B3" w14:textId="77777777" w:rsidTr="008D2446">
        <w:tc>
          <w:tcPr>
            <w:tcW w:w="817" w:type="dxa"/>
          </w:tcPr>
          <w:p w14:paraId="0A397992" w14:textId="77777777" w:rsidR="008D2446" w:rsidRPr="009901B0" w:rsidRDefault="008D2446" w:rsidP="00016488">
            <w:pPr>
              <w:widowControl/>
              <w:jc w:val="left"/>
              <w:rPr>
                <w:rFonts w:ascii="宋体" w:eastAsia="宋体" w:hAnsi="宋体"/>
                <w:b/>
                <w:szCs w:val="21"/>
              </w:rPr>
            </w:pPr>
            <w:r w:rsidRPr="009901B0">
              <w:rPr>
                <w:rFonts w:ascii="宋体" w:eastAsia="宋体" w:hAnsi="宋体" w:hint="eastAsia"/>
                <w:b/>
                <w:szCs w:val="21"/>
              </w:rPr>
              <w:t>序号</w:t>
            </w:r>
          </w:p>
        </w:tc>
        <w:tc>
          <w:tcPr>
            <w:tcW w:w="5528" w:type="dxa"/>
          </w:tcPr>
          <w:p w14:paraId="59F99F51" w14:textId="77777777" w:rsidR="008D2446" w:rsidRPr="009901B0" w:rsidRDefault="008D2446" w:rsidP="00016488">
            <w:pPr>
              <w:widowControl/>
              <w:jc w:val="left"/>
              <w:rPr>
                <w:rFonts w:ascii="宋体" w:eastAsia="宋体" w:hAnsi="宋体"/>
                <w:b/>
                <w:szCs w:val="21"/>
              </w:rPr>
            </w:pPr>
            <w:r w:rsidRPr="009901B0">
              <w:rPr>
                <w:rFonts w:ascii="宋体" w:eastAsia="宋体" w:hAnsi="宋体" w:hint="eastAsia"/>
                <w:b/>
                <w:szCs w:val="21"/>
              </w:rPr>
              <w:t>公告事项</w:t>
            </w:r>
          </w:p>
        </w:tc>
        <w:tc>
          <w:tcPr>
            <w:tcW w:w="2511" w:type="dxa"/>
          </w:tcPr>
          <w:p w14:paraId="5861D8FD" w14:textId="77777777" w:rsidR="008D2446" w:rsidRPr="009901B0" w:rsidRDefault="008D2446" w:rsidP="00016488">
            <w:pPr>
              <w:widowControl/>
              <w:jc w:val="left"/>
              <w:rPr>
                <w:rFonts w:ascii="宋体" w:eastAsia="宋体" w:hAnsi="宋体"/>
                <w:b/>
                <w:szCs w:val="21"/>
              </w:rPr>
            </w:pPr>
            <w:r w:rsidRPr="009901B0">
              <w:rPr>
                <w:rFonts w:ascii="宋体" w:eastAsia="宋体" w:hAnsi="宋体" w:hint="eastAsia"/>
                <w:b/>
                <w:szCs w:val="21"/>
              </w:rPr>
              <w:t>披露日期</w:t>
            </w:r>
          </w:p>
        </w:tc>
      </w:tr>
      <w:tr w:rsidR="008D2446" w:rsidRPr="009901B0" w14:paraId="3F172315" w14:textId="77777777" w:rsidTr="008D2446">
        <w:tc>
          <w:tcPr>
            <w:tcW w:w="817" w:type="dxa"/>
          </w:tcPr>
          <w:p w14:paraId="5307362F" w14:textId="77777777" w:rsidR="008D2446" w:rsidRPr="009901B0" w:rsidRDefault="008D2446" w:rsidP="00016488">
            <w:pPr>
              <w:widowControl/>
              <w:jc w:val="left"/>
              <w:rPr>
                <w:rFonts w:ascii="宋体" w:eastAsia="宋体" w:hAnsi="宋体"/>
                <w:b/>
                <w:szCs w:val="21"/>
              </w:rPr>
            </w:pPr>
            <w:r w:rsidRPr="00041C80">
              <w:t>1</w:t>
            </w:r>
          </w:p>
        </w:tc>
        <w:tc>
          <w:tcPr>
            <w:tcW w:w="5528" w:type="dxa"/>
          </w:tcPr>
          <w:p w14:paraId="56B67FD7" w14:textId="77777777" w:rsidR="008D2446" w:rsidRPr="009901B0" w:rsidRDefault="008D2446" w:rsidP="00016488">
            <w:pPr>
              <w:widowControl/>
              <w:jc w:val="left"/>
              <w:rPr>
                <w:rFonts w:ascii="宋体" w:eastAsia="宋体" w:hAnsi="宋体"/>
                <w:b/>
                <w:szCs w:val="21"/>
              </w:rPr>
            </w:pPr>
            <w:r>
              <w:rPr>
                <w:rFonts w:hint="eastAsia"/>
                <w:color w:val="000000"/>
                <w:sz w:val="22"/>
              </w:rPr>
              <w:t>富荣富合一年定期开放纯债债券型发起式证券投资基金</w:t>
            </w:r>
            <w:r>
              <w:rPr>
                <w:rFonts w:hint="eastAsia"/>
                <w:color w:val="000000"/>
                <w:sz w:val="22"/>
              </w:rPr>
              <w:br/>
            </w:r>
            <w:r>
              <w:rPr>
                <w:rFonts w:hint="eastAsia"/>
                <w:color w:val="000000"/>
                <w:sz w:val="22"/>
              </w:rPr>
              <w:t>基金合同生效公告</w:t>
            </w:r>
          </w:p>
        </w:tc>
        <w:tc>
          <w:tcPr>
            <w:tcW w:w="2511" w:type="dxa"/>
          </w:tcPr>
          <w:p w14:paraId="325341FC" w14:textId="77777777" w:rsidR="008D2446" w:rsidRPr="009901B0" w:rsidRDefault="008D2446" w:rsidP="00016488">
            <w:pPr>
              <w:widowControl/>
              <w:jc w:val="left"/>
              <w:rPr>
                <w:rFonts w:ascii="宋体" w:eastAsia="宋体" w:hAnsi="宋体"/>
                <w:b/>
                <w:szCs w:val="21"/>
              </w:rPr>
            </w:pPr>
            <w:r w:rsidRPr="00E41190">
              <w:t>2021-01-04</w:t>
            </w:r>
          </w:p>
        </w:tc>
      </w:tr>
      <w:tr w:rsidR="008D2446" w:rsidRPr="009901B0" w14:paraId="3348EA82" w14:textId="77777777" w:rsidTr="008D2446">
        <w:tc>
          <w:tcPr>
            <w:tcW w:w="817" w:type="dxa"/>
          </w:tcPr>
          <w:p w14:paraId="75A9C1DB" w14:textId="77777777" w:rsidR="008D2446" w:rsidRPr="009901B0" w:rsidRDefault="008D2446" w:rsidP="00016488">
            <w:pPr>
              <w:widowControl/>
              <w:jc w:val="left"/>
              <w:rPr>
                <w:rFonts w:ascii="宋体" w:eastAsia="宋体" w:hAnsi="宋体"/>
                <w:b/>
                <w:szCs w:val="21"/>
              </w:rPr>
            </w:pPr>
            <w:r w:rsidRPr="00041C80">
              <w:t>2</w:t>
            </w:r>
          </w:p>
        </w:tc>
        <w:tc>
          <w:tcPr>
            <w:tcW w:w="5528" w:type="dxa"/>
          </w:tcPr>
          <w:p w14:paraId="0C7ED79D"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富荣基金管理有限公司关于旗下部分基金在东方财富证券股份有限公司开通基金定期定额投资业务的公告</w:t>
            </w:r>
          </w:p>
        </w:tc>
        <w:tc>
          <w:tcPr>
            <w:tcW w:w="2511" w:type="dxa"/>
          </w:tcPr>
          <w:p w14:paraId="7922489F" w14:textId="77777777" w:rsidR="008D2446" w:rsidRPr="009901B0" w:rsidRDefault="008D2446" w:rsidP="00016488">
            <w:pPr>
              <w:widowControl/>
              <w:jc w:val="left"/>
              <w:rPr>
                <w:rFonts w:ascii="宋体" w:eastAsia="宋体" w:hAnsi="宋体"/>
                <w:b/>
                <w:szCs w:val="21"/>
              </w:rPr>
            </w:pPr>
            <w:r w:rsidRPr="00E41190">
              <w:t>2021-01-13</w:t>
            </w:r>
          </w:p>
        </w:tc>
      </w:tr>
      <w:tr w:rsidR="008D2446" w:rsidRPr="009901B0" w14:paraId="7CDEFFDA" w14:textId="77777777" w:rsidTr="008D2446">
        <w:tc>
          <w:tcPr>
            <w:tcW w:w="817" w:type="dxa"/>
          </w:tcPr>
          <w:p w14:paraId="0F5942B0" w14:textId="77777777" w:rsidR="008D2446" w:rsidRPr="009901B0" w:rsidRDefault="008D2446" w:rsidP="00016488">
            <w:pPr>
              <w:widowControl/>
              <w:jc w:val="left"/>
              <w:rPr>
                <w:rFonts w:ascii="宋体" w:eastAsia="宋体" w:hAnsi="宋体"/>
                <w:b/>
                <w:szCs w:val="21"/>
              </w:rPr>
            </w:pPr>
            <w:r w:rsidRPr="00041C80">
              <w:t>3</w:t>
            </w:r>
          </w:p>
        </w:tc>
        <w:tc>
          <w:tcPr>
            <w:tcW w:w="5528" w:type="dxa"/>
          </w:tcPr>
          <w:p w14:paraId="6E601C06"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富荣基金管理有限公司基金行业高级管理人员变更公告</w:t>
            </w:r>
          </w:p>
        </w:tc>
        <w:tc>
          <w:tcPr>
            <w:tcW w:w="2511" w:type="dxa"/>
          </w:tcPr>
          <w:p w14:paraId="781FF3F5" w14:textId="77777777" w:rsidR="008D2446" w:rsidRPr="009901B0" w:rsidRDefault="008D2446" w:rsidP="00016488">
            <w:pPr>
              <w:widowControl/>
              <w:jc w:val="left"/>
              <w:rPr>
                <w:rFonts w:ascii="宋体" w:eastAsia="宋体" w:hAnsi="宋体"/>
                <w:b/>
                <w:szCs w:val="21"/>
              </w:rPr>
            </w:pPr>
            <w:r w:rsidRPr="00E41190">
              <w:t>2021-03-20</w:t>
            </w:r>
          </w:p>
        </w:tc>
      </w:tr>
      <w:tr w:rsidR="008D2446" w:rsidRPr="009901B0" w14:paraId="272E672E" w14:textId="77777777" w:rsidTr="008D2446">
        <w:tc>
          <w:tcPr>
            <w:tcW w:w="817" w:type="dxa"/>
          </w:tcPr>
          <w:p w14:paraId="120A4629" w14:textId="77777777" w:rsidR="008D2446" w:rsidRPr="009901B0" w:rsidRDefault="008D2446" w:rsidP="00016488">
            <w:pPr>
              <w:widowControl/>
              <w:jc w:val="left"/>
              <w:rPr>
                <w:rFonts w:ascii="宋体" w:eastAsia="宋体" w:hAnsi="宋体"/>
                <w:b/>
                <w:szCs w:val="21"/>
              </w:rPr>
            </w:pPr>
            <w:r w:rsidRPr="00041C80">
              <w:t>4</w:t>
            </w:r>
          </w:p>
        </w:tc>
        <w:tc>
          <w:tcPr>
            <w:tcW w:w="5528" w:type="dxa"/>
          </w:tcPr>
          <w:p w14:paraId="2F323F07"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富荣基金管理有限公司旗下全部基金</w:t>
            </w:r>
            <w:r>
              <w:rPr>
                <w:rFonts w:hint="eastAsia"/>
                <w:color w:val="000000"/>
                <w:sz w:val="22"/>
              </w:rPr>
              <w:t>2020</w:t>
            </w:r>
            <w:r>
              <w:rPr>
                <w:rFonts w:hint="eastAsia"/>
                <w:color w:val="000000"/>
                <w:sz w:val="22"/>
              </w:rPr>
              <w:t>年年度报告提示性公告</w:t>
            </w:r>
          </w:p>
        </w:tc>
        <w:tc>
          <w:tcPr>
            <w:tcW w:w="2511" w:type="dxa"/>
          </w:tcPr>
          <w:p w14:paraId="35A8C8DC" w14:textId="77777777" w:rsidR="008D2446" w:rsidRPr="009901B0" w:rsidRDefault="008D2446" w:rsidP="00016488">
            <w:pPr>
              <w:widowControl/>
              <w:jc w:val="left"/>
              <w:rPr>
                <w:rFonts w:ascii="宋体" w:eastAsia="宋体" w:hAnsi="宋体"/>
                <w:b/>
                <w:szCs w:val="21"/>
              </w:rPr>
            </w:pPr>
            <w:r w:rsidRPr="00E41190">
              <w:t>2021-03-31</w:t>
            </w:r>
          </w:p>
        </w:tc>
      </w:tr>
      <w:tr w:rsidR="008D2446" w:rsidRPr="009901B0" w14:paraId="46528863" w14:textId="77777777" w:rsidTr="008D2446">
        <w:tc>
          <w:tcPr>
            <w:tcW w:w="817" w:type="dxa"/>
          </w:tcPr>
          <w:p w14:paraId="3A391F96" w14:textId="77777777" w:rsidR="008D2446" w:rsidRPr="009901B0" w:rsidRDefault="008D2446" w:rsidP="00016488">
            <w:pPr>
              <w:widowControl/>
              <w:jc w:val="left"/>
              <w:rPr>
                <w:rFonts w:ascii="宋体" w:eastAsia="宋体" w:hAnsi="宋体"/>
                <w:b/>
                <w:szCs w:val="21"/>
              </w:rPr>
            </w:pPr>
            <w:r w:rsidRPr="00041C80">
              <w:t>5</w:t>
            </w:r>
          </w:p>
        </w:tc>
        <w:tc>
          <w:tcPr>
            <w:tcW w:w="5528" w:type="dxa"/>
          </w:tcPr>
          <w:p w14:paraId="3C7D8918"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富荣基金管理有限公司旗下全部基金</w:t>
            </w:r>
            <w:r>
              <w:rPr>
                <w:rFonts w:hint="eastAsia"/>
                <w:color w:val="000000"/>
                <w:sz w:val="22"/>
              </w:rPr>
              <w:t>2021</w:t>
            </w:r>
            <w:r>
              <w:rPr>
                <w:rFonts w:hint="eastAsia"/>
                <w:color w:val="000000"/>
                <w:sz w:val="22"/>
              </w:rPr>
              <w:t>年第</w:t>
            </w:r>
            <w:r>
              <w:rPr>
                <w:rFonts w:hint="eastAsia"/>
                <w:color w:val="000000"/>
                <w:sz w:val="22"/>
              </w:rPr>
              <w:t>1</w:t>
            </w:r>
            <w:r>
              <w:rPr>
                <w:rFonts w:hint="eastAsia"/>
                <w:color w:val="000000"/>
                <w:sz w:val="22"/>
              </w:rPr>
              <w:t>季度报告提示性公告</w:t>
            </w:r>
          </w:p>
        </w:tc>
        <w:tc>
          <w:tcPr>
            <w:tcW w:w="2511" w:type="dxa"/>
          </w:tcPr>
          <w:p w14:paraId="37014220" w14:textId="77777777" w:rsidR="008D2446" w:rsidRPr="009901B0" w:rsidRDefault="008D2446" w:rsidP="00016488">
            <w:pPr>
              <w:widowControl/>
              <w:jc w:val="left"/>
              <w:rPr>
                <w:rFonts w:ascii="宋体" w:eastAsia="宋体" w:hAnsi="宋体"/>
                <w:b/>
                <w:szCs w:val="21"/>
              </w:rPr>
            </w:pPr>
            <w:r w:rsidRPr="00E41190">
              <w:t>2021-04-22</w:t>
            </w:r>
          </w:p>
        </w:tc>
      </w:tr>
      <w:tr w:rsidR="008D2446" w:rsidRPr="009901B0" w14:paraId="20CE4234" w14:textId="77777777" w:rsidTr="008D2446">
        <w:tc>
          <w:tcPr>
            <w:tcW w:w="817" w:type="dxa"/>
          </w:tcPr>
          <w:p w14:paraId="674711BC" w14:textId="77777777" w:rsidR="008D2446" w:rsidRPr="009901B0" w:rsidRDefault="008D2446" w:rsidP="00016488">
            <w:pPr>
              <w:widowControl/>
              <w:jc w:val="left"/>
              <w:rPr>
                <w:rFonts w:ascii="宋体" w:eastAsia="宋体" w:hAnsi="宋体"/>
                <w:b/>
                <w:szCs w:val="21"/>
              </w:rPr>
            </w:pPr>
            <w:r w:rsidRPr="00041C80">
              <w:t>6</w:t>
            </w:r>
          </w:p>
        </w:tc>
        <w:tc>
          <w:tcPr>
            <w:tcW w:w="5528" w:type="dxa"/>
          </w:tcPr>
          <w:p w14:paraId="2C8035FC"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富荣基金管理有限公司关于提醒投资者防范不法分子假冒本公司名义从事诈骗活动的公告</w:t>
            </w:r>
          </w:p>
        </w:tc>
        <w:tc>
          <w:tcPr>
            <w:tcW w:w="2511" w:type="dxa"/>
          </w:tcPr>
          <w:p w14:paraId="4DA3D279" w14:textId="77777777" w:rsidR="008D2446" w:rsidRPr="009901B0" w:rsidRDefault="008D2446" w:rsidP="00016488">
            <w:pPr>
              <w:widowControl/>
              <w:jc w:val="left"/>
              <w:rPr>
                <w:rFonts w:ascii="宋体" w:eastAsia="宋体" w:hAnsi="宋体"/>
                <w:b/>
                <w:szCs w:val="21"/>
              </w:rPr>
            </w:pPr>
            <w:r w:rsidRPr="00E41190">
              <w:t>2021-05-06</w:t>
            </w:r>
          </w:p>
        </w:tc>
      </w:tr>
      <w:tr w:rsidR="008D2446" w:rsidRPr="009901B0" w14:paraId="6827FC88" w14:textId="77777777" w:rsidTr="008D2446">
        <w:tc>
          <w:tcPr>
            <w:tcW w:w="817" w:type="dxa"/>
          </w:tcPr>
          <w:p w14:paraId="23CE7AFE" w14:textId="77777777" w:rsidR="008D2446" w:rsidRPr="009901B0" w:rsidRDefault="008D2446" w:rsidP="00016488">
            <w:pPr>
              <w:widowControl/>
              <w:jc w:val="left"/>
              <w:rPr>
                <w:rFonts w:ascii="宋体" w:eastAsia="宋体" w:hAnsi="宋体"/>
                <w:b/>
                <w:szCs w:val="21"/>
              </w:rPr>
            </w:pPr>
            <w:r w:rsidRPr="00041C80">
              <w:t>7</w:t>
            </w:r>
          </w:p>
        </w:tc>
        <w:tc>
          <w:tcPr>
            <w:tcW w:w="5528" w:type="dxa"/>
          </w:tcPr>
          <w:p w14:paraId="43511B4B"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富荣基金管理有限公司基金行业高级管理人员变更公告</w:t>
            </w:r>
          </w:p>
        </w:tc>
        <w:tc>
          <w:tcPr>
            <w:tcW w:w="2511" w:type="dxa"/>
          </w:tcPr>
          <w:p w14:paraId="1990EEDB" w14:textId="77777777" w:rsidR="008D2446" w:rsidRPr="009901B0" w:rsidRDefault="008D2446" w:rsidP="00016488">
            <w:pPr>
              <w:widowControl/>
              <w:jc w:val="left"/>
              <w:rPr>
                <w:rFonts w:ascii="宋体" w:eastAsia="宋体" w:hAnsi="宋体"/>
                <w:b/>
                <w:szCs w:val="21"/>
              </w:rPr>
            </w:pPr>
            <w:r w:rsidRPr="00E41190">
              <w:t>2021-06-24</w:t>
            </w:r>
          </w:p>
        </w:tc>
      </w:tr>
      <w:tr w:rsidR="008D2446" w:rsidRPr="009901B0" w14:paraId="0129B36E" w14:textId="77777777" w:rsidTr="008D2446">
        <w:tc>
          <w:tcPr>
            <w:tcW w:w="817" w:type="dxa"/>
          </w:tcPr>
          <w:p w14:paraId="610FD75A" w14:textId="77777777" w:rsidR="008D2446" w:rsidRPr="009901B0" w:rsidRDefault="008D2446" w:rsidP="00016488">
            <w:pPr>
              <w:widowControl/>
              <w:jc w:val="left"/>
              <w:rPr>
                <w:rFonts w:ascii="宋体" w:eastAsia="宋体" w:hAnsi="宋体"/>
                <w:b/>
                <w:szCs w:val="21"/>
              </w:rPr>
            </w:pPr>
            <w:r w:rsidRPr="00041C80">
              <w:t>8</w:t>
            </w:r>
          </w:p>
        </w:tc>
        <w:tc>
          <w:tcPr>
            <w:tcW w:w="5528" w:type="dxa"/>
          </w:tcPr>
          <w:p w14:paraId="37C591C1"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富荣基金管理有限公司旗下全部基金</w:t>
            </w:r>
            <w:r>
              <w:rPr>
                <w:rFonts w:hint="eastAsia"/>
                <w:color w:val="000000"/>
                <w:sz w:val="22"/>
              </w:rPr>
              <w:t>2021</w:t>
            </w:r>
            <w:r>
              <w:rPr>
                <w:rFonts w:hint="eastAsia"/>
                <w:color w:val="000000"/>
                <w:sz w:val="22"/>
              </w:rPr>
              <w:t>年第</w:t>
            </w:r>
            <w:r>
              <w:rPr>
                <w:rFonts w:hint="eastAsia"/>
                <w:color w:val="000000"/>
                <w:sz w:val="22"/>
              </w:rPr>
              <w:t>2</w:t>
            </w:r>
            <w:r>
              <w:rPr>
                <w:rFonts w:hint="eastAsia"/>
                <w:color w:val="000000"/>
                <w:sz w:val="22"/>
              </w:rPr>
              <w:t>季度报告提示性公告</w:t>
            </w:r>
          </w:p>
        </w:tc>
        <w:tc>
          <w:tcPr>
            <w:tcW w:w="2511" w:type="dxa"/>
          </w:tcPr>
          <w:p w14:paraId="31756ED5" w14:textId="77777777" w:rsidR="008D2446" w:rsidRPr="009901B0" w:rsidRDefault="008D2446" w:rsidP="00016488">
            <w:pPr>
              <w:widowControl/>
              <w:jc w:val="left"/>
              <w:rPr>
                <w:rFonts w:ascii="宋体" w:eastAsia="宋体" w:hAnsi="宋体"/>
                <w:b/>
                <w:szCs w:val="21"/>
              </w:rPr>
            </w:pPr>
            <w:r w:rsidRPr="00E41190">
              <w:t>2021-07-21</w:t>
            </w:r>
          </w:p>
        </w:tc>
      </w:tr>
      <w:tr w:rsidR="008D2446" w:rsidRPr="009901B0" w14:paraId="7119FD40" w14:textId="77777777" w:rsidTr="008D2446">
        <w:tc>
          <w:tcPr>
            <w:tcW w:w="817" w:type="dxa"/>
          </w:tcPr>
          <w:p w14:paraId="37D53277" w14:textId="77777777" w:rsidR="008D2446" w:rsidRPr="009901B0" w:rsidRDefault="008D2446" w:rsidP="00016488">
            <w:pPr>
              <w:widowControl/>
              <w:jc w:val="left"/>
              <w:rPr>
                <w:rFonts w:ascii="宋体" w:eastAsia="宋体" w:hAnsi="宋体"/>
                <w:b/>
                <w:szCs w:val="21"/>
              </w:rPr>
            </w:pPr>
            <w:r w:rsidRPr="00041C80">
              <w:t>9</w:t>
            </w:r>
          </w:p>
        </w:tc>
        <w:tc>
          <w:tcPr>
            <w:tcW w:w="5528" w:type="dxa"/>
          </w:tcPr>
          <w:p w14:paraId="08FDDF38"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富荣基金管理有限公司旗下全部基金</w:t>
            </w:r>
            <w:r>
              <w:rPr>
                <w:rFonts w:hint="eastAsia"/>
                <w:color w:val="000000"/>
                <w:sz w:val="22"/>
              </w:rPr>
              <w:t>2021</w:t>
            </w:r>
            <w:r>
              <w:rPr>
                <w:rFonts w:hint="eastAsia"/>
                <w:color w:val="000000"/>
                <w:sz w:val="22"/>
              </w:rPr>
              <w:t>年中期报告提示性公告</w:t>
            </w:r>
          </w:p>
        </w:tc>
        <w:tc>
          <w:tcPr>
            <w:tcW w:w="2511" w:type="dxa"/>
          </w:tcPr>
          <w:p w14:paraId="0E691A13" w14:textId="77777777" w:rsidR="008D2446" w:rsidRPr="009901B0" w:rsidRDefault="008D2446" w:rsidP="00016488">
            <w:pPr>
              <w:widowControl/>
              <w:jc w:val="left"/>
              <w:rPr>
                <w:rFonts w:ascii="宋体" w:eastAsia="宋体" w:hAnsi="宋体"/>
                <w:b/>
                <w:szCs w:val="21"/>
              </w:rPr>
            </w:pPr>
            <w:r w:rsidRPr="00E41190">
              <w:t>2021-08-31</w:t>
            </w:r>
          </w:p>
        </w:tc>
      </w:tr>
      <w:tr w:rsidR="008D2446" w:rsidRPr="009901B0" w14:paraId="0B5FCE40" w14:textId="77777777" w:rsidTr="008D2446">
        <w:tc>
          <w:tcPr>
            <w:tcW w:w="817" w:type="dxa"/>
          </w:tcPr>
          <w:p w14:paraId="0D1582DA" w14:textId="77777777" w:rsidR="008D2446" w:rsidRPr="009901B0" w:rsidRDefault="008D2446" w:rsidP="00016488">
            <w:pPr>
              <w:widowControl/>
              <w:jc w:val="left"/>
              <w:rPr>
                <w:rFonts w:ascii="宋体" w:eastAsia="宋体" w:hAnsi="宋体"/>
                <w:b/>
                <w:szCs w:val="21"/>
              </w:rPr>
            </w:pPr>
            <w:r w:rsidRPr="00041C80">
              <w:t>10</w:t>
            </w:r>
          </w:p>
        </w:tc>
        <w:tc>
          <w:tcPr>
            <w:tcW w:w="5528" w:type="dxa"/>
          </w:tcPr>
          <w:p w14:paraId="0D49AFC1"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富荣基金管理有限公司关于基金经理休假由他人代为履职的公告</w:t>
            </w:r>
          </w:p>
        </w:tc>
        <w:tc>
          <w:tcPr>
            <w:tcW w:w="2511" w:type="dxa"/>
          </w:tcPr>
          <w:p w14:paraId="5EE82853" w14:textId="77777777" w:rsidR="008D2446" w:rsidRPr="009901B0" w:rsidRDefault="008D2446" w:rsidP="00016488">
            <w:pPr>
              <w:widowControl/>
              <w:jc w:val="left"/>
              <w:rPr>
                <w:rFonts w:ascii="宋体" w:eastAsia="宋体" w:hAnsi="宋体"/>
                <w:b/>
                <w:szCs w:val="21"/>
              </w:rPr>
            </w:pPr>
            <w:r w:rsidRPr="00E41190">
              <w:t>2021-10-13</w:t>
            </w:r>
          </w:p>
        </w:tc>
      </w:tr>
      <w:tr w:rsidR="008D2446" w:rsidRPr="009901B0" w14:paraId="3A64C07D" w14:textId="77777777" w:rsidTr="008D2446">
        <w:tc>
          <w:tcPr>
            <w:tcW w:w="817" w:type="dxa"/>
          </w:tcPr>
          <w:p w14:paraId="75781569" w14:textId="77777777" w:rsidR="008D2446" w:rsidRPr="009901B0" w:rsidRDefault="008D2446" w:rsidP="00016488">
            <w:pPr>
              <w:widowControl/>
              <w:jc w:val="left"/>
              <w:rPr>
                <w:rFonts w:ascii="宋体" w:eastAsia="宋体" w:hAnsi="宋体"/>
                <w:b/>
                <w:szCs w:val="21"/>
              </w:rPr>
            </w:pPr>
            <w:r w:rsidRPr="00041C80">
              <w:t>11</w:t>
            </w:r>
          </w:p>
        </w:tc>
        <w:tc>
          <w:tcPr>
            <w:tcW w:w="5528" w:type="dxa"/>
          </w:tcPr>
          <w:p w14:paraId="1ADA44C6" w14:textId="77777777" w:rsidR="008D2446" w:rsidRPr="009901B0" w:rsidRDefault="008D2446" w:rsidP="00016488">
            <w:pPr>
              <w:widowControl/>
              <w:jc w:val="left"/>
              <w:rPr>
                <w:rFonts w:ascii="宋体" w:eastAsia="宋体" w:hAnsi="宋体"/>
                <w:b/>
                <w:szCs w:val="21"/>
              </w:rPr>
            </w:pPr>
            <w:r>
              <w:rPr>
                <w:rFonts w:hint="eastAsia"/>
                <w:color w:val="000000"/>
                <w:sz w:val="22"/>
              </w:rPr>
              <w:t>富荣基金管理有限公司旗下全部基金</w:t>
            </w:r>
            <w:r>
              <w:rPr>
                <w:rFonts w:hint="eastAsia"/>
                <w:color w:val="000000"/>
                <w:sz w:val="22"/>
              </w:rPr>
              <w:t>2021</w:t>
            </w:r>
            <w:r>
              <w:rPr>
                <w:rFonts w:hint="eastAsia"/>
                <w:color w:val="000000"/>
                <w:sz w:val="22"/>
              </w:rPr>
              <w:t>年第</w:t>
            </w:r>
            <w:r>
              <w:rPr>
                <w:rFonts w:hint="eastAsia"/>
                <w:color w:val="000000"/>
                <w:sz w:val="22"/>
              </w:rPr>
              <w:t>3</w:t>
            </w:r>
            <w:r>
              <w:rPr>
                <w:rFonts w:hint="eastAsia"/>
                <w:color w:val="000000"/>
                <w:sz w:val="22"/>
              </w:rPr>
              <w:t>季度报告提示性公告</w:t>
            </w:r>
          </w:p>
        </w:tc>
        <w:tc>
          <w:tcPr>
            <w:tcW w:w="2511" w:type="dxa"/>
          </w:tcPr>
          <w:p w14:paraId="428D1B7F" w14:textId="77777777" w:rsidR="008D2446" w:rsidRPr="009901B0" w:rsidRDefault="008D2446" w:rsidP="00016488">
            <w:pPr>
              <w:widowControl/>
              <w:jc w:val="left"/>
              <w:rPr>
                <w:rFonts w:ascii="宋体" w:eastAsia="宋体" w:hAnsi="宋体"/>
                <w:b/>
                <w:szCs w:val="21"/>
              </w:rPr>
            </w:pPr>
            <w:r w:rsidRPr="00E41190">
              <w:t>2021-10-27</w:t>
            </w:r>
          </w:p>
        </w:tc>
      </w:tr>
    </w:tbl>
    <w:p w14:paraId="5A9842E6" w14:textId="77777777" w:rsidR="00F749C9" w:rsidRDefault="00F749C9">
      <w:pPr>
        <w:widowControl/>
        <w:jc w:val="left"/>
        <w:rPr>
          <w:rFonts w:ascii="宋体" w:eastAsia="宋体" w:hAnsi="宋体"/>
          <w:szCs w:val="21"/>
        </w:rPr>
      </w:pPr>
    </w:p>
    <w:p w14:paraId="0BDD4919" w14:textId="55CAA7E8" w:rsidR="00F749C9" w:rsidRDefault="00F749C9">
      <w:pPr>
        <w:widowControl/>
        <w:jc w:val="left"/>
        <w:rPr>
          <w:rFonts w:ascii="宋体" w:eastAsia="宋体" w:hAnsi="宋体"/>
          <w:szCs w:val="21"/>
        </w:rPr>
      </w:pPr>
      <w:r>
        <w:rPr>
          <w:rFonts w:ascii="宋体" w:eastAsia="宋体" w:hAnsi="宋体"/>
          <w:szCs w:val="21"/>
        </w:rPr>
        <w:br w:type="page"/>
      </w:r>
    </w:p>
    <w:p w14:paraId="5C1B9604" w14:textId="77777777" w:rsidR="00BD090D" w:rsidRPr="00BD090D" w:rsidRDefault="00BD090D" w:rsidP="00A8367A">
      <w:pPr>
        <w:widowControl/>
        <w:jc w:val="left"/>
        <w:rPr>
          <w:rFonts w:ascii="宋体" w:eastAsia="宋体" w:hAnsi="宋体"/>
          <w:szCs w:val="21"/>
        </w:rPr>
      </w:pPr>
    </w:p>
    <w:p w14:paraId="79AE039F" w14:textId="3BF504EA"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40" w:name="_Toc89276795"/>
      <w:r w:rsidRPr="00BD090D">
        <w:rPr>
          <w:rFonts w:ascii="Arial Unicode MS" w:eastAsia="宋体" w:hAnsi="Arial Unicode MS" w:cs="Arial" w:hint="eastAsia"/>
          <w:kern w:val="0"/>
          <w:sz w:val="28"/>
          <w:szCs w:val="28"/>
        </w:rPr>
        <w:t>第二十</w:t>
      </w:r>
      <w:r w:rsidR="008D2446">
        <w:rPr>
          <w:rFonts w:ascii="Arial Unicode MS" w:eastAsia="宋体" w:hAnsi="Arial Unicode MS" w:cs="Arial" w:hint="eastAsia"/>
          <w:kern w:val="0"/>
          <w:sz w:val="28"/>
          <w:szCs w:val="28"/>
        </w:rPr>
        <w:t>四</w:t>
      </w:r>
      <w:r w:rsidRPr="00BD090D">
        <w:rPr>
          <w:rFonts w:ascii="Arial Unicode MS" w:eastAsia="宋体" w:hAnsi="Arial Unicode MS" w:cs="Arial" w:hint="eastAsia"/>
          <w:kern w:val="0"/>
          <w:sz w:val="28"/>
          <w:szCs w:val="28"/>
        </w:rPr>
        <w:t>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招募说明书的存放及查阅方式</w:t>
      </w:r>
      <w:bookmarkEnd w:id="40"/>
    </w:p>
    <w:p w14:paraId="23CDE100" w14:textId="77777777" w:rsidR="00BD090D" w:rsidRPr="00BD090D" w:rsidRDefault="00BD090D" w:rsidP="00BD090D">
      <w:pPr>
        <w:spacing w:line="360" w:lineRule="auto"/>
        <w:ind w:firstLineChars="200" w:firstLine="420"/>
        <w:rPr>
          <w:rFonts w:ascii="宋体" w:eastAsia="宋体" w:hAnsi="宋体"/>
          <w:szCs w:val="21"/>
        </w:rPr>
      </w:pPr>
    </w:p>
    <w:p w14:paraId="2C3D88C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招募说明书公布后，应当分别置备于基金管理人、基金托管人和基金销售机构的住所，投资人可在办公时间查阅；投资人在支付工本费后，可在合理时间内取得上述文件复制件或复印件。对投资人按此种方式所获得的文件及其复印件，基金管理人保证文本的内容与所公告的内容完全一致。</w:t>
      </w:r>
    </w:p>
    <w:p w14:paraId="4FB42017"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 xml:space="preserve">投资人还可以直接登录基金管理人的网站（www.furamc.com.cn）查阅和下载招募说明书。 </w:t>
      </w:r>
    </w:p>
    <w:p w14:paraId="4C3FF33D" w14:textId="77777777" w:rsidR="00A8367A" w:rsidRDefault="00BD090D" w:rsidP="00BD090D">
      <w:pPr>
        <w:spacing w:line="360" w:lineRule="auto"/>
        <w:ind w:firstLineChars="200" w:firstLine="420"/>
        <w:rPr>
          <w:rFonts w:ascii="宋体" w:eastAsia="宋体" w:hAnsi="宋体"/>
          <w:szCs w:val="21"/>
        </w:rPr>
      </w:pPr>
      <w:r w:rsidRPr="00BD090D">
        <w:rPr>
          <w:rFonts w:ascii="宋体" w:eastAsia="宋体" w:hAnsi="宋体"/>
          <w:szCs w:val="21"/>
        </w:rPr>
        <w:t xml:space="preserve"> </w:t>
      </w:r>
    </w:p>
    <w:p w14:paraId="4C633FAE" w14:textId="77777777" w:rsidR="00BD090D" w:rsidRPr="00BD090D" w:rsidRDefault="00A8367A" w:rsidP="00A8367A">
      <w:pPr>
        <w:widowControl/>
        <w:jc w:val="left"/>
        <w:rPr>
          <w:rFonts w:ascii="宋体" w:eastAsia="宋体" w:hAnsi="宋体"/>
          <w:szCs w:val="21"/>
        </w:rPr>
      </w:pPr>
      <w:r>
        <w:rPr>
          <w:rFonts w:ascii="宋体" w:eastAsia="宋体" w:hAnsi="宋体"/>
          <w:szCs w:val="21"/>
        </w:rPr>
        <w:br w:type="page"/>
      </w:r>
    </w:p>
    <w:p w14:paraId="168ECBDB" w14:textId="52B63489" w:rsidR="00BD090D" w:rsidRPr="00BD090D" w:rsidRDefault="00BD090D" w:rsidP="00BD090D">
      <w:pPr>
        <w:pStyle w:val="1"/>
        <w:autoSpaceDE w:val="0"/>
        <w:autoSpaceDN w:val="0"/>
        <w:adjustRightInd w:val="0"/>
        <w:snapToGrid w:val="0"/>
        <w:spacing w:before="0" w:after="0" w:line="360" w:lineRule="auto"/>
        <w:ind w:firstLineChars="50" w:firstLine="141"/>
        <w:jc w:val="center"/>
        <w:textAlignment w:val="baseline"/>
        <w:rPr>
          <w:rFonts w:ascii="Arial Unicode MS" w:eastAsia="宋体" w:hAnsi="Arial Unicode MS" w:cs="Arial"/>
          <w:kern w:val="0"/>
          <w:sz w:val="28"/>
          <w:szCs w:val="28"/>
        </w:rPr>
      </w:pPr>
      <w:bookmarkStart w:id="41" w:name="_Toc89276796"/>
      <w:r w:rsidRPr="00BD090D">
        <w:rPr>
          <w:rFonts w:ascii="Arial Unicode MS" w:eastAsia="宋体" w:hAnsi="Arial Unicode MS" w:cs="Arial" w:hint="eastAsia"/>
          <w:kern w:val="0"/>
          <w:sz w:val="28"/>
          <w:szCs w:val="28"/>
        </w:rPr>
        <w:lastRenderedPageBreak/>
        <w:t>第二十</w:t>
      </w:r>
      <w:r w:rsidR="008D2446">
        <w:rPr>
          <w:rFonts w:ascii="Arial Unicode MS" w:eastAsia="宋体" w:hAnsi="Arial Unicode MS" w:cs="Arial" w:hint="eastAsia"/>
          <w:kern w:val="0"/>
          <w:sz w:val="28"/>
          <w:szCs w:val="28"/>
        </w:rPr>
        <w:t>五</w:t>
      </w:r>
      <w:r w:rsidRPr="00BD090D">
        <w:rPr>
          <w:rFonts w:ascii="Arial Unicode MS" w:eastAsia="宋体" w:hAnsi="Arial Unicode MS" w:cs="Arial" w:hint="eastAsia"/>
          <w:kern w:val="0"/>
          <w:sz w:val="28"/>
          <w:szCs w:val="28"/>
        </w:rPr>
        <w:t>部分</w:t>
      </w:r>
      <w:r w:rsidRPr="00BD090D">
        <w:rPr>
          <w:rFonts w:ascii="Arial Unicode MS" w:eastAsia="宋体" w:hAnsi="Arial Unicode MS" w:cs="Arial" w:hint="eastAsia"/>
          <w:kern w:val="0"/>
          <w:sz w:val="28"/>
          <w:szCs w:val="28"/>
        </w:rPr>
        <w:t xml:space="preserve">  </w:t>
      </w:r>
      <w:r w:rsidRPr="00BD090D">
        <w:rPr>
          <w:rFonts w:ascii="Arial Unicode MS" w:eastAsia="宋体" w:hAnsi="Arial Unicode MS" w:cs="Arial" w:hint="eastAsia"/>
          <w:kern w:val="0"/>
          <w:sz w:val="28"/>
          <w:szCs w:val="28"/>
        </w:rPr>
        <w:t>备查文件</w:t>
      </w:r>
      <w:bookmarkEnd w:id="41"/>
    </w:p>
    <w:p w14:paraId="7F2F5BA2" w14:textId="77777777" w:rsidR="00BD090D" w:rsidRPr="00BD090D" w:rsidRDefault="00BD090D" w:rsidP="00BD090D">
      <w:pPr>
        <w:spacing w:line="360" w:lineRule="auto"/>
        <w:ind w:firstLineChars="200" w:firstLine="420"/>
        <w:rPr>
          <w:rFonts w:ascii="宋体" w:eastAsia="宋体" w:hAnsi="宋体"/>
          <w:szCs w:val="21"/>
        </w:rPr>
      </w:pPr>
    </w:p>
    <w:p w14:paraId="56DB563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以下备查文件存放在基金管理人的办公场所，在办公时间可供免费查阅。</w:t>
      </w:r>
    </w:p>
    <w:p w14:paraId="3786E893"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（一）中国证监会准予富荣富合一年定期开放纯债债券型发起式证券投资基金注册的文件</w:t>
      </w:r>
    </w:p>
    <w:p w14:paraId="4D95278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（二）《富荣富合一年定期开放纯债债券型发起式证券投资基金基金合同》</w:t>
      </w:r>
    </w:p>
    <w:p w14:paraId="6E19E42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（三）《富荣富合一年定期开放纯债债券型发起式证券投资基金托管协议》</w:t>
      </w:r>
    </w:p>
    <w:p w14:paraId="72533111"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（四）基金管理人业务资格批件、营业执照</w:t>
      </w:r>
    </w:p>
    <w:p w14:paraId="7C8E454B"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（五）基金托管人业务资格批件、营业执照</w:t>
      </w:r>
    </w:p>
    <w:p w14:paraId="790552A4"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（六）关于申请募集注册富荣富合一年定期开放纯债债券型发起式证券投资基金之法律意见书</w:t>
      </w:r>
    </w:p>
    <w:p w14:paraId="5C405C48"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（七）中国证监会要求的其他文件</w:t>
      </w:r>
    </w:p>
    <w:p w14:paraId="2C2115FE" w14:textId="77777777" w:rsidR="00BD090D" w:rsidRPr="00BD090D" w:rsidRDefault="00BD090D" w:rsidP="00BD090D">
      <w:pPr>
        <w:spacing w:line="360" w:lineRule="auto"/>
        <w:ind w:firstLineChars="200" w:firstLine="420"/>
        <w:rPr>
          <w:rFonts w:ascii="宋体" w:eastAsia="宋体" w:hAnsi="宋体"/>
          <w:szCs w:val="21"/>
        </w:rPr>
      </w:pPr>
      <w:r w:rsidRPr="00BD090D">
        <w:rPr>
          <w:rFonts w:ascii="宋体" w:eastAsia="宋体" w:hAnsi="宋体" w:hint="eastAsia"/>
          <w:szCs w:val="21"/>
        </w:rPr>
        <w:t>查阅方式：投资者可在营业时间免费查阅，也可按工本费购买复印件。</w:t>
      </w:r>
    </w:p>
    <w:p w14:paraId="0C5570F7" w14:textId="77777777" w:rsidR="00BD090D" w:rsidRPr="00BD090D" w:rsidRDefault="00BD090D" w:rsidP="00BD090D">
      <w:pPr>
        <w:spacing w:line="360" w:lineRule="auto"/>
        <w:ind w:firstLineChars="200" w:firstLine="420"/>
        <w:rPr>
          <w:rFonts w:ascii="宋体" w:eastAsia="宋体" w:hAnsi="宋体"/>
          <w:szCs w:val="21"/>
        </w:rPr>
      </w:pPr>
    </w:p>
    <w:p w14:paraId="44DB7657" w14:textId="77777777" w:rsidR="00BD090D" w:rsidRPr="00BD090D" w:rsidRDefault="00BD090D" w:rsidP="00BD090D">
      <w:pPr>
        <w:spacing w:line="360" w:lineRule="auto"/>
        <w:ind w:firstLineChars="200" w:firstLine="420"/>
        <w:rPr>
          <w:rFonts w:ascii="宋体" w:eastAsia="宋体" w:hAnsi="宋体"/>
          <w:szCs w:val="21"/>
        </w:rPr>
      </w:pPr>
    </w:p>
    <w:p w14:paraId="2D180695" w14:textId="77777777" w:rsidR="001B50CF" w:rsidRDefault="001B50CF" w:rsidP="001B50CF">
      <w:pPr>
        <w:widowControl/>
        <w:adjustRightInd w:val="0"/>
        <w:snapToGrid w:val="0"/>
        <w:spacing w:line="360" w:lineRule="auto"/>
        <w:ind w:rightChars="-85" w:right="-178"/>
        <w:jc w:val="right"/>
        <w:rPr>
          <w:rFonts w:asciiTheme="minorEastAsia" w:hAnsiTheme="minorEastAsia" w:cs="Arial"/>
          <w:kern w:val="0"/>
          <w:sz w:val="24"/>
          <w:szCs w:val="24"/>
        </w:rPr>
      </w:pPr>
      <w:r>
        <w:rPr>
          <w:rFonts w:asciiTheme="minorEastAsia" w:hAnsiTheme="minorEastAsia" w:cs="Arial" w:hint="eastAsia"/>
          <w:kern w:val="0"/>
          <w:sz w:val="24"/>
          <w:szCs w:val="24"/>
        </w:rPr>
        <w:t>富荣基金管理有限公司</w:t>
      </w:r>
      <w:r>
        <w:rPr>
          <w:rFonts w:asciiTheme="minorEastAsia" w:hAnsiTheme="minorEastAsia" w:cs="Arial"/>
          <w:kern w:val="0"/>
          <w:sz w:val="24"/>
          <w:szCs w:val="24"/>
        </w:rPr>
        <w:t xml:space="preserve"> </w:t>
      </w:r>
    </w:p>
    <w:p w14:paraId="0DC15D8B" w14:textId="687877DC" w:rsidR="001B50CF" w:rsidRDefault="001B50CF" w:rsidP="001B50CF">
      <w:pPr>
        <w:widowControl/>
        <w:adjustRightInd w:val="0"/>
        <w:snapToGrid w:val="0"/>
        <w:spacing w:line="360" w:lineRule="auto"/>
        <w:ind w:rightChars="-85" w:right="-178"/>
        <w:jc w:val="right"/>
        <w:rPr>
          <w:rFonts w:asciiTheme="minorEastAsia" w:hAnsiTheme="minorEastAsia"/>
        </w:rPr>
      </w:pPr>
      <w:r>
        <w:rPr>
          <w:rFonts w:asciiTheme="minorEastAsia" w:hAnsiTheme="minorEastAsia" w:cs="Arial"/>
          <w:kern w:val="0"/>
          <w:sz w:val="24"/>
          <w:szCs w:val="24"/>
        </w:rPr>
        <w:t>202</w:t>
      </w:r>
      <w:r>
        <w:rPr>
          <w:rFonts w:asciiTheme="minorEastAsia" w:hAnsiTheme="minorEastAsia" w:cs="Arial" w:hint="eastAsia"/>
          <w:kern w:val="0"/>
          <w:sz w:val="24"/>
          <w:szCs w:val="24"/>
        </w:rPr>
        <w:t>1</w:t>
      </w:r>
      <w:r>
        <w:rPr>
          <w:rFonts w:asciiTheme="minorEastAsia" w:hAnsiTheme="minorEastAsia" w:cs="Arial"/>
          <w:kern w:val="0"/>
          <w:sz w:val="24"/>
          <w:szCs w:val="24"/>
        </w:rPr>
        <w:t>年12</w:t>
      </w:r>
      <w:r>
        <w:rPr>
          <w:rFonts w:asciiTheme="minorEastAsia" w:hAnsiTheme="minorEastAsia" w:cs="Arial" w:hint="eastAsia"/>
          <w:kern w:val="0"/>
          <w:sz w:val="24"/>
          <w:szCs w:val="24"/>
        </w:rPr>
        <w:t>月</w:t>
      </w:r>
      <w:r w:rsidR="00BA5564">
        <w:rPr>
          <w:rFonts w:asciiTheme="minorEastAsia" w:hAnsiTheme="minorEastAsia" w:cs="Arial" w:hint="eastAsia"/>
          <w:kern w:val="0"/>
          <w:sz w:val="24"/>
          <w:szCs w:val="24"/>
        </w:rPr>
        <w:t>1</w:t>
      </w:r>
      <w:r w:rsidR="00BA5564">
        <w:rPr>
          <w:rFonts w:asciiTheme="minorEastAsia" w:hAnsiTheme="minorEastAsia" w:cs="Arial"/>
          <w:kern w:val="0"/>
          <w:sz w:val="24"/>
          <w:szCs w:val="24"/>
        </w:rPr>
        <w:t>6</w:t>
      </w:r>
      <w:r>
        <w:rPr>
          <w:rFonts w:asciiTheme="minorEastAsia" w:hAnsiTheme="minorEastAsia" w:cs="Arial" w:hint="eastAsia"/>
          <w:kern w:val="0"/>
          <w:sz w:val="24"/>
          <w:szCs w:val="24"/>
        </w:rPr>
        <w:t>日</w:t>
      </w:r>
    </w:p>
    <w:p w14:paraId="0167ADA3" w14:textId="5CF475F6" w:rsidR="00DA4590" w:rsidRPr="00522422" w:rsidRDefault="00DA4590" w:rsidP="0058096F">
      <w:pPr>
        <w:spacing w:line="360" w:lineRule="auto"/>
        <w:ind w:firstLineChars="200" w:firstLine="420"/>
        <w:jc w:val="right"/>
        <w:rPr>
          <w:rFonts w:ascii="宋体" w:eastAsia="宋体" w:hAnsi="宋体"/>
          <w:szCs w:val="21"/>
        </w:rPr>
      </w:pPr>
    </w:p>
    <w:sectPr w:rsidR="00DA4590" w:rsidRPr="0052242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2064" w14:textId="77777777" w:rsidR="00F277E9" w:rsidRDefault="00F277E9" w:rsidP="00BD090D">
      <w:r>
        <w:separator/>
      </w:r>
    </w:p>
  </w:endnote>
  <w:endnote w:type="continuationSeparator" w:id="0">
    <w:p w14:paraId="723DA718" w14:textId="77777777" w:rsidR="00F277E9" w:rsidRDefault="00F277E9" w:rsidP="00BD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579440"/>
      <w:docPartObj>
        <w:docPartGallery w:val="Page Numbers (Bottom of Page)"/>
        <w:docPartUnique/>
      </w:docPartObj>
    </w:sdtPr>
    <w:sdtEndPr/>
    <w:sdtContent>
      <w:p w14:paraId="4C4DF2FA" w14:textId="77777777" w:rsidR="00016488" w:rsidRDefault="00016488">
        <w:pPr>
          <w:pStyle w:val="a5"/>
          <w:jc w:val="center"/>
        </w:pPr>
        <w:r>
          <w:fldChar w:fldCharType="begin"/>
        </w:r>
        <w:r>
          <w:instrText>PAGE   \* MERGEFORMAT</w:instrText>
        </w:r>
        <w:r>
          <w:fldChar w:fldCharType="separate"/>
        </w:r>
        <w:r w:rsidR="005B4776" w:rsidRPr="005B4776">
          <w:rPr>
            <w:noProof/>
            <w:lang w:val="zh-CN"/>
          </w:rPr>
          <w:t>42</w:t>
        </w:r>
        <w:r>
          <w:fldChar w:fldCharType="end"/>
        </w:r>
      </w:p>
    </w:sdtContent>
  </w:sdt>
  <w:p w14:paraId="656F351D" w14:textId="77777777" w:rsidR="00016488" w:rsidRDefault="000164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C113" w14:textId="77777777" w:rsidR="00F277E9" w:rsidRDefault="00F277E9" w:rsidP="00BD090D">
      <w:r>
        <w:separator/>
      </w:r>
    </w:p>
  </w:footnote>
  <w:footnote w:type="continuationSeparator" w:id="0">
    <w:p w14:paraId="1056B9D2" w14:textId="77777777" w:rsidR="00F277E9" w:rsidRDefault="00F277E9" w:rsidP="00BD0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6F3D" w14:textId="6396435C" w:rsidR="00016488" w:rsidRDefault="00016488" w:rsidP="0058096F">
    <w:pPr>
      <w:pStyle w:val="a3"/>
      <w:jc w:val="both"/>
    </w:pPr>
    <w:r w:rsidRPr="00E93E50">
      <w:rPr>
        <w:rFonts w:hint="eastAsia"/>
      </w:rPr>
      <w:t>富荣富合一年定期开放纯债债券型发起式证券投资基金</w:t>
    </w:r>
    <w:r>
      <w:rPr>
        <w:rFonts w:hint="eastAsia"/>
      </w:rPr>
      <w:t>更新的招募说明书（</w:t>
    </w:r>
    <w:r>
      <w:rPr>
        <w:rFonts w:hint="eastAsia"/>
      </w:rPr>
      <w:t>2</w:t>
    </w:r>
    <w:r>
      <w:t>021</w:t>
    </w:r>
    <w:r>
      <w:rPr>
        <w:rFonts w:hint="eastAsia"/>
      </w:rPr>
      <w:t>年第</w:t>
    </w:r>
    <w:r>
      <w:rPr>
        <w:rFonts w:hint="eastAsia"/>
      </w:rPr>
      <w:t>1</w:t>
    </w:r>
    <w:r>
      <w:rPr>
        <w:rFonts w:hint="eastAsia"/>
      </w:rPr>
      <w:t>号）</w:t>
    </w:r>
    <w:r w:rsidRPr="00E93E50">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223"/>
    <w:rsid w:val="00016488"/>
    <w:rsid w:val="00035D1C"/>
    <w:rsid w:val="00046413"/>
    <w:rsid w:val="0005222B"/>
    <w:rsid w:val="00061BCD"/>
    <w:rsid w:val="0009288E"/>
    <w:rsid w:val="000A4C59"/>
    <w:rsid w:val="000C3D67"/>
    <w:rsid w:val="000D659B"/>
    <w:rsid w:val="00161C88"/>
    <w:rsid w:val="001A347F"/>
    <w:rsid w:val="001B50CF"/>
    <w:rsid w:val="001C73C3"/>
    <w:rsid w:val="001D104E"/>
    <w:rsid w:val="001D10A3"/>
    <w:rsid w:val="001E614F"/>
    <w:rsid w:val="001E75B5"/>
    <w:rsid w:val="001E7964"/>
    <w:rsid w:val="001F2704"/>
    <w:rsid w:val="00205813"/>
    <w:rsid w:val="002068C1"/>
    <w:rsid w:val="00223B10"/>
    <w:rsid w:val="0024671C"/>
    <w:rsid w:val="00250153"/>
    <w:rsid w:val="00251116"/>
    <w:rsid w:val="002B4F34"/>
    <w:rsid w:val="002E5C72"/>
    <w:rsid w:val="00300697"/>
    <w:rsid w:val="003101F2"/>
    <w:rsid w:val="00322047"/>
    <w:rsid w:val="003A4A92"/>
    <w:rsid w:val="003C2798"/>
    <w:rsid w:val="00411BD1"/>
    <w:rsid w:val="00411C80"/>
    <w:rsid w:val="0042151A"/>
    <w:rsid w:val="00441384"/>
    <w:rsid w:val="004440CD"/>
    <w:rsid w:val="004721C6"/>
    <w:rsid w:val="004A4EC9"/>
    <w:rsid w:val="004D6AD8"/>
    <w:rsid w:val="004E294C"/>
    <w:rsid w:val="004F087B"/>
    <w:rsid w:val="00505649"/>
    <w:rsid w:val="005116FC"/>
    <w:rsid w:val="00522422"/>
    <w:rsid w:val="00531C80"/>
    <w:rsid w:val="005373A2"/>
    <w:rsid w:val="005453C9"/>
    <w:rsid w:val="00572BE2"/>
    <w:rsid w:val="0058096F"/>
    <w:rsid w:val="00581396"/>
    <w:rsid w:val="00596A63"/>
    <w:rsid w:val="005A6C07"/>
    <w:rsid w:val="005B4776"/>
    <w:rsid w:val="005D29BC"/>
    <w:rsid w:val="005E23C2"/>
    <w:rsid w:val="005E542D"/>
    <w:rsid w:val="005F5D9A"/>
    <w:rsid w:val="006250EC"/>
    <w:rsid w:val="006335CC"/>
    <w:rsid w:val="00644EF7"/>
    <w:rsid w:val="00695C7E"/>
    <w:rsid w:val="006A521B"/>
    <w:rsid w:val="006C7E99"/>
    <w:rsid w:val="006E10CB"/>
    <w:rsid w:val="006F3C0B"/>
    <w:rsid w:val="006F69A3"/>
    <w:rsid w:val="00700DA5"/>
    <w:rsid w:val="007230CF"/>
    <w:rsid w:val="007724F9"/>
    <w:rsid w:val="007734B3"/>
    <w:rsid w:val="00792660"/>
    <w:rsid w:val="00792B91"/>
    <w:rsid w:val="007B2145"/>
    <w:rsid w:val="007B46D0"/>
    <w:rsid w:val="007C0841"/>
    <w:rsid w:val="007C0D56"/>
    <w:rsid w:val="007C4465"/>
    <w:rsid w:val="00806851"/>
    <w:rsid w:val="00810C1B"/>
    <w:rsid w:val="00811F52"/>
    <w:rsid w:val="0081647A"/>
    <w:rsid w:val="00825486"/>
    <w:rsid w:val="00837DE9"/>
    <w:rsid w:val="008426D5"/>
    <w:rsid w:val="008516FA"/>
    <w:rsid w:val="00857128"/>
    <w:rsid w:val="00880B4D"/>
    <w:rsid w:val="00897468"/>
    <w:rsid w:val="008B6770"/>
    <w:rsid w:val="008C61DF"/>
    <w:rsid w:val="008D2446"/>
    <w:rsid w:val="008D3556"/>
    <w:rsid w:val="00902876"/>
    <w:rsid w:val="00907BD5"/>
    <w:rsid w:val="00907F8F"/>
    <w:rsid w:val="00921FC0"/>
    <w:rsid w:val="00934ACD"/>
    <w:rsid w:val="009901B0"/>
    <w:rsid w:val="009A7F85"/>
    <w:rsid w:val="009E4620"/>
    <w:rsid w:val="00A1050D"/>
    <w:rsid w:val="00A55CC7"/>
    <w:rsid w:val="00A602CA"/>
    <w:rsid w:val="00A722CD"/>
    <w:rsid w:val="00A8367A"/>
    <w:rsid w:val="00AB5F11"/>
    <w:rsid w:val="00B02D76"/>
    <w:rsid w:val="00B26A56"/>
    <w:rsid w:val="00B4220F"/>
    <w:rsid w:val="00B54B11"/>
    <w:rsid w:val="00B56404"/>
    <w:rsid w:val="00B711AC"/>
    <w:rsid w:val="00B87954"/>
    <w:rsid w:val="00B95DDF"/>
    <w:rsid w:val="00BA5564"/>
    <w:rsid w:val="00BD090D"/>
    <w:rsid w:val="00BE0A1C"/>
    <w:rsid w:val="00C12B9A"/>
    <w:rsid w:val="00C21C3B"/>
    <w:rsid w:val="00C64F6F"/>
    <w:rsid w:val="00C70A37"/>
    <w:rsid w:val="00C725C5"/>
    <w:rsid w:val="00C74357"/>
    <w:rsid w:val="00C754A8"/>
    <w:rsid w:val="00C8223B"/>
    <w:rsid w:val="00CC6E0E"/>
    <w:rsid w:val="00CD0B04"/>
    <w:rsid w:val="00CD0F27"/>
    <w:rsid w:val="00CE206C"/>
    <w:rsid w:val="00D20A91"/>
    <w:rsid w:val="00D26314"/>
    <w:rsid w:val="00D32A86"/>
    <w:rsid w:val="00D348DA"/>
    <w:rsid w:val="00D46E45"/>
    <w:rsid w:val="00DA4590"/>
    <w:rsid w:val="00DC56B4"/>
    <w:rsid w:val="00DD2138"/>
    <w:rsid w:val="00DE55B3"/>
    <w:rsid w:val="00DE5F02"/>
    <w:rsid w:val="00E660B5"/>
    <w:rsid w:val="00E66B64"/>
    <w:rsid w:val="00E719C4"/>
    <w:rsid w:val="00E93E50"/>
    <w:rsid w:val="00EA4784"/>
    <w:rsid w:val="00EB795A"/>
    <w:rsid w:val="00EC61E5"/>
    <w:rsid w:val="00EF1EBD"/>
    <w:rsid w:val="00EF47E4"/>
    <w:rsid w:val="00EF5223"/>
    <w:rsid w:val="00F277E9"/>
    <w:rsid w:val="00F533AF"/>
    <w:rsid w:val="00F62991"/>
    <w:rsid w:val="00F71A39"/>
    <w:rsid w:val="00F749C9"/>
    <w:rsid w:val="00F84A08"/>
    <w:rsid w:val="00FC49CC"/>
    <w:rsid w:val="00FF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1D03C"/>
  <w15:docId w15:val="{2B732C45-07CE-4D56-B4B9-E23A34F9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D09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9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090D"/>
    <w:rPr>
      <w:sz w:val="18"/>
      <w:szCs w:val="18"/>
    </w:rPr>
  </w:style>
  <w:style w:type="paragraph" w:styleId="a5">
    <w:name w:val="footer"/>
    <w:basedOn w:val="a"/>
    <w:link w:val="a6"/>
    <w:uiPriority w:val="99"/>
    <w:unhideWhenUsed/>
    <w:rsid w:val="00BD090D"/>
    <w:pPr>
      <w:tabs>
        <w:tab w:val="center" w:pos="4153"/>
        <w:tab w:val="right" w:pos="8306"/>
      </w:tabs>
      <w:snapToGrid w:val="0"/>
      <w:jc w:val="left"/>
    </w:pPr>
    <w:rPr>
      <w:sz w:val="18"/>
      <w:szCs w:val="18"/>
    </w:rPr>
  </w:style>
  <w:style w:type="character" w:customStyle="1" w:styleId="a6">
    <w:name w:val="页脚 字符"/>
    <w:basedOn w:val="a0"/>
    <w:link w:val="a5"/>
    <w:uiPriority w:val="99"/>
    <w:rsid w:val="00BD090D"/>
    <w:rPr>
      <w:sz w:val="18"/>
      <w:szCs w:val="18"/>
    </w:rPr>
  </w:style>
  <w:style w:type="paragraph" w:customStyle="1" w:styleId="2">
    <w:name w:val="！正文缩进2字符"/>
    <w:basedOn w:val="a"/>
    <w:qFormat/>
    <w:rsid w:val="00BD090D"/>
    <w:pPr>
      <w:widowControl/>
      <w:spacing w:line="360" w:lineRule="auto"/>
      <w:ind w:firstLineChars="200" w:firstLine="200"/>
    </w:pPr>
    <w:rPr>
      <w:rFonts w:ascii="Times New Roman" w:eastAsia="宋体" w:hAnsi="Times New Roman" w:cs="Times New Roman"/>
      <w:sz w:val="24"/>
      <w:szCs w:val="24"/>
    </w:rPr>
  </w:style>
  <w:style w:type="character" w:customStyle="1" w:styleId="10">
    <w:name w:val="标题 1 字符"/>
    <w:basedOn w:val="a0"/>
    <w:link w:val="1"/>
    <w:rsid w:val="00BD090D"/>
    <w:rPr>
      <w:b/>
      <w:bCs/>
      <w:kern w:val="44"/>
      <w:sz w:val="44"/>
      <w:szCs w:val="44"/>
    </w:rPr>
  </w:style>
  <w:style w:type="paragraph" w:styleId="TOC">
    <w:name w:val="TOC Heading"/>
    <w:basedOn w:val="1"/>
    <w:next w:val="a"/>
    <w:uiPriority w:val="39"/>
    <w:unhideWhenUsed/>
    <w:qFormat/>
    <w:rsid w:val="00BD090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a8"/>
    <w:unhideWhenUsed/>
    <w:rsid w:val="00BD090D"/>
    <w:rPr>
      <w:sz w:val="18"/>
      <w:szCs w:val="18"/>
    </w:rPr>
  </w:style>
  <w:style w:type="character" w:customStyle="1" w:styleId="a8">
    <w:name w:val="批注框文本 字符"/>
    <w:basedOn w:val="a0"/>
    <w:link w:val="a7"/>
    <w:rsid w:val="00BD090D"/>
    <w:rPr>
      <w:sz w:val="18"/>
      <w:szCs w:val="18"/>
    </w:rPr>
  </w:style>
  <w:style w:type="paragraph" w:styleId="TOC1">
    <w:name w:val="toc 1"/>
    <w:basedOn w:val="a"/>
    <w:next w:val="a"/>
    <w:autoRedefine/>
    <w:uiPriority w:val="39"/>
    <w:unhideWhenUsed/>
    <w:rsid w:val="00BD090D"/>
  </w:style>
  <w:style w:type="character" w:styleId="a9">
    <w:name w:val="Hyperlink"/>
    <w:uiPriority w:val="99"/>
    <w:rsid w:val="00BD090D"/>
    <w:rPr>
      <w:color w:val="0000FF"/>
      <w:u w:val="single"/>
    </w:rPr>
  </w:style>
  <w:style w:type="paragraph" w:styleId="aa">
    <w:name w:val="Revision"/>
    <w:hidden/>
    <w:uiPriority w:val="99"/>
    <w:semiHidden/>
    <w:rsid w:val="005453C9"/>
  </w:style>
  <w:style w:type="table" w:styleId="ab">
    <w:name w:val="Table Grid"/>
    <w:basedOn w:val="a1"/>
    <w:qFormat/>
    <w:rsid w:val="00FF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348DA"/>
    <w:rPr>
      <w:sz w:val="21"/>
      <w:szCs w:val="21"/>
    </w:rPr>
  </w:style>
  <w:style w:type="paragraph" w:styleId="ad">
    <w:name w:val="annotation text"/>
    <w:basedOn w:val="a"/>
    <w:link w:val="ae"/>
    <w:uiPriority w:val="99"/>
    <w:semiHidden/>
    <w:unhideWhenUsed/>
    <w:rsid w:val="00D348DA"/>
    <w:pPr>
      <w:jc w:val="left"/>
    </w:pPr>
  </w:style>
  <w:style w:type="character" w:customStyle="1" w:styleId="ae">
    <w:name w:val="批注文字 字符"/>
    <w:basedOn w:val="a0"/>
    <w:link w:val="ad"/>
    <w:uiPriority w:val="99"/>
    <w:semiHidden/>
    <w:rsid w:val="00D348DA"/>
  </w:style>
  <w:style w:type="paragraph" w:styleId="af">
    <w:name w:val="annotation subject"/>
    <w:basedOn w:val="ad"/>
    <w:next w:val="ad"/>
    <w:link w:val="af0"/>
    <w:uiPriority w:val="99"/>
    <w:semiHidden/>
    <w:unhideWhenUsed/>
    <w:rsid w:val="00D348DA"/>
    <w:rPr>
      <w:b/>
      <w:bCs/>
    </w:rPr>
  </w:style>
  <w:style w:type="character" w:customStyle="1" w:styleId="af0">
    <w:name w:val="批注主题 字符"/>
    <w:basedOn w:val="ae"/>
    <w:link w:val="af"/>
    <w:uiPriority w:val="99"/>
    <w:semiHidden/>
    <w:rsid w:val="00D348DA"/>
    <w:rPr>
      <w:b/>
      <w:bCs/>
    </w:rPr>
  </w:style>
  <w:style w:type="paragraph" w:customStyle="1" w:styleId="zhangjiep2">
    <w:name w:val="zhangjie_p2"/>
    <w:basedOn w:val="a"/>
    <w:rsid w:val="003C2798"/>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biaogeleft">
    <w:name w:val="biaoge_left"/>
    <w:basedOn w:val="a"/>
    <w:rsid w:val="003C2798"/>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rsid w:val="003C2798"/>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neirong">
    <w:name w:val="neirong"/>
    <w:basedOn w:val="a"/>
    <w:rsid w:val="003C2798"/>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zhangjiep">
    <w:name w:val="zhangjie_p"/>
    <w:basedOn w:val="a"/>
    <w:rsid w:val="003C2798"/>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biaogeright">
    <w:name w:val="biaoge_right"/>
    <w:basedOn w:val="a"/>
    <w:rsid w:val="003C2798"/>
    <w:pPr>
      <w:widowControl/>
      <w:autoSpaceDE w:val="0"/>
      <w:autoSpaceDN w:val="0"/>
      <w:adjustRightInd w:val="0"/>
      <w:spacing w:before="29" w:line="288" w:lineRule="auto"/>
      <w:ind w:left="15"/>
      <w:jc w:val="righ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BAA8-23F8-4C27-BA0A-AE7F0ABE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112</Pages>
  <Words>12660</Words>
  <Characters>72166</Characters>
  <Application>Microsoft Office Word</Application>
  <DocSecurity>0</DocSecurity>
  <Lines>601</Lines>
  <Paragraphs>169</Paragraphs>
  <ScaleCrop>false</ScaleCrop>
  <Company/>
  <LinksUpToDate>false</LinksUpToDate>
  <CharactersWithSpaces>84657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徐铮</cp:lastModifiedBy>
  <cp:lastPrinted>2020-08-26T09:06:00Z</cp:lastPrinted>
  <dcterms:created xsi:type="dcterms:W3CDTF">2020-10-26T05:04:00Z</dcterms:created>
  <dcterms:modified xsi:type="dcterms:W3CDTF">2021-12-14T01:53:00Z</dcterms:modified>
</cp:coreProperties>
</file>