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9A8D" w14:textId="77777777" w:rsidR="00AC3A9B" w:rsidRDefault="00AC3A9B">
      <w:pPr>
        <w:tabs>
          <w:tab w:val="left" w:pos="6660"/>
        </w:tabs>
        <w:spacing w:line="360" w:lineRule="auto"/>
        <w:jc w:val="center"/>
        <w:rPr>
          <w:rFonts w:asciiTheme="minorEastAsia" w:hAnsiTheme="minorEastAsia" w:cs="Times New Roman"/>
          <w:bCs/>
          <w:sz w:val="48"/>
          <w:szCs w:val="48"/>
        </w:rPr>
      </w:pPr>
    </w:p>
    <w:p w14:paraId="28E6FBC0" w14:textId="77777777" w:rsidR="00AC3A9B" w:rsidRDefault="00AC3A9B">
      <w:pPr>
        <w:spacing w:line="360" w:lineRule="auto"/>
        <w:jc w:val="center"/>
        <w:rPr>
          <w:rFonts w:asciiTheme="minorEastAsia" w:hAnsiTheme="minorEastAsia" w:cs="Times New Roman"/>
          <w:b/>
          <w:sz w:val="48"/>
          <w:szCs w:val="48"/>
        </w:rPr>
      </w:pPr>
    </w:p>
    <w:p w14:paraId="4054B723" w14:textId="77777777" w:rsidR="00AC3A9B" w:rsidRDefault="00AC3A9B">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39991729"/>
      <w:bookmarkStart w:id="3" w:name="_Toc123112227"/>
    </w:p>
    <w:p w14:paraId="0D029102" w14:textId="77777777" w:rsidR="00AC3A9B" w:rsidRDefault="002C3C29">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富荣福锦混合型证券投资基金</w:t>
      </w:r>
    </w:p>
    <w:p w14:paraId="3681C4A8" w14:textId="77777777" w:rsidR="00AC3A9B" w:rsidRDefault="002C3C29">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更新的招募说明书</w:t>
      </w:r>
    </w:p>
    <w:p w14:paraId="2B622D16" w14:textId="00934FA2" w:rsidR="00AC3A9B" w:rsidRDefault="002C3C29">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w:t>
      </w:r>
      <w:r w:rsidR="00761273">
        <w:rPr>
          <w:rFonts w:ascii="Arial" w:eastAsia="宋体" w:hAnsi="宋体" w:cs="Arial" w:hint="eastAsia"/>
          <w:b/>
          <w:sz w:val="48"/>
          <w:szCs w:val="48"/>
        </w:rPr>
        <w:t>2022</w:t>
      </w:r>
      <w:r w:rsidR="00761273">
        <w:rPr>
          <w:rFonts w:ascii="Arial" w:eastAsia="宋体" w:hAnsi="宋体" w:cs="Arial" w:hint="eastAsia"/>
          <w:b/>
          <w:sz w:val="48"/>
          <w:szCs w:val="48"/>
        </w:rPr>
        <w:t>年第</w:t>
      </w:r>
      <w:r w:rsidR="00761273">
        <w:rPr>
          <w:rFonts w:ascii="Arial" w:eastAsia="宋体" w:hAnsi="宋体" w:cs="Arial" w:hint="eastAsia"/>
          <w:b/>
          <w:sz w:val="48"/>
          <w:szCs w:val="48"/>
        </w:rPr>
        <w:t>1</w:t>
      </w:r>
      <w:r w:rsidR="00761273">
        <w:rPr>
          <w:rFonts w:ascii="Arial" w:eastAsia="宋体" w:hAnsi="宋体" w:cs="Arial" w:hint="eastAsia"/>
          <w:b/>
          <w:sz w:val="48"/>
          <w:szCs w:val="48"/>
        </w:rPr>
        <w:t>号</w:t>
      </w:r>
      <w:r>
        <w:rPr>
          <w:rFonts w:ascii="Arial" w:eastAsia="宋体" w:hAnsi="宋体" w:cs="Arial" w:hint="eastAsia"/>
          <w:b/>
          <w:sz w:val="48"/>
          <w:szCs w:val="48"/>
        </w:rPr>
        <w:t>）</w:t>
      </w:r>
    </w:p>
    <w:p w14:paraId="7068667A" w14:textId="77777777" w:rsidR="00AC3A9B" w:rsidRDefault="00AC3A9B">
      <w:pPr>
        <w:adjustRightInd w:val="0"/>
        <w:snapToGrid w:val="0"/>
        <w:spacing w:line="360" w:lineRule="auto"/>
        <w:jc w:val="center"/>
        <w:rPr>
          <w:rFonts w:asciiTheme="minorEastAsia" w:hAnsiTheme="minorEastAsia" w:cs="Times New Roman"/>
          <w:b/>
          <w:sz w:val="36"/>
          <w:szCs w:val="36"/>
        </w:rPr>
      </w:pPr>
    </w:p>
    <w:p w14:paraId="70304D14" w14:textId="77777777" w:rsidR="00AC3A9B" w:rsidRDefault="00AC3A9B">
      <w:pPr>
        <w:adjustRightInd w:val="0"/>
        <w:snapToGrid w:val="0"/>
        <w:spacing w:line="360" w:lineRule="auto"/>
        <w:jc w:val="center"/>
        <w:rPr>
          <w:rFonts w:asciiTheme="minorEastAsia" w:hAnsiTheme="minorEastAsia" w:cs="Arial"/>
          <w:sz w:val="36"/>
          <w:szCs w:val="36"/>
        </w:rPr>
      </w:pPr>
    </w:p>
    <w:p w14:paraId="0809F4BA" w14:textId="77777777" w:rsidR="00AC3A9B" w:rsidRDefault="00AC3A9B">
      <w:pPr>
        <w:adjustRightInd w:val="0"/>
        <w:snapToGrid w:val="0"/>
        <w:spacing w:line="360" w:lineRule="auto"/>
        <w:jc w:val="center"/>
        <w:rPr>
          <w:rFonts w:asciiTheme="minorEastAsia" w:hAnsiTheme="minorEastAsia" w:cs="Arial"/>
          <w:sz w:val="36"/>
          <w:szCs w:val="36"/>
        </w:rPr>
      </w:pPr>
    </w:p>
    <w:p w14:paraId="00FE2BD0" w14:textId="77777777" w:rsidR="00AC3A9B" w:rsidRDefault="00AC3A9B">
      <w:pPr>
        <w:adjustRightInd w:val="0"/>
        <w:snapToGrid w:val="0"/>
        <w:spacing w:line="360" w:lineRule="auto"/>
        <w:jc w:val="center"/>
        <w:rPr>
          <w:rFonts w:asciiTheme="minorEastAsia" w:hAnsiTheme="minorEastAsia" w:cs="Arial"/>
          <w:sz w:val="36"/>
          <w:szCs w:val="36"/>
        </w:rPr>
      </w:pPr>
    </w:p>
    <w:p w14:paraId="31E36C6E" w14:textId="77777777" w:rsidR="00AC3A9B" w:rsidRDefault="00AC3A9B">
      <w:pPr>
        <w:adjustRightInd w:val="0"/>
        <w:snapToGrid w:val="0"/>
        <w:spacing w:line="360" w:lineRule="auto"/>
        <w:jc w:val="center"/>
        <w:rPr>
          <w:rFonts w:asciiTheme="minorEastAsia" w:hAnsiTheme="minorEastAsia" w:cs="Arial"/>
          <w:sz w:val="36"/>
          <w:szCs w:val="36"/>
        </w:rPr>
      </w:pPr>
    </w:p>
    <w:p w14:paraId="7CC395B2" w14:textId="77777777" w:rsidR="00AC3A9B" w:rsidRDefault="00AC3A9B">
      <w:pPr>
        <w:adjustRightInd w:val="0"/>
        <w:snapToGrid w:val="0"/>
        <w:spacing w:line="360" w:lineRule="auto"/>
        <w:jc w:val="center"/>
        <w:rPr>
          <w:rFonts w:asciiTheme="minorEastAsia" w:hAnsiTheme="minorEastAsia" w:cs="Arial"/>
          <w:sz w:val="36"/>
          <w:szCs w:val="36"/>
        </w:rPr>
      </w:pPr>
    </w:p>
    <w:p w14:paraId="7652BBEB" w14:textId="77777777" w:rsidR="00AC3A9B" w:rsidRDefault="00AC3A9B">
      <w:pPr>
        <w:adjustRightInd w:val="0"/>
        <w:snapToGrid w:val="0"/>
        <w:spacing w:line="360" w:lineRule="auto"/>
        <w:jc w:val="center"/>
        <w:rPr>
          <w:rFonts w:asciiTheme="minorEastAsia" w:hAnsiTheme="minorEastAsia" w:cs="Arial"/>
          <w:sz w:val="36"/>
          <w:szCs w:val="36"/>
        </w:rPr>
      </w:pPr>
    </w:p>
    <w:p w14:paraId="5F001E54" w14:textId="77777777" w:rsidR="00AC3A9B" w:rsidRDefault="002C3C29">
      <w:pPr>
        <w:snapToGrid w:val="0"/>
        <w:spacing w:line="360" w:lineRule="auto"/>
        <w:jc w:val="center"/>
        <w:rPr>
          <w:rFonts w:ascii="Arial" w:eastAsia="宋体" w:hAnsi="Arial" w:cs="Times New Roman"/>
          <w:b/>
          <w:sz w:val="36"/>
          <w:szCs w:val="36"/>
        </w:rPr>
      </w:pPr>
      <w:bookmarkStart w:id="4" w:name="_Toc123112224"/>
      <w:bookmarkStart w:id="5" w:name="_Toc123701383"/>
      <w:bookmarkStart w:id="6" w:name="_Toc123112263"/>
      <w:bookmarkStart w:id="7" w:name="_Toc139992301"/>
      <w:bookmarkStart w:id="8" w:name="_Toc139991726"/>
      <w:r>
        <w:rPr>
          <w:rFonts w:ascii="Arial" w:eastAsia="宋体" w:hAnsi="Arial" w:cs="Times New Roman" w:hint="eastAsia"/>
          <w:b/>
          <w:sz w:val="36"/>
          <w:szCs w:val="36"/>
        </w:rPr>
        <w:t>基金管理人：</w:t>
      </w:r>
      <w:bookmarkEnd w:id="4"/>
      <w:bookmarkEnd w:id="5"/>
      <w:bookmarkEnd w:id="6"/>
      <w:bookmarkEnd w:id="7"/>
      <w:bookmarkEnd w:id="8"/>
      <w:r>
        <w:rPr>
          <w:rFonts w:ascii="Arial" w:eastAsia="宋体" w:hAnsi="Arial" w:cs="Times New Roman" w:hint="eastAsia"/>
          <w:b/>
          <w:sz w:val="36"/>
          <w:szCs w:val="36"/>
        </w:rPr>
        <w:t>富荣基金管理有限公司</w:t>
      </w:r>
    </w:p>
    <w:p w14:paraId="22987561" w14:textId="77777777" w:rsidR="00AC3A9B" w:rsidRDefault="002C3C29">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23112264"/>
      <w:bookmarkStart w:id="11" w:name="_Toc123701384"/>
      <w:bookmarkStart w:id="12" w:name="_Toc123112225"/>
      <w:bookmarkStart w:id="13" w:name="_Toc139991727"/>
      <w:r>
        <w:rPr>
          <w:rFonts w:ascii="Arial" w:eastAsia="宋体" w:hAnsi="Arial" w:cs="Times New Roman" w:hint="eastAsia"/>
          <w:b/>
          <w:sz w:val="36"/>
          <w:szCs w:val="36"/>
        </w:rPr>
        <w:t>基金托管人：</w:t>
      </w:r>
      <w:bookmarkEnd w:id="9"/>
      <w:bookmarkEnd w:id="10"/>
      <w:bookmarkEnd w:id="11"/>
      <w:bookmarkEnd w:id="12"/>
      <w:bookmarkEnd w:id="13"/>
      <w:r>
        <w:rPr>
          <w:rFonts w:ascii="Arial" w:eastAsia="宋体" w:hAnsi="Arial" w:cs="Times New Roman" w:hint="eastAsia"/>
          <w:b/>
          <w:sz w:val="36"/>
          <w:szCs w:val="36"/>
        </w:rPr>
        <w:t>平安银行股份有限公司</w:t>
      </w:r>
    </w:p>
    <w:p w14:paraId="4DDBBD30" w14:textId="77777777" w:rsidR="00AC3A9B"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01F5C810" w14:textId="77777777" w:rsidR="00AC3A9B"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4D08B753" w14:textId="77777777" w:rsidR="00AC3A9B" w:rsidRDefault="00AC3A9B">
      <w:pPr>
        <w:widowControl/>
        <w:spacing w:line="360" w:lineRule="auto"/>
        <w:rPr>
          <w:rFonts w:ascii="Arial" w:eastAsia="宋体" w:hAnsi="Arial" w:cs="Arial"/>
          <w:b/>
          <w:bCs/>
          <w:kern w:val="0"/>
          <w:sz w:val="28"/>
          <w:szCs w:val="28"/>
        </w:rPr>
        <w:sectPr w:rsidR="00AC3A9B">
          <w:headerReference w:type="default" r:id="rId9"/>
          <w:footerReference w:type="default" r:id="rId10"/>
          <w:pgSz w:w="11906" w:h="16838"/>
          <w:pgMar w:top="1440" w:right="1800" w:bottom="1440" w:left="1800" w:header="851" w:footer="992" w:gutter="0"/>
          <w:pgNumType w:start="1"/>
          <w:cols w:space="720"/>
          <w:titlePg/>
          <w:docGrid w:type="lines" w:linePitch="312"/>
        </w:sectPr>
      </w:pPr>
    </w:p>
    <w:p w14:paraId="626DB6C1" w14:textId="77777777" w:rsidR="00AC3A9B" w:rsidRDefault="002C3C29">
      <w:pPr>
        <w:autoSpaceDE w:val="0"/>
        <w:autoSpaceDN w:val="0"/>
        <w:adjustRightInd w:val="0"/>
        <w:snapToGrid w:val="0"/>
        <w:spacing w:line="360" w:lineRule="auto"/>
        <w:jc w:val="center"/>
        <w:rPr>
          <w:rFonts w:ascii="Arial" w:eastAsia="宋体" w:hAnsi="Arial" w:cs="Arial"/>
          <w:b/>
          <w:bCs/>
          <w:sz w:val="30"/>
          <w:szCs w:val="30"/>
        </w:rPr>
      </w:pPr>
      <w:r>
        <w:rPr>
          <w:rFonts w:ascii="Arial" w:eastAsia="宋体" w:hAnsi="Arial" w:cs="Arial" w:hint="eastAsia"/>
          <w:b/>
          <w:bCs/>
          <w:sz w:val="30"/>
          <w:szCs w:val="30"/>
        </w:rPr>
        <w:lastRenderedPageBreak/>
        <w:t>【重要提示】</w:t>
      </w:r>
    </w:p>
    <w:p w14:paraId="26090586" w14:textId="77777777" w:rsidR="00AC3A9B" w:rsidRDefault="00AC3A9B">
      <w:pPr>
        <w:autoSpaceDE w:val="0"/>
        <w:autoSpaceDN w:val="0"/>
        <w:adjustRightInd w:val="0"/>
        <w:snapToGrid w:val="0"/>
        <w:spacing w:line="360" w:lineRule="auto"/>
        <w:jc w:val="center"/>
        <w:rPr>
          <w:rFonts w:ascii="Arial" w:eastAsia="宋体" w:hAnsi="Arial" w:cs="Arial"/>
          <w:b/>
          <w:bCs/>
          <w:szCs w:val="21"/>
        </w:rPr>
      </w:pPr>
    </w:p>
    <w:p w14:paraId="43259F60" w14:textId="77777777"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本基金根据</w:t>
      </w:r>
      <w:r>
        <w:rPr>
          <w:rFonts w:asciiTheme="minorEastAsia" w:hAnsiTheme="minorEastAsia" w:cs="Arial" w:hint="eastAsia"/>
          <w:bCs/>
          <w:color w:val="000000"/>
          <w:sz w:val="24"/>
          <w:szCs w:val="24"/>
        </w:rPr>
        <w:t>2017年6月16日</w:t>
      </w:r>
      <w:r>
        <w:rPr>
          <w:rFonts w:asciiTheme="minorEastAsia" w:hAnsiTheme="minorEastAsia" w:cs="Arial" w:hint="eastAsia"/>
          <w:kern w:val="0"/>
          <w:sz w:val="24"/>
          <w:szCs w:val="24"/>
        </w:rPr>
        <w:t>中国证券监督管理委员会（以下简称“中国证监会”）《关于准予富荣福锦混合型证券投资基金注册的批复》（</w:t>
      </w:r>
      <w:r>
        <w:rPr>
          <w:rFonts w:asciiTheme="minorEastAsia" w:hAnsiTheme="minorEastAsia" w:cs="Arial" w:hint="eastAsia"/>
          <w:bCs/>
          <w:color w:val="000000"/>
          <w:kern w:val="0"/>
          <w:sz w:val="24"/>
          <w:szCs w:val="24"/>
        </w:rPr>
        <w:t>证监许可</w:t>
      </w:r>
      <w:r>
        <w:rPr>
          <w:rFonts w:asciiTheme="minorEastAsia" w:hAnsiTheme="minorEastAsia" w:cs="Arial" w:hint="eastAsia"/>
          <w:bCs/>
          <w:color w:val="000000"/>
          <w:sz w:val="24"/>
          <w:szCs w:val="24"/>
        </w:rPr>
        <w:t>[2017]931号</w:t>
      </w:r>
      <w:r>
        <w:rPr>
          <w:rFonts w:asciiTheme="minorEastAsia" w:hAnsiTheme="minorEastAsia" w:cs="Arial" w:hint="eastAsia"/>
          <w:bCs/>
          <w:color w:val="000000"/>
          <w:kern w:val="0"/>
          <w:sz w:val="24"/>
          <w:szCs w:val="24"/>
        </w:rPr>
        <w:t>）进行募集。</w:t>
      </w:r>
      <w:r>
        <w:rPr>
          <w:rFonts w:asciiTheme="minorEastAsia" w:hAnsiTheme="minorEastAsia" w:cs="Arial" w:hint="eastAsia"/>
          <w:kern w:val="0"/>
          <w:sz w:val="24"/>
          <w:szCs w:val="24"/>
        </w:rPr>
        <w:t>本基金于2018年3月16日正式生效。</w:t>
      </w:r>
    </w:p>
    <w:p w14:paraId="155FFA79" w14:textId="77777777"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p>
    <w:p w14:paraId="1E18AA35" w14:textId="77777777"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属于混合型基金，其预期的风险和收益高于货币市场基金、债券基金，低于股票型基金，属于证券投资基金中中高风险、中高预期收益的品种。</w:t>
      </w:r>
    </w:p>
    <w:p w14:paraId="33467A36" w14:textId="77777777" w:rsidR="00AC3A9B" w:rsidRDefault="002C3C29">
      <w:pPr>
        <w:adjustRightInd w:val="0"/>
        <w:snapToGrid w:val="0"/>
        <w:spacing w:line="360" w:lineRule="auto"/>
        <w:ind w:firstLine="480"/>
        <w:rPr>
          <w:rFonts w:asciiTheme="minorEastAsia" w:hAnsiTheme="minorEastAsia" w:cs="Arial"/>
          <w:sz w:val="24"/>
          <w:szCs w:val="24"/>
        </w:rPr>
      </w:pPr>
      <w:r>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31CB43FB" w14:textId="77777777"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5DFBD045" w14:textId="77777777"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本基金以</w:t>
      </w:r>
      <w:r>
        <w:rPr>
          <w:rFonts w:asciiTheme="minorEastAsia" w:hAnsiTheme="minorEastAsia" w:cs="Arial"/>
          <w:sz w:val="24"/>
          <w:szCs w:val="24"/>
        </w:rPr>
        <w:t>1.00</w:t>
      </w:r>
      <w:r>
        <w:rPr>
          <w:rFonts w:asciiTheme="minorEastAsia" w:hAnsiTheme="minorEastAsia" w:cs="Arial" w:hint="eastAsia"/>
          <w:sz w:val="24"/>
          <w:szCs w:val="24"/>
        </w:rPr>
        <w:t>元发售面值募集基金份额，在市场波动等因素的影响下，基金投资有可能出现亏损或基金份额净值低于初始面值。</w:t>
      </w:r>
    </w:p>
    <w:p w14:paraId="2071C9F9" w14:textId="77777777"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485E264E" w14:textId="77777777"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原则，在作出投资决策后，基金运营状况与基金净值变化引致的投</w:t>
      </w:r>
      <w:r>
        <w:rPr>
          <w:rFonts w:asciiTheme="minorEastAsia" w:hAnsiTheme="minorEastAsia" w:cs="Arial" w:hint="eastAsia"/>
          <w:sz w:val="24"/>
          <w:szCs w:val="24"/>
        </w:rPr>
        <w:lastRenderedPageBreak/>
        <w:t>资风险，由投资者自行承担。</w:t>
      </w:r>
    </w:p>
    <w:p w14:paraId="5EF057CC" w14:textId="3F8198FE"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本招募说明书的</w:t>
      </w:r>
      <w:r w:rsidR="00440CA4">
        <w:rPr>
          <w:rFonts w:asciiTheme="minorEastAsia" w:hAnsiTheme="minorEastAsia" w:cs="Arial" w:hint="eastAsia"/>
          <w:sz w:val="24"/>
          <w:szCs w:val="24"/>
        </w:rPr>
        <w:t>所载</w:t>
      </w:r>
      <w:r>
        <w:rPr>
          <w:rFonts w:asciiTheme="minorEastAsia" w:hAnsiTheme="minorEastAsia" w:cs="Arial" w:hint="eastAsia"/>
          <w:sz w:val="24"/>
          <w:szCs w:val="24"/>
        </w:rPr>
        <w:t>内容截止日为202</w:t>
      </w:r>
      <w:r w:rsidR="00761273">
        <w:rPr>
          <w:rFonts w:asciiTheme="minorEastAsia" w:hAnsiTheme="minorEastAsia" w:cs="Arial"/>
          <w:sz w:val="24"/>
          <w:szCs w:val="24"/>
        </w:rPr>
        <w:t>2</w:t>
      </w:r>
      <w:r>
        <w:rPr>
          <w:rFonts w:asciiTheme="minorEastAsia" w:hAnsiTheme="minorEastAsia" w:cs="Arial" w:hint="eastAsia"/>
          <w:sz w:val="24"/>
          <w:szCs w:val="24"/>
        </w:rPr>
        <w:t>年</w:t>
      </w:r>
      <w:r w:rsidR="00761273">
        <w:rPr>
          <w:rFonts w:asciiTheme="minorEastAsia" w:hAnsiTheme="minorEastAsia" w:cs="Arial"/>
          <w:sz w:val="24"/>
          <w:szCs w:val="24"/>
        </w:rPr>
        <w:t>4</w:t>
      </w:r>
      <w:r>
        <w:rPr>
          <w:rFonts w:asciiTheme="minorEastAsia" w:hAnsiTheme="minorEastAsia" w:cs="Arial" w:hint="eastAsia"/>
          <w:sz w:val="24"/>
          <w:szCs w:val="24"/>
        </w:rPr>
        <w:t>月</w:t>
      </w:r>
      <w:r w:rsidR="00761273">
        <w:rPr>
          <w:rFonts w:asciiTheme="minorEastAsia" w:hAnsiTheme="minorEastAsia" w:cs="Arial"/>
          <w:sz w:val="24"/>
          <w:szCs w:val="24"/>
        </w:rPr>
        <w:t>6</w:t>
      </w:r>
      <w:r>
        <w:rPr>
          <w:rFonts w:asciiTheme="minorEastAsia" w:hAnsiTheme="minorEastAsia" w:cs="Arial" w:hint="eastAsia"/>
          <w:sz w:val="24"/>
          <w:szCs w:val="24"/>
        </w:rPr>
        <w:t>日，有关财务数据截止日为</w:t>
      </w:r>
      <w:r w:rsidR="00440CA4">
        <w:rPr>
          <w:rFonts w:asciiTheme="minorEastAsia" w:hAnsiTheme="minorEastAsia" w:cs="Arial" w:hint="eastAsia"/>
          <w:sz w:val="24"/>
          <w:szCs w:val="24"/>
        </w:rPr>
        <w:t>20</w:t>
      </w:r>
      <w:r w:rsidR="00440CA4">
        <w:rPr>
          <w:rFonts w:asciiTheme="minorEastAsia" w:hAnsiTheme="minorEastAsia" w:cs="Arial"/>
          <w:sz w:val="24"/>
          <w:szCs w:val="24"/>
        </w:rPr>
        <w:t>2</w:t>
      </w:r>
      <w:r w:rsidR="00761273">
        <w:rPr>
          <w:rFonts w:asciiTheme="minorEastAsia" w:hAnsiTheme="minorEastAsia" w:cs="Arial"/>
          <w:sz w:val="24"/>
          <w:szCs w:val="24"/>
        </w:rPr>
        <w:t>2</w:t>
      </w:r>
      <w:r>
        <w:rPr>
          <w:rFonts w:asciiTheme="minorEastAsia" w:hAnsiTheme="minorEastAsia" w:cs="Arial" w:hint="eastAsia"/>
          <w:sz w:val="24"/>
          <w:szCs w:val="24"/>
        </w:rPr>
        <w:t>年</w:t>
      </w:r>
      <w:r w:rsidR="00761273">
        <w:rPr>
          <w:rFonts w:asciiTheme="minorEastAsia" w:hAnsiTheme="minorEastAsia" w:cs="Arial"/>
          <w:sz w:val="24"/>
          <w:szCs w:val="24"/>
        </w:rPr>
        <w:t>3</w:t>
      </w:r>
      <w:r>
        <w:rPr>
          <w:rFonts w:asciiTheme="minorEastAsia" w:hAnsiTheme="minorEastAsia" w:cs="Arial" w:hint="eastAsia"/>
          <w:sz w:val="24"/>
          <w:szCs w:val="24"/>
        </w:rPr>
        <w:t>月31日，净值表现截止日为</w:t>
      </w:r>
      <w:r w:rsidR="00440CA4">
        <w:rPr>
          <w:rFonts w:asciiTheme="minorEastAsia" w:hAnsiTheme="minorEastAsia" w:cs="Arial" w:hint="eastAsia"/>
          <w:sz w:val="24"/>
          <w:szCs w:val="24"/>
        </w:rPr>
        <w:t>20</w:t>
      </w:r>
      <w:r w:rsidR="00440CA4">
        <w:rPr>
          <w:rFonts w:asciiTheme="minorEastAsia" w:hAnsiTheme="minorEastAsia" w:cs="Arial"/>
          <w:sz w:val="24"/>
          <w:szCs w:val="24"/>
        </w:rPr>
        <w:t>2</w:t>
      </w:r>
      <w:r w:rsidR="00761273">
        <w:rPr>
          <w:rFonts w:asciiTheme="minorEastAsia" w:hAnsiTheme="minorEastAsia" w:cs="Arial"/>
          <w:sz w:val="24"/>
          <w:szCs w:val="24"/>
        </w:rPr>
        <w:t>2</w:t>
      </w:r>
      <w:r>
        <w:rPr>
          <w:rFonts w:asciiTheme="minorEastAsia" w:hAnsiTheme="minorEastAsia" w:cs="Arial" w:hint="eastAsia"/>
          <w:sz w:val="24"/>
          <w:szCs w:val="24"/>
        </w:rPr>
        <w:t>年</w:t>
      </w:r>
      <w:r w:rsidR="00761273">
        <w:rPr>
          <w:rFonts w:asciiTheme="minorEastAsia" w:hAnsiTheme="minorEastAsia" w:cs="Arial"/>
          <w:sz w:val="24"/>
          <w:szCs w:val="24"/>
        </w:rPr>
        <w:t>3</w:t>
      </w:r>
      <w:r>
        <w:rPr>
          <w:rFonts w:asciiTheme="minorEastAsia" w:hAnsiTheme="minorEastAsia" w:cs="Arial" w:hint="eastAsia"/>
          <w:sz w:val="24"/>
          <w:szCs w:val="24"/>
        </w:rPr>
        <w:t>月31日，本报告中所列财务数据未经审计。</w:t>
      </w:r>
    </w:p>
    <w:p w14:paraId="54D5EFC0" w14:textId="69D72123" w:rsidR="00AC3A9B" w:rsidRPr="00440CA4" w:rsidRDefault="00440CA4" w:rsidP="00AD2934">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本基金托管人平安银行股份有限公司已复核了本次更新的招募说明书。</w:t>
      </w:r>
    </w:p>
    <w:p w14:paraId="2E5B8B77" w14:textId="77777777" w:rsidR="00AC3A9B" w:rsidRDefault="00AC3A9B">
      <w:pPr>
        <w:autoSpaceDE w:val="0"/>
        <w:autoSpaceDN w:val="0"/>
        <w:adjustRightInd w:val="0"/>
        <w:snapToGrid w:val="0"/>
        <w:spacing w:line="360" w:lineRule="auto"/>
        <w:jc w:val="center"/>
        <w:rPr>
          <w:rFonts w:ascii="Arial" w:eastAsia="宋体" w:hAnsi="Arial" w:cs="Arial"/>
          <w:b/>
          <w:bCs/>
          <w:sz w:val="28"/>
          <w:szCs w:val="28"/>
        </w:rPr>
      </w:pPr>
    </w:p>
    <w:p w14:paraId="09023198" w14:textId="77777777" w:rsidR="00AC3A9B" w:rsidRPr="00761273" w:rsidRDefault="00AC3A9B">
      <w:pPr>
        <w:widowControl/>
        <w:spacing w:line="360" w:lineRule="auto"/>
        <w:jc w:val="left"/>
        <w:rPr>
          <w:rFonts w:ascii="Times New Roman" w:eastAsia="宋体" w:hAnsi="Times New Roman" w:cs="Times New Roman"/>
          <w:b/>
          <w:kern w:val="0"/>
          <w:sz w:val="30"/>
          <w:szCs w:val="30"/>
        </w:rPr>
        <w:sectPr w:rsidR="00AC3A9B" w:rsidRPr="00761273">
          <w:pgSz w:w="11906" w:h="16838"/>
          <w:pgMar w:top="1440" w:right="1800" w:bottom="1440" w:left="1800" w:header="851" w:footer="992" w:gutter="0"/>
          <w:pgNumType w:start="1"/>
          <w:cols w:space="720"/>
          <w:docGrid w:type="lines" w:linePitch="312"/>
        </w:sectPr>
      </w:pPr>
      <w:bookmarkStart w:id="14" w:name="_Toc23386"/>
      <w:bookmarkStart w:id="15" w:name="_Toc139991730"/>
      <w:bookmarkStart w:id="16" w:name="_Toc11660"/>
      <w:bookmarkStart w:id="17" w:name="_Toc352229746"/>
      <w:bookmarkStart w:id="18" w:name="_Toc8727"/>
      <w:bookmarkStart w:id="19" w:name="_Toc30935"/>
      <w:bookmarkStart w:id="20" w:name="_Toc6306"/>
      <w:bookmarkStart w:id="21" w:name="_Toc15517"/>
      <w:bookmarkStart w:id="22" w:name="_Toc141703880"/>
      <w:bookmarkStart w:id="23" w:name="_Toc29629"/>
      <w:bookmarkStart w:id="24" w:name="_Toc4867"/>
      <w:bookmarkStart w:id="25" w:name="_Toc32639"/>
      <w:bookmarkStart w:id="26" w:name="_Toc123112229"/>
      <w:bookmarkStart w:id="27" w:name="_Toc123701389"/>
      <w:bookmarkStart w:id="28" w:name="_Toc4966"/>
      <w:bookmarkStart w:id="29" w:name="_Toc26897"/>
      <w:bookmarkStart w:id="30" w:name="_Toc123112268"/>
      <w:bookmarkStart w:id="31" w:name="_Toc233456271"/>
      <w:bookmarkEnd w:id="0"/>
      <w:bookmarkEnd w:id="1"/>
      <w:bookmarkEnd w:id="2"/>
      <w:bookmarkEnd w:id="3"/>
    </w:p>
    <w:p w14:paraId="34355422" w14:textId="77777777" w:rsidR="00AC3A9B" w:rsidRDefault="002C3C29">
      <w:pPr>
        <w:jc w:val="center"/>
        <w:rPr>
          <w:b/>
          <w:bCs/>
          <w:sz w:val="24"/>
        </w:rPr>
      </w:pPr>
      <w:r>
        <w:rPr>
          <w:b/>
          <w:bCs/>
          <w:sz w:val="24"/>
        </w:rPr>
        <w:lastRenderedPageBreak/>
        <w:t>目</w:t>
      </w:r>
      <w:r>
        <w:rPr>
          <w:b/>
          <w:bCs/>
          <w:sz w:val="24"/>
        </w:rPr>
        <w:t xml:space="preserve">    </w:t>
      </w:r>
      <w:r>
        <w:rPr>
          <w:b/>
          <w:bCs/>
          <w:sz w:val="24"/>
        </w:rPr>
        <w:t>录</w:t>
      </w:r>
    </w:p>
    <w:p w14:paraId="7CE973DD" w14:textId="5D920EB4" w:rsidR="00AC3A9B" w:rsidRDefault="002C3C29">
      <w:pPr>
        <w:pStyle w:val="TOC1"/>
        <w:rPr>
          <w:rFonts w:asciiTheme="minorHAnsi" w:eastAsiaTheme="minorEastAsia" w:hAnsiTheme="minorHAnsi" w:cstheme="minorBidi"/>
          <w:noProof/>
          <w:szCs w:val="22"/>
        </w:rPr>
      </w:pPr>
      <w:r>
        <w:rPr>
          <w:bCs/>
        </w:rPr>
        <w:fldChar w:fldCharType="begin"/>
      </w:r>
      <w:r>
        <w:rPr>
          <w:bCs/>
        </w:rPr>
        <w:instrText xml:space="preserve"> TOC \o "1-1" \h \z \u </w:instrText>
      </w:r>
      <w:r>
        <w:rPr>
          <w:bCs/>
        </w:rPr>
        <w:fldChar w:fldCharType="separate"/>
      </w:r>
      <w:hyperlink w:anchor="_Toc37770204" w:history="1">
        <w:r>
          <w:rPr>
            <w:rStyle w:val="afc"/>
            <w:noProof/>
          </w:rPr>
          <w:t>第一部分</w:t>
        </w:r>
        <w:r>
          <w:rPr>
            <w:rStyle w:val="afc"/>
            <w:noProof/>
          </w:rPr>
          <w:t xml:space="preserve">  </w:t>
        </w:r>
        <w:r>
          <w:rPr>
            <w:rStyle w:val="afc"/>
            <w:noProof/>
          </w:rPr>
          <w:t>绪言</w:t>
        </w:r>
        <w:r>
          <w:rPr>
            <w:noProof/>
          </w:rPr>
          <w:tab/>
        </w:r>
        <w:r>
          <w:rPr>
            <w:noProof/>
          </w:rPr>
          <w:fldChar w:fldCharType="begin"/>
        </w:r>
        <w:r>
          <w:rPr>
            <w:noProof/>
          </w:rPr>
          <w:instrText xml:space="preserve"> PAGEREF _Toc37770204 \h </w:instrText>
        </w:r>
        <w:r>
          <w:rPr>
            <w:noProof/>
          </w:rPr>
        </w:r>
        <w:r>
          <w:rPr>
            <w:noProof/>
          </w:rPr>
          <w:fldChar w:fldCharType="separate"/>
        </w:r>
        <w:r w:rsidR="00D643C0">
          <w:rPr>
            <w:noProof/>
          </w:rPr>
          <w:t>4</w:t>
        </w:r>
        <w:r>
          <w:rPr>
            <w:noProof/>
          </w:rPr>
          <w:fldChar w:fldCharType="end"/>
        </w:r>
      </w:hyperlink>
    </w:p>
    <w:p w14:paraId="230EEB7C" w14:textId="10895A98" w:rsidR="00AC3A9B" w:rsidRDefault="002C0796">
      <w:pPr>
        <w:pStyle w:val="TOC1"/>
        <w:rPr>
          <w:rFonts w:asciiTheme="minorHAnsi" w:eastAsiaTheme="minorEastAsia" w:hAnsiTheme="minorHAnsi" w:cstheme="minorBidi"/>
          <w:noProof/>
          <w:szCs w:val="22"/>
        </w:rPr>
      </w:pPr>
      <w:hyperlink w:anchor="_Toc37770205" w:history="1">
        <w:r w:rsidR="002C3C29">
          <w:rPr>
            <w:rStyle w:val="afc"/>
            <w:noProof/>
          </w:rPr>
          <w:t>第二部分</w:t>
        </w:r>
        <w:r w:rsidR="002C3C29">
          <w:rPr>
            <w:rStyle w:val="afc"/>
            <w:noProof/>
          </w:rPr>
          <w:t xml:space="preserve">  </w:t>
        </w:r>
        <w:r w:rsidR="002C3C29">
          <w:rPr>
            <w:rStyle w:val="afc"/>
            <w:noProof/>
          </w:rPr>
          <w:t>释义</w:t>
        </w:r>
        <w:r w:rsidR="002C3C29">
          <w:rPr>
            <w:noProof/>
          </w:rPr>
          <w:tab/>
        </w:r>
        <w:r w:rsidR="002C3C29">
          <w:rPr>
            <w:noProof/>
          </w:rPr>
          <w:fldChar w:fldCharType="begin"/>
        </w:r>
        <w:r w:rsidR="002C3C29">
          <w:rPr>
            <w:noProof/>
          </w:rPr>
          <w:instrText xml:space="preserve"> PAGEREF _Toc37770205 \h </w:instrText>
        </w:r>
        <w:r w:rsidR="002C3C29">
          <w:rPr>
            <w:noProof/>
          </w:rPr>
        </w:r>
        <w:r w:rsidR="002C3C29">
          <w:rPr>
            <w:noProof/>
          </w:rPr>
          <w:fldChar w:fldCharType="separate"/>
        </w:r>
        <w:r w:rsidR="00D643C0">
          <w:rPr>
            <w:noProof/>
          </w:rPr>
          <w:t>5</w:t>
        </w:r>
        <w:r w:rsidR="002C3C29">
          <w:rPr>
            <w:noProof/>
          </w:rPr>
          <w:fldChar w:fldCharType="end"/>
        </w:r>
      </w:hyperlink>
    </w:p>
    <w:p w14:paraId="0E6CB3D0" w14:textId="50D68E8D" w:rsidR="00AC3A9B" w:rsidRDefault="002C0796">
      <w:pPr>
        <w:pStyle w:val="TOC1"/>
        <w:rPr>
          <w:rFonts w:asciiTheme="minorHAnsi" w:eastAsiaTheme="minorEastAsia" w:hAnsiTheme="minorHAnsi" w:cstheme="minorBidi"/>
          <w:noProof/>
          <w:szCs w:val="22"/>
        </w:rPr>
      </w:pPr>
      <w:hyperlink w:anchor="_Toc37770206" w:history="1">
        <w:r w:rsidR="002C3C29">
          <w:rPr>
            <w:rStyle w:val="afc"/>
            <w:noProof/>
          </w:rPr>
          <w:t>第三部分</w:t>
        </w:r>
        <w:r w:rsidR="002C3C29">
          <w:rPr>
            <w:rStyle w:val="afc"/>
            <w:noProof/>
          </w:rPr>
          <w:t xml:space="preserve">  </w:t>
        </w:r>
        <w:r w:rsidR="002C3C29">
          <w:rPr>
            <w:rStyle w:val="afc"/>
            <w:noProof/>
          </w:rPr>
          <w:t>基金管理人</w:t>
        </w:r>
        <w:r w:rsidR="002C3C29">
          <w:rPr>
            <w:noProof/>
          </w:rPr>
          <w:tab/>
        </w:r>
        <w:r w:rsidR="002C3C29">
          <w:rPr>
            <w:noProof/>
          </w:rPr>
          <w:fldChar w:fldCharType="begin"/>
        </w:r>
        <w:r w:rsidR="002C3C29">
          <w:rPr>
            <w:noProof/>
          </w:rPr>
          <w:instrText xml:space="preserve"> PAGEREF _Toc37770206 \h </w:instrText>
        </w:r>
        <w:r w:rsidR="002C3C29">
          <w:rPr>
            <w:noProof/>
          </w:rPr>
        </w:r>
        <w:r w:rsidR="002C3C29">
          <w:rPr>
            <w:noProof/>
          </w:rPr>
          <w:fldChar w:fldCharType="separate"/>
        </w:r>
        <w:r w:rsidR="00D643C0">
          <w:rPr>
            <w:noProof/>
          </w:rPr>
          <w:t>10</w:t>
        </w:r>
        <w:r w:rsidR="002C3C29">
          <w:rPr>
            <w:noProof/>
          </w:rPr>
          <w:fldChar w:fldCharType="end"/>
        </w:r>
      </w:hyperlink>
    </w:p>
    <w:p w14:paraId="7B3AFC24" w14:textId="2376B7EE" w:rsidR="00AC3A9B" w:rsidRDefault="002C0796">
      <w:pPr>
        <w:pStyle w:val="TOC1"/>
        <w:rPr>
          <w:rFonts w:asciiTheme="minorHAnsi" w:eastAsiaTheme="minorEastAsia" w:hAnsiTheme="minorHAnsi" w:cstheme="minorBidi"/>
          <w:noProof/>
          <w:szCs w:val="22"/>
        </w:rPr>
      </w:pPr>
      <w:hyperlink w:anchor="_Toc37770207" w:history="1">
        <w:r w:rsidR="002C3C29">
          <w:rPr>
            <w:rStyle w:val="afc"/>
            <w:noProof/>
          </w:rPr>
          <w:t>第四部分</w:t>
        </w:r>
        <w:r w:rsidR="002C3C29">
          <w:rPr>
            <w:rStyle w:val="afc"/>
            <w:noProof/>
          </w:rPr>
          <w:t xml:space="preserve">  </w:t>
        </w:r>
        <w:r w:rsidR="002C3C29">
          <w:rPr>
            <w:rStyle w:val="afc"/>
            <w:noProof/>
          </w:rPr>
          <w:t>基金托管人</w:t>
        </w:r>
        <w:r w:rsidR="002C3C29">
          <w:rPr>
            <w:noProof/>
          </w:rPr>
          <w:tab/>
        </w:r>
        <w:r w:rsidR="002C3C29">
          <w:rPr>
            <w:noProof/>
          </w:rPr>
          <w:fldChar w:fldCharType="begin"/>
        </w:r>
        <w:r w:rsidR="002C3C29">
          <w:rPr>
            <w:noProof/>
          </w:rPr>
          <w:instrText xml:space="preserve"> PAGEREF _Toc37770207 \h </w:instrText>
        </w:r>
        <w:r w:rsidR="002C3C29">
          <w:rPr>
            <w:noProof/>
          </w:rPr>
        </w:r>
        <w:r w:rsidR="002C3C29">
          <w:rPr>
            <w:noProof/>
          </w:rPr>
          <w:fldChar w:fldCharType="separate"/>
        </w:r>
        <w:r w:rsidR="00D643C0">
          <w:rPr>
            <w:noProof/>
          </w:rPr>
          <w:t>20</w:t>
        </w:r>
        <w:r w:rsidR="002C3C29">
          <w:rPr>
            <w:noProof/>
          </w:rPr>
          <w:fldChar w:fldCharType="end"/>
        </w:r>
      </w:hyperlink>
    </w:p>
    <w:p w14:paraId="20E7D928" w14:textId="57B677B0" w:rsidR="00AC3A9B" w:rsidRDefault="002C0796">
      <w:pPr>
        <w:pStyle w:val="TOC1"/>
        <w:rPr>
          <w:rFonts w:asciiTheme="minorHAnsi" w:eastAsiaTheme="minorEastAsia" w:hAnsiTheme="minorHAnsi" w:cstheme="minorBidi"/>
          <w:noProof/>
          <w:szCs w:val="22"/>
        </w:rPr>
      </w:pPr>
      <w:hyperlink w:anchor="_Toc37770208" w:history="1">
        <w:r w:rsidR="002C3C29">
          <w:rPr>
            <w:rStyle w:val="afc"/>
            <w:noProof/>
          </w:rPr>
          <w:t>第五部分</w:t>
        </w:r>
        <w:r w:rsidR="002C3C29">
          <w:rPr>
            <w:rStyle w:val="afc"/>
            <w:noProof/>
          </w:rPr>
          <w:t xml:space="preserve">  </w:t>
        </w:r>
        <w:r w:rsidR="002C3C29">
          <w:rPr>
            <w:rStyle w:val="afc"/>
            <w:noProof/>
          </w:rPr>
          <w:t>相关服务机构</w:t>
        </w:r>
        <w:r w:rsidR="002C3C29">
          <w:rPr>
            <w:noProof/>
          </w:rPr>
          <w:tab/>
        </w:r>
        <w:r w:rsidR="002C3C29">
          <w:rPr>
            <w:noProof/>
          </w:rPr>
          <w:fldChar w:fldCharType="begin"/>
        </w:r>
        <w:r w:rsidR="002C3C29">
          <w:rPr>
            <w:noProof/>
          </w:rPr>
          <w:instrText xml:space="preserve"> PAGEREF _Toc37770208 \h </w:instrText>
        </w:r>
        <w:r w:rsidR="002C3C29">
          <w:rPr>
            <w:noProof/>
          </w:rPr>
        </w:r>
        <w:r w:rsidR="002C3C29">
          <w:rPr>
            <w:noProof/>
          </w:rPr>
          <w:fldChar w:fldCharType="separate"/>
        </w:r>
        <w:r w:rsidR="00D643C0">
          <w:rPr>
            <w:noProof/>
          </w:rPr>
          <w:t>23</w:t>
        </w:r>
        <w:r w:rsidR="002C3C29">
          <w:rPr>
            <w:noProof/>
          </w:rPr>
          <w:fldChar w:fldCharType="end"/>
        </w:r>
      </w:hyperlink>
    </w:p>
    <w:p w14:paraId="7982928B" w14:textId="38AE0AF6" w:rsidR="00AC3A9B" w:rsidRDefault="002C0796">
      <w:pPr>
        <w:pStyle w:val="TOC1"/>
        <w:rPr>
          <w:rFonts w:asciiTheme="minorHAnsi" w:eastAsiaTheme="minorEastAsia" w:hAnsiTheme="minorHAnsi" w:cstheme="minorBidi"/>
          <w:noProof/>
          <w:szCs w:val="22"/>
        </w:rPr>
      </w:pPr>
      <w:hyperlink w:anchor="_Toc37770209" w:history="1">
        <w:r w:rsidR="002C3C29">
          <w:rPr>
            <w:rStyle w:val="afc"/>
            <w:noProof/>
          </w:rPr>
          <w:t>第六部分</w:t>
        </w:r>
        <w:r w:rsidR="002C3C29">
          <w:rPr>
            <w:rStyle w:val="afc"/>
            <w:noProof/>
          </w:rPr>
          <w:t xml:space="preserve">  </w:t>
        </w:r>
        <w:r w:rsidR="002C3C29">
          <w:rPr>
            <w:rStyle w:val="afc"/>
            <w:noProof/>
          </w:rPr>
          <w:t>基金的募集</w:t>
        </w:r>
        <w:r w:rsidR="002C3C29">
          <w:rPr>
            <w:noProof/>
          </w:rPr>
          <w:tab/>
        </w:r>
        <w:r w:rsidR="002C3C29">
          <w:rPr>
            <w:noProof/>
          </w:rPr>
          <w:fldChar w:fldCharType="begin"/>
        </w:r>
        <w:r w:rsidR="002C3C29">
          <w:rPr>
            <w:noProof/>
          </w:rPr>
          <w:instrText xml:space="preserve"> PAGEREF _Toc37770209 \h </w:instrText>
        </w:r>
        <w:r w:rsidR="002C3C29">
          <w:rPr>
            <w:noProof/>
          </w:rPr>
        </w:r>
        <w:r w:rsidR="002C3C29">
          <w:rPr>
            <w:noProof/>
          </w:rPr>
          <w:fldChar w:fldCharType="separate"/>
        </w:r>
        <w:r w:rsidR="00D643C0">
          <w:rPr>
            <w:noProof/>
          </w:rPr>
          <w:t>30</w:t>
        </w:r>
        <w:r w:rsidR="002C3C29">
          <w:rPr>
            <w:noProof/>
          </w:rPr>
          <w:fldChar w:fldCharType="end"/>
        </w:r>
      </w:hyperlink>
    </w:p>
    <w:p w14:paraId="213CD57C" w14:textId="59B6B192" w:rsidR="00AC3A9B" w:rsidRDefault="002C0796">
      <w:pPr>
        <w:pStyle w:val="TOC1"/>
        <w:rPr>
          <w:rFonts w:asciiTheme="minorHAnsi" w:eastAsiaTheme="minorEastAsia" w:hAnsiTheme="minorHAnsi" w:cstheme="minorBidi"/>
          <w:noProof/>
          <w:szCs w:val="22"/>
        </w:rPr>
      </w:pPr>
      <w:hyperlink w:anchor="_Toc37770210" w:history="1">
        <w:r w:rsidR="002C3C29">
          <w:rPr>
            <w:rStyle w:val="afc"/>
            <w:noProof/>
          </w:rPr>
          <w:t>第七部分</w:t>
        </w:r>
        <w:r w:rsidR="002C3C29">
          <w:rPr>
            <w:rStyle w:val="afc"/>
            <w:noProof/>
          </w:rPr>
          <w:t xml:space="preserve">  </w:t>
        </w:r>
        <w:r w:rsidR="002C3C29">
          <w:rPr>
            <w:rStyle w:val="afc"/>
            <w:noProof/>
          </w:rPr>
          <w:t>基金合同的生效</w:t>
        </w:r>
        <w:r w:rsidR="002C3C29">
          <w:rPr>
            <w:noProof/>
          </w:rPr>
          <w:tab/>
        </w:r>
        <w:r w:rsidR="002C3C29">
          <w:rPr>
            <w:noProof/>
          </w:rPr>
          <w:fldChar w:fldCharType="begin"/>
        </w:r>
        <w:r w:rsidR="002C3C29">
          <w:rPr>
            <w:noProof/>
          </w:rPr>
          <w:instrText xml:space="preserve"> PAGEREF _Toc37770210 \h </w:instrText>
        </w:r>
        <w:r w:rsidR="002C3C29">
          <w:rPr>
            <w:noProof/>
          </w:rPr>
        </w:r>
        <w:r w:rsidR="002C3C29">
          <w:rPr>
            <w:noProof/>
          </w:rPr>
          <w:fldChar w:fldCharType="separate"/>
        </w:r>
        <w:r w:rsidR="00D643C0">
          <w:rPr>
            <w:noProof/>
          </w:rPr>
          <w:t>31</w:t>
        </w:r>
        <w:r w:rsidR="002C3C29">
          <w:rPr>
            <w:noProof/>
          </w:rPr>
          <w:fldChar w:fldCharType="end"/>
        </w:r>
      </w:hyperlink>
    </w:p>
    <w:p w14:paraId="35D6BA9B" w14:textId="70D0F1F5" w:rsidR="00AC3A9B" w:rsidRDefault="002C0796">
      <w:pPr>
        <w:pStyle w:val="TOC1"/>
        <w:rPr>
          <w:rFonts w:asciiTheme="minorHAnsi" w:eastAsiaTheme="minorEastAsia" w:hAnsiTheme="minorHAnsi" w:cstheme="minorBidi"/>
          <w:noProof/>
          <w:szCs w:val="22"/>
        </w:rPr>
      </w:pPr>
      <w:hyperlink w:anchor="_Toc37770211" w:history="1">
        <w:r w:rsidR="002C3C29">
          <w:rPr>
            <w:rStyle w:val="afc"/>
            <w:noProof/>
          </w:rPr>
          <w:t>第八部分</w:t>
        </w:r>
        <w:r w:rsidR="002C3C29">
          <w:rPr>
            <w:rStyle w:val="afc"/>
            <w:noProof/>
          </w:rPr>
          <w:t xml:space="preserve">  </w:t>
        </w:r>
        <w:r w:rsidR="002C3C29">
          <w:rPr>
            <w:rStyle w:val="afc"/>
            <w:noProof/>
          </w:rPr>
          <w:t>基金份额的申购与赎回</w:t>
        </w:r>
        <w:r w:rsidR="002C3C29">
          <w:rPr>
            <w:noProof/>
          </w:rPr>
          <w:tab/>
        </w:r>
        <w:r w:rsidR="002C3C29">
          <w:rPr>
            <w:noProof/>
          </w:rPr>
          <w:fldChar w:fldCharType="begin"/>
        </w:r>
        <w:r w:rsidR="002C3C29">
          <w:rPr>
            <w:noProof/>
          </w:rPr>
          <w:instrText xml:space="preserve"> PAGEREF _Toc37770211 \h </w:instrText>
        </w:r>
        <w:r w:rsidR="002C3C29">
          <w:rPr>
            <w:noProof/>
          </w:rPr>
        </w:r>
        <w:r w:rsidR="002C3C29">
          <w:rPr>
            <w:noProof/>
          </w:rPr>
          <w:fldChar w:fldCharType="separate"/>
        </w:r>
        <w:r w:rsidR="00D643C0">
          <w:rPr>
            <w:noProof/>
          </w:rPr>
          <w:t>32</w:t>
        </w:r>
        <w:r w:rsidR="002C3C29">
          <w:rPr>
            <w:noProof/>
          </w:rPr>
          <w:fldChar w:fldCharType="end"/>
        </w:r>
      </w:hyperlink>
    </w:p>
    <w:p w14:paraId="09C1ADDE" w14:textId="37B7B068" w:rsidR="00AC3A9B" w:rsidRDefault="002C0796">
      <w:pPr>
        <w:pStyle w:val="TOC1"/>
        <w:rPr>
          <w:rFonts w:asciiTheme="minorHAnsi" w:eastAsiaTheme="minorEastAsia" w:hAnsiTheme="minorHAnsi" w:cstheme="minorBidi"/>
          <w:noProof/>
          <w:szCs w:val="22"/>
        </w:rPr>
      </w:pPr>
      <w:hyperlink w:anchor="_Toc37770212" w:history="1">
        <w:r w:rsidR="002C3C29">
          <w:rPr>
            <w:rStyle w:val="afc"/>
            <w:noProof/>
          </w:rPr>
          <w:t>第九部分</w:t>
        </w:r>
        <w:r w:rsidR="002C3C29">
          <w:rPr>
            <w:rStyle w:val="afc"/>
            <w:noProof/>
          </w:rPr>
          <w:t xml:space="preserve">  </w:t>
        </w:r>
        <w:r w:rsidR="002C3C29">
          <w:rPr>
            <w:rStyle w:val="afc"/>
            <w:noProof/>
          </w:rPr>
          <w:t>基金的投资</w:t>
        </w:r>
        <w:r w:rsidR="002C3C29">
          <w:rPr>
            <w:noProof/>
          </w:rPr>
          <w:tab/>
        </w:r>
        <w:r w:rsidR="002C3C29">
          <w:rPr>
            <w:noProof/>
          </w:rPr>
          <w:fldChar w:fldCharType="begin"/>
        </w:r>
        <w:r w:rsidR="002C3C29">
          <w:rPr>
            <w:noProof/>
          </w:rPr>
          <w:instrText xml:space="preserve"> PAGEREF _Toc37770212 \h </w:instrText>
        </w:r>
        <w:r w:rsidR="002C3C29">
          <w:rPr>
            <w:noProof/>
          </w:rPr>
        </w:r>
        <w:r w:rsidR="002C3C29">
          <w:rPr>
            <w:noProof/>
          </w:rPr>
          <w:fldChar w:fldCharType="separate"/>
        </w:r>
        <w:r w:rsidR="00D643C0">
          <w:rPr>
            <w:noProof/>
          </w:rPr>
          <w:t>43</w:t>
        </w:r>
        <w:r w:rsidR="002C3C29">
          <w:rPr>
            <w:noProof/>
          </w:rPr>
          <w:fldChar w:fldCharType="end"/>
        </w:r>
      </w:hyperlink>
    </w:p>
    <w:p w14:paraId="6637E427" w14:textId="63C503C4" w:rsidR="00AC3A9B" w:rsidRDefault="002C0796">
      <w:pPr>
        <w:pStyle w:val="TOC1"/>
        <w:rPr>
          <w:rFonts w:asciiTheme="minorHAnsi" w:eastAsiaTheme="minorEastAsia" w:hAnsiTheme="minorHAnsi" w:cstheme="minorBidi"/>
          <w:noProof/>
          <w:szCs w:val="22"/>
        </w:rPr>
      </w:pPr>
      <w:hyperlink w:anchor="_Toc37770213" w:history="1">
        <w:r w:rsidR="002C3C29">
          <w:rPr>
            <w:rStyle w:val="afc"/>
            <w:noProof/>
          </w:rPr>
          <w:t>第十部分</w:t>
        </w:r>
        <w:r w:rsidR="002C3C29">
          <w:rPr>
            <w:rStyle w:val="afc"/>
            <w:noProof/>
          </w:rPr>
          <w:t xml:space="preserve">  </w:t>
        </w:r>
        <w:r w:rsidR="002C3C29">
          <w:rPr>
            <w:rStyle w:val="afc"/>
            <w:noProof/>
          </w:rPr>
          <w:t>基金的财产</w:t>
        </w:r>
        <w:r w:rsidR="002C3C29">
          <w:rPr>
            <w:noProof/>
          </w:rPr>
          <w:tab/>
        </w:r>
        <w:r w:rsidR="002C3C29">
          <w:rPr>
            <w:noProof/>
          </w:rPr>
          <w:fldChar w:fldCharType="begin"/>
        </w:r>
        <w:r w:rsidR="002C3C29">
          <w:rPr>
            <w:noProof/>
          </w:rPr>
          <w:instrText xml:space="preserve"> PAGEREF _Toc37770213 \h </w:instrText>
        </w:r>
        <w:r w:rsidR="002C3C29">
          <w:rPr>
            <w:noProof/>
          </w:rPr>
        </w:r>
        <w:r w:rsidR="002C3C29">
          <w:rPr>
            <w:noProof/>
          </w:rPr>
          <w:fldChar w:fldCharType="separate"/>
        </w:r>
        <w:r w:rsidR="00D643C0">
          <w:rPr>
            <w:noProof/>
          </w:rPr>
          <w:t>59</w:t>
        </w:r>
        <w:r w:rsidR="002C3C29">
          <w:rPr>
            <w:noProof/>
          </w:rPr>
          <w:fldChar w:fldCharType="end"/>
        </w:r>
      </w:hyperlink>
    </w:p>
    <w:p w14:paraId="0938A974" w14:textId="7DC8BFC9" w:rsidR="00AC3A9B" w:rsidRDefault="002C0796">
      <w:pPr>
        <w:pStyle w:val="TOC1"/>
        <w:rPr>
          <w:rFonts w:asciiTheme="minorHAnsi" w:eastAsiaTheme="minorEastAsia" w:hAnsiTheme="minorHAnsi" w:cstheme="minorBidi"/>
          <w:noProof/>
          <w:szCs w:val="22"/>
        </w:rPr>
      </w:pPr>
      <w:hyperlink w:anchor="_Toc37770214" w:history="1">
        <w:r w:rsidR="002C3C29">
          <w:rPr>
            <w:rStyle w:val="afc"/>
            <w:noProof/>
          </w:rPr>
          <w:t>第十一部分</w:t>
        </w:r>
        <w:r w:rsidR="002C3C29">
          <w:rPr>
            <w:rStyle w:val="afc"/>
            <w:noProof/>
          </w:rPr>
          <w:t xml:space="preserve">  </w:t>
        </w:r>
        <w:r w:rsidR="002C3C29">
          <w:rPr>
            <w:rStyle w:val="afc"/>
            <w:noProof/>
          </w:rPr>
          <w:t>基金资产的估值</w:t>
        </w:r>
        <w:r w:rsidR="002C3C29">
          <w:rPr>
            <w:noProof/>
          </w:rPr>
          <w:tab/>
        </w:r>
        <w:r w:rsidR="002C3C29">
          <w:rPr>
            <w:noProof/>
          </w:rPr>
          <w:fldChar w:fldCharType="begin"/>
        </w:r>
        <w:r w:rsidR="002C3C29">
          <w:rPr>
            <w:noProof/>
          </w:rPr>
          <w:instrText xml:space="preserve"> PAGEREF _Toc37770214 \h </w:instrText>
        </w:r>
        <w:r w:rsidR="002C3C29">
          <w:rPr>
            <w:noProof/>
          </w:rPr>
        </w:r>
        <w:r w:rsidR="002C3C29">
          <w:rPr>
            <w:noProof/>
          </w:rPr>
          <w:fldChar w:fldCharType="separate"/>
        </w:r>
        <w:r w:rsidR="00D643C0">
          <w:rPr>
            <w:noProof/>
          </w:rPr>
          <w:t>60</w:t>
        </w:r>
        <w:r w:rsidR="002C3C29">
          <w:rPr>
            <w:noProof/>
          </w:rPr>
          <w:fldChar w:fldCharType="end"/>
        </w:r>
      </w:hyperlink>
    </w:p>
    <w:p w14:paraId="5DC96F3A" w14:textId="6DC073C4" w:rsidR="00AC3A9B" w:rsidRDefault="002C0796">
      <w:pPr>
        <w:pStyle w:val="TOC1"/>
        <w:rPr>
          <w:rFonts w:asciiTheme="minorHAnsi" w:eastAsiaTheme="minorEastAsia" w:hAnsiTheme="minorHAnsi" w:cstheme="minorBidi"/>
          <w:noProof/>
          <w:szCs w:val="22"/>
        </w:rPr>
      </w:pPr>
      <w:hyperlink w:anchor="_Toc37770215" w:history="1">
        <w:r w:rsidR="002C3C29">
          <w:rPr>
            <w:rStyle w:val="afc"/>
            <w:noProof/>
          </w:rPr>
          <w:t>第十二部分</w:t>
        </w:r>
        <w:r w:rsidR="002C3C29">
          <w:rPr>
            <w:rStyle w:val="afc"/>
            <w:noProof/>
          </w:rPr>
          <w:t xml:space="preserve">  </w:t>
        </w:r>
        <w:r w:rsidR="002C3C29">
          <w:rPr>
            <w:rStyle w:val="afc"/>
            <w:noProof/>
          </w:rPr>
          <w:t>基金的收益分配</w:t>
        </w:r>
        <w:r w:rsidR="002C3C29">
          <w:rPr>
            <w:noProof/>
          </w:rPr>
          <w:tab/>
        </w:r>
        <w:r w:rsidR="002C3C29">
          <w:rPr>
            <w:noProof/>
          </w:rPr>
          <w:fldChar w:fldCharType="begin"/>
        </w:r>
        <w:r w:rsidR="002C3C29">
          <w:rPr>
            <w:noProof/>
          </w:rPr>
          <w:instrText xml:space="preserve"> PAGEREF _Toc37770215 \h </w:instrText>
        </w:r>
        <w:r w:rsidR="002C3C29">
          <w:rPr>
            <w:noProof/>
          </w:rPr>
        </w:r>
        <w:r w:rsidR="002C3C29">
          <w:rPr>
            <w:noProof/>
          </w:rPr>
          <w:fldChar w:fldCharType="separate"/>
        </w:r>
        <w:r w:rsidR="00D643C0">
          <w:rPr>
            <w:noProof/>
          </w:rPr>
          <w:t>65</w:t>
        </w:r>
        <w:r w:rsidR="002C3C29">
          <w:rPr>
            <w:noProof/>
          </w:rPr>
          <w:fldChar w:fldCharType="end"/>
        </w:r>
      </w:hyperlink>
    </w:p>
    <w:p w14:paraId="13BCE4BB" w14:textId="242357C6" w:rsidR="00AC3A9B" w:rsidRDefault="002C0796">
      <w:pPr>
        <w:pStyle w:val="TOC1"/>
        <w:rPr>
          <w:rFonts w:asciiTheme="minorHAnsi" w:eastAsiaTheme="minorEastAsia" w:hAnsiTheme="minorHAnsi" w:cstheme="minorBidi"/>
          <w:noProof/>
          <w:szCs w:val="22"/>
        </w:rPr>
      </w:pPr>
      <w:hyperlink w:anchor="_Toc37770216" w:history="1">
        <w:r w:rsidR="002C3C29">
          <w:rPr>
            <w:rStyle w:val="afc"/>
            <w:noProof/>
          </w:rPr>
          <w:t>第十三部分</w:t>
        </w:r>
        <w:r w:rsidR="002C3C29">
          <w:rPr>
            <w:rStyle w:val="afc"/>
            <w:noProof/>
          </w:rPr>
          <w:t xml:space="preserve">  </w:t>
        </w:r>
        <w:r w:rsidR="002C3C29">
          <w:rPr>
            <w:rStyle w:val="afc"/>
            <w:noProof/>
          </w:rPr>
          <w:t>基金费用与税收</w:t>
        </w:r>
        <w:r w:rsidR="002C3C29">
          <w:rPr>
            <w:noProof/>
          </w:rPr>
          <w:tab/>
        </w:r>
        <w:r w:rsidR="002C3C29">
          <w:rPr>
            <w:noProof/>
          </w:rPr>
          <w:fldChar w:fldCharType="begin"/>
        </w:r>
        <w:r w:rsidR="002C3C29">
          <w:rPr>
            <w:noProof/>
          </w:rPr>
          <w:instrText xml:space="preserve"> PAGEREF _Toc37770216 \h </w:instrText>
        </w:r>
        <w:r w:rsidR="002C3C29">
          <w:rPr>
            <w:noProof/>
          </w:rPr>
        </w:r>
        <w:r w:rsidR="002C3C29">
          <w:rPr>
            <w:noProof/>
          </w:rPr>
          <w:fldChar w:fldCharType="separate"/>
        </w:r>
        <w:r w:rsidR="00D643C0">
          <w:rPr>
            <w:noProof/>
          </w:rPr>
          <w:t>67</w:t>
        </w:r>
        <w:r w:rsidR="002C3C29">
          <w:rPr>
            <w:noProof/>
          </w:rPr>
          <w:fldChar w:fldCharType="end"/>
        </w:r>
      </w:hyperlink>
    </w:p>
    <w:p w14:paraId="509F998C" w14:textId="53A78C62" w:rsidR="00AC3A9B" w:rsidRDefault="002C0796">
      <w:pPr>
        <w:pStyle w:val="TOC1"/>
        <w:rPr>
          <w:rFonts w:asciiTheme="minorHAnsi" w:eastAsiaTheme="minorEastAsia" w:hAnsiTheme="minorHAnsi" w:cstheme="minorBidi"/>
          <w:noProof/>
          <w:szCs w:val="22"/>
        </w:rPr>
      </w:pPr>
      <w:hyperlink w:anchor="_Toc37770217" w:history="1">
        <w:r w:rsidR="002C3C29">
          <w:rPr>
            <w:rStyle w:val="afc"/>
            <w:noProof/>
          </w:rPr>
          <w:t>第十四部分</w:t>
        </w:r>
        <w:r w:rsidR="002C3C29">
          <w:rPr>
            <w:rStyle w:val="afc"/>
            <w:noProof/>
          </w:rPr>
          <w:t xml:space="preserve">  </w:t>
        </w:r>
        <w:r w:rsidR="002C3C29">
          <w:rPr>
            <w:rStyle w:val="afc"/>
            <w:noProof/>
          </w:rPr>
          <w:t>基金的会计与审计</w:t>
        </w:r>
        <w:r w:rsidR="002C3C29">
          <w:rPr>
            <w:noProof/>
          </w:rPr>
          <w:tab/>
        </w:r>
        <w:r w:rsidR="002C3C29">
          <w:rPr>
            <w:noProof/>
          </w:rPr>
          <w:fldChar w:fldCharType="begin"/>
        </w:r>
        <w:r w:rsidR="002C3C29">
          <w:rPr>
            <w:noProof/>
          </w:rPr>
          <w:instrText xml:space="preserve"> PAGEREF _Toc37770217 \h </w:instrText>
        </w:r>
        <w:r w:rsidR="002C3C29">
          <w:rPr>
            <w:noProof/>
          </w:rPr>
        </w:r>
        <w:r w:rsidR="002C3C29">
          <w:rPr>
            <w:noProof/>
          </w:rPr>
          <w:fldChar w:fldCharType="separate"/>
        </w:r>
        <w:r w:rsidR="00D643C0">
          <w:rPr>
            <w:noProof/>
          </w:rPr>
          <w:t>70</w:t>
        </w:r>
        <w:r w:rsidR="002C3C29">
          <w:rPr>
            <w:noProof/>
          </w:rPr>
          <w:fldChar w:fldCharType="end"/>
        </w:r>
      </w:hyperlink>
    </w:p>
    <w:p w14:paraId="15D271DE" w14:textId="78EAFDC7" w:rsidR="00AC3A9B" w:rsidRDefault="002C0796">
      <w:pPr>
        <w:pStyle w:val="TOC1"/>
        <w:rPr>
          <w:rFonts w:asciiTheme="minorHAnsi" w:eastAsiaTheme="minorEastAsia" w:hAnsiTheme="minorHAnsi" w:cstheme="minorBidi"/>
          <w:noProof/>
          <w:szCs w:val="22"/>
        </w:rPr>
      </w:pPr>
      <w:hyperlink w:anchor="_Toc37770218" w:history="1">
        <w:r w:rsidR="002C3C29">
          <w:rPr>
            <w:rStyle w:val="afc"/>
            <w:noProof/>
          </w:rPr>
          <w:t>第十五部分</w:t>
        </w:r>
        <w:r w:rsidR="002C3C29">
          <w:rPr>
            <w:rStyle w:val="afc"/>
            <w:noProof/>
          </w:rPr>
          <w:t xml:space="preserve">  </w:t>
        </w:r>
        <w:r w:rsidR="002C3C29">
          <w:rPr>
            <w:rStyle w:val="afc"/>
            <w:noProof/>
          </w:rPr>
          <w:t>基金的信息披露</w:t>
        </w:r>
        <w:r w:rsidR="002C3C29">
          <w:rPr>
            <w:noProof/>
          </w:rPr>
          <w:tab/>
        </w:r>
        <w:r w:rsidR="002C3C29">
          <w:rPr>
            <w:noProof/>
          </w:rPr>
          <w:fldChar w:fldCharType="begin"/>
        </w:r>
        <w:r w:rsidR="002C3C29">
          <w:rPr>
            <w:noProof/>
          </w:rPr>
          <w:instrText xml:space="preserve"> PAGEREF _Toc37770218 \h </w:instrText>
        </w:r>
        <w:r w:rsidR="002C3C29">
          <w:rPr>
            <w:noProof/>
          </w:rPr>
        </w:r>
        <w:r w:rsidR="002C3C29">
          <w:rPr>
            <w:noProof/>
          </w:rPr>
          <w:fldChar w:fldCharType="separate"/>
        </w:r>
        <w:r w:rsidR="00D643C0">
          <w:rPr>
            <w:noProof/>
          </w:rPr>
          <w:t>71</w:t>
        </w:r>
        <w:r w:rsidR="002C3C29">
          <w:rPr>
            <w:noProof/>
          </w:rPr>
          <w:fldChar w:fldCharType="end"/>
        </w:r>
      </w:hyperlink>
    </w:p>
    <w:p w14:paraId="45671B9A" w14:textId="1FF4C844" w:rsidR="00AC3A9B" w:rsidRDefault="002C0796">
      <w:pPr>
        <w:pStyle w:val="TOC1"/>
        <w:rPr>
          <w:rFonts w:asciiTheme="minorHAnsi" w:eastAsiaTheme="minorEastAsia" w:hAnsiTheme="minorHAnsi" w:cstheme="minorBidi"/>
          <w:noProof/>
          <w:szCs w:val="22"/>
        </w:rPr>
      </w:pPr>
      <w:hyperlink w:anchor="_Toc37770219" w:history="1">
        <w:r w:rsidR="002C3C29">
          <w:rPr>
            <w:rStyle w:val="afc"/>
            <w:noProof/>
          </w:rPr>
          <w:t>第十六部分</w:t>
        </w:r>
        <w:r w:rsidR="002C3C29">
          <w:rPr>
            <w:rStyle w:val="afc"/>
            <w:noProof/>
          </w:rPr>
          <w:t xml:space="preserve">  </w:t>
        </w:r>
        <w:r w:rsidR="002C3C29">
          <w:rPr>
            <w:rStyle w:val="afc"/>
            <w:noProof/>
          </w:rPr>
          <w:t>风险揭示</w:t>
        </w:r>
        <w:r w:rsidR="002C3C29">
          <w:rPr>
            <w:noProof/>
          </w:rPr>
          <w:tab/>
        </w:r>
        <w:r w:rsidR="002C3C29">
          <w:rPr>
            <w:noProof/>
          </w:rPr>
          <w:fldChar w:fldCharType="begin"/>
        </w:r>
        <w:r w:rsidR="002C3C29">
          <w:rPr>
            <w:noProof/>
          </w:rPr>
          <w:instrText xml:space="preserve"> PAGEREF _Toc37770219 \h </w:instrText>
        </w:r>
        <w:r w:rsidR="002C3C29">
          <w:rPr>
            <w:noProof/>
          </w:rPr>
        </w:r>
        <w:r w:rsidR="002C3C29">
          <w:rPr>
            <w:noProof/>
          </w:rPr>
          <w:fldChar w:fldCharType="separate"/>
        </w:r>
        <w:r w:rsidR="00D643C0">
          <w:rPr>
            <w:noProof/>
          </w:rPr>
          <w:t>78</w:t>
        </w:r>
        <w:r w:rsidR="002C3C29">
          <w:rPr>
            <w:noProof/>
          </w:rPr>
          <w:fldChar w:fldCharType="end"/>
        </w:r>
      </w:hyperlink>
    </w:p>
    <w:p w14:paraId="1F9AC780" w14:textId="41386F53" w:rsidR="00AC3A9B" w:rsidRDefault="002C0796">
      <w:pPr>
        <w:pStyle w:val="TOC1"/>
        <w:rPr>
          <w:rFonts w:asciiTheme="minorHAnsi" w:eastAsiaTheme="minorEastAsia" w:hAnsiTheme="minorHAnsi" w:cstheme="minorBidi"/>
          <w:noProof/>
          <w:szCs w:val="22"/>
        </w:rPr>
      </w:pPr>
      <w:hyperlink w:anchor="_Toc37770220" w:history="1">
        <w:r w:rsidR="002C3C29">
          <w:rPr>
            <w:rStyle w:val="afc"/>
            <w:noProof/>
          </w:rPr>
          <w:t>第十七部分</w:t>
        </w:r>
        <w:r w:rsidR="002C3C29">
          <w:rPr>
            <w:rStyle w:val="afc"/>
            <w:noProof/>
          </w:rPr>
          <w:t xml:space="preserve">  </w:t>
        </w:r>
        <w:r w:rsidR="002C3C29">
          <w:rPr>
            <w:rStyle w:val="afc"/>
            <w:noProof/>
          </w:rPr>
          <w:t>基金合同的变更、终止与基金财产的清算</w:t>
        </w:r>
        <w:r w:rsidR="002C3C29">
          <w:rPr>
            <w:noProof/>
          </w:rPr>
          <w:tab/>
        </w:r>
        <w:r w:rsidR="002C3C29">
          <w:rPr>
            <w:noProof/>
          </w:rPr>
          <w:fldChar w:fldCharType="begin"/>
        </w:r>
        <w:r w:rsidR="002C3C29">
          <w:rPr>
            <w:noProof/>
          </w:rPr>
          <w:instrText xml:space="preserve"> PAGEREF _Toc37770220 \h </w:instrText>
        </w:r>
        <w:r w:rsidR="002C3C29">
          <w:rPr>
            <w:noProof/>
          </w:rPr>
        </w:r>
        <w:r w:rsidR="002C3C29">
          <w:rPr>
            <w:noProof/>
          </w:rPr>
          <w:fldChar w:fldCharType="separate"/>
        </w:r>
        <w:r w:rsidR="00D643C0">
          <w:rPr>
            <w:noProof/>
          </w:rPr>
          <w:t>82</w:t>
        </w:r>
        <w:r w:rsidR="002C3C29">
          <w:rPr>
            <w:noProof/>
          </w:rPr>
          <w:fldChar w:fldCharType="end"/>
        </w:r>
      </w:hyperlink>
    </w:p>
    <w:p w14:paraId="0FE44A33" w14:textId="2CFEF237" w:rsidR="00AC3A9B" w:rsidRDefault="002C0796">
      <w:pPr>
        <w:pStyle w:val="TOC1"/>
        <w:rPr>
          <w:rFonts w:asciiTheme="minorHAnsi" w:eastAsiaTheme="minorEastAsia" w:hAnsiTheme="minorHAnsi" w:cstheme="minorBidi"/>
          <w:noProof/>
          <w:szCs w:val="22"/>
        </w:rPr>
      </w:pPr>
      <w:hyperlink w:anchor="_Toc37770221" w:history="1">
        <w:r w:rsidR="002C3C29">
          <w:rPr>
            <w:rStyle w:val="afc"/>
            <w:noProof/>
          </w:rPr>
          <w:t>第十八部分</w:t>
        </w:r>
        <w:r w:rsidR="002C3C29">
          <w:rPr>
            <w:rStyle w:val="afc"/>
            <w:noProof/>
          </w:rPr>
          <w:t xml:space="preserve">  </w:t>
        </w:r>
        <w:r w:rsidR="002C3C29">
          <w:rPr>
            <w:rStyle w:val="afc"/>
            <w:noProof/>
          </w:rPr>
          <w:t>基金合同的内容摘要</w:t>
        </w:r>
        <w:r w:rsidR="002C3C29">
          <w:rPr>
            <w:noProof/>
          </w:rPr>
          <w:tab/>
        </w:r>
        <w:r w:rsidR="002C3C29">
          <w:rPr>
            <w:noProof/>
          </w:rPr>
          <w:fldChar w:fldCharType="begin"/>
        </w:r>
        <w:r w:rsidR="002C3C29">
          <w:rPr>
            <w:noProof/>
          </w:rPr>
          <w:instrText xml:space="preserve"> PAGEREF _Toc37770221 \h </w:instrText>
        </w:r>
        <w:r w:rsidR="002C3C29">
          <w:rPr>
            <w:noProof/>
          </w:rPr>
        </w:r>
        <w:r w:rsidR="002C3C29">
          <w:rPr>
            <w:noProof/>
          </w:rPr>
          <w:fldChar w:fldCharType="separate"/>
        </w:r>
        <w:r w:rsidR="00D643C0">
          <w:rPr>
            <w:noProof/>
          </w:rPr>
          <w:t>84</w:t>
        </w:r>
        <w:r w:rsidR="002C3C29">
          <w:rPr>
            <w:noProof/>
          </w:rPr>
          <w:fldChar w:fldCharType="end"/>
        </w:r>
      </w:hyperlink>
    </w:p>
    <w:p w14:paraId="43FF520E" w14:textId="20022B3B" w:rsidR="00AC3A9B" w:rsidRDefault="002C0796">
      <w:pPr>
        <w:pStyle w:val="TOC1"/>
        <w:rPr>
          <w:rFonts w:asciiTheme="minorHAnsi" w:eastAsiaTheme="minorEastAsia" w:hAnsiTheme="minorHAnsi" w:cstheme="minorBidi"/>
          <w:noProof/>
          <w:szCs w:val="22"/>
        </w:rPr>
      </w:pPr>
      <w:hyperlink w:anchor="_Toc37770222" w:history="1">
        <w:r w:rsidR="002C3C29">
          <w:rPr>
            <w:rStyle w:val="afc"/>
            <w:noProof/>
          </w:rPr>
          <w:t>第十九部分</w:t>
        </w:r>
        <w:r w:rsidR="002C3C29">
          <w:rPr>
            <w:rStyle w:val="afc"/>
            <w:noProof/>
          </w:rPr>
          <w:t xml:space="preserve">  </w:t>
        </w:r>
        <w:r w:rsidR="002C3C29">
          <w:rPr>
            <w:rStyle w:val="afc"/>
            <w:noProof/>
          </w:rPr>
          <w:t>基金托管协议的内容摘要</w:t>
        </w:r>
        <w:r w:rsidR="002C3C29">
          <w:rPr>
            <w:noProof/>
          </w:rPr>
          <w:tab/>
        </w:r>
        <w:r w:rsidR="002C3C29">
          <w:rPr>
            <w:noProof/>
          </w:rPr>
          <w:fldChar w:fldCharType="begin"/>
        </w:r>
        <w:r w:rsidR="002C3C29">
          <w:rPr>
            <w:noProof/>
          </w:rPr>
          <w:instrText xml:space="preserve"> PAGEREF _Toc37770222 \h </w:instrText>
        </w:r>
        <w:r w:rsidR="002C3C29">
          <w:rPr>
            <w:noProof/>
          </w:rPr>
        </w:r>
        <w:r w:rsidR="002C3C29">
          <w:rPr>
            <w:noProof/>
          </w:rPr>
          <w:fldChar w:fldCharType="separate"/>
        </w:r>
        <w:r w:rsidR="00D643C0">
          <w:rPr>
            <w:noProof/>
          </w:rPr>
          <w:t>100</w:t>
        </w:r>
        <w:r w:rsidR="002C3C29">
          <w:rPr>
            <w:noProof/>
          </w:rPr>
          <w:fldChar w:fldCharType="end"/>
        </w:r>
      </w:hyperlink>
    </w:p>
    <w:p w14:paraId="34FBC086" w14:textId="34FF3D35" w:rsidR="00AC3A9B" w:rsidRDefault="002C0796">
      <w:pPr>
        <w:pStyle w:val="TOC1"/>
        <w:rPr>
          <w:rFonts w:asciiTheme="minorHAnsi" w:eastAsiaTheme="minorEastAsia" w:hAnsiTheme="minorHAnsi" w:cstheme="minorBidi"/>
          <w:noProof/>
          <w:szCs w:val="22"/>
        </w:rPr>
      </w:pPr>
      <w:hyperlink w:anchor="_Toc37770223" w:history="1">
        <w:r w:rsidR="002C3C29">
          <w:rPr>
            <w:rStyle w:val="afc"/>
            <w:noProof/>
          </w:rPr>
          <w:t>第二十部分</w:t>
        </w:r>
        <w:r w:rsidR="002C3C29">
          <w:rPr>
            <w:rStyle w:val="afc"/>
            <w:noProof/>
          </w:rPr>
          <w:t xml:space="preserve">  </w:t>
        </w:r>
        <w:r w:rsidR="002C3C29">
          <w:rPr>
            <w:rStyle w:val="afc"/>
            <w:noProof/>
          </w:rPr>
          <w:t>对基金份额持有人的服务</w:t>
        </w:r>
        <w:r w:rsidR="002C3C29">
          <w:rPr>
            <w:noProof/>
          </w:rPr>
          <w:tab/>
        </w:r>
        <w:r w:rsidR="002C3C29">
          <w:rPr>
            <w:noProof/>
          </w:rPr>
          <w:fldChar w:fldCharType="begin"/>
        </w:r>
        <w:r w:rsidR="002C3C29">
          <w:rPr>
            <w:noProof/>
          </w:rPr>
          <w:instrText xml:space="preserve"> PAGEREF _Toc37770223 \h </w:instrText>
        </w:r>
        <w:r w:rsidR="002C3C29">
          <w:rPr>
            <w:noProof/>
          </w:rPr>
        </w:r>
        <w:r w:rsidR="002C3C29">
          <w:rPr>
            <w:noProof/>
          </w:rPr>
          <w:fldChar w:fldCharType="separate"/>
        </w:r>
        <w:r w:rsidR="00D643C0">
          <w:rPr>
            <w:noProof/>
          </w:rPr>
          <w:t>115</w:t>
        </w:r>
        <w:r w:rsidR="002C3C29">
          <w:rPr>
            <w:noProof/>
          </w:rPr>
          <w:fldChar w:fldCharType="end"/>
        </w:r>
      </w:hyperlink>
    </w:p>
    <w:p w14:paraId="39159B90" w14:textId="6115E96E" w:rsidR="00AC3A9B" w:rsidRDefault="002C0796">
      <w:pPr>
        <w:pStyle w:val="TOC1"/>
        <w:rPr>
          <w:rFonts w:asciiTheme="minorHAnsi" w:eastAsiaTheme="minorEastAsia" w:hAnsiTheme="minorHAnsi" w:cstheme="minorBidi"/>
          <w:noProof/>
          <w:szCs w:val="22"/>
        </w:rPr>
      </w:pPr>
      <w:hyperlink w:anchor="_Toc37770224" w:history="1">
        <w:r w:rsidR="002C3C29">
          <w:rPr>
            <w:rStyle w:val="afc"/>
            <w:noProof/>
          </w:rPr>
          <w:t>第二十一部分</w:t>
        </w:r>
        <w:r w:rsidR="002C3C29">
          <w:rPr>
            <w:rStyle w:val="afc"/>
            <w:noProof/>
          </w:rPr>
          <w:t xml:space="preserve">  </w:t>
        </w:r>
        <w:r w:rsidR="002C3C29">
          <w:rPr>
            <w:rStyle w:val="afc"/>
            <w:noProof/>
          </w:rPr>
          <w:t>其他应披露事项</w:t>
        </w:r>
        <w:r w:rsidR="002C3C29">
          <w:rPr>
            <w:noProof/>
          </w:rPr>
          <w:tab/>
        </w:r>
        <w:r w:rsidR="002C3C29">
          <w:rPr>
            <w:noProof/>
          </w:rPr>
          <w:fldChar w:fldCharType="begin"/>
        </w:r>
        <w:r w:rsidR="002C3C29">
          <w:rPr>
            <w:noProof/>
          </w:rPr>
          <w:instrText xml:space="preserve"> PAGEREF _Toc37770224 \h </w:instrText>
        </w:r>
        <w:r w:rsidR="002C3C29">
          <w:rPr>
            <w:noProof/>
          </w:rPr>
        </w:r>
        <w:r w:rsidR="002C3C29">
          <w:rPr>
            <w:noProof/>
          </w:rPr>
          <w:fldChar w:fldCharType="separate"/>
        </w:r>
        <w:r w:rsidR="00D643C0">
          <w:rPr>
            <w:noProof/>
          </w:rPr>
          <w:t>117</w:t>
        </w:r>
        <w:r w:rsidR="002C3C29">
          <w:rPr>
            <w:noProof/>
          </w:rPr>
          <w:fldChar w:fldCharType="end"/>
        </w:r>
      </w:hyperlink>
    </w:p>
    <w:p w14:paraId="0CFDB6B6" w14:textId="45D83861" w:rsidR="00AC3A9B" w:rsidRDefault="002C0796">
      <w:pPr>
        <w:pStyle w:val="TOC1"/>
        <w:rPr>
          <w:rFonts w:asciiTheme="minorHAnsi" w:eastAsiaTheme="minorEastAsia" w:hAnsiTheme="minorHAnsi" w:cstheme="minorBidi"/>
          <w:noProof/>
          <w:szCs w:val="22"/>
        </w:rPr>
      </w:pPr>
      <w:hyperlink w:anchor="_Toc37770225" w:history="1">
        <w:r w:rsidR="002C3C29">
          <w:rPr>
            <w:rStyle w:val="afc"/>
            <w:noProof/>
          </w:rPr>
          <w:t>第二十二部分</w:t>
        </w:r>
        <w:r w:rsidR="002C3C29">
          <w:rPr>
            <w:rStyle w:val="afc"/>
            <w:noProof/>
          </w:rPr>
          <w:t xml:space="preserve">  </w:t>
        </w:r>
        <w:r w:rsidR="002C3C29">
          <w:rPr>
            <w:rStyle w:val="afc"/>
            <w:noProof/>
          </w:rPr>
          <w:t>招募说明书存放及查阅方式</w:t>
        </w:r>
        <w:r w:rsidR="002C3C29">
          <w:rPr>
            <w:noProof/>
          </w:rPr>
          <w:tab/>
        </w:r>
        <w:r w:rsidR="002C3C29">
          <w:rPr>
            <w:noProof/>
          </w:rPr>
          <w:fldChar w:fldCharType="begin"/>
        </w:r>
        <w:r w:rsidR="002C3C29">
          <w:rPr>
            <w:noProof/>
          </w:rPr>
          <w:instrText xml:space="preserve"> PAGEREF _Toc37770225 \h </w:instrText>
        </w:r>
        <w:r w:rsidR="002C3C29">
          <w:rPr>
            <w:noProof/>
          </w:rPr>
        </w:r>
        <w:r w:rsidR="002C3C29">
          <w:rPr>
            <w:noProof/>
          </w:rPr>
          <w:fldChar w:fldCharType="separate"/>
        </w:r>
        <w:r w:rsidR="00D643C0">
          <w:rPr>
            <w:noProof/>
          </w:rPr>
          <w:t>120</w:t>
        </w:r>
        <w:r w:rsidR="002C3C29">
          <w:rPr>
            <w:noProof/>
          </w:rPr>
          <w:fldChar w:fldCharType="end"/>
        </w:r>
      </w:hyperlink>
    </w:p>
    <w:p w14:paraId="7C571DF5" w14:textId="65E21C45" w:rsidR="00AC3A9B" w:rsidRDefault="002C0796">
      <w:pPr>
        <w:pStyle w:val="TOC1"/>
        <w:rPr>
          <w:rFonts w:asciiTheme="minorHAnsi" w:eastAsiaTheme="minorEastAsia" w:hAnsiTheme="minorHAnsi" w:cstheme="minorBidi"/>
          <w:noProof/>
          <w:szCs w:val="22"/>
        </w:rPr>
      </w:pPr>
      <w:hyperlink w:anchor="_Toc37770226" w:history="1">
        <w:r w:rsidR="002C3C29">
          <w:rPr>
            <w:rStyle w:val="afc"/>
            <w:noProof/>
          </w:rPr>
          <w:t>第二十三部分</w:t>
        </w:r>
        <w:r w:rsidR="002C3C29">
          <w:rPr>
            <w:rStyle w:val="afc"/>
            <w:noProof/>
          </w:rPr>
          <w:t xml:space="preserve">  </w:t>
        </w:r>
        <w:r w:rsidR="002C3C29">
          <w:rPr>
            <w:rStyle w:val="afc"/>
            <w:noProof/>
          </w:rPr>
          <w:t>备查文件</w:t>
        </w:r>
        <w:r w:rsidR="002C3C29">
          <w:rPr>
            <w:noProof/>
          </w:rPr>
          <w:tab/>
        </w:r>
        <w:r w:rsidR="002C3C29">
          <w:rPr>
            <w:noProof/>
          </w:rPr>
          <w:fldChar w:fldCharType="begin"/>
        </w:r>
        <w:r w:rsidR="002C3C29">
          <w:rPr>
            <w:noProof/>
          </w:rPr>
          <w:instrText xml:space="preserve"> PAGEREF _Toc37770226 \h </w:instrText>
        </w:r>
        <w:r w:rsidR="002C3C29">
          <w:rPr>
            <w:noProof/>
          </w:rPr>
        </w:r>
        <w:r w:rsidR="002C3C29">
          <w:rPr>
            <w:noProof/>
          </w:rPr>
          <w:fldChar w:fldCharType="separate"/>
        </w:r>
        <w:r w:rsidR="00D643C0">
          <w:rPr>
            <w:noProof/>
          </w:rPr>
          <w:t>1</w:t>
        </w:r>
        <w:r w:rsidR="002C3C29">
          <w:rPr>
            <w:noProof/>
          </w:rPr>
          <w:fldChar w:fldCharType="end"/>
        </w:r>
      </w:hyperlink>
      <w:r w:rsidR="002C3C29">
        <w:rPr>
          <w:rFonts w:hint="eastAsia"/>
          <w:noProof/>
        </w:rPr>
        <w:t>27</w:t>
      </w:r>
    </w:p>
    <w:p w14:paraId="352548E6" w14:textId="77777777" w:rsidR="00AC3A9B" w:rsidRDefault="002C3C29">
      <w:pPr>
        <w:sectPr w:rsidR="00AC3A9B">
          <w:pgSz w:w="11906" w:h="16838"/>
          <w:pgMar w:top="1440" w:right="1800" w:bottom="1440" w:left="1800" w:header="851" w:footer="992" w:gutter="0"/>
          <w:pgNumType w:chapStyle="1"/>
          <w:cols w:space="720"/>
          <w:docGrid w:type="lines" w:linePitch="312"/>
        </w:sectPr>
      </w:pPr>
      <w:r>
        <w:fldChar w:fldCharType="end"/>
      </w:r>
      <w:bookmarkStart w:id="32" w:name="_Toc263092309"/>
      <w:bookmarkStart w:id="33" w:name="_Toc416264537"/>
      <w:bookmarkStart w:id="34" w:name="_Toc352229747"/>
      <w:bookmarkStart w:id="35" w:name="_Toc21301"/>
      <w:bookmarkStart w:id="36" w:name="_Toc22864"/>
      <w:bookmarkStart w:id="37" w:name="_Toc13020"/>
      <w:bookmarkStart w:id="38" w:name="_Toc819"/>
      <w:bookmarkStart w:id="39" w:name="_Toc19592"/>
      <w:bookmarkStart w:id="40" w:name="_Toc6617"/>
      <w:bookmarkStart w:id="41" w:name="_Toc2465"/>
      <w:bookmarkStart w:id="42" w:name="_Toc3224"/>
      <w:bookmarkStart w:id="43" w:name="_Toc31551"/>
      <w:bookmarkStart w:id="44" w:name="_Toc24860"/>
      <w:bookmarkStart w:id="45" w:name="_Toc258829399"/>
      <w:bookmarkStart w:id="46" w:name="_Toc1506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26A73FF" w14:textId="77777777" w:rsidR="00AC3A9B" w:rsidRDefault="002C3C29">
      <w:pPr>
        <w:pStyle w:val="1"/>
        <w:jc w:val="center"/>
        <w:rPr>
          <w:sz w:val="30"/>
          <w:szCs w:val="30"/>
        </w:rPr>
      </w:pPr>
      <w:bookmarkStart w:id="47" w:name="_Toc37770204"/>
      <w:r>
        <w:rPr>
          <w:rFonts w:hint="eastAsia"/>
          <w:sz w:val="30"/>
          <w:szCs w:val="30"/>
        </w:rPr>
        <w:lastRenderedPageBreak/>
        <w:t>第一部分</w:t>
      </w:r>
      <w:r>
        <w:rPr>
          <w:sz w:val="30"/>
          <w:szCs w:val="30"/>
        </w:rPr>
        <w:t xml:space="preserve">  </w:t>
      </w:r>
      <w:r>
        <w:rPr>
          <w:rFonts w:hint="eastAsia"/>
          <w:sz w:val="30"/>
          <w:szCs w:val="30"/>
        </w:rPr>
        <w:t>绪言</w:t>
      </w:r>
      <w:bookmarkEnd w:id="32"/>
      <w:bookmarkEnd w:id="33"/>
      <w:bookmarkEnd w:id="47"/>
    </w:p>
    <w:p w14:paraId="78F0F2AC" w14:textId="77777777"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锦混合型证券投资基金招募说明书》（以下简称“招募说明书”或“本招募说明书”）依照《中华人民共和国证券投资基金法》（以下简称“《基金法》”）、《公开募集证券投资基金运作管理办法》（以下简称“《运作办法》”）、《证券投资基金销售管理办法》（以下简称“《销售办法》”）、《</w:t>
      </w:r>
      <w:r>
        <w:rPr>
          <w:rFonts w:hint="eastAsia"/>
          <w:bCs/>
          <w:kern w:val="0"/>
          <w:sz w:val="24"/>
        </w:rPr>
        <w:t>公开募集证券投资基金信息披露管理办法</w:t>
      </w:r>
      <w:r>
        <w:rPr>
          <w:rFonts w:asciiTheme="minorEastAsia" w:hAnsiTheme="minorEastAsia" w:cs="Arial" w:hint="eastAsia"/>
          <w:sz w:val="24"/>
          <w:szCs w:val="24"/>
        </w:rPr>
        <w:t>》（以下简称“《信息披露办法》”）、《公开募集开放式证券投资基金流动性风险管理规定》（以下简称“《管理规定》”）以及《富荣福锦混合型证券投资基金基金合同》（以下简称“基金合同”）编写。</w:t>
      </w:r>
    </w:p>
    <w:p w14:paraId="4E9AA632" w14:textId="77777777"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DE6B3CB" w14:textId="77777777"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锦混合型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368C2E3D" w14:textId="77777777"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AD6BC8B" w14:textId="77777777" w:rsidR="00AC3A9B"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footerReference w:type="default" r:id="rId11"/>
          <w:pgSz w:w="11906" w:h="16838"/>
          <w:pgMar w:top="1440" w:right="1800" w:bottom="1440" w:left="1800" w:header="851" w:footer="992" w:gutter="0"/>
          <w:pgNumType w:chapStyle="1"/>
          <w:cols w:space="720"/>
          <w:docGrid w:type="lines" w:linePitch="312"/>
        </w:sectPr>
      </w:pPr>
      <w:bookmarkStart w:id="48" w:name="_Toc22708"/>
      <w:bookmarkStart w:id="49" w:name="_Toc733"/>
      <w:bookmarkStart w:id="50" w:name="_Toc352229748"/>
      <w:bookmarkStart w:id="51" w:name="_Toc24571"/>
      <w:bookmarkStart w:id="52" w:name="_Toc20318"/>
      <w:bookmarkStart w:id="53" w:name="_Toc20627"/>
      <w:bookmarkStart w:id="54" w:name="_Toc545"/>
      <w:bookmarkStart w:id="55" w:name="_Toc5246"/>
      <w:bookmarkStart w:id="56" w:name="_Toc6149"/>
      <w:bookmarkStart w:id="57" w:name="_Toc6683"/>
      <w:bookmarkStart w:id="58" w:name="_Toc13288"/>
      <w:bookmarkStart w:id="59" w:name="_Toc18631"/>
      <w:bookmarkStart w:id="60" w:name="_Toc233456272"/>
      <w:bookmarkStart w:id="61"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5B0BE6ED" w14:textId="77777777" w:rsidR="00AC3A9B" w:rsidRDefault="002C3C29">
      <w:pPr>
        <w:pStyle w:val="1"/>
        <w:jc w:val="center"/>
        <w:rPr>
          <w:sz w:val="30"/>
          <w:szCs w:val="30"/>
        </w:rPr>
      </w:pPr>
      <w:bookmarkStart w:id="62" w:name="_Toc37770205"/>
      <w:r>
        <w:rPr>
          <w:rFonts w:hint="eastAsia"/>
          <w:sz w:val="30"/>
          <w:szCs w:val="30"/>
        </w:rPr>
        <w:lastRenderedPageBreak/>
        <w:t>第二部分</w:t>
      </w:r>
      <w:r>
        <w:rPr>
          <w:sz w:val="30"/>
          <w:szCs w:val="30"/>
        </w:rPr>
        <w:t xml:space="preserve">  </w:t>
      </w:r>
      <w:r>
        <w:rPr>
          <w:rFonts w:hint="eastAsia"/>
          <w:sz w:val="30"/>
          <w:szCs w:val="30"/>
        </w:rPr>
        <w:t>释义</w:t>
      </w:r>
      <w:bookmarkEnd w:id="62"/>
    </w:p>
    <w:p w14:paraId="72A70868"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0CFA76B8"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、基金或本基金：指富荣福锦混合型证券投资基金</w:t>
      </w:r>
    </w:p>
    <w:p w14:paraId="7FA92AE9"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、基金管理人：指富荣基金管理有限公司</w:t>
      </w:r>
    </w:p>
    <w:p w14:paraId="17E02415"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、基金托管人：指平安银行股份有限公司</w:t>
      </w:r>
    </w:p>
    <w:p w14:paraId="0CD501CA"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、基金合同：指《富荣福锦混合型证券投资基金基金合同》及对基金合同的任何有效修订和补充</w:t>
      </w:r>
    </w:p>
    <w:p w14:paraId="62B252C9"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、托管协议：指基金管理人与基金托管人就本基金签订之《富荣福锦混合型证券投资基金托管协议》及对该托管协议的任何有效修订和补充</w:t>
      </w:r>
    </w:p>
    <w:p w14:paraId="6E1ECFE5"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w:t>
      </w:r>
      <w:r>
        <w:rPr>
          <w:rFonts w:asciiTheme="minorEastAsia" w:hAnsiTheme="minorEastAsia" w:cs="Times New Roman" w:hint="eastAsia"/>
          <w:sz w:val="24"/>
          <w:szCs w:val="24"/>
        </w:rPr>
        <w:t>、招募说明书或本招募说明书：指《富荣福锦混合型证券投资基金招募说明书》及其更新</w:t>
      </w:r>
    </w:p>
    <w:p w14:paraId="2F1A6D18"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bCs/>
          <w:sz w:val="24"/>
          <w:szCs w:val="24"/>
        </w:rPr>
        <w:t>7</w:t>
      </w:r>
      <w:r>
        <w:rPr>
          <w:rFonts w:asciiTheme="minorEastAsia" w:hAnsiTheme="minorEastAsia" w:cs="Times New Roman" w:hint="eastAsia"/>
          <w:bCs/>
          <w:sz w:val="24"/>
          <w:szCs w:val="24"/>
        </w:rPr>
        <w:t>、基金产品资料概要：指《富荣福锦混合型证券投资基金基金产品资料概要》及其更新</w:t>
      </w:r>
    </w:p>
    <w:p w14:paraId="23D7F096"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w:t>
      </w:r>
      <w:r>
        <w:rPr>
          <w:rFonts w:asciiTheme="minorEastAsia" w:hAnsiTheme="minorEastAsia" w:cs="Times New Roman" w:hint="eastAsia"/>
          <w:sz w:val="24"/>
          <w:szCs w:val="24"/>
        </w:rPr>
        <w:t>、基金份额发售公告：指《富荣福锦混合型证券投资基金基金份额发售公告》</w:t>
      </w:r>
    </w:p>
    <w:p w14:paraId="2E356D2E"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w:t>
      </w:r>
      <w:r>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52AA4A83"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w:t>
      </w:r>
      <w:r>
        <w:rPr>
          <w:rFonts w:asciiTheme="minorEastAsia" w:hAnsiTheme="minorEastAsia" w:cs="Times New Roman" w:hint="eastAsia"/>
          <w:sz w:val="24"/>
          <w:szCs w:val="24"/>
        </w:rPr>
        <w:t>、《基金法》：指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w:t>
      </w:r>
    </w:p>
    <w:p w14:paraId="69F96465"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w:t>
      </w:r>
      <w:r>
        <w:rPr>
          <w:rFonts w:asciiTheme="minorEastAsia" w:hAnsiTheme="minorEastAsia" w:cs="Times New Roman" w:hint="eastAsia"/>
          <w:sz w:val="24"/>
          <w:szCs w:val="24"/>
        </w:rPr>
        <w:t>、《销售办法》：指中国证监会</w:t>
      </w:r>
      <w:r>
        <w:rPr>
          <w:rFonts w:asciiTheme="minorEastAsia" w:hAnsiTheme="minorEastAsia" w:cs="Times New Roman"/>
          <w:sz w:val="24"/>
          <w:szCs w:val="24"/>
        </w:rPr>
        <w:t>2013</w:t>
      </w:r>
      <w:r>
        <w:rPr>
          <w:rFonts w:asciiTheme="minorEastAsia" w:hAnsiTheme="minorEastAsia" w:cs="Times New Roman" w:hint="eastAsia"/>
          <w:sz w:val="24"/>
          <w:szCs w:val="24"/>
        </w:rPr>
        <w:t>年</w:t>
      </w:r>
      <w:r>
        <w:rPr>
          <w:rFonts w:asciiTheme="minorEastAsia" w:hAnsiTheme="minorEastAsia" w:cs="Times New Roman"/>
          <w:sz w:val="24"/>
          <w:szCs w:val="24"/>
        </w:rPr>
        <w:t>3</w:t>
      </w:r>
      <w:r>
        <w:rPr>
          <w:rFonts w:asciiTheme="minorEastAsia" w:hAnsiTheme="minorEastAsia" w:cs="Times New Roman" w:hint="eastAsia"/>
          <w:sz w:val="24"/>
          <w:szCs w:val="24"/>
        </w:rPr>
        <w:t>月</w:t>
      </w:r>
      <w:r>
        <w:rPr>
          <w:rFonts w:asciiTheme="minorEastAsia" w:hAnsiTheme="minorEastAsia" w:cs="Times New Roman"/>
          <w:sz w:val="24"/>
          <w:szCs w:val="24"/>
        </w:rPr>
        <w:t>15</w:t>
      </w:r>
      <w:r>
        <w:rPr>
          <w:rFonts w:asciiTheme="minorEastAsia" w:hAnsiTheme="minorEastAsia" w:cs="Times New Roman" w:hint="eastAsia"/>
          <w:sz w:val="24"/>
          <w:szCs w:val="24"/>
        </w:rPr>
        <w:t>日颁布、同年</w:t>
      </w:r>
      <w:r>
        <w:rPr>
          <w:rFonts w:asciiTheme="minorEastAsia" w:hAnsiTheme="minorEastAsia" w:cs="Times New Roman"/>
          <w:sz w:val="24"/>
          <w:szCs w:val="24"/>
        </w:rPr>
        <w:t>6</w:t>
      </w:r>
      <w:r>
        <w:rPr>
          <w:rFonts w:asciiTheme="minorEastAsia" w:hAnsiTheme="minorEastAsia" w:cs="Times New Roman" w:hint="eastAsia"/>
          <w:sz w:val="24"/>
          <w:szCs w:val="24"/>
        </w:rPr>
        <w:t>月</w:t>
      </w:r>
      <w:r>
        <w:rPr>
          <w:rFonts w:asciiTheme="minorEastAsia" w:hAnsiTheme="minorEastAsia" w:cs="Times New Roman"/>
          <w:sz w:val="24"/>
          <w:szCs w:val="24"/>
        </w:rPr>
        <w:t>1</w:t>
      </w:r>
      <w:r>
        <w:rPr>
          <w:rFonts w:asciiTheme="minorEastAsia" w:hAnsiTheme="minorEastAsia" w:cs="Times New Roman" w:hint="eastAsia"/>
          <w:sz w:val="24"/>
          <w:szCs w:val="24"/>
        </w:rPr>
        <w:t>日实施的《证券投资基金销售管理办法》及颁布机关对其不时做出的修订</w:t>
      </w:r>
    </w:p>
    <w:p w14:paraId="1F8D6A9C"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w:t>
      </w:r>
      <w:r>
        <w:rPr>
          <w:rFonts w:asciiTheme="minorEastAsia" w:hAnsiTheme="minorEastAsia" w:cs="Times New Roman" w:hint="eastAsia"/>
          <w:sz w:val="24"/>
          <w:szCs w:val="24"/>
        </w:rPr>
        <w:t>、《信息披露办法》：</w:t>
      </w:r>
      <w:r>
        <w:rPr>
          <w:rFonts w:hint="eastAsia"/>
          <w:bCs/>
          <w:kern w:val="0"/>
          <w:sz w:val="24"/>
        </w:rPr>
        <w:t>指中国证监会</w:t>
      </w:r>
      <w:r>
        <w:rPr>
          <w:bCs/>
          <w:kern w:val="0"/>
          <w:sz w:val="24"/>
        </w:rPr>
        <w:t>2019</w:t>
      </w:r>
      <w:r>
        <w:rPr>
          <w:rFonts w:hint="eastAsia"/>
          <w:bCs/>
          <w:kern w:val="0"/>
          <w:sz w:val="24"/>
        </w:rPr>
        <w:t>年</w:t>
      </w:r>
      <w:r>
        <w:rPr>
          <w:bCs/>
          <w:kern w:val="0"/>
          <w:sz w:val="24"/>
        </w:rPr>
        <w:t>7</w:t>
      </w:r>
      <w:r>
        <w:rPr>
          <w:rFonts w:hint="eastAsia"/>
          <w:bCs/>
          <w:kern w:val="0"/>
          <w:sz w:val="24"/>
        </w:rPr>
        <w:t>月</w:t>
      </w:r>
      <w:r>
        <w:rPr>
          <w:bCs/>
          <w:kern w:val="0"/>
          <w:sz w:val="24"/>
        </w:rPr>
        <w:t>26</w:t>
      </w:r>
      <w:r>
        <w:rPr>
          <w:rFonts w:hint="eastAsia"/>
          <w:bCs/>
          <w:kern w:val="0"/>
          <w:sz w:val="24"/>
        </w:rPr>
        <w:t>日颁布、同年</w:t>
      </w:r>
      <w:r>
        <w:rPr>
          <w:bCs/>
          <w:kern w:val="0"/>
          <w:sz w:val="24"/>
        </w:rPr>
        <w:t>9</w:t>
      </w:r>
      <w:r>
        <w:rPr>
          <w:rFonts w:hint="eastAsia"/>
          <w:bCs/>
          <w:kern w:val="0"/>
          <w:sz w:val="24"/>
        </w:rPr>
        <w:t>月</w:t>
      </w:r>
      <w:r>
        <w:rPr>
          <w:bCs/>
          <w:kern w:val="0"/>
          <w:sz w:val="24"/>
        </w:rPr>
        <w:t>1</w:t>
      </w:r>
      <w:r>
        <w:rPr>
          <w:rFonts w:hint="eastAsia"/>
          <w:bCs/>
          <w:kern w:val="0"/>
          <w:sz w:val="24"/>
        </w:rPr>
        <w:t>日实施的《公开募集证券投资基金信息披露管理办法》</w:t>
      </w:r>
      <w:r>
        <w:rPr>
          <w:rFonts w:asciiTheme="minorEastAsia" w:hAnsiTheme="minorEastAsia" w:cs="Times New Roman" w:hint="eastAsia"/>
          <w:sz w:val="24"/>
          <w:szCs w:val="24"/>
        </w:rPr>
        <w:t>及颁布机关对其不时做出的修订</w:t>
      </w:r>
    </w:p>
    <w:p w14:paraId="0F3F9613"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w:t>
      </w:r>
      <w:r>
        <w:rPr>
          <w:rFonts w:asciiTheme="minorEastAsia" w:hAnsiTheme="minorEastAsia" w:cs="Times New Roman" w:hint="eastAsia"/>
          <w:sz w:val="24"/>
          <w:szCs w:val="24"/>
        </w:rPr>
        <w:t>、《运作办法》：指中国证监会</w:t>
      </w:r>
      <w:r>
        <w:rPr>
          <w:rFonts w:asciiTheme="minorEastAsia" w:hAnsiTheme="minorEastAsia" w:cs="Times New Roman"/>
          <w:sz w:val="24"/>
          <w:szCs w:val="24"/>
        </w:rPr>
        <w:t>2014</w:t>
      </w:r>
      <w:r>
        <w:rPr>
          <w:rFonts w:asciiTheme="minorEastAsia" w:hAnsiTheme="minorEastAsia" w:cs="Times New Roman" w:hint="eastAsia"/>
          <w:sz w:val="24"/>
          <w:szCs w:val="24"/>
        </w:rPr>
        <w:t>年</w:t>
      </w:r>
      <w:r>
        <w:rPr>
          <w:rFonts w:asciiTheme="minorEastAsia" w:hAnsiTheme="minorEastAsia" w:cs="Times New Roman"/>
          <w:sz w:val="24"/>
          <w:szCs w:val="24"/>
        </w:rPr>
        <w:t>7</w:t>
      </w:r>
      <w:r>
        <w:rPr>
          <w:rFonts w:asciiTheme="minorEastAsia" w:hAnsiTheme="minorEastAsia" w:cs="Times New Roman" w:hint="eastAsia"/>
          <w:sz w:val="24"/>
          <w:szCs w:val="24"/>
        </w:rPr>
        <w:t>月</w:t>
      </w:r>
      <w:r>
        <w:rPr>
          <w:rFonts w:asciiTheme="minorEastAsia" w:hAnsiTheme="minorEastAsia" w:cs="Times New Roman"/>
          <w:sz w:val="24"/>
          <w:szCs w:val="24"/>
        </w:rPr>
        <w:t>7</w:t>
      </w:r>
      <w:r>
        <w:rPr>
          <w:rFonts w:asciiTheme="minorEastAsia" w:hAnsiTheme="minorEastAsia" w:cs="Times New Roman" w:hint="eastAsia"/>
          <w:sz w:val="24"/>
          <w:szCs w:val="24"/>
        </w:rPr>
        <w:t>日颁布、同年</w:t>
      </w:r>
      <w:r>
        <w:rPr>
          <w:rFonts w:asciiTheme="minorEastAsia" w:hAnsiTheme="minorEastAsia" w:cs="Times New Roman"/>
          <w:sz w:val="24"/>
          <w:szCs w:val="24"/>
        </w:rPr>
        <w:t>8</w:t>
      </w:r>
      <w:r>
        <w:rPr>
          <w:rFonts w:asciiTheme="minorEastAsia" w:hAnsiTheme="minorEastAsia" w:cs="Times New Roman" w:hint="eastAsia"/>
          <w:sz w:val="24"/>
          <w:szCs w:val="24"/>
        </w:rPr>
        <w:t>月</w:t>
      </w:r>
      <w:r>
        <w:rPr>
          <w:rFonts w:asciiTheme="minorEastAsia" w:hAnsiTheme="minorEastAsia" w:cs="Times New Roman"/>
          <w:sz w:val="24"/>
          <w:szCs w:val="24"/>
        </w:rPr>
        <w:t>8</w:t>
      </w:r>
      <w:r>
        <w:rPr>
          <w:rFonts w:asciiTheme="minorEastAsia" w:hAnsiTheme="minorEastAsia" w:cs="Times New Roman" w:hint="eastAsia"/>
          <w:sz w:val="24"/>
          <w:szCs w:val="24"/>
        </w:rPr>
        <w:t>日实施的《公开募集证券投资基金运作管理办法》及颁布机关对其不时做出的修订</w:t>
      </w:r>
    </w:p>
    <w:p w14:paraId="156D219C"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sz w:val="24"/>
          <w:szCs w:val="24"/>
        </w:rPr>
        <w:t>4</w:t>
      </w:r>
      <w:r>
        <w:rPr>
          <w:rFonts w:asciiTheme="minorEastAsia" w:hAnsiTheme="minorEastAsia" w:cs="Times New Roman" w:hint="eastAsia"/>
          <w:sz w:val="24"/>
          <w:szCs w:val="24"/>
        </w:rPr>
        <w:t>、《管理规定》：指中国证监会2017年8月31日颁布、同年10月1日实</w:t>
      </w:r>
      <w:r>
        <w:rPr>
          <w:rFonts w:asciiTheme="minorEastAsia" w:hAnsiTheme="minorEastAsia" w:cs="Times New Roman" w:hint="eastAsia"/>
          <w:sz w:val="24"/>
          <w:szCs w:val="24"/>
        </w:rPr>
        <w:lastRenderedPageBreak/>
        <w:t>施的《公开募集开放式证券投资基金流动性风险管理规定》及颁布机关对其不时做出的修订</w:t>
      </w:r>
    </w:p>
    <w:p w14:paraId="16AF14D2"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w:t>
      </w:r>
      <w:r>
        <w:rPr>
          <w:rFonts w:asciiTheme="minorEastAsia" w:hAnsiTheme="minorEastAsia" w:cs="Times New Roman" w:hint="eastAsia"/>
          <w:sz w:val="24"/>
          <w:szCs w:val="24"/>
        </w:rPr>
        <w:t>、中国证监会：指中国证券监督管理委员会</w:t>
      </w:r>
    </w:p>
    <w:p w14:paraId="55BE8A23"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w:t>
      </w:r>
      <w:r>
        <w:rPr>
          <w:rFonts w:asciiTheme="minorEastAsia" w:hAnsiTheme="minorEastAsia" w:cs="Times New Roman" w:hint="eastAsia"/>
          <w:sz w:val="24"/>
          <w:szCs w:val="24"/>
        </w:rPr>
        <w:t>、银行业监督管理机构：指中国人民银行和</w:t>
      </w:r>
      <w:r>
        <w:rPr>
          <w:rFonts w:asciiTheme="minorEastAsia" w:hAnsiTheme="minorEastAsia" w:cs="Times New Roman"/>
          <w:sz w:val="24"/>
          <w:szCs w:val="24"/>
        </w:rPr>
        <w:t>/</w:t>
      </w:r>
      <w:r>
        <w:rPr>
          <w:rFonts w:asciiTheme="minorEastAsia" w:hAnsiTheme="minorEastAsia" w:cs="Times New Roman" w:hint="eastAsia"/>
          <w:sz w:val="24"/>
          <w:szCs w:val="24"/>
        </w:rPr>
        <w:t>或中国银行保险监督管理委员会</w:t>
      </w:r>
    </w:p>
    <w:p w14:paraId="09C6565B"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w:t>
      </w:r>
      <w:r>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18EB9B48"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18</w:t>
      </w:r>
      <w:r>
        <w:rPr>
          <w:rFonts w:asciiTheme="minorEastAsia" w:hAnsiTheme="minorEastAsia" w:cs="Times New Roman" w:hint="eastAsia"/>
          <w:sz w:val="24"/>
          <w:szCs w:val="24"/>
        </w:rPr>
        <w:t>、个人投资者：指依据有关法律法规规定可投资于证券投资基金的自然人</w:t>
      </w:r>
    </w:p>
    <w:p w14:paraId="21B0D1CE"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w:t>
      </w:r>
      <w:r>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176D8B9A"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w:t>
      </w:r>
      <w:r>
        <w:rPr>
          <w:rFonts w:asciiTheme="minorEastAsia" w:hAnsiTheme="minorEastAsia" w:cs="Times New Roman" w:hint="eastAsia"/>
          <w:sz w:val="24"/>
          <w:szCs w:val="24"/>
        </w:rPr>
        <w:t>、合格境外机构投资者：指符合《合格境外机构投资者境内证券投资管理办法》及相关法律法规规定可以投资于在中国境内依法募集的证券投资基金的中国境外的机构投资者</w:t>
      </w:r>
    </w:p>
    <w:p w14:paraId="60915C86"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sz w:val="24"/>
          <w:szCs w:val="24"/>
        </w:rPr>
        <w:t>1</w:t>
      </w:r>
      <w:r>
        <w:rPr>
          <w:rFonts w:asciiTheme="minorEastAsia" w:hAnsiTheme="minorEastAsia" w:cs="Times New Roman" w:hint="eastAsia"/>
          <w:sz w:val="24"/>
          <w:szCs w:val="24"/>
        </w:rPr>
        <w:t>、投资人：指个人投资者、机构投资者和合格境外机构投资者以及法律法规或中国证监会允许购买证券投资基金的其他投资人的合称</w:t>
      </w:r>
    </w:p>
    <w:p w14:paraId="439768C1"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w:t>
      </w:r>
      <w:r>
        <w:rPr>
          <w:rFonts w:asciiTheme="minorEastAsia" w:hAnsiTheme="minorEastAsia" w:cs="Times New Roman" w:hint="eastAsia"/>
          <w:sz w:val="24"/>
          <w:szCs w:val="24"/>
        </w:rPr>
        <w:t>、基金份额持有人：指依基金合同和招募说明书合法取得基金份额的投资人</w:t>
      </w:r>
    </w:p>
    <w:p w14:paraId="229A996B"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w:t>
      </w:r>
      <w:r>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1FFC6787"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、销售机构：指富荣基金管理有限公司以及符合《销售办法》和中国证监会规定的其他条件，取得基金销售业务资格并与基金管理人签订了基金销售服务协议，办理基金销售业务的机构</w:t>
      </w:r>
    </w:p>
    <w:p w14:paraId="311C6EBA"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2AD09064"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、登记机构：指办理登记业务的机构。本基金的登记机构为富荣基金管理有限公司或接受富荣基金管理有限公司委托代为办理登记业务的机构</w:t>
      </w:r>
    </w:p>
    <w:p w14:paraId="1E40165C"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w:t>
      </w:r>
      <w:r>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1BA68C95"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28</w:t>
      </w:r>
      <w:r>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、基金交易账户：指销售机构为投资人开立的、记录投资人通过该销售机构办理认购、申购、赎回、转换、转托管及定期定额投资等业务而引起的基金份额变动及结余情况的账户</w:t>
      </w:r>
    </w:p>
    <w:p w14:paraId="5F6BFCB4"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29</w:t>
      </w:r>
      <w:r>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4CCA77A8"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30</w:t>
      </w:r>
      <w:r>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0E5D41F3"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sz w:val="24"/>
          <w:szCs w:val="24"/>
        </w:rPr>
        <w:t>1</w:t>
      </w:r>
      <w:r>
        <w:rPr>
          <w:rFonts w:asciiTheme="minorEastAsia" w:hAnsiTheme="minorEastAsia" w:cs="Times New Roman" w:hint="eastAsia"/>
          <w:sz w:val="24"/>
          <w:szCs w:val="24"/>
        </w:rPr>
        <w:t>、基金募集期：指自基金份额发售之日起至发售结束之日止的期间，最长不得超过</w:t>
      </w:r>
      <w:r>
        <w:rPr>
          <w:rFonts w:asciiTheme="minorEastAsia" w:hAnsiTheme="minorEastAsia" w:cs="Times New Roman"/>
          <w:sz w:val="24"/>
          <w:szCs w:val="24"/>
        </w:rPr>
        <w:t>3</w:t>
      </w:r>
      <w:r>
        <w:rPr>
          <w:rFonts w:asciiTheme="minorEastAsia" w:hAnsiTheme="minorEastAsia" w:cs="Times New Roman" w:hint="eastAsia"/>
          <w:sz w:val="24"/>
          <w:szCs w:val="24"/>
        </w:rPr>
        <w:t>个月</w:t>
      </w:r>
    </w:p>
    <w:p w14:paraId="2AB7B98E"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32</w:t>
      </w:r>
      <w:r>
        <w:rPr>
          <w:rFonts w:asciiTheme="minorEastAsia" w:hAnsiTheme="minorEastAsia" w:cs="Times New Roman" w:hint="eastAsia"/>
          <w:sz w:val="24"/>
          <w:szCs w:val="24"/>
        </w:rPr>
        <w:t>、存续期：指基金合同生效至终止之间的不定期期限</w:t>
      </w:r>
    </w:p>
    <w:p w14:paraId="655651DA"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33</w:t>
      </w:r>
      <w:r>
        <w:rPr>
          <w:rFonts w:asciiTheme="minorEastAsia" w:hAnsiTheme="minorEastAsia" w:cs="Times New Roman" w:hint="eastAsia"/>
          <w:sz w:val="24"/>
          <w:szCs w:val="24"/>
        </w:rPr>
        <w:t>、工作日：指上海证券交易所、深圳证券交易所的正常交易日</w:t>
      </w:r>
    </w:p>
    <w:p w14:paraId="3B8F0D29"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34</w:t>
      </w:r>
      <w:r>
        <w:rPr>
          <w:rFonts w:asciiTheme="minorEastAsia" w:hAnsiTheme="minorEastAsia" w:cs="Times New Roman" w:hint="eastAsia"/>
          <w:sz w:val="24"/>
          <w:szCs w:val="24"/>
        </w:rPr>
        <w:t>、</w:t>
      </w:r>
      <w:r>
        <w:rPr>
          <w:rFonts w:asciiTheme="minorEastAsia" w:hAnsiTheme="minorEastAsia" w:cs="Times New Roman"/>
          <w:sz w:val="24"/>
          <w:szCs w:val="24"/>
        </w:rPr>
        <w:t>T</w:t>
      </w:r>
      <w:r>
        <w:rPr>
          <w:rFonts w:asciiTheme="minorEastAsia" w:hAnsiTheme="minorEastAsia" w:cs="Times New Roman" w:hint="eastAsia"/>
          <w:sz w:val="24"/>
          <w:szCs w:val="24"/>
        </w:rPr>
        <w:t>日：指销售机构在规定时间受理投资人申购、赎回或其他业务申请的开放日</w:t>
      </w:r>
    </w:p>
    <w:p w14:paraId="79F8A61F"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35</w:t>
      </w:r>
      <w:r>
        <w:rPr>
          <w:rFonts w:asciiTheme="minorEastAsia" w:hAnsiTheme="minorEastAsia" w:cs="Times New Roman" w:hint="eastAsia"/>
          <w:sz w:val="24"/>
          <w:szCs w:val="24"/>
        </w:rPr>
        <w:t>、</w:t>
      </w:r>
      <w:proofErr w:type="spellStart"/>
      <w:r>
        <w:rPr>
          <w:rFonts w:asciiTheme="minorEastAsia" w:hAnsiTheme="minorEastAsia" w:cs="Times New Roman"/>
          <w:sz w:val="24"/>
          <w:szCs w:val="24"/>
        </w:rPr>
        <w:t>T+n</w:t>
      </w:r>
      <w:proofErr w:type="spellEnd"/>
      <w:r>
        <w:rPr>
          <w:rFonts w:asciiTheme="minorEastAsia" w:hAnsiTheme="minorEastAsia" w:cs="Times New Roman" w:hint="eastAsia"/>
          <w:sz w:val="24"/>
          <w:szCs w:val="24"/>
        </w:rPr>
        <w:t>日：指自</w:t>
      </w:r>
      <w:r>
        <w:rPr>
          <w:rFonts w:asciiTheme="minorEastAsia" w:hAnsiTheme="minorEastAsia" w:cs="Times New Roman"/>
          <w:sz w:val="24"/>
          <w:szCs w:val="24"/>
        </w:rPr>
        <w:t>T</w:t>
      </w:r>
      <w:r>
        <w:rPr>
          <w:rFonts w:asciiTheme="minorEastAsia" w:hAnsiTheme="minorEastAsia" w:cs="Times New Roman" w:hint="eastAsia"/>
          <w:sz w:val="24"/>
          <w:szCs w:val="24"/>
        </w:rPr>
        <w:t>日起第</w:t>
      </w:r>
      <w:r>
        <w:rPr>
          <w:rFonts w:asciiTheme="minorEastAsia" w:hAnsiTheme="minorEastAsia" w:cs="Times New Roman"/>
          <w:sz w:val="24"/>
          <w:szCs w:val="24"/>
        </w:rPr>
        <w:t>n</w:t>
      </w:r>
      <w:r>
        <w:rPr>
          <w:rFonts w:asciiTheme="minorEastAsia" w:hAnsiTheme="minorEastAsia" w:cs="Times New Roman" w:hint="eastAsia"/>
          <w:sz w:val="24"/>
          <w:szCs w:val="24"/>
        </w:rPr>
        <w:t>个工作日（不包含</w:t>
      </w:r>
      <w:r>
        <w:rPr>
          <w:rFonts w:asciiTheme="minorEastAsia" w:hAnsiTheme="minorEastAsia" w:cs="Times New Roman"/>
          <w:sz w:val="24"/>
          <w:szCs w:val="24"/>
        </w:rPr>
        <w:t>T</w:t>
      </w:r>
      <w:r>
        <w:rPr>
          <w:rFonts w:asciiTheme="minorEastAsia" w:hAnsiTheme="minorEastAsia" w:cs="Times New Roman" w:hint="eastAsia"/>
          <w:sz w:val="24"/>
          <w:szCs w:val="24"/>
        </w:rPr>
        <w:t>日）</w:t>
      </w:r>
    </w:p>
    <w:p w14:paraId="5309F75C"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36</w:t>
      </w:r>
      <w:r>
        <w:rPr>
          <w:rFonts w:asciiTheme="minorEastAsia" w:hAnsiTheme="minorEastAsia" w:cs="Times New Roman" w:hint="eastAsia"/>
          <w:sz w:val="24"/>
          <w:szCs w:val="24"/>
        </w:rPr>
        <w:t>、开放日：指为投资人办理基金份额申购、赎回或其他业务的工作日</w:t>
      </w:r>
    </w:p>
    <w:p w14:paraId="40636741"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37</w:t>
      </w:r>
      <w:r>
        <w:rPr>
          <w:rFonts w:asciiTheme="minorEastAsia" w:hAnsiTheme="minorEastAsia" w:cs="Times New Roman" w:hint="eastAsia"/>
          <w:sz w:val="24"/>
          <w:szCs w:val="24"/>
        </w:rPr>
        <w:t>、开放时间：指开放日基金接受申购、赎回或其他交易的时间段</w:t>
      </w:r>
    </w:p>
    <w:p w14:paraId="407CF27E"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38</w:t>
      </w:r>
      <w:r>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146FA95D"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39</w:t>
      </w:r>
      <w:r>
        <w:rPr>
          <w:rFonts w:asciiTheme="minorEastAsia" w:hAnsiTheme="minorEastAsia" w:cs="Times New Roman" w:hint="eastAsia"/>
          <w:sz w:val="24"/>
          <w:szCs w:val="24"/>
        </w:rPr>
        <w:t>、认购：指在基金募集期内，投资人根据基金合同和招募说明书的规定申请购买基金份额的行为</w:t>
      </w:r>
    </w:p>
    <w:p w14:paraId="1AC1033E"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40</w:t>
      </w:r>
      <w:r>
        <w:rPr>
          <w:rFonts w:asciiTheme="minorEastAsia" w:hAnsiTheme="minorEastAsia" w:cs="Times New Roman" w:hint="eastAsia"/>
          <w:sz w:val="24"/>
          <w:szCs w:val="24"/>
        </w:rPr>
        <w:t>、申购：指基金合同生效后，投资人根据基金合同和招募说明书的规定申请购买基金份额的行为</w:t>
      </w:r>
    </w:p>
    <w:p w14:paraId="79A62CAC"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1</w:t>
      </w:r>
      <w:r>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770CC9CD"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42</w:t>
      </w:r>
      <w:r>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、基金转换：指基金份额持有人按照基金合同和基金管理人届时有效公告规定的条件，申请将其持有基金管理人管理的、某一基金的基金份额转换为基金管理人管理的其他基金基金份额的行为</w:t>
      </w:r>
    </w:p>
    <w:p w14:paraId="40A6BF79"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43</w:t>
      </w:r>
      <w:r>
        <w:rPr>
          <w:rFonts w:asciiTheme="minorEastAsia" w:hAnsiTheme="minorEastAsia" w:cs="Times New Roman" w:hint="eastAsia"/>
          <w:sz w:val="24"/>
          <w:szCs w:val="24"/>
        </w:rPr>
        <w:t>、转托管：指基金份额持有人在本基金的不同销售机构之间实施的变更所</w:t>
      </w:r>
      <w:r>
        <w:rPr>
          <w:rFonts w:asciiTheme="minorEastAsia" w:hAnsiTheme="minorEastAsia" w:cs="Times New Roman" w:hint="eastAsia"/>
          <w:sz w:val="24"/>
          <w:szCs w:val="24"/>
        </w:rPr>
        <w:lastRenderedPageBreak/>
        <w:t>持基金份额销售机构的操作</w:t>
      </w:r>
    </w:p>
    <w:p w14:paraId="580C647D"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44</w:t>
      </w:r>
      <w:r>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E77FFF3"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45</w:t>
      </w:r>
      <w:r>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cs="Times New Roman"/>
          <w:sz w:val="24"/>
          <w:szCs w:val="24"/>
        </w:rPr>
        <w:t>10%</w:t>
      </w:r>
    </w:p>
    <w:p w14:paraId="0CA306BD"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46</w:t>
      </w:r>
      <w:r>
        <w:rPr>
          <w:rFonts w:asciiTheme="minorEastAsia" w:hAnsiTheme="minorEastAsia" w:cs="Times New Roman" w:hint="eastAsia"/>
          <w:sz w:val="24"/>
          <w:szCs w:val="24"/>
        </w:rPr>
        <w:t>、元：指人民币元</w:t>
      </w:r>
    </w:p>
    <w:p w14:paraId="65464511"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47</w:t>
      </w:r>
      <w:r>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53D49728"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sz w:val="24"/>
          <w:szCs w:val="24"/>
        </w:rPr>
        <w:t>8</w:t>
      </w:r>
      <w:r>
        <w:rPr>
          <w:rFonts w:asciiTheme="minorEastAsia" w:hAnsiTheme="minorEastAsia" w:cs="Times New Roman" w:hint="eastAsia"/>
          <w:sz w:val="24"/>
          <w:szCs w:val="24"/>
        </w:rPr>
        <w:t>、销售服务费：指本基金用于持续销售和服务基金份额持有人的费用，该笔费用从C类份额的基金财产中计提，属于基金的营运费用</w:t>
      </w:r>
    </w:p>
    <w:p w14:paraId="1DB7CEA6"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49</w:t>
      </w:r>
      <w:r>
        <w:rPr>
          <w:rFonts w:asciiTheme="minorEastAsia" w:hAnsiTheme="minorEastAsia" w:cs="Times New Roman" w:hint="eastAsia"/>
          <w:sz w:val="24"/>
          <w:szCs w:val="24"/>
        </w:rPr>
        <w:t>、基金资产总值：指基金拥有的各类有价证券、银行存款本息、基金应收申购款及其他资产的价值总和</w:t>
      </w:r>
    </w:p>
    <w:p w14:paraId="2F7F661C"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50</w:t>
      </w:r>
      <w:r>
        <w:rPr>
          <w:rFonts w:asciiTheme="minorEastAsia" w:hAnsiTheme="minorEastAsia" w:cs="Times New Roman" w:hint="eastAsia"/>
          <w:sz w:val="24"/>
          <w:szCs w:val="24"/>
        </w:rPr>
        <w:t>、基金资产净值：指基金资产总值减去基金负债后的价值</w:t>
      </w:r>
    </w:p>
    <w:p w14:paraId="457D15AA"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1</w:t>
      </w:r>
      <w:r>
        <w:rPr>
          <w:rFonts w:asciiTheme="minorEastAsia" w:hAnsiTheme="minorEastAsia" w:cs="Times New Roman" w:hint="eastAsia"/>
          <w:sz w:val="24"/>
          <w:szCs w:val="24"/>
        </w:rPr>
        <w:t>、基金份额净值：指计算日基金资产净值除以计算日基金份额总数</w:t>
      </w:r>
    </w:p>
    <w:p w14:paraId="6AB4FE43"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2</w:t>
      </w:r>
      <w:r>
        <w:rPr>
          <w:rFonts w:asciiTheme="minorEastAsia" w:hAnsiTheme="minorEastAsia" w:cs="Times New Roman" w:hint="eastAsia"/>
          <w:sz w:val="24"/>
          <w:szCs w:val="24"/>
        </w:rPr>
        <w:t>、基金资产估值：指计算评估基金资产和负债的价值，以确定基金资产净值和基金份额净值的过程</w:t>
      </w:r>
    </w:p>
    <w:p w14:paraId="3C8B3292"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3</w:t>
      </w:r>
      <w:r>
        <w:rPr>
          <w:rFonts w:asciiTheme="minorEastAsia" w:hAnsiTheme="minorEastAsia" w:cs="Times New Roman" w:hint="eastAsia"/>
          <w:sz w:val="24"/>
          <w:szCs w:val="24"/>
        </w:rPr>
        <w:t>、基金份额的类别：指本基金根据销售服务费收取方式的不同，将基金份额分为不同的类别</w:t>
      </w:r>
    </w:p>
    <w:p w14:paraId="431FE9E6"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54</w:t>
      </w:r>
      <w:r>
        <w:rPr>
          <w:rFonts w:asciiTheme="minorEastAsia" w:hAnsiTheme="minorEastAsia" w:cs="Times New Roman" w:hint="eastAsia"/>
          <w:sz w:val="24"/>
          <w:szCs w:val="24"/>
        </w:rPr>
        <w:t>、</w:t>
      </w:r>
      <w:r>
        <w:rPr>
          <w:rFonts w:asciiTheme="minorEastAsia" w:hAnsiTheme="minorEastAsia" w:cs="Times New Roman"/>
          <w:sz w:val="24"/>
          <w:szCs w:val="24"/>
        </w:rPr>
        <w:t>A</w:t>
      </w:r>
      <w:r>
        <w:rPr>
          <w:rFonts w:asciiTheme="minorEastAsia" w:hAnsiTheme="minorEastAsia" w:cs="Times New Roman" w:hint="eastAsia"/>
          <w:sz w:val="24"/>
          <w:szCs w:val="24"/>
        </w:rPr>
        <w:t>类基金份额：指在投资者认购、申购时收取前端认购、申购费用，</w:t>
      </w:r>
      <w:r>
        <w:rPr>
          <w:rFonts w:hint="eastAsia"/>
          <w:bCs/>
          <w:sz w:val="24"/>
          <w:szCs w:val="24"/>
        </w:rPr>
        <w:t>在赎回时根据持有期限收取赎回费用的基金份额</w:t>
      </w:r>
      <w:r>
        <w:rPr>
          <w:bCs/>
          <w:sz w:val="24"/>
          <w:szCs w:val="24"/>
        </w:rPr>
        <w:t>，</w:t>
      </w:r>
      <w:r>
        <w:rPr>
          <w:rFonts w:asciiTheme="minorEastAsia" w:hAnsiTheme="minorEastAsia" w:cs="Times New Roman" w:hint="eastAsia"/>
          <w:sz w:val="24"/>
          <w:szCs w:val="24"/>
        </w:rPr>
        <w:t>而不从本类别基金资产中计提销售服务费的基金份额类别</w:t>
      </w:r>
    </w:p>
    <w:p w14:paraId="3A5CF4BF"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55</w:t>
      </w:r>
      <w:r>
        <w:rPr>
          <w:rFonts w:asciiTheme="minorEastAsia" w:hAnsiTheme="minorEastAsia" w:cs="Times New Roman" w:hint="eastAsia"/>
          <w:sz w:val="24"/>
          <w:szCs w:val="24"/>
        </w:rPr>
        <w:t>、</w:t>
      </w:r>
      <w:r>
        <w:rPr>
          <w:rFonts w:asciiTheme="minorEastAsia" w:hAnsiTheme="minorEastAsia" w:cs="Times New Roman"/>
          <w:sz w:val="24"/>
          <w:szCs w:val="24"/>
        </w:rPr>
        <w:t>C</w:t>
      </w:r>
      <w:r>
        <w:rPr>
          <w:rFonts w:asciiTheme="minorEastAsia" w:hAnsiTheme="minorEastAsia" w:cs="Times New Roman" w:hint="eastAsia"/>
          <w:sz w:val="24"/>
          <w:szCs w:val="24"/>
        </w:rPr>
        <w:t>类基金份额：指在投资者认购、申购时不收取前端认购、申购费用，</w:t>
      </w:r>
      <w:r>
        <w:rPr>
          <w:rFonts w:hint="eastAsia"/>
          <w:bCs/>
          <w:sz w:val="24"/>
          <w:szCs w:val="24"/>
        </w:rPr>
        <w:t>在赎回时根据持有期限收取赎回费用，且</w:t>
      </w:r>
      <w:r>
        <w:rPr>
          <w:rFonts w:asciiTheme="minorEastAsia" w:hAnsiTheme="minorEastAsia" w:cs="Times New Roman" w:hint="eastAsia"/>
          <w:sz w:val="24"/>
          <w:szCs w:val="24"/>
        </w:rPr>
        <w:t>从本类别基金资产中计提销售服务费的基金份额类别</w:t>
      </w:r>
    </w:p>
    <w:p w14:paraId="1B261536" w14:textId="77777777" w:rsidR="00AC3A9B" w:rsidRDefault="002C3C29">
      <w:pPr>
        <w:spacing w:line="360" w:lineRule="auto"/>
        <w:ind w:firstLineChars="200" w:firstLine="480"/>
        <w:rPr>
          <w:bCs/>
          <w:sz w:val="24"/>
          <w:szCs w:val="24"/>
        </w:rPr>
      </w:pPr>
      <w:r>
        <w:rPr>
          <w:rFonts w:hint="eastAsia"/>
          <w:bCs/>
          <w:sz w:val="24"/>
          <w:szCs w:val="24"/>
        </w:rPr>
        <w:t>5</w:t>
      </w:r>
      <w:r>
        <w:rPr>
          <w:bCs/>
          <w:sz w:val="24"/>
          <w:szCs w:val="24"/>
        </w:rPr>
        <w:t>6</w:t>
      </w:r>
      <w:r>
        <w:rPr>
          <w:rFonts w:hint="eastAsia"/>
          <w:bCs/>
          <w:sz w:val="24"/>
          <w:szCs w:val="24"/>
        </w:rPr>
        <w:t>、流动性受限资产：是指由于法律法规、监管、合同或操作障碍等原因无法以合理价格予以变现的资产，包括但不限于到期日在</w:t>
      </w:r>
      <w:r>
        <w:rPr>
          <w:rFonts w:hint="eastAsia"/>
          <w:bCs/>
          <w:sz w:val="24"/>
          <w:szCs w:val="24"/>
        </w:rPr>
        <w:t xml:space="preserve">10 </w:t>
      </w:r>
      <w:r>
        <w:rPr>
          <w:rFonts w:hint="eastAsia"/>
          <w:bCs/>
          <w:sz w:val="24"/>
          <w:szCs w:val="24"/>
        </w:rPr>
        <w:t>个交易日以上的逆回购与银行定期存款（含协议约定有条件提前支取的银行存款）、停牌股票、流通受限的新股及非公开发行股票、资产支持证券、因发行人债务违约无法进行转让</w:t>
      </w:r>
      <w:r>
        <w:rPr>
          <w:rFonts w:hint="eastAsia"/>
          <w:bCs/>
          <w:sz w:val="24"/>
          <w:szCs w:val="24"/>
        </w:rPr>
        <w:lastRenderedPageBreak/>
        <w:t>或交易的债券等</w:t>
      </w:r>
    </w:p>
    <w:p w14:paraId="1F087995" w14:textId="77777777" w:rsidR="00AC3A9B" w:rsidRDefault="002C3C29">
      <w:pPr>
        <w:spacing w:line="360" w:lineRule="auto"/>
        <w:ind w:firstLineChars="200" w:firstLine="480"/>
        <w:rPr>
          <w:bCs/>
          <w:sz w:val="24"/>
          <w:szCs w:val="24"/>
        </w:rPr>
      </w:pPr>
      <w:r>
        <w:rPr>
          <w:rFonts w:hint="eastAsia"/>
          <w:bCs/>
          <w:sz w:val="24"/>
          <w:szCs w:val="24"/>
        </w:rPr>
        <w:t>5</w:t>
      </w:r>
      <w:r>
        <w:rPr>
          <w:bCs/>
          <w:sz w:val="24"/>
          <w:szCs w:val="24"/>
        </w:rPr>
        <w:t>7</w:t>
      </w:r>
      <w:r>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232D0F1D" w14:textId="77777777" w:rsidR="00AC3A9B" w:rsidRDefault="002C3C29">
      <w:pPr>
        <w:spacing w:line="360" w:lineRule="auto"/>
        <w:ind w:firstLineChars="200" w:firstLine="460"/>
        <w:rPr>
          <w:bCs/>
          <w:sz w:val="24"/>
          <w:szCs w:val="24"/>
        </w:rPr>
      </w:pPr>
      <w:r>
        <w:rPr>
          <w:kern w:val="0"/>
          <w:sz w:val="23"/>
          <w:szCs w:val="23"/>
        </w:rPr>
        <w:t>58</w:t>
      </w:r>
      <w:r>
        <w:rPr>
          <w:rFonts w:hint="eastAsia"/>
          <w:bCs/>
          <w:sz w:val="24"/>
          <w:szCs w:val="24"/>
        </w:rPr>
        <w:t>、</w:t>
      </w:r>
      <w:r>
        <w:rPr>
          <w:bCs/>
          <w:sz w:val="24"/>
          <w:szCs w:val="24"/>
        </w:rPr>
        <w:t>指定媒</w:t>
      </w:r>
      <w:r>
        <w:rPr>
          <w:rFonts w:hint="eastAsia"/>
          <w:bCs/>
          <w:sz w:val="24"/>
          <w:szCs w:val="24"/>
        </w:rPr>
        <w:t>介</w:t>
      </w:r>
      <w:r>
        <w:rPr>
          <w:bCs/>
          <w:sz w:val="24"/>
          <w:szCs w:val="24"/>
        </w:rPr>
        <w:t>：</w:t>
      </w:r>
      <w:r>
        <w:rPr>
          <w:rFonts w:hint="eastAsia"/>
          <w:bCs/>
          <w:kern w:val="0"/>
          <w:sz w:val="24"/>
        </w:rPr>
        <w:t>指中国证监会指定的用以进行信息披露的全国性报刊及指定互联网网站（包括基金管理人网站、基金托管人网站、中国证监会基金电子披露网站）等媒介</w:t>
      </w:r>
    </w:p>
    <w:p w14:paraId="12A9980A" w14:textId="77777777" w:rsidR="00AC3A9B" w:rsidRDefault="002C3C29">
      <w:pPr>
        <w:spacing w:line="360" w:lineRule="auto"/>
        <w:ind w:firstLineChars="200" w:firstLine="480"/>
        <w:rPr>
          <w:b/>
          <w:bCs/>
        </w:rPr>
        <w:sectPr w:rsidR="00AC3A9B">
          <w:footerReference w:type="default" r:id="rId12"/>
          <w:pgSz w:w="11906" w:h="16838"/>
          <w:pgMar w:top="1440" w:right="1800" w:bottom="1440" w:left="1800" w:header="851" w:footer="992" w:gutter="0"/>
          <w:pgNumType w:start="5" w:chapStyle="1"/>
          <w:cols w:space="720"/>
          <w:docGrid w:type="lines" w:linePitch="312"/>
        </w:sectPr>
      </w:pPr>
      <w:r>
        <w:rPr>
          <w:rFonts w:hint="eastAsia"/>
          <w:bCs/>
          <w:sz w:val="24"/>
          <w:szCs w:val="24"/>
        </w:rPr>
        <w:t>5</w:t>
      </w:r>
      <w:r>
        <w:rPr>
          <w:bCs/>
          <w:sz w:val="24"/>
          <w:szCs w:val="24"/>
        </w:rPr>
        <w:t>9</w:t>
      </w:r>
      <w:r>
        <w:rPr>
          <w:rFonts w:hint="eastAsia"/>
          <w:bCs/>
          <w:sz w:val="24"/>
          <w:szCs w:val="24"/>
        </w:rPr>
        <w:t>、</w:t>
      </w:r>
      <w:r>
        <w:rPr>
          <w:bCs/>
          <w:sz w:val="24"/>
          <w:szCs w:val="24"/>
        </w:rPr>
        <w:t>不可抗力：指本</w:t>
      </w:r>
      <w:r>
        <w:rPr>
          <w:rFonts w:hint="eastAsia"/>
          <w:bCs/>
          <w:sz w:val="24"/>
          <w:szCs w:val="24"/>
        </w:rPr>
        <w:t>基金</w:t>
      </w:r>
      <w:r>
        <w:rPr>
          <w:bCs/>
          <w:sz w:val="24"/>
          <w:szCs w:val="24"/>
        </w:rPr>
        <w:t>合同当事人不能预见、不能避免且不能克服的客观事件</w:t>
      </w:r>
    </w:p>
    <w:p w14:paraId="0F3A7C92" w14:textId="77777777" w:rsidR="00AC3A9B" w:rsidRDefault="002C3C29">
      <w:pPr>
        <w:pStyle w:val="1"/>
        <w:jc w:val="center"/>
        <w:rPr>
          <w:sz w:val="30"/>
          <w:szCs w:val="30"/>
        </w:rPr>
      </w:pPr>
      <w:bookmarkStart w:id="63" w:name="_Toc263092311"/>
      <w:bookmarkStart w:id="64" w:name="_Toc416264539"/>
      <w:bookmarkStart w:id="65" w:name="_Toc37770206"/>
      <w:bookmarkStart w:id="66" w:name="_Toc352229749"/>
      <w:bookmarkStart w:id="67" w:name="_Toc24682"/>
      <w:bookmarkStart w:id="68" w:name="_Toc410197817"/>
      <w:bookmarkStart w:id="69" w:name="_Toc16265"/>
      <w:bookmarkStart w:id="70" w:name="_Toc6714"/>
      <w:bookmarkStart w:id="71" w:name="_Toc27226"/>
      <w:bookmarkStart w:id="72" w:name="_Toc3266"/>
      <w:bookmarkStart w:id="73" w:name="_Toc90742390"/>
      <w:bookmarkStart w:id="74" w:name="_Toc90742321"/>
      <w:bookmarkStart w:id="75" w:name="_Toc29784"/>
      <w:bookmarkStart w:id="76" w:name="_Toc29948"/>
      <w:bookmarkStart w:id="77" w:name="_Toc90742688"/>
      <w:bookmarkStart w:id="78" w:name="_Toc22074"/>
      <w:bookmarkStart w:id="79" w:name="_Toc27189"/>
      <w:bookmarkStart w:id="80" w:name="_Toc15203"/>
      <w:bookmarkStart w:id="81" w:name="_Toc7151"/>
      <w:bookmarkEnd w:id="48"/>
      <w:bookmarkEnd w:id="49"/>
      <w:bookmarkEnd w:id="50"/>
      <w:bookmarkEnd w:id="51"/>
      <w:bookmarkEnd w:id="52"/>
      <w:bookmarkEnd w:id="53"/>
      <w:bookmarkEnd w:id="54"/>
      <w:bookmarkEnd w:id="55"/>
      <w:bookmarkEnd w:id="56"/>
      <w:bookmarkEnd w:id="57"/>
      <w:bookmarkEnd w:id="58"/>
      <w:bookmarkEnd w:id="59"/>
      <w:r>
        <w:rPr>
          <w:rFonts w:hint="eastAsia"/>
          <w:sz w:val="30"/>
          <w:szCs w:val="30"/>
        </w:rPr>
        <w:lastRenderedPageBreak/>
        <w:t>第三部分</w:t>
      </w:r>
      <w:r>
        <w:rPr>
          <w:sz w:val="30"/>
          <w:szCs w:val="30"/>
        </w:rPr>
        <w:t xml:space="preserve">  </w:t>
      </w:r>
      <w:r>
        <w:rPr>
          <w:rFonts w:hint="eastAsia"/>
          <w:sz w:val="30"/>
          <w:szCs w:val="30"/>
        </w:rPr>
        <w:t>基金管理人</w:t>
      </w:r>
      <w:bookmarkEnd w:id="63"/>
      <w:bookmarkEnd w:id="64"/>
      <w:bookmarkEnd w:id="65"/>
    </w:p>
    <w:p w14:paraId="51C9A4B6" w14:textId="77777777" w:rsidR="00AC3A9B" w:rsidRDefault="002C3C29">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3FC0B262" w14:textId="77777777"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5E883264" w14:textId="77777777"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住所：广州市南沙区海滨路171号南沙金融大厦11楼1101之一J20室</w:t>
      </w:r>
    </w:p>
    <w:p w14:paraId="2A020989" w14:textId="77777777"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办公地址：深圳市福田区八卦四路</w:t>
      </w:r>
      <w:r>
        <w:rPr>
          <w:rFonts w:asciiTheme="minorEastAsia" w:hAnsiTheme="minorEastAsia" w:cs="Times New Roman"/>
          <w:kern w:val="0"/>
          <w:sz w:val="24"/>
          <w:szCs w:val="24"/>
        </w:rPr>
        <w:t>52</w:t>
      </w:r>
      <w:r>
        <w:rPr>
          <w:rFonts w:asciiTheme="minorEastAsia" w:hAnsiTheme="minorEastAsia" w:cs="Times New Roman" w:hint="eastAsia"/>
          <w:kern w:val="0"/>
          <w:sz w:val="24"/>
          <w:szCs w:val="24"/>
        </w:rPr>
        <w:t>号安吉尔大厦</w:t>
      </w:r>
      <w:r>
        <w:rPr>
          <w:rFonts w:asciiTheme="minorEastAsia" w:hAnsiTheme="minorEastAsia" w:cs="Times New Roman"/>
          <w:kern w:val="0"/>
          <w:sz w:val="24"/>
          <w:szCs w:val="24"/>
        </w:rPr>
        <w:t>24</w:t>
      </w:r>
      <w:r>
        <w:rPr>
          <w:rFonts w:asciiTheme="minorEastAsia" w:hAnsiTheme="minorEastAsia" w:cs="Times New Roman" w:hint="eastAsia"/>
          <w:kern w:val="0"/>
          <w:sz w:val="24"/>
          <w:szCs w:val="24"/>
        </w:rPr>
        <w:t>层</w:t>
      </w:r>
    </w:p>
    <w:p w14:paraId="2B349321" w14:textId="77777777"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w:t>
      </w:r>
      <w:r>
        <w:rPr>
          <w:rFonts w:ascii="Arial Unicode MS" w:hAnsi="Arial Unicode MS" w:cs="Arial" w:hint="eastAsia"/>
          <w:kern w:val="0"/>
          <w:sz w:val="24"/>
        </w:rPr>
        <w:t>杨小舟</w:t>
      </w:r>
    </w:p>
    <w:p w14:paraId="1AFD21F9" w14:textId="77777777"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成立时间：2016年1月25日</w:t>
      </w:r>
    </w:p>
    <w:p w14:paraId="7C0CFDC8" w14:textId="77777777"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注册资本：2亿元人民币</w:t>
      </w:r>
    </w:p>
    <w:p w14:paraId="1970E7EE" w14:textId="77777777"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1B7E5C1F" w14:textId="77777777"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联系人：蔡晓忠</w:t>
      </w:r>
    </w:p>
    <w:p w14:paraId="59A0CFC0" w14:textId="77777777" w:rsidR="00AC3A9B" w:rsidRDefault="002C3C2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联系电话：（0755）</w:t>
      </w:r>
      <w:r>
        <w:rPr>
          <w:rFonts w:asciiTheme="minorEastAsia" w:hAnsiTheme="minorEastAsia" w:cs="Times New Roman"/>
          <w:kern w:val="0"/>
          <w:sz w:val="24"/>
          <w:szCs w:val="24"/>
        </w:rPr>
        <w:t>8435</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663</w:t>
      </w:r>
      <w:r>
        <w:rPr>
          <w:rFonts w:asciiTheme="minorEastAsia" w:hAnsiTheme="minorEastAsia" w:cs="Times New Roman" w:hint="eastAsia"/>
          <w:kern w:val="0"/>
          <w:sz w:val="24"/>
          <w:szCs w:val="24"/>
        </w:rPr>
        <w:t>6</w:t>
      </w:r>
    </w:p>
    <w:p w14:paraId="094EE553" w14:textId="77777777" w:rsidR="00AC3A9B" w:rsidRDefault="002C3C29">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AC3A9B" w14:paraId="7838A33D"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2C05C32"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189DC91A"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出资比例</w:t>
            </w:r>
          </w:p>
        </w:tc>
      </w:tr>
      <w:tr w:rsidR="00AC3A9B" w14:paraId="0E59CF7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FDB4F3A"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B7B257C"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w:t>
            </w:r>
          </w:p>
        </w:tc>
      </w:tr>
      <w:tr w:rsidR="00AC3A9B" w14:paraId="2EA856A1"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6795576"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17D0570D"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45.1%</w:t>
            </w:r>
          </w:p>
        </w:tc>
      </w:tr>
      <w:tr w:rsidR="00AC3A9B" w14:paraId="02B0F397"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B102E37"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6C9B1A6" w14:textId="77777777" w:rsidR="00AC3A9B" w:rsidRDefault="002C3C29">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4.9%</w:t>
            </w:r>
          </w:p>
        </w:tc>
      </w:tr>
    </w:tbl>
    <w:p w14:paraId="597DA9DE" w14:textId="77777777" w:rsidR="00AC3A9B" w:rsidRDefault="00AC3A9B">
      <w:pPr>
        <w:adjustRightInd w:val="0"/>
        <w:snapToGrid w:val="0"/>
        <w:spacing w:line="360" w:lineRule="auto"/>
        <w:ind w:firstLineChars="200" w:firstLine="480"/>
        <w:rPr>
          <w:rFonts w:asciiTheme="minorEastAsia" w:hAnsiTheme="minorEastAsia" w:cs="Arial"/>
          <w:kern w:val="0"/>
          <w:sz w:val="24"/>
          <w:szCs w:val="24"/>
        </w:rPr>
      </w:pPr>
    </w:p>
    <w:p w14:paraId="44EA8477" w14:textId="77777777" w:rsidR="00AC3A9B" w:rsidRDefault="002C3C29">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73E89967"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1、董事会成员</w:t>
      </w:r>
    </w:p>
    <w:p w14:paraId="32EFB445" w14:textId="77777777"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30E37A9B" w14:textId="5A055348"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高峰先生，董事，总经理</w:t>
      </w:r>
      <w:r w:rsidR="00975061" w:rsidRPr="00975061">
        <w:rPr>
          <w:rFonts w:asciiTheme="minorEastAsia" w:hAnsiTheme="minorEastAsia" w:cs="Arial" w:hint="eastAsia"/>
          <w:kern w:val="0"/>
          <w:sz w:val="24"/>
          <w:szCs w:val="24"/>
        </w:rPr>
        <w:t>兼任首席信息官</w:t>
      </w:r>
      <w:r w:rsidRPr="003F07F0">
        <w:rPr>
          <w:rFonts w:asciiTheme="minorEastAsia" w:hAnsiTheme="minorEastAsia" w:cs="Arial" w:hint="eastAsia"/>
          <w:kern w:val="0"/>
          <w:sz w:val="24"/>
          <w:szCs w:val="24"/>
        </w:rPr>
        <w:t>，曾任中国对外经济贸易信托有限公司计划财务部科长、中国化工进出口总公司财务部综合经理、宝盈基金管理有限公司研究发展部总监，中国对外经济贸易信托有限公司证券业务部总经理、资产管理总部执行总经理、高级投资经理，宝盈基金管理有限公司总经理助理兼投资部总监、基金经理，北信瑞丰基金管理有限公司副总经理职务、红土创新基金管理有限公司总经理职务；现任富荣基金管理有限公司总经理。</w:t>
      </w:r>
    </w:p>
    <w:p w14:paraId="21E36759" w14:textId="77777777"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lastRenderedPageBreak/>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2C008F69" w14:textId="77777777"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深圳融博融资租赁有限公司董事长兼总经理、深圳市天汇鑫达担保有限公司总经理、深圳市亿尔德投资有限公司法人、嘉年实业股份有限公司董事、富荣基金管理有限公司董事。</w:t>
      </w:r>
    </w:p>
    <w:p w14:paraId="2C8A6CF6" w14:textId="77777777"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5582ED96" w14:textId="77777777"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16E21D5B" w14:textId="77777777" w:rsidR="00ED4018" w:rsidRDefault="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751EA5BF" w14:textId="1A2BA192"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2、监事会成员</w:t>
      </w:r>
    </w:p>
    <w:p w14:paraId="33C986ED"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基金管理人不设监事会，设监事两名，其中一名为职工监事。</w:t>
      </w:r>
    </w:p>
    <w:p w14:paraId="5549F35C" w14:textId="60105BB1" w:rsidR="00AC3A9B" w:rsidRDefault="00ED4018">
      <w:pPr>
        <w:adjustRightInd w:val="0"/>
        <w:snapToGrid w:val="0"/>
        <w:spacing w:line="360" w:lineRule="auto"/>
        <w:ind w:firstLineChars="200" w:firstLine="480"/>
        <w:rPr>
          <w:rFonts w:asciiTheme="minorEastAsia" w:hAnsiTheme="minorEastAsia" w:cs="Arial"/>
          <w:kern w:val="0"/>
          <w:sz w:val="24"/>
          <w:szCs w:val="24"/>
        </w:rPr>
      </w:pPr>
      <w:r w:rsidRPr="00ED4018">
        <w:rPr>
          <w:rFonts w:asciiTheme="minorEastAsia" w:hAnsiTheme="minorEastAsia" w:cs="Arial" w:hint="eastAsia"/>
          <w:kern w:val="0"/>
          <w:sz w:val="24"/>
          <w:szCs w:val="24"/>
        </w:rPr>
        <w:t>郑廉明先生，监事，硕士。原广发银行副行长（已退休），现任富荣基金管理有限公司监事。</w:t>
      </w:r>
    </w:p>
    <w:p w14:paraId="1109F248"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魏丽红女士，职工监事，大专。现任富荣基金管理有限公司职工监事。</w:t>
      </w:r>
    </w:p>
    <w:p w14:paraId="45A0702C"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3、高级管理人员</w:t>
      </w:r>
    </w:p>
    <w:p w14:paraId="21B65710" w14:textId="77777777"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6B36BF27" w14:textId="386597D3"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lastRenderedPageBreak/>
        <w:t>高峰先生，总经理</w:t>
      </w:r>
      <w:r w:rsidR="00975061" w:rsidRPr="00975061">
        <w:rPr>
          <w:rFonts w:asciiTheme="minorEastAsia" w:hAnsiTheme="minorEastAsia" w:cs="Arial" w:hint="eastAsia"/>
          <w:kern w:val="0"/>
          <w:sz w:val="24"/>
          <w:szCs w:val="24"/>
        </w:rPr>
        <w:t>、首席信息官</w:t>
      </w:r>
      <w:r w:rsidRPr="003F07F0">
        <w:rPr>
          <w:rFonts w:asciiTheme="minorEastAsia" w:hAnsiTheme="minorEastAsia" w:cs="Arial" w:hint="eastAsia"/>
          <w:kern w:val="0"/>
          <w:sz w:val="24"/>
          <w:szCs w:val="24"/>
        </w:rPr>
        <w:t>，曾任中国对外经济贸易信托有限公司计划财务部科长、中国化工进出口总公司财务部综合经理、宝盈基金管理有限公司研究发展部总监、中国对外经济贸易信托有限公司证券业务部总经理、资产管理总部执行总经理、高级投资经理，宝盈基金管理有限公司总经理助理兼投资部总监、基金经理，北信瑞丰基金管理有限公司副总经理职务、红土创新基金管理有限公司总经理职务；现任富荣基金管理有限公司总经理。</w:t>
      </w:r>
    </w:p>
    <w:p w14:paraId="2E5019CE" w14:textId="77777777"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6ADB0005"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4、本基金基金经理</w:t>
      </w:r>
    </w:p>
    <w:p w14:paraId="6E9CA963"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邓宇翔先生，权益投资部总监，中国科学技术大学硕士，12年以上投资与研究工作经验。历任西南证券证券投资部投资经理、私募机构投资经理、投资经理助理。现任富荣基金管理有限公司权益投资部总监、基金经理。</w:t>
      </w:r>
    </w:p>
    <w:p w14:paraId="0B1B38A0"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5、投资决策委员会成员的姓名、</w:t>
      </w:r>
      <w:r>
        <w:rPr>
          <w:rFonts w:asciiTheme="minorEastAsia" w:hAnsiTheme="minorEastAsia" w:cs="Arial" w:hint="eastAsia"/>
          <w:kern w:val="0"/>
          <w:sz w:val="24"/>
          <w:szCs w:val="24"/>
        </w:rPr>
        <w:t>职务</w:t>
      </w:r>
    </w:p>
    <w:p w14:paraId="39A3C519" w14:textId="77777777"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高峰先生，投资决策委员会主任委员、总经理。</w:t>
      </w:r>
    </w:p>
    <w:p w14:paraId="0CE4E7DD" w14:textId="77777777"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邓宇翔先生，投资决策委员会委员、权益投资部总监、基金经理。</w:t>
      </w:r>
    </w:p>
    <w:p w14:paraId="449FD291" w14:textId="77777777" w:rsidR="003F07F0" w:rsidRP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郎骋成先生，投资决策委员会委员、研究部总监、基金经理。</w:t>
      </w:r>
    </w:p>
    <w:p w14:paraId="425DD0E1" w14:textId="2C7E5750" w:rsidR="003F07F0"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邱紫华先生，投资决策委员会委员、投资决策委员会秘书、基金经理。</w:t>
      </w:r>
    </w:p>
    <w:p w14:paraId="73CF7908" w14:textId="77777777" w:rsidR="00975061" w:rsidRPr="00975061" w:rsidRDefault="00975061" w:rsidP="00975061">
      <w:pPr>
        <w:adjustRightInd w:val="0"/>
        <w:snapToGrid w:val="0"/>
        <w:spacing w:line="360" w:lineRule="auto"/>
        <w:ind w:firstLineChars="200" w:firstLine="480"/>
        <w:rPr>
          <w:rFonts w:asciiTheme="minorEastAsia" w:hAnsiTheme="minorEastAsia" w:cs="Arial"/>
          <w:kern w:val="0"/>
          <w:sz w:val="24"/>
          <w:szCs w:val="24"/>
        </w:rPr>
      </w:pPr>
      <w:r w:rsidRPr="00975061">
        <w:rPr>
          <w:rFonts w:asciiTheme="minorEastAsia" w:hAnsiTheme="minorEastAsia" w:cs="Arial" w:hint="eastAsia"/>
          <w:kern w:val="0"/>
          <w:sz w:val="24"/>
          <w:szCs w:val="24"/>
        </w:rPr>
        <w:t>黄祥斌先生，投资决策委员会委员、投资一部总经理、基金经理。</w:t>
      </w:r>
    </w:p>
    <w:p w14:paraId="05E873DB" w14:textId="79632FD3" w:rsidR="00975061" w:rsidRPr="003F07F0" w:rsidRDefault="00975061" w:rsidP="00975061">
      <w:pPr>
        <w:adjustRightInd w:val="0"/>
        <w:snapToGrid w:val="0"/>
        <w:spacing w:line="360" w:lineRule="auto"/>
        <w:ind w:firstLineChars="200" w:firstLine="480"/>
        <w:rPr>
          <w:rFonts w:asciiTheme="minorEastAsia" w:hAnsiTheme="minorEastAsia" w:cs="Arial"/>
          <w:kern w:val="0"/>
          <w:sz w:val="24"/>
          <w:szCs w:val="24"/>
        </w:rPr>
      </w:pPr>
      <w:r w:rsidRPr="00975061">
        <w:rPr>
          <w:rFonts w:asciiTheme="minorEastAsia" w:hAnsiTheme="minorEastAsia" w:cs="Arial" w:hint="eastAsia"/>
          <w:kern w:val="0"/>
          <w:sz w:val="24"/>
          <w:szCs w:val="24"/>
        </w:rPr>
        <w:t>唐奥先生，投资决策委员会委员、基金经理。</w:t>
      </w:r>
    </w:p>
    <w:p w14:paraId="4B2D9F89" w14:textId="6B49AD1A" w:rsidR="00AC3A9B" w:rsidRDefault="003F07F0">
      <w:pPr>
        <w:adjustRightInd w:val="0"/>
        <w:snapToGrid w:val="0"/>
        <w:spacing w:line="360" w:lineRule="auto"/>
        <w:ind w:firstLineChars="200" w:firstLine="480"/>
        <w:rPr>
          <w:rFonts w:asciiTheme="minorEastAsia" w:hAnsiTheme="minorEastAsia" w:cs="Arial"/>
          <w:kern w:val="0"/>
          <w:sz w:val="24"/>
          <w:szCs w:val="24"/>
        </w:rPr>
      </w:pPr>
      <w:r w:rsidRPr="003F07F0">
        <w:rPr>
          <w:rFonts w:asciiTheme="minorEastAsia" w:hAnsiTheme="minorEastAsia" w:cs="Arial" w:hint="eastAsia"/>
          <w:kern w:val="0"/>
          <w:sz w:val="24"/>
          <w:szCs w:val="24"/>
        </w:rPr>
        <w:t>王丹女士，投资决策委员会委员、基金经理。</w:t>
      </w:r>
    </w:p>
    <w:p w14:paraId="304E243C" w14:textId="77777777" w:rsidR="00AC3A9B" w:rsidRDefault="002C3C29">
      <w:pPr>
        <w:adjustRightInd w:val="0"/>
        <w:snapToGrid w:val="0"/>
        <w:spacing w:line="360" w:lineRule="auto"/>
        <w:ind w:firstLineChars="200" w:firstLine="480"/>
        <w:rPr>
          <w:rFonts w:asciiTheme="minorEastAsia" w:hAnsiTheme="minorEastAsia" w:cs="Arial"/>
          <w:color w:val="FF0000"/>
          <w:sz w:val="24"/>
          <w:szCs w:val="24"/>
        </w:rPr>
      </w:pPr>
      <w:r>
        <w:rPr>
          <w:rFonts w:asciiTheme="minorEastAsia" w:hAnsiTheme="minorEastAsia" w:cs="Arial"/>
          <w:kern w:val="0"/>
          <w:sz w:val="24"/>
          <w:szCs w:val="24"/>
        </w:rPr>
        <w:t>6、上述人员之间不存在近亲属关系。</w:t>
      </w:r>
    </w:p>
    <w:p w14:paraId="40D0E6FE" w14:textId="77777777" w:rsidR="00AC3A9B"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三、基金管理人的职责</w:t>
      </w:r>
    </w:p>
    <w:p w14:paraId="293A65E8"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406441A2"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2、办理基金备案手续；</w:t>
      </w:r>
    </w:p>
    <w:p w14:paraId="6136C136"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3、自《基金合同》生效之日起，以诚实信用、谨慎勤勉的原则管理和运用基金财产；</w:t>
      </w:r>
    </w:p>
    <w:p w14:paraId="0C9F1AE6"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4、配备足够的具有专业资格的人员进行基金投资分析、决策，以专业化的</w:t>
      </w:r>
      <w:r>
        <w:rPr>
          <w:rFonts w:asciiTheme="minorEastAsia" w:hAnsiTheme="minorEastAsia" w:cs="Times New Roman" w:hint="eastAsia"/>
          <w:sz w:val="24"/>
          <w:szCs w:val="24"/>
        </w:rPr>
        <w:lastRenderedPageBreak/>
        <w:t>经营方式管理和运作基金财产；</w:t>
      </w:r>
    </w:p>
    <w:p w14:paraId="4ED79AB5"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4056F196"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6、除依据《基金法》、《基金合同》及其他有关规定外，不得利用基金财产为自己及任何第三人谋取利益，不得委托第三人运作基金财产；</w:t>
      </w:r>
    </w:p>
    <w:p w14:paraId="627EED8B"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7、依法接受基金托管人的监督；</w:t>
      </w:r>
    </w:p>
    <w:p w14:paraId="3A6BD679"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8、采取适当合理的措施使计算基金份额认购、申购、赎回和注销价格的方法符合《基金合同》等法律文件的规定，按有关规定计算并公告基金净值信息，确定基金份额申购、赎回对价，编制申购赎回清单；</w:t>
      </w:r>
    </w:p>
    <w:p w14:paraId="560FA5CA"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9、进行基金会计核算并编制基金财务会计报告；</w:t>
      </w:r>
    </w:p>
    <w:p w14:paraId="31581B50"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10、编制季度、中期和年度基金报告；</w:t>
      </w:r>
    </w:p>
    <w:p w14:paraId="1C1C993E"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11、严格按照《基金法》、《基金合同》及其他有关规定，履行信息披露及报告义务；</w:t>
      </w:r>
    </w:p>
    <w:p w14:paraId="102F9673"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14:paraId="0CAB72BA"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13、按《基金合同》的约定确定基金收益分配方案，及时向基金份额持有人分配基金收益；</w:t>
      </w:r>
    </w:p>
    <w:p w14:paraId="285CFED9"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14、按规定受理申购与赎回申请，及时、足额支付赎回款项；</w:t>
      </w:r>
    </w:p>
    <w:p w14:paraId="12A983EE"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0C3704AD"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16、按规定保存基金财产管理业务活动的会计账册、报表、记录和其他相关资料15年以上；</w:t>
      </w:r>
    </w:p>
    <w:p w14:paraId="35BB11B4"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A2EA59"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18、组织并参加基金财产清算小组，参与基金财产的保管、清理、估价、变现和分配；</w:t>
      </w:r>
    </w:p>
    <w:p w14:paraId="59054EDE"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19、面临解散、依法被撤销或者被依法宣告破产时，及时报告中国证监会并通知基金托管人；</w:t>
      </w:r>
    </w:p>
    <w:p w14:paraId="3BAF8220"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571FD98B"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7BE9941E"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22、当基金管理人将其义务委托第三方处理时，应当对第三方处理有关基金事务的行为承担责任；</w:t>
      </w:r>
    </w:p>
    <w:p w14:paraId="4AE42EF2"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23、以基金管理人名义，代表基金份额持有人利益行使诉讼权利或实施其他法律行为；</w:t>
      </w:r>
    </w:p>
    <w:p w14:paraId="2EE9D10F"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24、基金管理人在募集期间未能达到基金的备案条件，《基金合同》不能生效，基金管理人承担全部募集费用，将已募集资金加计银行同期活期存款利息在基金募集期结束后30日内退还基金认购人；</w:t>
      </w:r>
    </w:p>
    <w:p w14:paraId="5B05E971"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25、执行生效的基金份额持有人大会的决议；</w:t>
      </w:r>
    </w:p>
    <w:p w14:paraId="0CD96859"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26、建立并保存基金份额持有人名册；</w:t>
      </w:r>
    </w:p>
    <w:p w14:paraId="0B84DF13"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27、法律法规及中国证监会规定的和《基金合同》约定的其他义务。</w:t>
      </w:r>
    </w:p>
    <w:p w14:paraId="036E8CFC" w14:textId="77777777" w:rsidR="00AC3A9B"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4323520C"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3D0F8089"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16C2CA02"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（1）将基金管理人固有财产或者他人财产混同于基金财产从事证券投资；</w:t>
      </w:r>
    </w:p>
    <w:p w14:paraId="49CC7815"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（2）不公平地对待管理的不同基金财产；</w:t>
      </w:r>
    </w:p>
    <w:p w14:paraId="442790CD"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（3）利用基金财产或者职务之便为基金份额持有人以外的第三人牟取利益；</w:t>
      </w:r>
    </w:p>
    <w:p w14:paraId="3CEAD3C7"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（4）向基金份额持有人违规承诺收益或者承担损失；</w:t>
      </w:r>
    </w:p>
    <w:p w14:paraId="17CB41D4"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（5）侵占、挪用基金财产；</w:t>
      </w:r>
    </w:p>
    <w:p w14:paraId="6BA90EE5"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（6）泄露因职务便利获取的未公开信息、利用该信息从事或者明示、暗示</w:t>
      </w:r>
      <w:r>
        <w:rPr>
          <w:rFonts w:asciiTheme="minorEastAsia" w:hAnsiTheme="minorEastAsia" w:cs="Times New Roman" w:hint="eastAsia"/>
          <w:sz w:val="24"/>
          <w:szCs w:val="24"/>
        </w:rPr>
        <w:lastRenderedPageBreak/>
        <w:t>他人从事相关的交易活动；</w:t>
      </w:r>
    </w:p>
    <w:p w14:paraId="4FAD5FD3"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（7）玩忽职守，不按照规定履行职责；</w:t>
      </w:r>
    </w:p>
    <w:p w14:paraId="49420C93"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（8）法律、行政法规和中国证监会规定禁止的其他行为。 </w:t>
      </w:r>
    </w:p>
    <w:p w14:paraId="05E944F6"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610757DF"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71C3034A"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5、基金管理人承诺不从事其他法规规定禁止从事的行为。 </w:t>
      </w:r>
    </w:p>
    <w:p w14:paraId="616222B2" w14:textId="77777777" w:rsidR="00AC3A9B"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0CD9E766"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1、依照有关法律法规和基金合同的规定，本着谨慎的原则为基金份额持有人谋取最大利益；</w:t>
      </w:r>
    </w:p>
    <w:p w14:paraId="1E8EFAA4"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2、不利用职务之便为自己、受雇人或任何第三者牟取利益； </w:t>
      </w:r>
    </w:p>
    <w:p w14:paraId="6E321D19"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139338C7" w14:textId="77777777" w:rsidR="00AC3A9B" w:rsidRDefault="002C3C29">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4、不以任何形式为其他组织或个人进行证券交易。</w:t>
      </w:r>
    </w:p>
    <w:p w14:paraId="11F5E4F7" w14:textId="77777777" w:rsidR="00AC3A9B"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215D93D3"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2" w:name="_Toc263092312"/>
      <w:bookmarkStart w:id="83" w:name="_Toc352229750"/>
      <w:bookmarkStart w:id="84" w:name="_Toc416264540"/>
      <w:bookmarkStart w:id="85" w:name="_Toc410197818"/>
      <w:bookmarkEnd w:id="66"/>
      <w:bookmarkEnd w:id="67"/>
      <w:bookmarkEnd w:id="68"/>
      <w:r>
        <w:rPr>
          <w:rFonts w:asciiTheme="minorEastAsia" w:hAnsiTheme="minorEastAsia" w:cs="Arial" w:hint="eastAsia"/>
          <w:sz w:val="24"/>
          <w:szCs w:val="24"/>
        </w:rPr>
        <w:t>1、风险控制目标</w:t>
      </w:r>
    </w:p>
    <w:p w14:paraId="1DFCD30E"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（1）在有效控制风险的前提下，实现基金份额持有人利益最大化；</w:t>
      </w:r>
    </w:p>
    <w:p w14:paraId="07398BEB"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（2）确保国家有关法律法规、行业规章和公司各项规章制度的贯彻执行；</w:t>
      </w:r>
    </w:p>
    <w:p w14:paraId="45B962F4"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（3）建立符合现代企业制度要求的法人治理结构，形成科学合理的决策机制、执行机制和监督机制；</w:t>
      </w:r>
    </w:p>
    <w:p w14:paraId="74160766"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0C26CF51"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（5）建立行之有效的风险控制系统，保障业务稳健运行，减轻或规避各种风险对公司发展战略和经营目标的干扰。</w:t>
      </w:r>
    </w:p>
    <w:p w14:paraId="47EC0242"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2、建立风险控制制度应遵循的原则</w:t>
      </w:r>
    </w:p>
    <w:p w14:paraId="441F81C8"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07C2AD67"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（2）审慎性原则：内部风险控制的核心是有效防范各种风险，公司组织体</w:t>
      </w:r>
      <w:r>
        <w:rPr>
          <w:rFonts w:asciiTheme="minorEastAsia" w:hAnsiTheme="minorEastAsia" w:cs="Arial" w:hint="eastAsia"/>
          <w:sz w:val="24"/>
          <w:szCs w:val="24"/>
        </w:rPr>
        <w:lastRenderedPageBreak/>
        <w:t>系的构成、内部管理制度的建立都要以防范风险、审慎经营为出发点；</w:t>
      </w:r>
    </w:p>
    <w:p w14:paraId="5282F06E"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044E85A7"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36A1B67"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28AA200D"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3、风险控制体系</w:t>
      </w:r>
    </w:p>
    <w:p w14:paraId="219C6033"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（1）风险控制制度体系</w:t>
      </w:r>
    </w:p>
    <w:p w14:paraId="07235754"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71D9D9F9"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（2）风险控制组织体系</w:t>
      </w:r>
    </w:p>
    <w:p w14:paraId="4D8C28F5"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150C1074"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ADFF6A1"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4D0532B6"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B77611C"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0DD545B8" w14:textId="77777777" w:rsidR="00AC3A9B" w:rsidRDefault="002C3C29">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w:t>
      </w:r>
      <w:r>
        <w:rPr>
          <w:rFonts w:asciiTheme="minorEastAsia" w:hAnsiTheme="minorEastAsia" w:cs="Arial" w:hint="eastAsia"/>
          <w:sz w:val="24"/>
          <w:szCs w:val="24"/>
        </w:rPr>
        <w:lastRenderedPageBreak/>
        <w:t>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49E04F74"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3D54E40A"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7CBD37BC"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4、关于授权、研究、投资、交易等方面的控制点</w:t>
      </w:r>
    </w:p>
    <w:p w14:paraId="02101AEA"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（1）授权制度</w:t>
      </w:r>
    </w:p>
    <w:p w14:paraId="3EE540F9"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7BFA729D"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（2）研究业务</w:t>
      </w:r>
    </w:p>
    <w:p w14:paraId="520BDFEE"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2C9A80B5"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（3）基金投资业务</w:t>
      </w:r>
    </w:p>
    <w:p w14:paraId="3E487207"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7C4B3AF3"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（4）交易业务</w:t>
      </w:r>
    </w:p>
    <w:p w14:paraId="6D217642"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7C2B717"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（5）基金会计核算</w:t>
      </w:r>
    </w:p>
    <w:p w14:paraId="43F6C399"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6CBAA10B"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（6）信息披露</w:t>
      </w:r>
    </w:p>
    <w:p w14:paraId="4EC10261"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5D8525EB"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（7）监察稽核</w:t>
      </w:r>
    </w:p>
    <w:p w14:paraId="580C8AAD"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7430F4AC"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w:t>
      </w:r>
      <w:r>
        <w:rPr>
          <w:rFonts w:asciiTheme="minorEastAsia" w:hAnsiTheme="minorEastAsia" w:cs="Arial" w:hint="eastAsia"/>
          <w:sz w:val="24"/>
          <w:szCs w:val="24"/>
        </w:rPr>
        <w:lastRenderedPageBreak/>
        <w:t>经营管理活动的有效运行；公司董事会和经营管理层充分重视和支持监察稽核工作，对违反法律、法规和公司内部控制制度的，追究相关部门和人员的责任。</w:t>
      </w:r>
    </w:p>
    <w:p w14:paraId="152764EC"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5、风险管理和内部控制的措施</w:t>
      </w:r>
    </w:p>
    <w:p w14:paraId="23575DB8"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69B32738"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18F48535"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77A71160"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5F5288E2"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7C5A2D6D"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2A8D9AF2" w14:textId="77777777" w:rsidR="00AC3A9B"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（7）提供足够的培训：制定了完整的培训计划，为所有员工提供足够和适当的培训，使员工明确其职责所在，控制风险。</w:t>
      </w:r>
    </w:p>
    <w:p w14:paraId="157E0292" w14:textId="77777777" w:rsidR="00AC3A9B" w:rsidRDefault="002C3C29">
      <w:pPr>
        <w:widowControl/>
        <w:adjustRightInd w:val="0"/>
        <w:snapToGrid w:val="0"/>
        <w:spacing w:line="360" w:lineRule="auto"/>
        <w:ind w:firstLineChars="200" w:firstLine="480"/>
        <w:rPr>
          <w:rFonts w:asciiTheme="minorEastAsia" w:hAnsiTheme="minorEastAsia" w:cs="Arial"/>
          <w:b/>
          <w:bCs/>
          <w:sz w:val="24"/>
          <w:szCs w:val="24"/>
        </w:rPr>
      </w:pPr>
      <w:r>
        <w:rPr>
          <w:rFonts w:asciiTheme="minorEastAsia" w:hAnsiTheme="minorEastAsia" w:cs="Arial" w:hint="eastAsia"/>
          <w:sz w:val="24"/>
          <w:szCs w:val="24"/>
        </w:rPr>
        <w:t>6、基金管理人承诺上述关于内部控制的披露真实、准确，并承诺将根据市场环境的变化及公司的发展不断完善合规控制。</w:t>
      </w:r>
      <w:bookmarkStart w:id="86" w:name="_Toc238013745"/>
      <w:bookmarkStart w:id="87" w:name="_Toc238027832"/>
      <w:bookmarkEnd w:id="86"/>
      <w:bookmarkEnd w:id="87"/>
    </w:p>
    <w:p w14:paraId="1E35478D" w14:textId="77777777" w:rsidR="00AC3A9B" w:rsidRDefault="00AC3A9B">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AC3A9B">
          <w:footerReference w:type="default" r:id="rId13"/>
          <w:pgSz w:w="11906" w:h="16838"/>
          <w:pgMar w:top="1440" w:right="1800" w:bottom="1440" w:left="1800" w:header="851" w:footer="992" w:gutter="0"/>
          <w:pgNumType w:chapStyle="1"/>
          <w:cols w:space="720"/>
          <w:docGrid w:type="lines" w:linePitch="312"/>
        </w:sectPr>
      </w:pPr>
    </w:p>
    <w:p w14:paraId="7D069BA6" w14:textId="77777777" w:rsidR="00AC3A9B" w:rsidRDefault="002C3C29">
      <w:pPr>
        <w:pStyle w:val="1"/>
        <w:jc w:val="center"/>
        <w:rPr>
          <w:sz w:val="30"/>
          <w:szCs w:val="30"/>
        </w:rPr>
      </w:pPr>
      <w:bookmarkStart w:id="88" w:name="_Toc37770207"/>
      <w:r>
        <w:rPr>
          <w:rFonts w:hint="eastAsia"/>
          <w:sz w:val="30"/>
          <w:szCs w:val="30"/>
        </w:rPr>
        <w:lastRenderedPageBreak/>
        <w:t>第四部分</w:t>
      </w:r>
      <w:r>
        <w:rPr>
          <w:sz w:val="30"/>
          <w:szCs w:val="30"/>
        </w:rPr>
        <w:t xml:space="preserve">  </w:t>
      </w:r>
      <w:r>
        <w:rPr>
          <w:rFonts w:hint="eastAsia"/>
          <w:sz w:val="30"/>
          <w:szCs w:val="30"/>
        </w:rPr>
        <w:t>基金托管人</w:t>
      </w:r>
      <w:bookmarkEnd w:id="88"/>
    </w:p>
    <w:p w14:paraId="018E2EB0" w14:textId="77777777" w:rsidR="00AC3A9B"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一、基金托管人情况</w:t>
      </w:r>
    </w:p>
    <w:p w14:paraId="5890AF3B" w14:textId="77777777" w:rsidR="002C3C29" w:rsidRPr="002C3C29" w:rsidRDefault="002C3C29" w:rsidP="002C3C29">
      <w:pPr>
        <w:tabs>
          <w:tab w:val="left" w:pos="1110"/>
        </w:tabs>
        <w:adjustRightInd w:val="0"/>
        <w:snapToGrid w:val="0"/>
        <w:spacing w:line="360" w:lineRule="auto"/>
        <w:ind w:firstLineChars="200" w:firstLine="480"/>
        <w:rPr>
          <w:rFonts w:asciiTheme="minorEastAsia" w:hAnsiTheme="minorEastAsia" w:cs="Arial"/>
          <w:bCs/>
          <w:sz w:val="24"/>
          <w:szCs w:val="24"/>
        </w:rPr>
      </w:pPr>
      <w:r w:rsidRPr="002C3C29">
        <w:rPr>
          <w:rFonts w:asciiTheme="minorEastAsia" w:hAnsiTheme="minorEastAsia" w:cs="Arial" w:hint="eastAsia"/>
          <w:bCs/>
          <w:sz w:val="24"/>
          <w:szCs w:val="24"/>
        </w:rPr>
        <w:t>1、基本情况</w:t>
      </w:r>
    </w:p>
    <w:p w14:paraId="2B706B68" w14:textId="77777777" w:rsidR="00EB1AAB" w:rsidRPr="00EB1AAB" w:rsidRDefault="00EB1AAB" w:rsidP="00EB1AAB">
      <w:pPr>
        <w:tabs>
          <w:tab w:val="left" w:pos="1110"/>
        </w:tabs>
        <w:adjustRightInd w:val="0"/>
        <w:snapToGrid w:val="0"/>
        <w:spacing w:line="360" w:lineRule="auto"/>
        <w:ind w:firstLineChars="200" w:firstLine="480"/>
        <w:rPr>
          <w:rFonts w:asciiTheme="minorEastAsia" w:hAnsiTheme="minorEastAsia" w:cs="Arial"/>
          <w:bCs/>
          <w:sz w:val="24"/>
          <w:szCs w:val="24"/>
        </w:rPr>
      </w:pPr>
      <w:r w:rsidRPr="00EB1AAB">
        <w:rPr>
          <w:rFonts w:asciiTheme="minorEastAsia" w:hAnsiTheme="minorEastAsia" w:cs="Arial" w:hint="eastAsia"/>
          <w:bCs/>
          <w:sz w:val="24"/>
          <w:szCs w:val="24"/>
        </w:rPr>
        <w:t>名称：平安银行股份有限公司</w:t>
      </w:r>
    </w:p>
    <w:p w14:paraId="12D53E4A" w14:textId="77777777" w:rsidR="00EB1AAB" w:rsidRPr="00EB1AAB" w:rsidRDefault="00EB1AAB" w:rsidP="00EB1AAB">
      <w:pPr>
        <w:tabs>
          <w:tab w:val="left" w:pos="1110"/>
        </w:tabs>
        <w:adjustRightInd w:val="0"/>
        <w:snapToGrid w:val="0"/>
        <w:spacing w:line="360" w:lineRule="auto"/>
        <w:ind w:firstLineChars="200" w:firstLine="480"/>
        <w:rPr>
          <w:rFonts w:asciiTheme="minorEastAsia" w:hAnsiTheme="minorEastAsia" w:cs="Arial"/>
          <w:bCs/>
          <w:sz w:val="24"/>
          <w:szCs w:val="24"/>
        </w:rPr>
      </w:pPr>
      <w:r w:rsidRPr="00EB1AAB">
        <w:rPr>
          <w:rFonts w:asciiTheme="minorEastAsia" w:hAnsiTheme="minorEastAsia" w:cs="Arial" w:hint="eastAsia"/>
          <w:bCs/>
          <w:sz w:val="24"/>
          <w:szCs w:val="24"/>
        </w:rPr>
        <w:t>注册住所：广东省深圳市罗湖区深南东路5047号</w:t>
      </w:r>
    </w:p>
    <w:p w14:paraId="19C357A1" w14:textId="77777777" w:rsidR="00EB1AAB" w:rsidRPr="00EB1AAB" w:rsidRDefault="00EB1AAB" w:rsidP="00EB1AAB">
      <w:pPr>
        <w:tabs>
          <w:tab w:val="left" w:pos="1110"/>
        </w:tabs>
        <w:adjustRightInd w:val="0"/>
        <w:snapToGrid w:val="0"/>
        <w:spacing w:line="360" w:lineRule="auto"/>
        <w:ind w:firstLineChars="200" w:firstLine="480"/>
        <w:rPr>
          <w:rFonts w:asciiTheme="minorEastAsia" w:hAnsiTheme="minorEastAsia" w:cs="Arial"/>
          <w:bCs/>
          <w:sz w:val="24"/>
          <w:szCs w:val="24"/>
        </w:rPr>
      </w:pPr>
      <w:r w:rsidRPr="00EB1AAB">
        <w:rPr>
          <w:rFonts w:asciiTheme="minorEastAsia" w:hAnsiTheme="minorEastAsia" w:cs="Arial" w:hint="eastAsia"/>
          <w:bCs/>
          <w:sz w:val="24"/>
          <w:szCs w:val="24"/>
        </w:rPr>
        <w:t>办公地址：广东省深圳市福田区益田路5023号平安金融中心B座26楼</w:t>
      </w:r>
    </w:p>
    <w:p w14:paraId="76057E8C" w14:textId="77777777" w:rsidR="00EB1AAB" w:rsidRPr="00EB1AAB" w:rsidRDefault="00EB1AAB" w:rsidP="00EB1AAB">
      <w:pPr>
        <w:tabs>
          <w:tab w:val="left" w:pos="1110"/>
        </w:tabs>
        <w:adjustRightInd w:val="0"/>
        <w:snapToGrid w:val="0"/>
        <w:spacing w:line="360" w:lineRule="auto"/>
        <w:ind w:firstLineChars="200" w:firstLine="480"/>
        <w:rPr>
          <w:rFonts w:asciiTheme="minorEastAsia" w:hAnsiTheme="minorEastAsia" w:cs="Arial"/>
          <w:bCs/>
          <w:sz w:val="24"/>
          <w:szCs w:val="24"/>
        </w:rPr>
      </w:pPr>
      <w:r w:rsidRPr="00EB1AAB">
        <w:rPr>
          <w:rFonts w:asciiTheme="minorEastAsia" w:hAnsiTheme="minorEastAsia" w:cs="Arial" w:hint="eastAsia"/>
          <w:bCs/>
          <w:sz w:val="24"/>
          <w:szCs w:val="24"/>
        </w:rPr>
        <w:t>法定代表人：谢永林</w:t>
      </w:r>
    </w:p>
    <w:p w14:paraId="4BD4B081" w14:textId="77777777" w:rsidR="00EB1AAB" w:rsidRPr="00EB1AAB" w:rsidRDefault="00EB1AAB" w:rsidP="00EB1AAB">
      <w:pPr>
        <w:tabs>
          <w:tab w:val="left" w:pos="1110"/>
        </w:tabs>
        <w:adjustRightInd w:val="0"/>
        <w:snapToGrid w:val="0"/>
        <w:spacing w:line="360" w:lineRule="auto"/>
        <w:ind w:firstLineChars="200" w:firstLine="480"/>
        <w:rPr>
          <w:rFonts w:asciiTheme="minorEastAsia" w:hAnsiTheme="minorEastAsia" w:cs="Arial"/>
          <w:bCs/>
          <w:sz w:val="24"/>
          <w:szCs w:val="24"/>
        </w:rPr>
      </w:pPr>
      <w:r w:rsidRPr="00EB1AAB">
        <w:rPr>
          <w:rFonts w:asciiTheme="minorEastAsia" w:hAnsiTheme="minorEastAsia" w:cs="Arial" w:hint="eastAsia"/>
          <w:bCs/>
          <w:sz w:val="24"/>
          <w:szCs w:val="24"/>
        </w:rPr>
        <w:t>成立日期：1987年12月22日</w:t>
      </w:r>
    </w:p>
    <w:p w14:paraId="39841137" w14:textId="77777777" w:rsidR="00EB1AAB" w:rsidRPr="00EB1AAB" w:rsidRDefault="00EB1AAB" w:rsidP="00EB1AAB">
      <w:pPr>
        <w:tabs>
          <w:tab w:val="left" w:pos="1110"/>
        </w:tabs>
        <w:adjustRightInd w:val="0"/>
        <w:snapToGrid w:val="0"/>
        <w:spacing w:line="360" w:lineRule="auto"/>
        <w:ind w:firstLineChars="200" w:firstLine="480"/>
        <w:rPr>
          <w:rFonts w:asciiTheme="minorEastAsia" w:hAnsiTheme="minorEastAsia" w:cs="Arial"/>
          <w:bCs/>
          <w:sz w:val="24"/>
          <w:szCs w:val="24"/>
        </w:rPr>
      </w:pPr>
      <w:r w:rsidRPr="00EB1AAB">
        <w:rPr>
          <w:rFonts w:asciiTheme="minorEastAsia" w:hAnsiTheme="minorEastAsia" w:cs="Arial" w:hint="eastAsia"/>
          <w:bCs/>
          <w:sz w:val="24"/>
          <w:szCs w:val="24"/>
        </w:rPr>
        <w:t>组织形式：股份有限公司</w:t>
      </w:r>
    </w:p>
    <w:p w14:paraId="1A954858" w14:textId="77777777" w:rsidR="00EB1AAB" w:rsidRPr="00EB1AAB" w:rsidRDefault="00EB1AAB" w:rsidP="00EB1AAB">
      <w:pPr>
        <w:tabs>
          <w:tab w:val="left" w:pos="1110"/>
        </w:tabs>
        <w:adjustRightInd w:val="0"/>
        <w:snapToGrid w:val="0"/>
        <w:spacing w:line="360" w:lineRule="auto"/>
        <w:ind w:firstLineChars="200" w:firstLine="480"/>
        <w:rPr>
          <w:rFonts w:asciiTheme="minorEastAsia" w:hAnsiTheme="minorEastAsia" w:cs="Arial"/>
          <w:bCs/>
          <w:sz w:val="24"/>
          <w:szCs w:val="24"/>
        </w:rPr>
      </w:pPr>
      <w:r w:rsidRPr="00EB1AAB">
        <w:rPr>
          <w:rFonts w:asciiTheme="minorEastAsia" w:hAnsiTheme="minorEastAsia" w:cs="Arial" w:hint="eastAsia"/>
          <w:bCs/>
          <w:sz w:val="24"/>
          <w:szCs w:val="24"/>
        </w:rPr>
        <w:t>注册资本：19,405,918,198元</w:t>
      </w:r>
    </w:p>
    <w:p w14:paraId="6C0517E1" w14:textId="77777777" w:rsidR="00EB1AAB" w:rsidRPr="00EB1AAB" w:rsidRDefault="00EB1AAB" w:rsidP="00EB1AAB">
      <w:pPr>
        <w:tabs>
          <w:tab w:val="left" w:pos="1110"/>
        </w:tabs>
        <w:adjustRightInd w:val="0"/>
        <w:snapToGrid w:val="0"/>
        <w:spacing w:line="360" w:lineRule="auto"/>
        <w:ind w:firstLineChars="200" w:firstLine="480"/>
        <w:rPr>
          <w:rFonts w:asciiTheme="minorEastAsia" w:hAnsiTheme="minorEastAsia" w:cs="Arial"/>
          <w:bCs/>
          <w:sz w:val="24"/>
          <w:szCs w:val="24"/>
        </w:rPr>
      </w:pPr>
      <w:r w:rsidRPr="00EB1AAB">
        <w:rPr>
          <w:rFonts w:asciiTheme="minorEastAsia" w:hAnsiTheme="minorEastAsia" w:cs="Arial" w:hint="eastAsia"/>
          <w:bCs/>
          <w:sz w:val="24"/>
          <w:szCs w:val="24"/>
        </w:rPr>
        <w:t>存续期间：持续经营</w:t>
      </w:r>
    </w:p>
    <w:p w14:paraId="1A72109F" w14:textId="77777777" w:rsidR="00EB1AAB" w:rsidRPr="00EB1AAB" w:rsidRDefault="00EB1AAB" w:rsidP="00EB1AAB">
      <w:pPr>
        <w:tabs>
          <w:tab w:val="left" w:pos="1110"/>
        </w:tabs>
        <w:adjustRightInd w:val="0"/>
        <w:snapToGrid w:val="0"/>
        <w:spacing w:line="360" w:lineRule="auto"/>
        <w:ind w:firstLineChars="200" w:firstLine="480"/>
        <w:rPr>
          <w:rFonts w:asciiTheme="minorEastAsia" w:hAnsiTheme="minorEastAsia" w:cs="Arial"/>
          <w:bCs/>
          <w:sz w:val="24"/>
          <w:szCs w:val="24"/>
        </w:rPr>
      </w:pPr>
      <w:r w:rsidRPr="00EB1AAB">
        <w:rPr>
          <w:rFonts w:asciiTheme="minorEastAsia" w:hAnsiTheme="minorEastAsia" w:cs="Arial" w:hint="eastAsia"/>
          <w:bCs/>
          <w:sz w:val="24"/>
          <w:szCs w:val="24"/>
        </w:rPr>
        <w:t>基金托管资格批文及文号：中国证监会证监许可[2008]1037 号</w:t>
      </w:r>
    </w:p>
    <w:p w14:paraId="24F45D3C" w14:textId="77777777" w:rsidR="00EB1AAB" w:rsidRPr="00EB1AAB" w:rsidRDefault="00EB1AAB" w:rsidP="00EB1AAB">
      <w:pPr>
        <w:tabs>
          <w:tab w:val="left" w:pos="1110"/>
        </w:tabs>
        <w:adjustRightInd w:val="0"/>
        <w:snapToGrid w:val="0"/>
        <w:spacing w:line="360" w:lineRule="auto"/>
        <w:ind w:firstLineChars="200" w:firstLine="480"/>
        <w:rPr>
          <w:rFonts w:asciiTheme="minorEastAsia" w:hAnsiTheme="minorEastAsia" w:cs="Arial"/>
          <w:bCs/>
          <w:sz w:val="24"/>
          <w:szCs w:val="24"/>
        </w:rPr>
      </w:pPr>
      <w:r w:rsidRPr="00EB1AAB">
        <w:rPr>
          <w:rFonts w:asciiTheme="minorEastAsia" w:hAnsiTheme="minorEastAsia" w:cs="Arial" w:hint="eastAsia"/>
          <w:bCs/>
          <w:sz w:val="24"/>
          <w:szCs w:val="24"/>
        </w:rPr>
        <w:t>联系人：刘华栋</w:t>
      </w:r>
    </w:p>
    <w:p w14:paraId="43CFA297" w14:textId="4DA9867C" w:rsidR="002C3C29" w:rsidRPr="002C3C29" w:rsidRDefault="00EB1AAB" w:rsidP="00EB1AAB">
      <w:pPr>
        <w:tabs>
          <w:tab w:val="left" w:pos="1110"/>
        </w:tabs>
        <w:adjustRightInd w:val="0"/>
        <w:snapToGrid w:val="0"/>
        <w:spacing w:line="360" w:lineRule="auto"/>
        <w:ind w:firstLineChars="200" w:firstLine="480"/>
        <w:rPr>
          <w:rFonts w:asciiTheme="minorEastAsia" w:hAnsiTheme="minorEastAsia" w:cs="Arial"/>
          <w:bCs/>
          <w:sz w:val="24"/>
          <w:szCs w:val="24"/>
        </w:rPr>
      </w:pPr>
      <w:r w:rsidRPr="00EB1AAB">
        <w:rPr>
          <w:rFonts w:asciiTheme="minorEastAsia" w:hAnsiTheme="minorEastAsia" w:cs="Arial" w:hint="eastAsia"/>
          <w:bCs/>
          <w:sz w:val="24"/>
          <w:szCs w:val="24"/>
        </w:rPr>
        <w:t>联系电话：(0755) 2216 6388</w:t>
      </w:r>
    </w:p>
    <w:p w14:paraId="0ACF3028" w14:textId="77777777" w:rsidR="00B2537D" w:rsidRPr="00B2537D" w:rsidRDefault="00B2537D" w:rsidP="00B2537D">
      <w:pPr>
        <w:tabs>
          <w:tab w:val="left" w:pos="1110"/>
        </w:tabs>
        <w:adjustRightInd w:val="0"/>
        <w:snapToGrid w:val="0"/>
        <w:spacing w:line="360" w:lineRule="auto"/>
        <w:ind w:firstLineChars="200" w:firstLine="480"/>
        <w:rPr>
          <w:rFonts w:asciiTheme="minorEastAsia" w:hAnsiTheme="minorEastAsia" w:cs="Arial"/>
          <w:bCs/>
          <w:sz w:val="24"/>
          <w:szCs w:val="24"/>
        </w:rPr>
      </w:pPr>
      <w:r w:rsidRPr="00B2537D">
        <w:rPr>
          <w:rFonts w:asciiTheme="minorEastAsia" w:hAnsiTheme="minorEastAsia" w:cs="Arial" w:hint="eastAsia"/>
          <w:bCs/>
          <w:sz w:val="24"/>
          <w:szCs w:val="24"/>
        </w:rPr>
        <w:t>2、平安银行基本情况</w:t>
      </w:r>
    </w:p>
    <w:p w14:paraId="49773437" w14:textId="77777777" w:rsidR="00B2537D" w:rsidRPr="00B2537D" w:rsidRDefault="00B2537D" w:rsidP="00B2537D">
      <w:pPr>
        <w:tabs>
          <w:tab w:val="left" w:pos="1110"/>
        </w:tabs>
        <w:adjustRightInd w:val="0"/>
        <w:snapToGrid w:val="0"/>
        <w:spacing w:line="360" w:lineRule="auto"/>
        <w:ind w:firstLineChars="200" w:firstLine="480"/>
        <w:rPr>
          <w:rFonts w:asciiTheme="minorEastAsia" w:hAnsiTheme="minorEastAsia" w:cs="Arial"/>
          <w:bCs/>
          <w:sz w:val="24"/>
          <w:szCs w:val="24"/>
        </w:rPr>
      </w:pPr>
      <w:r w:rsidRPr="00B2537D">
        <w:rPr>
          <w:rFonts w:asciiTheme="minorEastAsia" w:hAnsiTheme="minorEastAsia" w:cs="Arial" w:hint="eastAsia"/>
          <w:bCs/>
          <w:sz w:val="24"/>
          <w:szCs w:val="24"/>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2021年12月末，平安银行有109家分行（含香港分行）,共1,177家营业机构。</w:t>
      </w:r>
    </w:p>
    <w:p w14:paraId="0AB4320C" w14:textId="7D1AF8F8" w:rsidR="002C3C29" w:rsidRPr="002C3C29" w:rsidRDefault="00B2537D" w:rsidP="00B2537D">
      <w:pPr>
        <w:tabs>
          <w:tab w:val="left" w:pos="1110"/>
        </w:tabs>
        <w:adjustRightInd w:val="0"/>
        <w:snapToGrid w:val="0"/>
        <w:spacing w:line="360" w:lineRule="auto"/>
        <w:ind w:firstLineChars="200" w:firstLine="480"/>
        <w:rPr>
          <w:rFonts w:asciiTheme="minorEastAsia" w:hAnsiTheme="minorEastAsia" w:cs="Arial"/>
          <w:bCs/>
          <w:sz w:val="24"/>
          <w:szCs w:val="24"/>
        </w:rPr>
      </w:pPr>
      <w:r w:rsidRPr="00B2537D">
        <w:rPr>
          <w:rFonts w:asciiTheme="minorEastAsia" w:hAnsiTheme="minorEastAsia" w:cs="Arial" w:hint="eastAsia"/>
          <w:bCs/>
          <w:sz w:val="24"/>
          <w:szCs w:val="24"/>
        </w:rPr>
        <w:t>2021年1-12月，平安银行实现营业收入1,693.83亿元（同比增长10.3%）、净利润363.36亿元（同比增长25.6%）、资产总额 49,213.80亿元（较上年末增长10.1 %）、吸收存款本金余额29,618.19亿元（较上年末增长 10.8 %）、发放贷款和垫款总额30,634.48亿元（较上年末增长14.9%）。</w:t>
      </w:r>
    </w:p>
    <w:p w14:paraId="4D47AF42" w14:textId="77777777" w:rsidR="00B2537D" w:rsidRPr="00B2537D" w:rsidRDefault="00B2537D" w:rsidP="00B2537D">
      <w:pPr>
        <w:tabs>
          <w:tab w:val="left" w:pos="1110"/>
        </w:tabs>
        <w:adjustRightInd w:val="0"/>
        <w:snapToGrid w:val="0"/>
        <w:spacing w:line="360" w:lineRule="auto"/>
        <w:ind w:firstLineChars="200" w:firstLine="480"/>
        <w:rPr>
          <w:rFonts w:asciiTheme="minorEastAsia" w:hAnsiTheme="minorEastAsia" w:cs="Arial"/>
          <w:bCs/>
          <w:sz w:val="24"/>
          <w:szCs w:val="24"/>
        </w:rPr>
      </w:pPr>
      <w:r w:rsidRPr="00B2537D">
        <w:rPr>
          <w:rFonts w:asciiTheme="minorEastAsia" w:hAnsiTheme="minorEastAsia" w:cs="Arial" w:hint="eastAsia"/>
          <w:bCs/>
          <w:sz w:val="24"/>
          <w:szCs w:val="24"/>
        </w:rPr>
        <w:t>3、主要人员情况</w:t>
      </w:r>
    </w:p>
    <w:p w14:paraId="521B42A7" w14:textId="7E57F35C" w:rsidR="00B2537D" w:rsidRPr="00B2537D" w:rsidRDefault="00B2537D" w:rsidP="00B2537D">
      <w:pPr>
        <w:tabs>
          <w:tab w:val="left" w:pos="1110"/>
        </w:tabs>
        <w:adjustRightInd w:val="0"/>
        <w:snapToGrid w:val="0"/>
        <w:spacing w:line="360" w:lineRule="auto"/>
        <w:ind w:firstLineChars="200" w:firstLine="480"/>
        <w:rPr>
          <w:rFonts w:asciiTheme="minorEastAsia" w:hAnsiTheme="minorEastAsia" w:cs="Arial"/>
          <w:bCs/>
          <w:sz w:val="24"/>
          <w:szCs w:val="24"/>
        </w:rPr>
      </w:pPr>
      <w:r w:rsidRPr="00B2537D">
        <w:rPr>
          <w:rFonts w:asciiTheme="minorEastAsia" w:hAnsiTheme="minorEastAsia" w:cs="Arial" w:hint="eastAsia"/>
          <w:bCs/>
          <w:sz w:val="24"/>
          <w:szCs w:val="24"/>
        </w:rPr>
        <w:t>黄伟，男，曾任中国太平洋财险山东分公司科长，阳光财产保险公司高级主管，中国民生银行资产托管部市场营销中心副总经理、总经理、营销与推动中心总经理。2021年2月26日起担任平安银行股份有限公司资产托管事业部副总裁</w:t>
      </w:r>
      <w:r w:rsidRPr="00B2537D">
        <w:rPr>
          <w:rFonts w:asciiTheme="minorEastAsia" w:hAnsiTheme="minorEastAsia" w:cs="Arial" w:hint="eastAsia"/>
          <w:bCs/>
          <w:sz w:val="24"/>
          <w:szCs w:val="24"/>
        </w:rPr>
        <w:lastRenderedPageBreak/>
        <w:t>（主持工作）。</w:t>
      </w:r>
    </w:p>
    <w:p w14:paraId="7AD8EC09" w14:textId="77777777" w:rsidR="00B2537D" w:rsidRPr="00B2537D" w:rsidRDefault="00B2537D" w:rsidP="00B2537D">
      <w:pPr>
        <w:tabs>
          <w:tab w:val="left" w:pos="1110"/>
        </w:tabs>
        <w:adjustRightInd w:val="0"/>
        <w:snapToGrid w:val="0"/>
        <w:spacing w:line="360" w:lineRule="auto"/>
        <w:ind w:firstLineChars="200" w:firstLine="480"/>
        <w:rPr>
          <w:rFonts w:asciiTheme="minorEastAsia" w:hAnsiTheme="minorEastAsia" w:cs="Arial"/>
          <w:bCs/>
          <w:sz w:val="24"/>
          <w:szCs w:val="24"/>
        </w:rPr>
      </w:pPr>
      <w:r w:rsidRPr="00B2537D">
        <w:rPr>
          <w:rFonts w:asciiTheme="minorEastAsia" w:hAnsiTheme="minorEastAsia" w:cs="Arial" w:hint="eastAsia"/>
          <w:bCs/>
          <w:sz w:val="24"/>
          <w:szCs w:val="24"/>
        </w:rPr>
        <w:t>平安银行总行设资产托管事业部，下设市场拓展处、创新发展处、估值核算处、资金清算处、规划发展处、IT系统支持处、督察合规处、基金服务中心8个处室，目前部门人员为73人，为客户提供专业化的托管服务。证券投资基金托管业务相关员工配置齐全且从业经验丰富，托管部核心管理层具备银行管理、证券或托管业务十年以上从业经验。</w:t>
      </w:r>
    </w:p>
    <w:p w14:paraId="6EE420A2" w14:textId="77777777" w:rsidR="00B2537D" w:rsidRPr="00B2537D" w:rsidRDefault="00B2537D" w:rsidP="00B2537D">
      <w:pPr>
        <w:tabs>
          <w:tab w:val="left" w:pos="1110"/>
        </w:tabs>
        <w:adjustRightInd w:val="0"/>
        <w:snapToGrid w:val="0"/>
        <w:spacing w:line="360" w:lineRule="auto"/>
        <w:ind w:firstLineChars="200" w:firstLine="480"/>
        <w:rPr>
          <w:rFonts w:asciiTheme="minorEastAsia" w:hAnsiTheme="minorEastAsia" w:cs="Arial"/>
          <w:bCs/>
          <w:sz w:val="24"/>
          <w:szCs w:val="24"/>
        </w:rPr>
      </w:pPr>
      <w:r w:rsidRPr="00B2537D">
        <w:rPr>
          <w:rFonts w:asciiTheme="minorEastAsia" w:hAnsiTheme="minorEastAsia" w:cs="Arial" w:hint="eastAsia"/>
          <w:bCs/>
          <w:sz w:val="24"/>
          <w:szCs w:val="24"/>
        </w:rPr>
        <w:t>4、基金托管业务经营情况</w:t>
      </w:r>
    </w:p>
    <w:p w14:paraId="2A8259B2" w14:textId="40C4E15C" w:rsidR="002C3C29" w:rsidRPr="002C3C29" w:rsidRDefault="00B2537D" w:rsidP="00B2537D">
      <w:pPr>
        <w:tabs>
          <w:tab w:val="left" w:pos="1110"/>
        </w:tabs>
        <w:adjustRightInd w:val="0"/>
        <w:snapToGrid w:val="0"/>
        <w:spacing w:line="360" w:lineRule="auto"/>
        <w:ind w:firstLineChars="200" w:firstLine="480"/>
        <w:rPr>
          <w:rFonts w:asciiTheme="minorEastAsia" w:hAnsiTheme="minorEastAsia" w:cs="Arial"/>
          <w:bCs/>
          <w:sz w:val="24"/>
          <w:szCs w:val="24"/>
        </w:rPr>
      </w:pPr>
      <w:r w:rsidRPr="00B2537D">
        <w:rPr>
          <w:rFonts w:asciiTheme="minorEastAsia" w:hAnsiTheme="minorEastAsia" w:cs="Arial" w:hint="eastAsia"/>
          <w:bCs/>
          <w:sz w:val="24"/>
          <w:szCs w:val="24"/>
        </w:rPr>
        <w:t>2008年8月15日获得中国证监会、银监会核准开办证券投资基金托管业务。截至2021年12月末，平安银行股份有限公司托管证券投资基金净值规模合计6,293亿，平安银行已托管190只证券投资基金，覆盖了股票型、债券型、混合型、货币型、指数型、FOF 等多种类型的基金，满足了不同客户多元化的投资理财需求。</w:t>
      </w:r>
    </w:p>
    <w:p w14:paraId="65B7C0C0" w14:textId="77777777" w:rsidR="002C3C29" w:rsidRPr="0084566E" w:rsidRDefault="002C3C29" w:rsidP="002C3C29">
      <w:pPr>
        <w:tabs>
          <w:tab w:val="left" w:pos="1110"/>
        </w:tabs>
        <w:adjustRightInd w:val="0"/>
        <w:snapToGrid w:val="0"/>
        <w:spacing w:line="360" w:lineRule="auto"/>
        <w:ind w:firstLineChars="200" w:firstLine="482"/>
        <w:rPr>
          <w:rFonts w:asciiTheme="minorEastAsia" w:hAnsiTheme="minorEastAsia" w:cs="Arial"/>
          <w:b/>
          <w:sz w:val="24"/>
          <w:szCs w:val="24"/>
        </w:rPr>
      </w:pPr>
      <w:r w:rsidRPr="0084566E">
        <w:rPr>
          <w:rFonts w:asciiTheme="minorEastAsia" w:hAnsiTheme="minorEastAsia" w:cs="Arial" w:hint="eastAsia"/>
          <w:b/>
          <w:sz w:val="24"/>
          <w:szCs w:val="24"/>
        </w:rPr>
        <w:t>二、基金托管人的内部风险控制制度说明</w:t>
      </w:r>
    </w:p>
    <w:p w14:paraId="03CDD313" w14:textId="77777777" w:rsidR="00D62676" w:rsidRPr="00D62676" w:rsidRDefault="00D62676" w:rsidP="00D62676">
      <w:pPr>
        <w:tabs>
          <w:tab w:val="left" w:pos="1110"/>
        </w:tabs>
        <w:adjustRightInd w:val="0"/>
        <w:snapToGrid w:val="0"/>
        <w:spacing w:line="360" w:lineRule="auto"/>
        <w:ind w:firstLineChars="200" w:firstLine="480"/>
        <w:rPr>
          <w:rFonts w:asciiTheme="minorEastAsia" w:hAnsiTheme="minorEastAsia" w:cs="Arial"/>
          <w:bCs/>
          <w:sz w:val="24"/>
          <w:szCs w:val="24"/>
        </w:rPr>
      </w:pPr>
      <w:r w:rsidRPr="00D62676">
        <w:rPr>
          <w:rFonts w:asciiTheme="minorEastAsia" w:hAnsiTheme="minorEastAsia" w:cs="Arial" w:hint="eastAsia"/>
          <w:bCs/>
          <w:sz w:val="24"/>
          <w:szCs w:val="24"/>
        </w:rPr>
        <w:t>1、内部控制目标</w:t>
      </w:r>
    </w:p>
    <w:p w14:paraId="0A27225F" w14:textId="77777777" w:rsidR="00D62676" w:rsidRPr="00D62676" w:rsidRDefault="00D62676" w:rsidP="00D62676">
      <w:pPr>
        <w:tabs>
          <w:tab w:val="left" w:pos="1110"/>
        </w:tabs>
        <w:adjustRightInd w:val="0"/>
        <w:snapToGrid w:val="0"/>
        <w:spacing w:line="360" w:lineRule="auto"/>
        <w:ind w:firstLineChars="200" w:firstLine="480"/>
        <w:rPr>
          <w:rFonts w:asciiTheme="minorEastAsia" w:hAnsiTheme="minorEastAsia" w:cs="Arial"/>
          <w:bCs/>
          <w:sz w:val="24"/>
          <w:szCs w:val="24"/>
        </w:rPr>
      </w:pPr>
      <w:r w:rsidRPr="00D62676">
        <w:rPr>
          <w:rFonts w:asciiTheme="minorEastAsia" w:hAnsiTheme="minorEastAsia" w:cs="Arial" w:hint="eastAsia"/>
          <w:bCs/>
          <w:sz w:val="24"/>
          <w:szCs w:val="24"/>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p>
    <w:p w14:paraId="1A5E5F45" w14:textId="77777777" w:rsidR="00D62676" w:rsidRPr="00D62676" w:rsidRDefault="00D62676" w:rsidP="00D62676">
      <w:pPr>
        <w:tabs>
          <w:tab w:val="left" w:pos="1110"/>
        </w:tabs>
        <w:adjustRightInd w:val="0"/>
        <w:snapToGrid w:val="0"/>
        <w:spacing w:line="360" w:lineRule="auto"/>
        <w:ind w:firstLineChars="200" w:firstLine="480"/>
        <w:rPr>
          <w:rFonts w:asciiTheme="minorEastAsia" w:hAnsiTheme="minorEastAsia" w:cs="Arial"/>
          <w:bCs/>
          <w:sz w:val="24"/>
          <w:szCs w:val="24"/>
        </w:rPr>
      </w:pPr>
      <w:r w:rsidRPr="00D62676">
        <w:rPr>
          <w:rFonts w:asciiTheme="minorEastAsia" w:hAnsiTheme="minorEastAsia" w:cs="Arial" w:hint="eastAsia"/>
          <w:bCs/>
          <w:sz w:val="24"/>
          <w:szCs w:val="24"/>
        </w:rPr>
        <w:t>2、内部控制组织结构</w:t>
      </w:r>
    </w:p>
    <w:p w14:paraId="31799BDB" w14:textId="77777777" w:rsidR="00D62676" w:rsidRPr="00D62676" w:rsidRDefault="00D62676" w:rsidP="00D62676">
      <w:pPr>
        <w:tabs>
          <w:tab w:val="left" w:pos="1110"/>
        </w:tabs>
        <w:adjustRightInd w:val="0"/>
        <w:snapToGrid w:val="0"/>
        <w:spacing w:line="360" w:lineRule="auto"/>
        <w:ind w:firstLineChars="200" w:firstLine="480"/>
        <w:rPr>
          <w:rFonts w:asciiTheme="minorEastAsia" w:hAnsiTheme="minorEastAsia" w:cs="Arial"/>
          <w:bCs/>
          <w:sz w:val="24"/>
          <w:szCs w:val="24"/>
        </w:rPr>
      </w:pPr>
      <w:r w:rsidRPr="00D62676">
        <w:rPr>
          <w:rFonts w:asciiTheme="minorEastAsia" w:hAnsiTheme="minorEastAsia" w:cs="Arial" w:hint="eastAsia"/>
          <w:bCs/>
          <w:sz w:val="24"/>
          <w:szCs w:val="24"/>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p>
    <w:p w14:paraId="215CE678" w14:textId="77777777" w:rsidR="00D62676" w:rsidRPr="00D62676" w:rsidRDefault="00D62676" w:rsidP="00D62676">
      <w:pPr>
        <w:tabs>
          <w:tab w:val="left" w:pos="1110"/>
        </w:tabs>
        <w:adjustRightInd w:val="0"/>
        <w:snapToGrid w:val="0"/>
        <w:spacing w:line="360" w:lineRule="auto"/>
        <w:ind w:firstLineChars="200" w:firstLine="480"/>
        <w:rPr>
          <w:rFonts w:asciiTheme="minorEastAsia" w:hAnsiTheme="minorEastAsia" w:cs="Arial"/>
          <w:bCs/>
          <w:sz w:val="24"/>
          <w:szCs w:val="24"/>
        </w:rPr>
      </w:pPr>
      <w:r w:rsidRPr="00D62676">
        <w:rPr>
          <w:rFonts w:asciiTheme="minorEastAsia" w:hAnsiTheme="minorEastAsia" w:cs="Arial" w:hint="eastAsia"/>
          <w:bCs/>
          <w:sz w:val="24"/>
          <w:szCs w:val="24"/>
        </w:rPr>
        <w:t>3、内部控制制度及措施</w:t>
      </w:r>
    </w:p>
    <w:p w14:paraId="1D7BBA98" w14:textId="04024F22" w:rsidR="002C3C29" w:rsidRPr="002C3C29" w:rsidRDefault="00D62676" w:rsidP="00D62676">
      <w:pPr>
        <w:tabs>
          <w:tab w:val="left" w:pos="1110"/>
        </w:tabs>
        <w:adjustRightInd w:val="0"/>
        <w:snapToGrid w:val="0"/>
        <w:spacing w:line="360" w:lineRule="auto"/>
        <w:ind w:firstLineChars="200" w:firstLine="480"/>
        <w:rPr>
          <w:rFonts w:asciiTheme="minorEastAsia" w:hAnsiTheme="minorEastAsia" w:cs="Arial"/>
          <w:bCs/>
          <w:sz w:val="24"/>
          <w:szCs w:val="24"/>
        </w:rPr>
      </w:pPr>
      <w:r w:rsidRPr="00D62676">
        <w:rPr>
          <w:rFonts w:asciiTheme="minorEastAsia" w:hAnsiTheme="minorEastAsia" w:cs="Arial" w:hint="eastAsia"/>
          <w:bCs/>
          <w:sz w:val="24"/>
          <w:szCs w:val="24"/>
        </w:rPr>
        <w:t>资产托管事业部具备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w:t>
      </w:r>
      <w:r w:rsidRPr="00D62676">
        <w:rPr>
          <w:rFonts w:asciiTheme="minorEastAsia" w:hAnsiTheme="minorEastAsia" w:cs="Arial" w:hint="eastAsia"/>
          <w:bCs/>
          <w:sz w:val="24"/>
          <w:szCs w:val="24"/>
        </w:rPr>
        <w:lastRenderedPageBreak/>
        <w:t>技术系统完整、独立。</w:t>
      </w:r>
    </w:p>
    <w:p w14:paraId="2EB228A5" w14:textId="77777777" w:rsidR="002C3C29" w:rsidRPr="0084566E" w:rsidRDefault="002C3C29" w:rsidP="002C3C29">
      <w:pPr>
        <w:tabs>
          <w:tab w:val="left" w:pos="1110"/>
        </w:tabs>
        <w:adjustRightInd w:val="0"/>
        <w:snapToGrid w:val="0"/>
        <w:spacing w:line="360" w:lineRule="auto"/>
        <w:ind w:firstLineChars="200" w:firstLine="482"/>
        <w:rPr>
          <w:rFonts w:asciiTheme="minorEastAsia" w:hAnsiTheme="minorEastAsia" w:cs="Arial"/>
          <w:b/>
          <w:sz w:val="24"/>
          <w:szCs w:val="24"/>
        </w:rPr>
      </w:pPr>
      <w:r w:rsidRPr="0084566E">
        <w:rPr>
          <w:rFonts w:asciiTheme="minorEastAsia" w:hAnsiTheme="minorEastAsia" w:cs="Arial" w:hint="eastAsia"/>
          <w:b/>
          <w:sz w:val="24"/>
          <w:szCs w:val="24"/>
        </w:rPr>
        <w:t>三、基金托管人对基金管理人运作基金进行监督的方法和程序</w:t>
      </w:r>
    </w:p>
    <w:p w14:paraId="03CE0A1A" w14:textId="77777777" w:rsidR="002C3C29" w:rsidRPr="002C3C29" w:rsidRDefault="002C3C29" w:rsidP="002C3C29">
      <w:pPr>
        <w:tabs>
          <w:tab w:val="left" w:pos="1110"/>
        </w:tabs>
        <w:adjustRightInd w:val="0"/>
        <w:snapToGrid w:val="0"/>
        <w:spacing w:line="360" w:lineRule="auto"/>
        <w:ind w:firstLineChars="200" w:firstLine="480"/>
        <w:rPr>
          <w:rFonts w:asciiTheme="minorEastAsia" w:hAnsiTheme="minorEastAsia" w:cs="Arial"/>
          <w:bCs/>
          <w:sz w:val="24"/>
          <w:szCs w:val="24"/>
        </w:rPr>
      </w:pPr>
      <w:r w:rsidRPr="002C3C29">
        <w:rPr>
          <w:rFonts w:asciiTheme="minorEastAsia" w:hAnsiTheme="minorEastAsia" w:cs="Arial" w:hint="eastAsia"/>
          <w:bCs/>
          <w:sz w:val="24"/>
          <w:szCs w:val="24"/>
        </w:rPr>
        <w:t>1、监督方法</w:t>
      </w:r>
    </w:p>
    <w:p w14:paraId="126637DA" w14:textId="4A43A13D" w:rsidR="002C3C29" w:rsidRPr="002C3C29" w:rsidRDefault="00D62676" w:rsidP="002C3C29">
      <w:pPr>
        <w:tabs>
          <w:tab w:val="left" w:pos="1110"/>
        </w:tabs>
        <w:adjustRightInd w:val="0"/>
        <w:snapToGrid w:val="0"/>
        <w:spacing w:line="360" w:lineRule="auto"/>
        <w:ind w:firstLineChars="200" w:firstLine="480"/>
        <w:rPr>
          <w:rFonts w:asciiTheme="minorEastAsia" w:hAnsiTheme="minorEastAsia" w:cs="Arial"/>
          <w:bCs/>
          <w:sz w:val="24"/>
          <w:szCs w:val="24"/>
        </w:rPr>
      </w:pPr>
      <w:r w:rsidRPr="00D62676">
        <w:rPr>
          <w:rFonts w:asciiTheme="minorEastAsia" w:hAnsiTheme="minorEastAsia" w:cs="Arial" w:hint="eastAsia"/>
          <w:bCs/>
          <w:sz w:val="24"/>
          <w:szCs w:val="24"/>
        </w:rPr>
        <w:t>依照《基金法》及其配套法规和基金合同的约定，监督所托管基金的投资运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14:paraId="767966B5" w14:textId="77777777" w:rsidR="002C3C29" w:rsidRPr="002C3C29" w:rsidRDefault="002C3C29" w:rsidP="002C3C29">
      <w:pPr>
        <w:tabs>
          <w:tab w:val="left" w:pos="1110"/>
        </w:tabs>
        <w:adjustRightInd w:val="0"/>
        <w:snapToGrid w:val="0"/>
        <w:spacing w:line="360" w:lineRule="auto"/>
        <w:ind w:firstLineChars="200" w:firstLine="480"/>
        <w:rPr>
          <w:rFonts w:asciiTheme="minorEastAsia" w:hAnsiTheme="minorEastAsia" w:cs="Arial"/>
          <w:bCs/>
          <w:sz w:val="24"/>
          <w:szCs w:val="24"/>
        </w:rPr>
      </w:pPr>
      <w:r w:rsidRPr="002C3C29">
        <w:rPr>
          <w:rFonts w:asciiTheme="minorEastAsia" w:hAnsiTheme="minorEastAsia" w:cs="Arial" w:hint="eastAsia"/>
          <w:bCs/>
          <w:sz w:val="24"/>
          <w:szCs w:val="24"/>
        </w:rPr>
        <w:t>2、监督流程</w:t>
      </w:r>
    </w:p>
    <w:p w14:paraId="48CDE6DF" w14:textId="77777777" w:rsidR="00D62676" w:rsidRPr="00D62676" w:rsidRDefault="00D62676" w:rsidP="00D62676">
      <w:pPr>
        <w:spacing w:line="360" w:lineRule="auto"/>
        <w:ind w:firstLineChars="200" w:firstLine="480"/>
        <w:rPr>
          <w:rFonts w:asciiTheme="minorEastAsia" w:hAnsiTheme="minorEastAsia" w:cs="Arial"/>
          <w:bCs/>
          <w:sz w:val="24"/>
          <w:szCs w:val="24"/>
        </w:rPr>
      </w:pPr>
      <w:r w:rsidRPr="00D62676">
        <w:rPr>
          <w:rFonts w:asciiTheme="minorEastAsia" w:hAnsiTheme="minorEastAsia" w:cs="Arial" w:hint="eastAsia"/>
          <w:bCs/>
          <w:sz w:val="24"/>
          <w:szCs w:val="24"/>
        </w:rPr>
        <w:t>（1）每工作日按时通过监控子系统，对各基金投资运作比例控制指标进行例行监控，发现投资比例超标等异常情况，向基金管理人发出书面通知，与基金管理人进行情况核实，督促其纠正，并及时报告中国证监会。</w:t>
      </w:r>
    </w:p>
    <w:p w14:paraId="1E1EC6A4" w14:textId="77777777" w:rsidR="00D62676" w:rsidRPr="00D62676" w:rsidRDefault="00D62676" w:rsidP="00D62676">
      <w:pPr>
        <w:spacing w:line="360" w:lineRule="auto"/>
        <w:ind w:firstLineChars="200" w:firstLine="480"/>
        <w:rPr>
          <w:rFonts w:asciiTheme="minorEastAsia" w:hAnsiTheme="minorEastAsia" w:cs="Arial"/>
          <w:bCs/>
          <w:sz w:val="24"/>
          <w:szCs w:val="24"/>
        </w:rPr>
      </w:pPr>
      <w:r w:rsidRPr="00D62676">
        <w:rPr>
          <w:rFonts w:asciiTheme="minorEastAsia" w:hAnsiTheme="minorEastAsia" w:cs="Arial" w:hint="eastAsia"/>
          <w:bCs/>
          <w:sz w:val="24"/>
          <w:szCs w:val="24"/>
        </w:rPr>
        <w:t>（2）收到基金管理人的投资指令后，对涉及各基金的投资范围、投资对象及交易对手等内容进行合法合规性监督。</w:t>
      </w:r>
    </w:p>
    <w:p w14:paraId="1DB73BF3" w14:textId="77777777" w:rsidR="00D62676" w:rsidRPr="00D62676" w:rsidRDefault="00D62676" w:rsidP="00D62676">
      <w:pPr>
        <w:spacing w:line="360" w:lineRule="auto"/>
        <w:ind w:firstLineChars="200" w:firstLine="480"/>
        <w:rPr>
          <w:rFonts w:asciiTheme="minorEastAsia" w:hAnsiTheme="minorEastAsia" w:cs="Arial"/>
          <w:bCs/>
          <w:sz w:val="24"/>
          <w:szCs w:val="24"/>
        </w:rPr>
      </w:pPr>
      <w:r w:rsidRPr="00D62676">
        <w:rPr>
          <w:rFonts w:asciiTheme="minorEastAsia" w:hAnsiTheme="minorEastAsia" w:cs="Arial" w:hint="eastAsia"/>
          <w:bCs/>
          <w:sz w:val="24"/>
          <w:szCs w:val="24"/>
        </w:rPr>
        <w:t>（3）根据基金投资运作监督情况，定期编写基金投资运作监督报告，对各基金投资运作的合法合规性、投资独立性和风格显著性等方面进行评价，报送中国证监会。</w:t>
      </w:r>
    </w:p>
    <w:p w14:paraId="7B04A602" w14:textId="74D45B68" w:rsidR="00AC3A9B" w:rsidRDefault="00D62676" w:rsidP="00D62676">
      <w:pPr>
        <w:spacing w:line="360" w:lineRule="auto"/>
        <w:ind w:firstLineChars="200" w:firstLine="480"/>
        <w:rPr>
          <w:rFonts w:asciiTheme="minorEastAsia" w:hAnsiTheme="minorEastAsia" w:cs="Times New Roman"/>
          <w:color w:val="000000"/>
          <w:sz w:val="24"/>
          <w:szCs w:val="24"/>
        </w:rPr>
        <w:sectPr w:rsidR="00AC3A9B">
          <w:footerReference w:type="default" r:id="rId14"/>
          <w:pgSz w:w="11906" w:h="16838"/>
          <w:pgMar w:top="1440" w:right="1800" w:bottom="1440" w:left="1800" w:header="851" w:footer="992" w:gutter="0"/>
          <w:pgNumType w:chapStyle="1"/>
          <w:cols w:space="720"/>
          <w:docGrid w:type="lines" w:linePitch="312"/>
        </w:sectPr>
      </w:pPr>
      <w:r w:rsidRPr="00D62676">
        <w:rPr>
          <w:rFonts w:asciiTheme="minorEastAsia" w:hAnsiTheme="minorEastAsia" w:cs="Arial" w:hint="eastAsia"/>
          <w:bCs/>
          <w:sz w:val="24"/>
          <w:szCs w:val="24"/>
        </w:rPr>
        <w:t>（4）通过技术或非技术手段发现基金涉嫌违规交易，电话或书面要求管理人进行解释或举证，并及时报告中国证监会。</w:t>
      </w:r>
    </w:p>
    <w:p w14:paraId="7C618ABE" w14:textId="77777777" w:rsidR="00AC3A9B" w:rsidRDefault="002C3C29">
      <w:pPr>
        <w:pStyle w:val="1"/>
        <w:jc w:val="center"/>
        <w:rPr>
          <w:sz w:val="30"/>
          <w:szCs w:val="30"/>
        </w:rPr>
      </w:pPr>
      <w:bookmarkStart w:id="89" w:name="_Toc214873594"/>
      <w:bookmarkStart w:id="90" w:name="_Toc416264541"/>
      <w:bookmarkStart w:id="91" w:name="_Toc263092313"/>
      <w:bookmarkStart w:id="92" w:name="_Toc37770208"/>
      <w:bookmarkStart w:id="93" w:name="_Toc139991736"/>
      <w:bookmarkStart w:id="94" w:name="_Toc10463"/>
      <w:bookmarkStart w:id="95" w:name="_Toc48649707"/>
      <w:bookmarkStart w:id="96" w:name="_Toc141703886"/>
      <w:bookmarkStart w:id="97" w:name="_Toc1427"/>
      <w:bookmarkStart w:id="98" w:name="_Toc123051452"/>
      <w:bookmarkStart w:id="99" w:name="_Toc11081"/>
      <w:bookmarkStart w:id="100" w:name="_Toc1270"/>
      <w:bookmarkStart w:id="101" w:name="_Toc98560352"/>
      <w:bookmarkStart w:id="102" w:name="_Toc352229752"/>
      <w:bookmarkStart w:id="103" w:name="_Toc352229751"/>
      <w:bookmarkStart w:id="104" w:name="_Toc20733"/>
      <w:bookmarkStart w:id="105" w:name="_Toc23261"/>
      <w:bookmarkStart w:id="106" w:name="_Toc610"/>
      <w:bookmarkStart w:id="107" w:name="_Toc17244"/>
      <w:bookmarkStart w:id="108" w:name="_Toc123112234"/>
      <w:bookmarkStart w:id="109" w:name="_Toc123102453"/>
      <w:bookmarkStart w:id="110" w:name="_Toc23822"/>
      <w:bookmarkStart w:id="111" w:name="_Toc7920"/>
      <w:bookmarkStart w:id="112" w:name="_Toc79392606"/>
      <w:bookmarkStart w:id="113" w:name="_Toc400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hint="eastAsia"/>
          <w:sz w:val="30"/>
          <w:szCs w:val="30"/>
        </w:rPr>
        <w:lastRenderedPageBreak/>
        <w:t>第五部分</w:t>
      </w:r>
      <w:r>
        <w:rPr>
          <w:sz w:val="30"/>
          <w:szCs w:val="30"/>
        </w:rPr>
        <w:t xml:space="preserve">  </w:t>
      </w:r>
      <w:r>
        <w:rPr>
          <w:rFonts w:hint="eastAsia"/>
          <w:sz w:val="30"/>
          <w:szCs w:val="30"/>
        </w:rPr>
        <w:t>相关服务机构</w:t>
      </w:r>
      <w:bookmarkEnd w:id="89"/>
      <w:bookmarkEnd w:id="90"/>
      <w:bookmarkEnd w:id="91"/>
      <w:bookmarkEnd w:id="92"/>
    </w:p>
    <w:p w14:paraId="45148A24" w14:textId="77777777" w:rsidR="00AC3A9B"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一、基金份额发售机构</w:t>
      </w:r>
    </w:p>
    <w:p w14:paraId="40046F4E"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1、直销机构：富荣基金管理有限公司直销中心</w:t>
      </w:r>
    </w:p>
    <w:p w14:paraId="052ED037"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注册地址：广州市南沙区海滨路171号南沙金融大厦11楼1101之一J20室 </w:t>
      </w:r>
    </w:p>
    <w:p w14:paraId="6FF68F64"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w:t>
      </w:r>
      <w:r>
        <w:rPr>
          <w:rFonts w:asciiTheme="minorEastAsia" w:hAnsiTheme="minorEastAsia" w:cs="Times New Roman" w:hint="eastAsia"/>
          <w:kern w:val="0"/>
          <w:sz w:val="24"/>
          <w:szCs w:val="24"/>
        </w:rPr>
        <w:t>深圳市福田区八卦四路52号安吉尔大厦24层</w:t>
      </w:r>
    </w:p>
    <w:p w14:paraId="60E7DF1F"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法定代表人：杨小舟</w:t>
      </w:r>
    </w:p>
    <w:p w14:paraId="3A678267"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电话：0755-84356629</w:t>
      </w:r>
    </w:p>
    <w:p w14:paraId="3002709A"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传真：0755-</w:t>
      </w:r>
      <w:r>
        <w:rPr>
          <w:rFonts w:asciiTheme="minorEastAsia" w:hAnsiTheme="minorEastAsia" w:cs="Arial" w:hint="eastAsia"/>
          <w:kern w:val="0"/>
          <w:sz w:val="24"/>
          <w:szCs w:val="24"/>
        </w:rPr>
        <w:t>83230902</w:t>
      </w:r>
    </w:p>
    <w:p w14:paraId="68A68CD9"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客服电话：4006855600</w:t>
      </w:r>
    </w:p>
    <w:p w14:paraId="587656EB"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网址：www.furamc.com.cn</w:t>
      </w:r>
    </w:p>
    <w:p w14:paraId="4EF15966" w14:textId="77777777" w:rsidR="00AC3A9B"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2、其他销售机构：</w:t>
      </w:r>
    </w:p>
    <w:tbl>
      <w:tblPr>
        <w:tblStyle w:val="afa"/>
        <w:tblW w:w="8505" w:type="dxa"/>
        <w:tblInd w:w="-5" w:type="dxa"/>
        <w:tblLayout w:type="fixed"/>
        <w:tblLook w:val="04A0" w:firstRow="1" w:lastRow="0" w:firstColumn="1" w:lastColumn="0" w:noHBand="0" w:noVBand="1"/>
      </w:tblPr>
      <w:tblGrid>
        <w:gridCol w:w="822"/>
        <w:gridCol w:w="2552"/>
        <w:gridCol w:w="5131"/>
      </w:tblGrid>
      <w:tr w:rsidR="00AC3A9B" w14:paraId="41671DF8" w14:textId="77777777" w:rsidTr="00C07F89">
        <w:tc>
          <w:tcPr>
            <w:tcW w:w="822" w:type="dxa"/>
            <w:tcBorders>
              <w:top w:val="single" w:sz="4" w:space="0" w:color="auto"/>
              <w:left w:val="single" w:sz="4" w:space="0" w:color="auto"/>
              <w:bottom w:val="single" w:sz="4" w:space="0" w:color="auto"/>
              <w:right w:val="single" w:sz="4" w:space="0" w:color="auto"/>
            </w:tcBorders>
          </w:tcPr>
          <w:p w14:paraId="1BFF8AB4" w14:textId="77777777" w:rsidR="00AC3A9B" w:rsidRDefault="002C3C29">
            <w:pPr>
              <w:jc w:val="center"/>
              <w:rPr>
                <w:rFonts w:asciiTheme="minorEastAsia" w:hAnsiTheme="minorEastAsia" w:cs="Arial"/>
                <w:sz w:val="24"/>
                <w:szCs w:val="24"/>
              </w:rPr>
            </w:pPr>
            <w:r>
              <w:rPr>
                <w:rFonts w:asciiTheme="minorEastAsia" w:hAnsiTheme="minorEastAsia" w:cs="Arial" w:hint="eastAsia"/>
                <w:sz w:val="24"/>
                <w:szCs w:val="24"/>
              </w:rPr>
              <w:t>序号</w:t>
            </w:r>
          </w:p>
        </w:tc>
        <w:tc>
          <w:tcPr>
            <w:tcW w:w="2552" w:type="dxa"/>
            <w:tcBorders>
              <w:top w:val="single" w:sz="4" w:space="0" w:color="auto"/>
              <w:left w:val="single" w:sz="4" w:space="0" w:color="auto"/>
              <w:bottom w:val="single" w:sz="4" w:space="0" w:color="auto"/>
              <w:right w:val="single" w:sz="4" w:space="0" w:color="auto"/>
            </w:tcBorders>
          </w:tcPr>
          <w:p w14:paraId="3578DD67" w14:textId="77777777" w:rsidR="00AC3A9B" w:rsidRDefault="002C3C29">
            <w:pPr>
              <w:jc w:val="center"/>
              <w:rPr>
                <w:rFonts w:asciiTheme="minorEastAsia" w:hAnsiTheme="minorEastAsia" w:cs="Arial"/>
                <w:sz w:val="24"/>
                <w:szCs w:val="24"/>
              </w:rPr>
            </w:pPr>
            <w:r>
              <w:rPr>
                <w:rFonts w:asciiTheme="minorEastAsia" w:hAnsiTheme="minorEastAsia" w:cs="Arial" w:hint="eastAsia"/>
                <w:sz w:val="24"/>
                <w:szCs w:val="24"/>
              </w:rPr>
              <w:t>代销机构名称</w:t>
            </w:r>
          </w:p>
        </w:tc>
        <w:tc>
          <w:tcPr>
            <w:tcW w:w="5131" w:type="dxa"/>
            <w:tcBorders>
              <w:top w:val="single" w:sz="4" w:space="0" w:color="auto"/>
              <w:left w:val="single" w:sz="4" w:space="0" w:color="auto"/>
              <w:bottom w:val="single" w:sz="4" w:space="0" w:color="auto"/>
              <w:right w:val="single" w:sz="4" w:space="0" w:color="auto"/>
            </w:tcBorders>
          </w:tcPr>
          <w:p w14:paraId="78D2933A" w14:textId="77777777" w:rsidR="00AC3A9B" w:rsidRDefault="002C3C29">
            <w:pPr>
              <w:jc w:val="center"/>
              <w:rPr>
                <w:rFonts w:asciiTheme="minorEastAsia" w:hAnsiTheme="minorEastAsia" w:cs="Arial"/>
                <w:sz w:val="24"/>
                <w:szCs w:val="24"/>
              </w:rPr>
            </w:pPr>
            <w:r>
              <w:rPr>
                <w:rFonts w:asciiTheme="minorEastAsia" w:hAnsiTheme="minorEastAsia" w:cs="Arial" w:hint="eastAsia"/>
                <w:sz w:val="24"/>
                <w:szCs w:val="24"/>
              </w:rPr>
              <w:t>代销机构信息</w:t>
            </w:r>
          </w:p>
        </w:tc>
      </w:tr>
    </w:tbl>
    <w:tbl>
      <w:tblPr>
        <w:tblStyle w:val="12"/>
        <w:tblW w:w="8505" w:type="dxa"/>
        <w:tblInd w:w="-5" w:type="dxa"/>
        <w:tblLayout w:type="fixed"/>
        <w:tblLook w:val="04A0" w:firstRow="1" w:lastRow="0" w:firstColumn="1" w:lastColumn="0" w:noHBand="0" w:noVBand="1"/>
      </w:tblPr>
      <w:tblGrid>
        <w:gridCol w:w="816"/>
        <w:gridCol w:w="2529"/>
        <w:gridCol w:w="5132"/>
        <w:gridCol w:w="28"/>
      </w:tblGrid>
      <w:tr w:rsidR="0053132E" w:rsidRPr="00C52A47" w14:paraId="453D6EE3" w14:textId="77777777" w:rsidTr="00C07F89">
        <w:tc>
          <w:tcPr>
            <w:tcW w:w="816" w:type="dxa"/>
            <w:hideMark/>
          </w:tcPr>
          <w:p w14:paraId="727FF967" w14:textId="77777777" w:rsidR="0053132E" w:rsidRPr="00C52A47" w:rsidRDefault="0053132E" w:rsidP="00C91C24">
            <w:pPr>
              <w:jc w:val="center"/>
              <w:rPr>
                <w:rFonts w:ascii="宋体" w:hAnsi="宋体" w:cs="Arial"/>
              </w:rPr>
            </w:pPr>
            <w:r>
              <w:rPr>
                <w:rFonts w:ascii="宋体" w:hAnsi="宋体" w:cs="Arial" w:hint="eastAsia"/>
              </w:rPr>
              <w:t>1</w:t>
            </w:r>
          </w:p>
        </w:tc>
        <w:tc>
          <w:tcPr>
            <w:tcW w:w="2529" w:type="dxa"/>
            <w:hideMark/>
          </w:tcPr>
          <w:p w14:paraId="328FD81C" w14:textId="77777777" w:rsidR="0053132E" w:rsidRPr="00C52A47" w:rsidRDefault="0053132E" w:rsidP="00C91C24">
            <w:pPr>
              <w:rPr>
                <w:rFonts w:asciiTheme="minorEastAsia" w:hAnsiTheme="minorEastAsia" w:cs="Arial"/>
              </w:rPr>
            </w:pPr>
            <w:r w:rsidRPr="00C52A47">
              <w:rPr>
                <w:rFonts w:asciiTheme="minorEastAsia" w:hAnsiTheme="minorEastAsia" w:cs="Arial" w:hint="eastAsia"/>
              </w:rPr>
              <w:t>平安证券股份有限公司</w:t>
            </w:r>
          </w:p>
        </w:tc>
        <w:tc>
          <w:tcPr>
            <w:tcW w:w="5160" w:type="dxa"/>
            <w:gridSpan w:val="2"/>
            <w:hideMark/>
          </w:tcPr>
          <w:p w14:paraId="53626F08" w14:textId="77777777" w:rsidR="0053132E" w:rsidRPr="00C52A47" w:rsidRDefault="0053132E" w:rsidP="00C91C24">
            <w:pPr>
              <w:snapToGrid w:val="0"/>
              <w:rPr>
                <w:rFonts w:ascii="宋体" w:hAnsi="宋体" w:cs="Calibri"/>
                <w:color w:val="000000"/>
                <w:szCs w:val="21"/>
              </w:rPr>
            </w:pPr>
            <w:r w:rsidRPr="00C52A47">
              <w:rPr>
                <w:rFonts w:ascii="宋体" w:hAnsi="宋体" w:cs="Calibri" w:hint="eastAsia"/>
                <w:color w:val="000000"/>
                <w:szCs w:val="21"/>
              </w:rPr>
              <w:t xml:space="preserve">注册（办公）地址：深圳市福田中心区金田路4036号荣超大厦16-20层 </w:t>
            </w:r>
          </w:p>
          <w:p w14:paraId="024A5CFA" w14:textId="77777777" w:rsidR="0053132E" w:rsidRPr="00C52A47" w:rsidRDefault="0053132E" w:rsidP="00C91C24">
            <w:pPr>
              <w:snapToGrid w:val="0"/>
              <w:rPr>
                <w:rFonts w:ascii="宋体" w:hAnsi="宋体" w:cs="Calibri"/>
                <w:color w:val="000000"/>
                <w:szCs w:val="21"/>
              </w:rPr>
            </w:pPr>
            <w:r w:rsidRPr="00C52A47">
              <w:rPr>
                <w:rFonts w:ascii="宋体" w:hAnsi="宋体" w:cs="Calibri" w:hint="eastAsia"/>
                <w:color w:val="000000"/>
                <w:szCs w:val="21"/>
              </w:rPr>
              <w:t>客户服务电话：</w:t>
            </w:r>
            <w:r w:rsidRPr="00C52A47">
              <w:rPr>
                <w:rFonts w:ascii="宋体" w:hAnsi="宋体" w:cs="Calibri"/>
                <w:color w:val="000000"/>
                <w:szCs w:val="21"/>
              </w:rPr>
              <w:t xml:space="preserve">95511-8 </w:t>
            </w:r>
          </w:p>
          <w:p w14:paraId="79DD98D7" w14:textId="77777777" w:rsidR="0053132E" w:rsidRPr="00C52A47" w:rsidRDefault="0053132E" w:rsidP="00C91C24">
            <w:pPr>
              <w:snapToGrid w:val="0"/>
              <w:rPr>
                <w:rFonts w:ascii="宋体" w:hAnsi="宋体" w:cs="Calibri"/>
                <w:color w:val="000000"/>
                <w:szCs w:val="21"/>
              </w:rPr>
            </w:pPr>
            <w:r w:rsidRPr="00C52A47">
              <w:rPr>
                <w:rFonts w:ascii="宋体" w:hAnsi="宋体" w:cs="Calibri" w:hint="eastAsia"/>
                <w:color w:val="000000"/>
                <w:szCs w:val="21"/>
              </w:rPr>
              <w:t>网址：</w:t>
            </w:r>
            <w:r w:rsidRPr="00C52A47">
              <w:rPr>
                <w:rFonts w:ascii="宋体" w:hAnsi="宋体" w:cs="Calibri"/>
                <w:color w:val="000000"/>
                <w:szCs w:val="21"/>
              </w:rPr>
              <w:t>stock.pingan.com</w:t>
            </w:r>
          </w:p>
        </w:tc>
      </w:tr>
      <w:tr w:rsidR="0053132E" w:rsidRPr="00B47DC5" w14:paraId="1F9C6C49" w14:textId="77777777" w:rsidTr="00C07F89">
        <w:trPr>
          <w:trHeight w:val="1585"/>
        </w:trPr>
        <w:tc>
          <w:tcPr>
            <w:tcW w:w="816" w:type="dxa"/>
            <w:hideMark/>
          </w:tcPr>
          <w:p w14:paraId="60D3D1E8" w14:textId="77777777" w:rsidR="0053132E" w:rsidRDefault="0053132E" w:rsidP="00C91C24">
            <w:pPr>
              <w:jc w:val="center"/>
              <w:rPr>
                <w:rFonts w:ascii="宋体" w:hAnsi="宋体"/>
                <w:color w:val="000000"/>
              </w:rPr>
            </w:pPr>
            <w:r>
              <w:rPr>
                <w:rFonts w:ascii="宋体" w:hAnsi="宋体" w:hint="eastAsia"/>
                <w:color w:val="000000"/>
              </w:rPr>
              <w:t>2</w:t>
            </w:r>
          </w:p>
        </w:tc>
        <w:tc>
          <w:tcPr>
            <w:tcW w:w="2529" w:type="dxa"/>
            <w:hideMark/>
          </w:tcPr>
          <w:p w14:paraId="39288A26" w14:textId="77777777" w:rsidR="0053132E" w:rsidRPr="00A40A5E" w:rsidRDefault="0053132E" w:rsidP="00C91C24">
            <w:pPr>
              <w:snapToGrid w:val="0"/>
              <w:rPr>
                <w:rFonts w:ascii="宋体" w:hAnsi="宋体" w:cs="Calibri"/>
                <w:color w:val="000000"/>
                <w:szCs w:val="21"/>
              </w:rPr>
            </w:pPr>
            <w:r>
              <w:rPr>
                <w:rFonts w:ascii="宋体" w:hAnsi="宋体" w:cs="Calibri" w:hint="eastAsia"/>
                <w:color w:val="000000"/>
                <w:szCs w:val="21"/>
              </w:rPr>
              <w:t>国泰君安证券股份有限公司</w:t>
            </w:r>
          </w:p>
        </w:tc>
        <w:tc>
          <w:tcPr>
            <w:tcW w:w="5160" w:type="dxa"/>
            <w:gridSpan w:val="2"/>
            <w:hideMark/>
          </w:tcPr>
          <w:p w14:paraId="6348979D" w14:textId="77777777" w:rsidR="0053132E" w:rsidRDefault="0053132E" w:rsidP="00C91C24">
            <w:pPr>
              <w:snapToGrid w:val="0"/>
              <w:rPr>
                <w:rFonts w:ascii="宋体" w:hAnsi="宋体" w:cs="Calibri"/>
                <w:color w:val="000000"/>
                <w:szCs w:val="21"/>
              </w:rPr>
            </w:pPr>
            <w:r w:rsidRPr="00EA291B">
              <w:rPr>
                <w:rFonts w:ascii="宋体" w:hAnsi="宋体" w:cs="Calibri" w:hint="eastAsia"/>
                <w:color w:val="000000"/>
                <w:szCs w:val="21"/>
              </w:rPr>
              <w:t>注册(办公)地址：</w:t>
            </w:r>
            <w:r>
              <w:rPr>
                <w:rFonts w:ascii="宋体" w:hAnsi="宋体" w:cs="Calibri" w:hint="eastAsia"/>
                <w:color w:val="000000"/>
                <w:szCs w:val="21"/>
              </w:rPr>
              <w:t>上海市浦东新区银城中路168号上海银行大厦29楼/上海市静安区南京西路768号国泰君安大厦</w:t>
            </w:r>
          </w:p>
          <w:p w14:paraId="72ED4AA2" w14:textId="77777777" w:rsidR="0053132E" w:rsidRPr="00EA291B" w:rsidRDefault="0053132E" w:rsidP="00C91C24">
            <w:pPr>
              <w:snapToGrid w:val="0"/>
              <w:rPr>
                <w:rFonts w:ascii="宋体" w:hAnsi="宋体" w:cs="Calibri"/>
                <w:color w:val="000000"/>
                <w:szCs w:val="21"/>
              </w:rPr>
            </w:pPr>
            <w:r w:rsidRPr="00EA291B">
              <w:rPr>
                <w:rFonts w:ascii="宋体" w:hAnsi="宋体" w:cs="Calibri" w:hint="eastAsia"/>
                <w:color w:val="000000"/>
                <w:szCs w:val="21"/>
              </w:rPr>
              <w:t>客户服务电话：</w:t>
            </w:r>
            <w:r>
              <w:rPr>
                <w:rFonts w:ascii="宋体" w:hAnsi="宋体" w:cs="Calibri" w:hint="eastAsia"/>
                <w:color w:val="000000"/>
                <w:szCs w:val="21"/>
              </w:rPr>
              <w:t>95521/4008888666</w:t>
            </w:r>
          </w:p>
          <w:p w14:paraId="14551893" w14:textId="77777777" w:rsidR="0053132E" w:rsidRPr="00B47DC5" w:rsidRDefault="0053132E" w:rsidP="00C91C24">
            <w:pPr>
              <w:snapToGrid w:val="0"/>
              <w:rPr>
                <w:rFonts w:ascii="宋体" w:hAnsi="宋体" w:cs="Calibri"/>
                <w:color w:val="000000"/>
                <w:szCs w:val="21"/>
              </w:rPr>
            </w:pPr>
            <w:r w:rsidRPr="00EA291B">
              <w:rPr>
                <w:rFonts w:ascii="宋体" w:hAnsi="宋体" w:cs="Calibri" w:hint="eastAsia"/>
                <w:color w:val="000000"/>
                <w:szCs w:val="21"/>
              </w:rPr>
              <w:t>网址：</w:t>
            </w:r>
            <w:r w:rsidRPr="00E04934">
              <w:rPr>
                <w:rFonts w:ascii="宋体" w:hAnsi="宋体" w:cs="Calibri"/>
                <w:color w:val="000000"/>
                <w:szCs w:val="21"/>
              </w:rPr>
              <w:t>www.gtja.com</w:t>
            </w:r>
          </w:p>
        </w:tc>
      </w:tr>
      <w:tr w:rsidR="0053132E" w:rsidRPr="004E284A" w14:paraId="0B3402C8" w14:textId="77777777" w:rsidTr="00C07F89">
        <w:trPr>
          <w:trHeight w:val="1585"/>
        </w:trPr>
        <w:tc>
          <w:tcPr>
            <w:tcW w:w="816" w:type="dxa"/>
            <w:hideMark/>
          </w:tcPr>
          <w:p w14:paraId="4EF2FECA" w14:textId="77777777" w:rsidR="0053132E" w:rsidRDefault="0053132E" w:rsidP="00C91C24">
            <w:pPr>
              <w:jc w:val="center"/>
              <w:rPr>
                <w:rFonts w:ascii="宋体" w:hAnsi="宋体"/>
                <w:color w:val="000000"/>
              </w:rPr>
            </w:pPr>
            <w:r>
              <w:rPr>
                <w:rFonts w:ascii="宋体" w:hAnsi="宋体" w:hint="eastAsia"/>
                <w:color w:val="000000"/>
              </w:rPr>
              <w:t>3</w:t>
            </w:r>
          </w:p>
        </w:tc>
        <w:tc>
          <w:tcPr>
            <w:tcW w:w="2529" w:type="dxa"/>
            <w:hideMark/>
          </w:tcPr>
          <w:p w14:paraId="5B257627" w14:textId="77777777" w:rsidR="0053132E" w:rsidRPr="004E284A" w:rsidRDefault="0053132E" w:rsidP="00C91C24">
            <w:pPr>
              <w:rPr>
                <w:rFonts w:ascii="宋体" w:hAnsi="宋体"/>
                <w:color w:val="000000"/>
              </w:rPr>
            </w:pPr>
            <w:r w:rsidRPr="004E284A">
              <w:rPr>
                <w:rFonts w:ascii="宋体" w:hAnsi="宋体" w:hint="eastAsia"/>
                <w:color w:val="000000"/>
              </w:rPr>
              <w:t>安信证券股份有限公司</w:t>
            </w:r>
          </w:p>
        </w:tc>
        <w:tc>
          <w:tcPr>
            <w:tcW w:w="5160" w:type="dxa"/>
            <w:gridSpan w:val="2"/>
            <w:hideMark/>
          </w:tcPr>
          <w:p w14:paraId="4732B027" w14:textId="77777777" w:rsidR="0053132E" w:rsidRPr="004E284A" w:rsidRDefault="0053132E" w:rsidP="00C91C24">
            <w:pPr>
              <w:rPr>
                <w:rFonts w:ascii="宋体" w:hAnsi="宋体"/>
                <w:color w:val="000000"/>
              </w:rPr>
            </w:pPr>
            <w:r w:rsidRPr="004E284A">
              <w:rPr>
                <w:rFonts w:ascii="宋体" w:hAnsi="宋体" w:hint="eastAsia"/>
                <w:color w:val="000000"/>
              </w:rPr>
              <w:t>注册</w:t>
            </w:r>
            <w:r w:rsidRPr="004E284A">
              <w:rPr>
                <w:rFonts w:ascii="宋体" w:hAnsi="宋体"/>
                <w:color w:val="000000"/>
              </w:rPr>
              <w:t xml:space="preserve">地址: </w:t>
            </w:r>
            <w:r w:rsidRPr="004E284A">
              <w:rPr>
                <w:rFonts w:ascii="宋体" w:hAnsi="宋体" w:hint="eastAsia"/>
                <w:color w:val="000000"/>
              </w:rPr>
              <w:t>深圳市福田区金田路4018号安联大厦35层、28层A02单元</w:t>
            </w:r>
          </w:p>
          <w:p w14:paraId="7E9C96EA" w14:textId="77777777" w:rsidR="0053132E" w:rsidRPr="004E284A" w:rsidRDefault="0053132E" w:rsidP="00C91C24">
            <w:pPr>
              <w:rPr>
                <w:rFonts w:ascii="宋体" w:hAnsi="宋体"/>
                <w:color w:val="000000"/>
              </w:rPr>
            </w:pPr>
            <w:r w:rsidRPr="004E284A">
              <w:rPr>
                <w:rFonts w:ascii="宋体" w:hAnsi="宋体" w:hint="eastAsia"/>
                <w:color w:val="000000"/>
              </w:rPr>
              <w:t>客户服务电话：95517</w:t>
            </w:r>
          </w:p>
          <w:p w14:paraId="58568B8A" w14:textId="77777777" w:rsidR="0053132E" w:rsidRPr="004E284A" w:rsidRDefault="0053132E" w:rsidP="00C91C24">
            <w:pPr>
              <w:rPr>
                <w:rFonts w:ascii="宋体" w:hAnsi="宋体"/>
                <w:color w:val="000000"/>
              </w:rPr>
            </w:pPr>
            <w:r w:rsidRPr="004E284A">
              <w:rPr>
                <w:rFonts w:ascii="宋体" w:hAnsi="宋体" w:hint="eastAsia"/>
                <w:color w:val="000000"/>
              </w:rPr>
              <w:t>网址：http://www.essence.com.cn/</w:t>
            </w:r>
          </w:p>
        </w:tc>
      </w:tr>
      <w:tr w:rsidR="0053132E" w:rsidRPr="00C52A47" w14:paraId="2864FE10" w14:textId="77777777" w:rsidTr="00C07F89">
        <w:trPr>
          <w:trHeight w:val="1585"/>
        </w:trPr>
        <w:tc>
          <w:tcPr>
            <w:tcW w:w="816" w:type="dxa"/>
            <w:hideMark/>
          </w:tcPr>
          <w:p w14:paraId="655B575F" w14:textId="77777777" w:rsidR="0053132E" w:rsidRPr="00C52A47" w:rsidRDefault="0053132E" w:rsidP="00C91C24">
            <w:pPr>
              <w:jc w:val="center"/>
              <w:rPr>
                <w:rFonts w:ascii="宋体" w:hAnsi="宋体" w:cs="Arial"/>
              </w:rPr>
            </w:pPr>
            <w:r>
              <w:rPr>
                <w:rFonts w:ascii="宋体" w:hAnsi="宋体" w:cs="Arial" w:hint="eastAsia"/>
              </w:rPr>
              <w:t>4</w:t>
            </w:r>
          </w:p>
        </w:tc>
        <w:tc>
          <w:tcPr>
            <w:tcW w:w="2529" w:type="dxa"/>
            <w:hideMark/>
          </w:tcPr>
          <w:p w14:paraId="7C33B17F" w14:textId="77777777" w:rsidR="0053132E" w:rsidRPr="00C52A47" w:rsidRDefault="0053132E" w:rsidP="00C91C24">
            <w:pPr>
              <w:jc w:val="center"/>
              <w:rPr>
                <w:rFonts w:asciiTheme="minorEastAsia" w:hAnsiTheme="minorEastAsia" w:cs="Arial"/>
              </w:rPr>
            </w:pPr>
            <w:r w:rsidRPr="00C52A47">
              <w:rPr>
                <w:rFonts w:asciiTheme="minorEastAsia" w:hAnsiTheme="minorEastAsia" w:cs="Arial" w:hint="eastAsia"/>
              </w:rPr>
              <w:t>世纪证券有限责任公司</w:t>
            </w:r>
          </w:p>
        </w:tc>
        <w:tc>
          <w:tcPr>
            <w:tcW w:w="5160" w:type="dxa"/>
            <w:gridSpan w:val="2"/>
            <w:hideMark/>
          </w:tcPr>
          <w:p w14:paraId="662D5B1B" w14:textId="77777777" w:rsidR="0053132E" w:rsidRPr="00C52A47" w:rsidRDefault="0053132E" w:rsidP="00C91C24">
            <w:pPr>
              <w:snapToGrid w:val="0"/>
              <w:rPr>
                <w:rFonts w:ascii="宋体" w:hAnsi="宋体" w:cs="Calibri"/>
                <w:color w:val="000000"/>
                <w:szCs w:val="21"/>
              </w:rPr>
            </w:pPr>
            <w:r w:rsidRPr="00C52A47">
              <w:rPr>
                <w:rFonts w:ascii="宋体" w:hAnsi="宋体" w:cs="Calibri" w:hint="eastAsia"/>
                <w:color w:val="000000"/>
                <w:szCs w:val="21"/>
              </w:rPr>
              <w:t>注册（办公）地址：深圳市福田区深南大道招商银行大厦</w:t>
            </w:r>
            <w:r w:rsidRPr="00C52A47">
              <w:rPr>
                <w:rFonts w:ascii="宋体" w:hAnsi="宋体" w:cs="Calibri"/>
                <w:color w:val="000000"/>
                <w:szCs w:val="21"/>
              </w:rPr>
              <w:t>40-42</w:t>
            </w:r>
            <w:r w:rsidRPr="00C52A47">
              <w:rPr>
                <w:rFonts w:ascii="宋体" w:hAnsi="宋体" w:cs="Calibri" w:hint="eastAsia"/>
                <w:color w:val="000000"/>
                <w:szCs w:val="21"/>
              </w:rPr>
              <w:t>层</w:t>
            </w:r>
          </w:p>
          <w:p w14:paraId="750D1251" w14:textId="77777777" w:rsidR="0053132E" w:rsidRPr="00C52A47" w:rsidRDefault="0053132E" w:rsidP="00C91C24">
            <w:pPr>
              <w:snapToGrid w:val="0"/>
              <w:rPr>
                <w:rFonts w:ascii="宋体" w:hAnsi="宋体" w:cs="Calibri"/>
                <w:color w:val="000000"/>
                <w:szCs w:val="21"/>
              </w:rPr>
            </w:pPr>
            <w:r w:rsidRPr="00C52A47">
              <w:rPr>
                <w:rFonts w:ascii="宋体" w:hAnsi="宋体" w:cs="Calibri" w:hint="eastAsia"/>
                <w:color w:val="000000"/>
                <w:szCs w:val="21"/>
              </w:rPr>
              <w:t>客服电话：</w:t>
            </w:r>
            <w:r w:rsidRPr="00C52A47">
              <w:rPr>
                <w:rFonts w:ascii="宋体" w:hAnsi="宋体" w:cs="Calibri"/>
                <w:color w:val="000000"/>
                <w:szCs w:val="21"/>
              </w:rPr>
              <w:t>4008323000</w:t>
            </w:r>
          </w:p>
          <w:p w14:paraId="1184A2C4" w14:textId="77777777" w:rsidR="0053132E" w:rsidRPr="00C52A47" w:rsidRDefault="0053132E" w:rsidP="00C91C24">
            <w:pPr>
              <w:snapToGrid w:val="0"/>
              <w:rPr>
                <w:rFonts w:asciiTheme="minorEastAsia" w:hAnsiTheme="minorEastAsia" w:cs="Arial"/>
              </w:rPr>
            </w:pPr>
            <w:r w:rsidRPr="00C52A47">
              <w:rPr>
                <w:rFonts w:ascii="宋体" w:hAnsi="宋体" w:cs="Calibri" w:hint="eastAsia"/>
                <w:color w:val="000000"/>
                <w:szCs w:val="21"/>
              </w:rPr>
              <w:t>网站：</w:t>
            </w:r>
            <w:r w:rsidRPr="00C52A47" w:rsidDel="009A50FB">
              <w:rPr>
                <w:rFonts w:ascii="宋体" w:hAnsi="宋体" w:cs="Calibri"/>
                <w:color w:val="000000"/>
                <w:szCs w:val="21"/>
              </w:rPr>
              <w:t xml:space="preserve"> </w:t>
            </w:r>
            <w:hyperlink r:id="rId15" w:history="1">
              <w:r w:rsidRPr="00C52A47">
                <w:rPr>
                  <w:rFonts w:ascii="宋体" w:hAnsi="宋体" w:cs="Calibri"/>
                  <w:color w:val="000000"/>
                  <w:szCs w:val="21"/>
                </w:rPr>
                <w:t>http://www.csco.com.cn</w:t>
              </w:r>
            </w:hyperlink>
          </w:p>
        </w:tc>
      </w:tr>
      <w:tr w:rsidR="0053132E" w:rsidRPr="00A40A5E" w14:paraId="472FA939" w14:textId="77777777" w:rsidTr="00C07F89">
        <w:trPr>
          <w:trHeight w:val="983"/>
        </w:trPr>
        <w:tc>
          <w:tcPr>
            <w:tcW w:w="816" w:type="dxa"/>
            <w:hideMark/>
          </w:tcPr>
          <w:p w14:paraId="457382E1" w14:textId="77777777" w:rsidR="0053132E" w:rsidRPr="00C52A47" w:rsidRDefault="0053132E" w:rsidP="00C91C24">
            <w:pPr>
              <w:jc w:val="center"/>
              <w:rPr>
                <w:rFonts w:ascii="宋体" w:hAnsi="宋体" w:cs="Arial"/>
              </w:rPr>
            </w:pPr>
            <w:r>
              <w:rPr>
                <w:rFonts w:ascii="宋体" w:hAnsi="宋体" w:cs="Arial" w:hint="eastAsia"/>
              </w:rPr>
              <w:t>5</w:t>
            </w:r>
          </w:p>
        </w:tc>
        <w:tc>
          <w:tcPr>
            <w:tcW w:w="2529" w:type="dxa"/>
            <w:hideMark/>
          </w:tcPr>
          <w:p w14:paraId="7B70CE1F"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华鑫证券有限责任公司</w:t>
            </w:r>
          </w:p>
        </w:tc>
        <w:tc>
          <w:tcPr>
            <w:tcW w:w="5160" w:type="dxa"/>
            <w:gridSpan w:val="2"/>
            <w:hideMark/>
          </w:tcPr>
          <w:p w14:paraId="31A07A0B"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(办公)地址：深圳市福田区金田路4018号安联大厦28层A01、B01（b）单元</w:t>
            </w:r>
          </w:p>
          <w:p w14:paraId="7476B85B"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95323</w:t>
            </w:r>
          </w:p>
          <w:p w14:paraId="098B7C63"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www.cfsc.com.cn</w:t>
            </w:r>
          </w:p>
        </w:tc>
      </w:tr>
      <w:tr w:rsidR="0053132E" w:rsidRPr="00A40A5E" w14:paraId="65FF990E" w14:textId="77777777" w:rsidTr="00C07F89">
        <w:trPr>
          <w:trHeight w:val="1492"/>
        </w:trPr>
        <w:tc>
          <w:tcPr>
            <w:tcW w:w="816" w:type="dxa"/>
            <w:hideMark/>
          </w:tcPr>
          <w:p w14:paraId="0A7BBF96" w14:textId="77777777" w:rsidR="0053132E" w:rsidRPr="00C52A47" w:rsidRDefault="0053132E" w:rsidP="00C91C24">
            <w:pPr>
              <w:jc w:val="center"/>
              <w:rPr>
                <w:rFonts w:ascii="宋体" w:hAnsi="宋体" w:cs="Arial"/>
              </w:rPr>
            </w:pPr>
            <w:r>
              <w:rPr>
                <w:rFonts w:ascii="宋体" w:hAnsi="宋体" w:cs="Arial" w:hint="eastAsia"/>
              </w:rPr>
              <w:lastRenderedPageBreak/>
              <w:t>6</w:t>
            </w:r>
          </w:p>
        </w:tc>
        <w:tc>
          <w:tcPr>
            <w:tcW w:w="2529" w:type="dxa"/>
            <w:hideMark/>
          </w:tcPr>
          <w:p w14:paraId="487182BB"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长城证券股份有限公司</w:t>
            </w:r>
          </w:p>
        </w:tc>
        <w:tc>
          <w:tcPr>
            <w:tcW w:w="5160" w:type="dxa"/>
            <w:gridSpan w:val="2"/>
            <w:hideMark/>
          </w:tcPr>
          <w:p w14:paraId="45B12456" w14:textId="77777777" w:rsidR="0053132E" w:rsidRPr="00A40A5E" w:rsidRDefault="0053132E" w:rsidP="00C91C24">
            <w:pPr>
              <w:snapToGrid w:val="0"/>
              <w:rPr>
                <w:rFonts w:ascii="宋体" w:hAnsi="宋体" w:cs="Calibri"/>
                <w:color w:val="000000"/>
                <w:szCs w:val="21"/>
              </w:rPr>
            </w:pPr>
            <w:r w:rsidRPr="00A40A5E">
              <w:rPr>
                <w:rFonts w:ascii="宋体" w:hAnsi="宋体" w:cs="Calibri"/>
                <w:color w:val="000000"/>
                <w:szCs w:val="21"/>
              </w:rPr>
              <w:t>注册（办公）地址：深圳市福田区深南大道6008号特区报业大厦14、16、17层</w:t>
            </w:r>
          </w:p>
          <w:p w14:paraId="37CBE05E" w14:textId="77777777" w:rsidR="0053132E" w:rsidRPr="00A40A5E" w:rsidRDefault="0053132E" w:rsidP="00C91C24">
            <w:pPr>
              <w:snapToGrid w:val="0"/>
              <w:rPr>
                <w:rFonts w:ascii="宋体" w:hAnsi="宋体" w:cs="Calibri"/>
                <w:color w:val="000000"/>
                <w:szCs w:val="21"/>
              </w:rPr>
            </w:pPr>
            <w:r w:rsidRPr="00A40A5E">
              <w:rPr>
                <w:rFonts w:ascii="宋体" w:hAnsi="宋体" w:cs="Calibri"/>
                <w:color w:val="000000"/>
                <w:szCs w:val="21"/>
              </w:rPr>
              <w:t>客户服务热线：0755-33680000、400 6666 888</w:t>
            </w:r>
          </w:p>
          <w:p w14:paraId="236B49EC" w14:textId="77777777" w:rsidR="0053132E" w:rsidRPr="00A40A5E" w:rsidRDefault="0053132E" w:rsidP="00C91C24">
            <w:pPr>
              <w:snapToGrid w:val="0"/>
              <w:rPr>
                <w:rFonts w:ascii="宋体" w:hAnsi="宋体" w:cs="Calibri"/>
                <w:color w:val="000000"/>
                <w:szCs w:val="21"/>
              </w:rPr>
            </w:pPr>
            <w:r w:rsidRPr="00A40A5E">
              <w:rPr>
                <w:rFonts w:ascii="宋体" w:hAnsi="宋体" w:cs="Calibri"/>
                <w:color w:val="000000"/>
                <w:szCs w:val="21"/>
              </w:rPr>
              <w:t>网址：www.cgws.com</w:t>
            </w:r>
          </w:p>
        </w:tc>
      </w:tr>
      <w:tr w:rsidR="0053132E" w:rsidRPr="00C52A47" w14:paraId="22F71964" w14:textId="77777777" w:rsidTr="00C07F89">
        <w:trPr>
          <w:trHeight w:val="685"/>
        </w:trPr>
        <w:tc>
          <w:tcPr>
            <w:tcW w:w="816" w:type="dxa"/>
            <w:hideMark/>
          </w:tcPr>
          <w:p w14:paraId="199FA261" w14:textId="77777777" w:rsidR="0053132E" w:rsidRPr="00C52A47" w:rsidRDefault="0053132E" w:rsidP="00C91C24">
            <w:pPr>
              <w:jc w:val="center"/>
              <w:rPr>
                <w:rFonts w:ascii="宋体" w:hAnsi="宋体" w:cs="Arial"/>
              </w:rPr>
            </w:pPr>
            <w:r>
              <w:rPr>
                <w:rFonts w:ascii="宋体" w:hAnsi="宋体" w:cs="Arial" w:hint="eastAsia"/>
              </w:rPr>
              <w:t>7</w:t>
            </w:r>
          </w:p>
        </w:tc>
        <w:tc>
          <w:tcPr>
            <w:tcW w:w="2529" w:type="dxa"/>
            <w:hideMark/>
          </w:tcPr>
          <w:p w14:paraId="1C25131F" w14:textId="77777777" w:rsidR="0053132E" w:rsidRPr="00C52A47" w:rsidRDefault="0053132E" w:rsidP="00C91C24">
            <w:pPr>
              <w:rPr>
                <w:rFonts w:asciiTheme="minorEastAsia" w:hAnsiTheme="minorEastAsia" w:cs="Arial"/>
              </w:rPr>
            </w:pPr>
            <w:r>
              <w:rPr>
                <w:rFonts w:asciiTheme="minorEastAsia" w:hAnsiTheme="minorEastAsia" w:cs="Arial" w:hint="eastAsia"/>
              </w:rPr>
              <w:t>五矿证券有限公司</w:t>
            </w:r>
          </w:p>
        </w:tc>
        <w:tc>
          <w:tcPr>
            <w:tcW w:w="5160" w:type="dxa"/>
            <w:gridSpan w:val="2"/>
            <w:hideMark/>
          </w:tcPr>
          <w:p w14:paraId="555B425C" w14:textId="77777777" w:rsidR="0053132E" w:rsidRPr="008076EE" w:rsidRDefault="0053132E" w:rsidP="00C91C24">
            <w:pPr>
              <w:snapToGrid w:val="0"/>
              <w:rPr>
                <w:rFonts w:ascii="宋体" w:hAnsi="宋体" w:cs="Calibri"/>
                <w:color w:val="000000"/>
                <w:szCs w:val="21"/>
              </w:rPr>
            </w:pPr>
            <w:r>
              <w:rPr>
                <w:rFonts w:ascii="宋体" w:hAnsi="宋体" w:cs="Calibri" w:hint="eastAsia"/>
                <w:color w:val="000000"/>
                <w:szCs w:val="21"/>
              </w:rPr>
              <w:t>办公</w:t>
            </w:r>
            <w:r w:rsidRPr="008076EE">
              <w:rPr>
                <w:rFonts w:ascii="宋体" w:hAnsi="宋体" w:cs="Calibri"/>
                <w:color w:val="000000"/>
                <w:szCs w:val="21"/>
              </w:rPr>
              <w:t xml:space="preserve">地址： </w:t>
            </w:r>
            <w:r w:rsidRPr="00A75518">
              <w:rPr>
                <w:rFonts w:ascii="宋体" w:hAnsi="宋体" w:cs="Calibri" w:hint="eastAsia"/>
                <w:color w:val="000000"/>
                <w:szCs w:val="21"/>
              </w:rPr>
              <w:t>深圳市南山区滨海大道与后海滨路交汇处滨海大道3165号五矿金融大厦（18-25层）</w:t>
            </w:r>
          </w:p>
          <w:p w14:paraId="290DA2CF" w14:textId="77777777" w:rsidR="0053132E" w:rsidRPr="008076EE" w:rsidRDefault="0053132E" w:rsidP="00C91C24">
            <w:pPr>
              <w:snapToGrid w:val="0"/>
              <w:rPr>
                <w:rFonts w:ascii="宋体" w:hAnsi="宋体" w:cs="Calibri"/>
                <w:color w:val="000000"/>
                <w:szCs w:val="21"/>
              </w:rPr>
            </w:pPr>
            <w:r w:rsidRPr="008076EE">
              <w:rPr>
                <w:rFonts w:ascii="宋体" w:hAnsi="宋体" w:cs="Calibri" w:hint="eastAsia"/>
                <w:color w:val="000000"/>
                <w:szCs w:val="21"/>
              </w:rPr>
              <w:t>客户服务电话：</w:t>
            </w:r>
            <w:r w:rsidRPr="008076EE">
              <w:rPr>
                <w:rFonts w:ascii="宋体" w:hAnsi="宋体" w:cs="Calibri"/>
                <w:color w:val="000000"/>
                <w:szCs w:val="21"/>
              </w:rPr>
              <w:t>4001840028</w:t>
            </w:r>
          </w:p>
          <w:p w14:paraId="0B2B9B72" w14:textId="77777777" w:rsidR="0053132E" w:rsidRPr="00C52A47" w:rsidRDefault="0053132E" w:rsidP="00C91C24">
            <w:pPr>
              <w:jc w:val="left"/>
              <w:rPr>
                <w:rFonts w:asciiTheme="minorEastAsia" w:hAnsiTheme="minorEastAsia" w:cs="Arial"/>
              </w:rPr>
            </w:pPr>
            <w:r w:rsidRPr="008076EE">
              <w:rPr>
                <w:rFonts w:ascii="宋体" w:hAnsi="宋体" w:cs="Calibri" w:hint="eastAsia"/>
                <w:color w:val="000000"/>
                <w:szCs w:val="21"/>
              </w:rPr>
              <w:t>网址：</w:t>
            </w:r>
            <w:r w:rsidRPr="008076EE">
              <w:rPr>
                <w:rFonts w:ascii="宋体" w:hAnsi="宋体" w:cs="Calibri"/>
                <w:color w:val="000000"/>
                <w:szCs w:val="21"/>
              </w:rPr>
              <w:t>www.wkzq.com.cn</w:t>
            </w:r>
          </w:p>
        </w:tc>
      </w:tr>
      <w:tr w:rsidR="0053132E" w:rsidRPr="00A40A5E" w14:paraId="13BCF0CE" w14:textId="77777777" w:rsidTr="00C07F89">
        <w:tc>
          <w:tcPr>
            <w:tcW w:w="816" w:type="dxa"/>
            <w:hideMark/>
          </w:tcPr>
          <w:p w14:paraId="7C95D4E9" w14:textId="77777777" w:rsidR="0053132E" w:rsidRPr="00C52A47" w:rsidRDefault="0053132E" w:rsidP="00C91C24">
            <w:pPr>
              <w:jc w:val="center"/>
              <w:rPr>
                <w:rFonts w:ascii="宋体" w:hAnsi="宋体" w:cs="Arial"/>
              </w:rPr>
            </w:pPr>
            <w:r>
              <w:rPr>
                <w:rFonts w:ascii="宋体" w:hAnsi="宋体" w:cs="Arial" w:hint="eastAsia"/>
              </w:rPr>
              <w:t>8</w:t>
            </w:r>
          </w:p>
        </w:tc>
        <w:tc>
          <w:tcPr>
            <w:tcW w:w="2529" w:type="dxa"/>
            <w:hideMark/>
          </w:tcPr>
          <w:p w14:paraId="1B15E8B5"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东方财富证券股份有限公司</w:t>
            </w:r>
          </w:p>
        </w:tc>
        <w:tc>
          <w:tcPr>
            <w:tcW w:w="5160" w:type="dxa"/>
            <w:gridSpan w:val="2"/>
            <w:hideMark/>
          </w:tcPr>
          <w:p w14:paraId="328D172F"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 xml:space="preserve">注册(办公)地址：西藏自治区拉萨市柳梧新区国际总部城10栋楼 </w:t>
            </w:r>
          </w:p>
          <w:p w14:paraId="69BF3F16"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客户服务电话：95357</w:t>
            </w:r>
          </w:p>
          <w:p w14:paraId="68E4271A"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xml:space="preserve"> www.</w:t>
            </w:r>
            <w:r w:rsidRPr="00A40A5E">
              <w:rPr>
                <w:rFonts w:ascii="宋体" w:hAnsi="宋体" w:cs="Calibri" w:hint="eastAsia"/>
                <w:color w:val="000000"/>
                <w:szCs w:val="21"/>
              </w:rPr>
              <w:t>18.cn</w:t>
            </w:r>
          </w:p>
        </w:tc>
      </w:tr>
      <w:tr w:rsidR="0053132E" w:rsidRPr="00C52A47" w14:paraId="515632E5" w14:textId="77777777" w:rsidTr="00C07F89">
        <w:trPr>
          <w:trHeight w:val="1118"/>
        </w:trPr>
        <w:tc>
          <w:tcPr>
            <w:tcW w:w="816" w:type="dxa"/>
            <w:hideMark/>
          </w:tcPr>
          <w:p w14:paraId="526ED8F0" w14:textId="77777777" w:rsidR="0053132E" w:rsidRPr="00C52A47" w:rsidRDefault="0053132E" w:rsidP="00C91C24">
            <w:pPr>
              <w:jc w:val="center"/>
              <w:rPr>
                <w:rFonts w:ascii="宋体" w:hAnsi="宋体" w:cs="Arial"/>
              </w:rPr>
            </w:pPr>
            <w:r>
              <w:rPr>
                <w:rFonts w:ascii="宋体" w:hAnsi="宋体" w:cs="Arial" w:hint="eastAsia"/>
              </w:rPr>
              <w:t>9</w:t>
            </w:r>
          </w:p>
        </w:tc>
        <w:tc>
          <w:tcPr>
            <w:tcW w:w="2529" w:type="dxa"/>
            <w:hideMark/>
          </w:tcPr>
          <w:p w14:paraId="018561AF" w14:textId="77777777" w:rsidR="0053132E" w:rsidRPr="00C52A47" w:rsidRDefault="0053132E" w:rsidP="00C91C24">
            <w:pPr>
              <w:rPr>
                <w:rFonts w:asciiTheme="minorEastAsia" w:hAnsiTheme="minorEastAsia" w:cs="Arial"/>
              </w:rPr>
            </w:pPr>
            <w:r>
              <w:rPr>
                <w:rFonts w:asciiTheme="minorEastAsia" w:hAnsiTheme="minorEastAsia" w:cs="Arial" w:hint="eastAsia"/>
              </w:rPr>
              <w:t>光大证券股份有限公司</w:t>
            </w:r>
          </w:p>
        </w:tc>
        <w:tc>
          <w:tcPr>
            <w:tcW w:w="5160" w:type="dxa"/>
            <w:gridSpan w:val="2"/>
            <w:hideMark/>
          </w:tcPr>
          <w:p w14:paraId="750118AA" w14:textId="77777777" w:rsidR="0053132E" w:rsidRPr="008076EE" w:rsidRDefault="0053132E" w:rsidP="00C91C24">
            <w:pPr>
              <w:snapToGrid w:val="0"/>
              <w:rPr>
                <w:rFonts w:ascii="宋体" w:hAnsi="宋体" w:cs="Calibri"/>
                <w:color w:val="000000"/>
                <w:szCs w:val="21"/>
              </w:rPr>
            </w:pPr>
            <w:r w:rsidRPr="008076EE">
              <w:rPr>
                <w:rFonts w:ascii="宋体" w:hAnsi="宋体" w:cs="Calibri" w:hint="eastAsia"/>
                <w:color w:val="000000"/>
                <w:szCs w:val="21"/>
              </w:rPr>
              <w:t>注册(办公)地址 :</w:t>
            </w:r>
            <w:r w:rsidRPr="008076EE" w:rsidDel="001A7C26">
              <w:rPr>
                <w:rFonts w:ascii="宋体" w:hAnsi="宋体" w:cs="Calibri" w:hint="eastAsia"/>
                <w:color w:val="000000"/>
                <w:szCs w:val="21"/>
              </w:rPr>
              <w:t xml:space="preserve"> </w:t>
            </w:r>
            <w:r w:rsidRPr="008076EE">
              <w:rPr>
                <w:rFonts w:ascii="宋体" w:hAnsi="宋体" w:cs="Calibri" w:hint="eastAsia"/>
                <w:color w:val="000000"/>
                <w:szCs w:val="21"/>
              </w:rPr>
              <w:t>上海市静安区新闸路1508号</w:t>
            </w:r>
          </w:p>
          <w:p w14:paraId="461C2466" w14:textId="77777777" w:rsidR="0053132E" w:rsidRDefault="0053132E" w:rsidP="00C91C24">
            <w:pPr>
              <w:snapToGrid w:val="0"/>
              <w:rPr>
                <w:rFonts w:ascii="宋体" w:hAnsi="宋体" w:cs="Calibri"/>
                <w:color w:val="000000"/>
                <w:szCs w:val="21"/>
              </w:rPr>
            </w:pPr>
            <w:r w:rsidRPr="008076EE">
              <w:rPr>
                <w:rFonts w:ascii="宋体" w:hAnsi="宋体" w:cs="Calibri" w:hint="eastAsia"/>
                <w:color w:val="000000"/>
                <w:szCs w:val="21"/>
              </w:rPr>
              <w:t>客户服务电话：95525</w:t>
            </w:r>
          </w:p>
          <w:p w14:paraId="40AD3EFC" w14:textId="77777777" w:rsidR="0053132E" w:rsidRPr="00C52A47" w:rsidRDefault="0053132E" w:rsidP="00C91C24">
            <w:pPr>
              <w:jc w:val="left"/>
              <w:rPr>
                <w:rFonts w:asciiTheme="minorEastAsia" w:hAnsiTheme="minorEastAsia" w:cs="Arial"/>
              </w:rPr>
            </w:pPr>
            <w:r w:rsidRPr="008076EE">
              <w:rPr>
                <w:rFonts w:ascii="宋体" w:hAnsi="宋体" w:cs="Calibri" w:hint="eastAsia"/>
                <w:color w:val="000000"/>
                <w:szCs w:val="21"/>
              </w:rPr>
              <w:t>网址：www.ebscn.com</w:t>
            </w:r>
          </w:p>
        </w:tc>
      </w:tr>
      <w:tr w:rsidR="0053132E" w:rsidRPr="00FE7072" w14:paraId="66334CF6" w14:textId="77777777" w:rsidTr="00C07F89">
        <w:trPr>
          <w:trHeight w:val="994"/>
        </w:trPr>
        <w:tc>
          <w:tcPr>
            <w:tcW w:w="816" w:type="dxa"/>
            <w:hideMark/>
          </w:tcPr>
          <w:p w14:paraId="72EB63DD" w14:textId="77777777" w:rsidR="0053132E" w:rsidRDefault="0053132E" w:rsidP="00C91C24">
            <w:pPr>
              <w:jc w:val="center"/>
              <w:rPr>
                <w:rFonts w:ascii="宋体" w:hAnsi="宋体" w:cs="Arial"/>
              </w:rPr>
            </w:pPr>
            <w:r>
              <w:rPr>
                <w:rFonts w:ascii="宋体" w:hAnsi="宋体" w:cs="Arial" w:hint="eastAsia"/>
              </w:rPr>
              <w:t>10</w:t>
            </w:r>
          </w:p>
        </w:tc>
        <w:tc>
          <w:tcPr>
            <w:tcW w:w="2529" w:type="dxa"/>
            <w:hideMark/>
          </w:tcPr>
          <w:p w14:paraId="4B630BF9" w14:textId="77777777" w:rsidR="0053132E" w:rsidRDefault="0053132E" w:rsidP="00C91C24">
            <w:pPr>
              <w:rPr>
                <w:rFonts w:ascii="宋体" w:hAnsi="宋体" w:cs="Calibri"/>
                <w:bCs/>
                <w:color w:val="000000"/>
                <w:szCs w:val="21"/>
              </w:rPr>
            </w:pPr>
            <w:r>
              <w:rPr>
                <w:rFonts w:ascii="宋体" w:hAnsi="宋体" w:cs="Calibri" w:hint="eastAsia"/>
                <w:bCs/>
                <w:color w:val="000000"/>
                <w:szCs w:val="21"/>
              </w:rPr>
              <w:t>华安证券股份有限公司</w:t>
            </w:r>
          </w:p>
        </w:tc>
        <w:tc>
          <w:tcPr>
            <w:tcW w:w="5160" w:type="dxa"/>
            <w:gridSpan w:val="2"/>
            <w:hideMark/>
          </w:tcPr>
          <w:p w14:paraId="31CF1E82" w14:textId="77777777" w:rsidR="0053132E" w:rsidRDefault="0053132E" w:rsidP="00C91C24">
            <w:pPr>
              <w:rPr>
                <w:rFonts w:ascii="宋体" w:hAnsi="宋体"/>
                <w:color w:val="000000"/>
              </w:rPr>
            </w:pPr>
            <w:r>
              <w:rPr>
                <w:rFonts w:ascii="宋体" w:hAnsi="宋体" w:hint="eastAsia"/>
                <w:color w:val="000000"/>
              </w:rPr>
              <w:t>注册地址：</w:t>
            </w:r>
            <w:r w:rsidRPr="00FE7072">
              <w:rPr>
                <w:rFonts w:ascii="宋体" w:hAnsi="宋体" w:hint="eastAsia"/>
                <w:color w:val="000000"/>
              </w:rPr>
              <w:t>安徽省合肥市政务文化新区天鹅湖路198号</w:t>
            </w:r>
          </w:p>
          <w:p w14:paraId="71D22CE7" w14:textId="77777777" w:rsidR="0053132E" w:rsidRPr="00FE7072" w:rsidRDefault="0053132E" w:rsidP="00C91C24">
            <w:pPr>
              <w:rPr>
                <w:rFonts w:ascii="宋体" w:hAnsi="宋体"/>
                <w:color w:val="000000"/>
              </w:rPr>
            </w:pPr>
            <w:r w:rsidRPr="00FE7072">
              <w:rPr>
                <w:rFonts w:ascii="宋体" w:hAnsi="宋体" w:hint="eastAsia"/>
                <w:color w:val="000000"/>
              </w:rPr>
              <w:t>客户服务电话：9</w:t>
            </w:r>
            <w:r w:rsidRPr="00FE7072">
              <w:rPr>
                <w:rFonts w:ascii="宋体" w:hAnsi="宋体"/>
                <w:color w:val="000000"/>
              </w:rPr>
              <w:t>5318</w:t>
            </w:r>
          </w:p>
          <w:p w14:paraId="2711854B" w14:textId="77777777" w:rsidR="0053132E" w:rsidRPr="00FE7072" w:rsidRDefault="0053132E" w:rsidP="00C91C24">
            <w:pPr>
              <w:rPr>
                <w:rFonts w:ascii="宋体" w:hAnsi="宋体"/>
                <w:color w:val="000000"/>
              </w:rPr>
            </w:pPr>
            <w:r w:rsidRPr="00FE7072">
              <w:rPr>
                <w:rFonts w:ascii="宋体" w:hAnsi="宋体" w:hint="eastAsia"/>
                <w:color w:val="000000"/>
              </w:rPr>
              <w:t>网址：www</w:t>
            </w:r>
            <w:r w:rsidRPr="00FE7072">
              <w:rPr>
                <w:rFonts w:ascii="宋体" w:hAnsi="宋体"/>
                <w:color w:val="000000"/>
              </w:rPr>
              <w:t>.hazq.com</w:t>
            </w:r>
          </w:p>
        </w:tc>
      </w:tr>
      <w:tr w:rsidR="0053132E" w:rsidRPr="00A40A5E" w14:paraId="7B805A7A" w14:textId="77777777" w:rsidTr="00C07F89">
        <w:tc>
          <w:tcPr>
            <w:tcW w:w="816" w:type="dxa"/>
            <w:hideMark/>
          </w:tcPr>
          <w:p w14:paraId="591C547B" w14:textId="77777777" w:rsidR="0053132E" w:rsidRPr="00C52A47" w:rsidRDefault="0053132E" w:rsidP="00C91C24">
            <w:pPr>
              <w:jc w:val="center"/>
              <w:rPr>
                <w:rFonts w:ascii="宋体" w:hAnsi="宋体" w:cs="Arial"/>
              </w:rPr>
            </w:pPr>
            <w:r>
              <w:rPr>
                <w:rFonts w:ascii="宋体" w:hAnsi="宋体" w:cs="Arial" w:hint="eastAsia"/>
              </w:rPr>
              <w:t>11</w:t>
            </w:r>
          </w:p>
        </w:tc>
        <w:tc>
          <w:tcPr>
            <w:tcW w:w="2529" w:type="dxa"/>
            <w:hideMark/>
          </w:tcPr>
          <w:p w14:paraId="2EE1C7BB"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上海基煜基金销售有限公司</w:t>
            </w:r>
          </w:p>
        </w:tc>
        <w:tc>
          <w:tcPr>
            <w:tcW w:w="5160" w:type="dxa"/>
            <w:gridSpan w:val="2"/>
            <w:hideMark/>
          </w:tcPr>
          <w:p w14:paraId="26B80AA1"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办公地址：上海市杨浦区昆明路518号A1002室</w:t>
            </w:r>
          </w:p>
          <w:p w14:paraId="7D7C9714"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客户服务电话：4008205369</w:t>
            </w:r>
          </w:p>
          <w:p w14:paraId="2FBCDD3E"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网址：www.jiyufund.com.cn</w:t>
            </w:r>
          </w:p>
        </w:tc>
      </w:tr>
      <w:tr w:rsidR="0053132E" w:rsidRPr="00C52A47" w14:paraId="42EBA1ED" w14:textId="77777777" w:rsidTr="00C07F89">
        <w:trPr>
          <w:trHeight w:val="416"/>
        </w:trPr>
        <w:tc>
          <w:tcPr>
            <w:tcW w:w="816" w:type="dxa"/>
            <w:hideMark/>
          </w:tcPr>
          <w:p w14:paraId="061BFB0D" w14:textId="77777777" w:rsidR="0053132E" w:rsidRPr="00C52A47" w:rsidRDefault="0053132E" w:rsidP="00C91C24">
            <w:pPr>
              <w:jc w:val="center"/>
              <w:rPr>
                <w:rFonts w:ascii="宋体" w:hAnsi="宋体" w:cs="Arial"/>
              </w:rPr>
            </w:pPr>
            <w:r>
              <w:rPr>
                <w:rFonts w:ascii="宋体" w:hAnsi="宋体" w:cs="Arial" w:hint="eastAsia"/>
              </w:rPr>
              <w:t>12</w:t>
            </w:r>
          </w:p>
        </w:tc>
        <w:tc>
          <w:tcPr>
            <w:tcW w:w="2529" w:type="dxa"/>
            <w:hideMark/>
          </w:tcPr>
          <w:p w14:paraId="7A7AD798" w14:textId="77777777" w:rsidR="0053132E" w:rsidRPr="00C52A47" w:rsidRDefault="0053132E" w:rsidP="00C91C24">
            <w:pPr>
              <w:rPr>
                <w:rFonts w:asciiTheme="minorEastAsia" w:hAnsiTheme="minorEastAsia" w:cs="Arial"/>
              </w:rPr>
            </w:pPr>
            <w:r>
              <w:rPr>
                <w:rFonts w:asciiTheme="minorEastAsia" w:hAnsiTheme="minorEastAsia" w:cs="Arial" w:hint="eastAsia"/>
              </w:rPr>
              <w:t>奕丰基金销售有限公司</w:t>
            </w:r>
          </w:p>
        </w:tc>
        <w:tc>
          <w:tcPr>
            <w:tcW w:w="5160" w:type="dxa"/>
            <w:gridSpan w:val="2"/>
            <w:hideMark/>
          </w:tcPr>
          <w:p w14:paraId="55ADD30F"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深圳市前海深港合作区前湾一路</w:t>
            </w:r>
            <w:r w:rsidRPr="00A40A5E">
              <w:rPr>
                <w:rFonts w:ascii="宋体" w:hAnsi="宋体" w:cs="Calibri"/>
                <w:color w:val="000000"/>
                <w:szCs w:val="21"/>
              </w:rPr>
              <w:t>1</w:t>
            </w:r>
            <w:r w:rsidRPr="00A40A5E">
              <w:rPr>
                <w:rFonts w:ascii="宋体" w:hAnsi="宋体" w:cs="Calibri" w:hint="eastAsia"/>
                <w:color w:val="000000"/>
                <w:szCs w:val="21"/>
              </w:rPr>
              <w:t>号</w:t>
            </w:r>
            <w:r w:rsidRPr="00A40A5E">
              <w:rPr>
                <w:rFonts w:ascii="宋体" w:hAnsi="宋体" w:cs="Calibri"/>
                <w:color w:val="000000"/>
                <w:szCs w:val="21"/>
              </w:rPr>
              <w:t>A</w:t>
            </w:r>
            <w:r w:rsidRPr="00A40A5E">
              <w:rPr>
                <w:rFonts w:ascii="宋体" w:hAnsi="宋体" w:cs="Calibri" w:hint="eastAsia"/>
                <w:color w:val="000000"/>
                <w:szCs w:val="21"/>
              </w:rPr>
              <w:t>栋</w:t>
            </w:r>
            <w:r w:rsidRPr="00A40A5E">
              <w:rPr>
                <w:rFonts w:ascii="宋体" w:hAnsi="宋体" w:cs="Calibri"/>
                <w:color w:val="000000"/>
                <w:szCs w:val="21"/>
              </w:rPr>
              <w:t>201</w:t>
            </w:r>
            <w:r w:rsidRPr="00A40A5E">
              <w:rPr>
                <w:rFonts w:ascii="宋体" w:hAnsi="宋体" w:cs="Calibri" w:hint="eastAsia"/>
                <w:color w:val="000000"/>
                <w:szCs w:val="21"/>
              </w:rPr>
              <w:t>室（入驻深圳市前海商务秘书有限公司）</w:t>
            </w:r>
          </w:p>
          <w:p w14:paraId="0886D592"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400-684-0500</w:t>
            </w:r>
          </w:p>
          <w:p w14:paraId="37BC03D4" w14:textId="77777777" w:rsidR="0053132E" w:rsidRPr="00C52A47" w:rsidRDefault="0053132E" w:rsidP="00C91C24">
            <w:pPr>
              <w:jc w:val="left"/>
              <w:rPr>
                <w:rFonts w:asciiTheme="minorEastAsia" w:hAnsiTheme="minorEastAsia" w:cs="Arial"/>
              </w:rPr>
            </w:pPr>
            <w:r w:rsidRPr="00A40A5E">
              <w:rPr>
                <w:rFonts w:ascii="宋体" w:hAnsi="宋体" w:cs="Calibri" w:hint="eastAsia"/>
                <w:color w:val="000000"/>
                <w:szCs w:val="21"/>
              </w:rPr>
              <w:t>网址：</w:t>
            </w:r>
            <w:r w:rsidRPr="00A40A5E">
              <w:rPr>
                <w:rFonts w:ascii="宋体" w:hAnsi="宋体" w:cs="Calibri"/>
                <w:color w:val="000000"/>
                <w:szCs w:val="21"/>
              </w:rPr>
              <w:t>www.ifastps.com.cn</w:t>
            </w:r>
          </w:p>
        </w:tc>
      </w:tr>
      <w:tr w:rsidR="0053132E" w:rsidRPr="00A40A5E" w14:paraId="53D1118C" w14:textId="77777777" w:rsidTr="00C07F89">
        <w:trPr>
          <w:trHeight w:val="1560"/>
        </w:trPr>
        <w:tc>
          <w:tcPr>
            <w:tcW w:w="816" w:type="dxa"/>
            <w:hideMark/>
          </w:tcPr>
          <w:p w14:paraId="64AFC6A1" w14:textId="77777777" w:rsidR="0053132E" w:rsidRPr="000659A8" w:rsidRDefault="0053132E" w:rsidP="00C91C24">
            <w:pPr>
              <w:jc w:val="center"/>
              <w:rPr>
                <w:rFonts w:ascii="宋体" w:hAnsi="宋体" w:cs="Arial"/>
              </w:rPr>
            </w:pPr>
            <w:r>
              <w:rPr>
                <w:rFonts w:ascii="宋体" w:hAnsi="宋体" w:cs="Arial" w:hint="eastAsia"/>
              </w:rPr>
              <w:t>13</w:t>
            </w:r>
          </w:p>
        </w:tc>
        <w:tc>
          <w:tcPr>
            <w:tcW w:w="2529" w:type="dxa"/>
            <w:hideMark/>
          </w:tcPr>
          <w:p w14:paraId="4663FDE8"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上海好买基金销售有限公司</w:t>
            </w:r>
          </w:p>
        </w:tc>
        <w:tc>
          <w:tcPr>
            <w:tcW w:w="5160" w:type="dxa"/>
            <w:gridSpan w:val="2"/>
            <w:hideMark/>
          </w:tcPr>
          <w:p w14:paraId="05108AF2"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办公地址：上海市浦东新区浦东南路1118号鄂尔多斯大厦9楼</w:t>
            </w:r>
          </w:p>
          <w:p w14:paraId="66AF1B56"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客服电话：400-700-9665</w:t>
            </w:r>
          </w:p>
          <w:p w14:paraId="66B89FA3"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公司网址：www.ehowbuy.com</w:t>
            </w:r>
          </w:p>
        </w:tc>
      </w:tr>
      <w:tr w:rsidR="0053132E" w:rsidRPr="008076EE" w14:paraId="28C9730F" w14:textId="77777777" w:rsidTr="00C07F89">
        <w:trPr>
          <w:trHeight w:val="1479"/>
        </w:trPr>
        <w:tc>
          <w:tcPr>
            <w:tcW w:w="816" w:type="dxa"/>
            <w:hideMark/>
          </w:tcPr>
          <w:p w14:paraId="169AFFD4" w14:textId="77777777" w:rsidR="0053132E" w:rsidRPr="00C52A47" w:rsidRDefault="0053132E" w:rsidP="00C91C24">
            <w:pPr>
              <w:jc w:val="center"/>
              <w:rPr>
                <w:rFonts w:ascii="宋体" w:hAnsi="宋体" w:cs="Arial"/>
              </w:rPr>
            </w:pPr>
            <w:r>
              <w:rPr>
                <w:rFonts w:ascii="宋体" w:hAnsi="宋体" w:cs="Arial" w:hint="eastAsia"/>
              </w:rPr>
              <w:t>14</w:t>
            </w:r>
          </w:p>
        </w:tc>
        <w:tc>
          <w:tcPr>
            <w:tcW w:w="2529" w:type="dxa"/>
            <w:hideMark/>
          </w:tcPr>
          <w:p w14:paraId="535524EE" w14:textId="77777777" w:rsidR="0053132E" w:rsidRPr="008076EE" w:rsidRDefault="0053132E" w:rsidP="00C91C24">
            <w:pPr>
              <w:snapToGrid w:val="0"/>
              <w:rPr>
                <w:rFonts w:ascii="宋体" w:hAnsi="宋体" w:cs="Calibri"/>
                <w:color w:val="000000"/>
                <w:szCs w:val="21"/>
              </w:rPr>
            </w:pPr>
            <w:r>
              <w:rPr>
                <w:rFonts w:ascii="宋体" w:hAnsi="宋体" w:cs="Calibri" w:hint="eastAsia"/>
                <w:color w:val="000000"/>
                <w:szCs w:val="21"/>
              </w:rPr>
              <w:t>京东</w:t>
            </w:r>
            <w:r w:rsidRPr="008076EE">
              <w:rPr>
                <w:rFonts w:ascii="宋体" w:hAnsi="宋体" w:cs="Calibri" w:hint="eastAsia"/>
                <w:color w:val="000000"/>
                <w:szCs w:val="21"/>
              </w:rPr>
              <w:t>肯特瑞</w:t>
            </w:r>
            <w:r>
              <w:rPr>
                <w:rFonts w:ascii="宋体" w:hAnsi="宋体" w:cs="Calibri" w:hint="eastAsia"/>
                <w:color w:val="000000"/>
                <w:szCs w:val="21"/>
              </w:rPr>
              <w:t>基金销售</w:t>
            </w:r>
            <w:r w:rsidRPr="008076EE">
              <w:rPr>
                <w:rFonts w:ascii="宋体" w:hAnsi="宋体" w:cs="Calibri" w:hint="eastAsia"/>
                <w:color w:val="000000"/>
                <w:szCs w:val="21"/>
              </w:rPr>
              <w:t>有限公司</w:t>
            </w:r>
          </w:p>
        </w:tc>
        <w:tc>
          <w:tcPr>
            <w:tcW w:w="5160" w:type="dxa"/>
            <w:gridSpan w:val="2"/>
            <w:hideMark/>
          </w:tcPr>
          <w:p w14:paraId="0476B227" w14:textId="77777777" w:rsidR="0053132E" w:rsidRPr="008076EE" w:rsidRDefault="0053132E" w:rsidP="00C91C24">
            <w:pPr>
              <w:snapToGrid w:val="0"/>
              <w:rPr>
                <w:rFonts w:ascii="宋体" w:hAnsi="宋体" w:cs="Calibri"/>
                <w:color w:val="000000"/>
                <w:szCs w:val="21"/>
              </w:rPr>
            </w:pPr>
            <w:r w:rsidRPr="008076EE">
              <w:rPr>
                <w:rFonts w:ascii="宋体" w:hAnsi="宋体" w:cs="Calibri" w:hint="eastAsia"/>
                <w:color w:val="000000"/>
                <w:szCs w:val="21"/>
              </w:rPr>
              <w:t>办公地址：北京市</w:t>
            </w:r>
            <w:r>
              <w:rPr>
                <w:rFonts w:ascii="宋体" w:hAnsi="宋体" w:cs="Calibri" w:hint="eastAsia"/>
                <w:color w:val="000000"/>
                <w:szCs w:val="21"/>
              </w:rPr>
              <w:t>通州区亦庄经济技术开发区科创十一街18号院京东集团总部A座17层</w:t>
            </w:r>
          </w:p>
          <w:p w14:paraId="589D4707" w14:textId="77777777" w:rsidR="0053132E" w:rsidRPr="008076EE" w:rsidRDefault="0053132E" w:rsidP="00C91C24">
            <w:pPr>
              <w:snapToGrid w:val="0"/>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95118</w:t>
            </w:r>
          </w:p>
          <w:p w14:paraId="24BAAE9D" w14:textId="77777777" w:rsidR="0053132E" w:rsidRPr="008076EE" w:rsidRDefault="0053132E" w:rsidP="00C91C24">
            <w:pPr>
              <w:snapToGrid w:val="0"/>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w:t>
            </w:r>
            <w:r>
              <w:rPr>
                <w:rFonts w:ascii="宋体" w:hAnsi="宋体" w:cs="Calibri" w:hint="eastAsia"/>
                <w:color w:val="000000"/>
                <w:szCs w:val="21"/>
              </w:rPr>
              <w:t>kenterui</w:t>
            </w:r>
            <w:r w:rsidRPr="008076EE">
              <w:rPr>
                <w:rFonts w:ascii="宋体" w:hAnsi="宋体" w:cs="Calibri"/>
                <w:color w:val="000000"/>
                <w:szCs w:val="21"/>
              </w:rPr>
              <w:t>.jd.com</w:t>
            </w:r>
          </w:p>
        </w:tc>
      </w:tr>
      <w:tr w:rsidR="0053132E" w:rsidRPr="00A40A5E" w14:paraId="03B9FA4B" w14:textId="77777777" w:rsidTr="00C07F89">
        <w:trPr>
          <w:trHeight w:val="1756"/>
        </w:trPr>
        <w:tc>
          <w:tcPr>
            <w:tcW w:w="816" w:type="dxa"/>
            <w:hideMark/>
          </w:tcPr>
          <w:p w14:paraId="534FDEDD" w14:textId="77777777" w:rsidR="0053132E" w:rsidRPr="00C52A47" w:rsidRDefault="0053132E" w:rsidP="00C91C24">
            <w:pPr>
              <w:jc w:val="center"/>
              <w:rPr>
                <w:rFonts w:ascii="宋体" w:hAnsi="宋体" w:cs="Arial"/>
              </w:rPr>
            </w:pPr>
            <w:r>
              <w:rPr>
                <w:rFonts w:ascii="宋体" w:hAnsi="宋体" w:cs="Arial" w:hint="eastAsia"/>
              </w:rPr>
              <w:t>15</w:t>
            </w:r>
          </w:p>
        </w:tc>
        <w:tc>
          <w:tcPr>
            <w:tcW w:w="2529" w:type="dxa"/>
            <w:hideMark/>
          </w:tcPr>
          <w:p w14:paraId="3A25AB03"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北京虹点基金销售有限公司</w:t>
            </w:r>
          </w:p>
        </w:tc>
        <w:tc>
          <w:tcPr>
            <w:tcW w:w="5160" w:type="dxa"/>
            <w:gridSpan w:val="2"/>
            <w:hideMark/>
          </w:tcPr>
          <w:p w14:paraId="521E6D0D"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注册地址：北京市朝阳区工人体育场北路甲2号裙房2层222单元</w:t>
            </w:r>
          </w:p>
          <w:p w14:paraId="744A7931"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400-618-0707</w:t>
            </w:r>
          </w:p>
          <w:p w14:paraId="68183519"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http://www.hongdianfund.com/</w:t>
            </w:r>
          </w:p>
        </w:tc>
      </w:tr>
      <w:tr w:rsidR="0053132E" w:rsidRPr="00E9771B" w14:paraId="04A9532C" w14:textId="77777777" w:rsidTr="00C07F89">
        <w:trPr>
          <w:trHeight w:val="1838"/>
        </w:trPr>
        <w:tc>
          <w:tcPr>
            <w:tcW w:w="816" w:type="dxa"/>
            <w:hideMark/>
          </w:tcPr>
          <w:p w14:paraId="10C3CC8A" w14:textId="77777777" w:rsidR="0053132E" w:rsidRDefault="0053132E" w:rsidP="00C91C24">
            <w:pPr>
              <w:jc w:val="center"/>
              <w:rPr>
                <w:rFonts w:ascii="宋体" w:hAnsi="宋体" w:cs="Arial"/>
              </w:rPr>
            </w:pPr>
            <w:r>
              <w:rPr>
                <w:rFonts w:ascii="宋体" w:hAnsi="宋体" w:cs="Arial" w:hint="eastAsia"/>
              </w:rPr>
              <w:lastRenderedPageBreak/>
              <w:t>16</w:t>
            </w:r>
          </w:p>
        </w:tc>
        <w:tc>
          <w:tcPr>
            <w:tcW w:w="2529" w:type="dxa"/>
            <w:hideMark/>
          </w:tcPr>
          <w:p w14:paraId="428A93F0" w14:textId="77777777" w:rsidR="0053132E" w:rsidRPr="00E9771B" w:rsidRDefault="0053132E" w:rsidP="00C91C24">
            <w:pPr>
              <w:snapToGrid w:val="0"/>
              <w:rPr>
                <w:rFonts w:ascii="宋体" w:hAnsi="宋体" w:cs="Calibri"/>
                <w:color w:val="000000"/>
                <w:szCs w:val="21"/>
              </w:rPr>
            </w:pPr>
            <w:r w:rsidRPr="00E9771B">
              <w:rPr>
                <w:rFonts w:ascii="宋体" w:hAnsi="宋体" w:cs="Calibri" w:hint="eastAsia"/>
                <w:color w:val="000000"/>
                <w:szCs w:val="21"/>
              </w:rPr>
              <w:t>北京钱景基金销售有限公司</w:t>
            </w:r>
          </w:p>
        </w:tc>
        <w:tc>
          <w:tcPr>
            <w:tcW w:w="5160" w:type="dxa"/>
            <w:gridSpan w:val="2"/>
            <w:hideMark/>
          </w:tcPr>
          <w:p w14:paraId="595A34CE" w14:textId="77777777" w:rsidR="0053132E" w:rsidRPr="00E9771B" w:rsidRDefault="0053132E" w:rsidP="00C91C24">
            <w:pPr>
              <w:snapToGrid w:val="0"/>
              <w:rPr>
                <w:rFonts w:ascii="宋体" w:hAnsi="宋体" w:cs="Calibri"/>
                <w:color w:val="000000"/>
                <w:szCs w:val="21"/>
              </w:rPr>
            </w:pPr>
            <w:r w:rsidRPr="00E9771B">
              <w:rPr>
                <w:rFonts w:ascii="宋体" w:hAnsi="宋体" w:cs="Calibri" w:hint="eastAsia"/>
                <w:color w:val="000000"/>
                <w:szCs w:val="21"/>
              </w:rPr>
              <w:t>办公地址：北京市海淀区丹棱街6号1幢9层1008-1012</w:t>
            </w:r>
          </w:p>
          <w:p w14:paraId="74A89BC6" w14:textId="77777777" w:rsidR="0053132E" w:rsidRPr="00E9771B" w:rsidRDefault="0053132E" w:rsidP="00C91C24">
            <w:pPr>
              <w:snapToGrid w:val="0"/>
              <w:rPr>
                <w:rFonts w:ascii="宋体" w:hAnsi="宋体" w:cs="Calibri"/>
                <w:color w:val="000000"/>
                <w:szCs w:val="21"/>
              </w:rPr>
            </w:pPr>
            <w:r w:rsidRPr="00E9771B">
              <w:rPr>
                <w:rFonts w:ascii="宋体" w:hAnsi="宋体" w:cs="Calibri" w:hint="eastAsia"/>
                <w:color w:val="000000"/>
                <w:szCs w:val="21"/>
              </w:rPr>
              <w:t>客服电话：4008936885</w:t>
            </w:r>
          </w:p>
          <w:p w14:paraId="036CEC13" w14:textId="77777777" w:rsidR="0053132E" w:rsidRPr="00E9771B" w:rsidRDefault="0053132E" w:rsidP="00C91C24">
            <w:pPr>
              <w:snapToGrid w:val="0"/>
              <w:rPr>
                <w:rFonts w:ascii="宋体" w:hAnsi="宋体" w:cs="Calibri"/>
                <w:color w:val="000000"/>
                <w:szCs w:val="21"/>
              </w:rPr>
            </w:pPr>
            <w:r w:rsidRPr="00E9771B">
              <w:rPr>
                <w:rFonts w:ascii="宋体" w:hAnsi="宋体" w:cs="Calibri" w:hint="eastAsia"/>
                <w:color w:val="000000"/>
                <w:szCs w:val="21"/>
              </w:rPr>
              <w:t>公司网址：</w:t>
            </w:r>
            <w:r w:rsidRPr="00E9771B">
              <w:rPr>
                <w:rFonts w:ascii="宋体" w:hAnsi="宋体" w:cs="Calibri"/>
                <w:color w:val="000000"/>
                <w:szCs w:val="21"/>
              </w:rPr>
              <w:t>www.qianjing.com</w:t>
            </w:r>
          </w:p>
        </w:tc>
      </w:tr>
      <w:tr w:rsidR="0053132E" w:rsidRPr="00A40A5E" w14:paraId="5087502A" w14:textId="77777777" w:rsidTr="00C07F89">
        <w:trPr>
          <w:trHeight w:val="1838"/>
        </w:trPr>
        <w:tc>
          <w:tcPr>
            <w:tcW w:w="816" w:type="dxa"/>
            <w:hideMark/>
          </w:tcPr>
          <w:p w14:paraId="6EE87049" w14:textId="77777777" w:rsidR="0053132E" w:rsidRPr="00C52A47" w:rsidRDefault="0053132E" w:rsidP="00C91C24">
            <w:pPr>
              <w:jc w:val="center"/>
              <w:rPr>
                <w:rFonts w:ascii="宋体" w:hAnsi="宋体" w:cs="Arial"/>
              </w:rPr>
            </w:pPr>
            <w:r>
              <w:rPr>
                <w:rFonts w:ascii="宋体" w:hAnsi="宋体" w:cs="Arial" w:hint="eastAsia"/>
              </w:rPr>
              <w:t>17</w:t>
            </w:r>
          </w:p>
        </w:tc>
        <w:tc>
          <w:tcPr>
            <w:tcW w:w="2529" w:type="dxa"/>
            <w:hideMark/>
          </w:tcPr>
          <w:p w14:paraId="66288E4A"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蚂蚁（杭州）基金销售有限公司</w:t>
            </w:r>
          </w:p>
        </w:tc>
        <w:tc>
          <w:tcPr>
            <w:tcW w:w="5160" w:type="dxa"/>
            <w:gridSpan w:val="2"/>
            <w:hideMark/>
          </w:tcPr>
          <w:p w14:paraId="3CE78AC5"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办公地址：浙江省杭州市西湖区万塘路</w:t>
            </w:r>
            <w:r w:rsidRPr="00A40A5E">
              <w:rPr>
                <w:rFonts w:ascii="宋体" w:hAnsi="宋体" w:cs="Calibri"/>
                <w:color w:val="000000"/>
                <w:szCs w:val="21"/>
              </w:rPr>
              <w:t>18</w:t>
            </w:r>
            <w:r w:rsidRPr="00A40A5E">
              <w:rPr>
                <w:rFonts w:ascii="宋体" w:hAnsi="宋体" w:cs="Calibri" w:hint="eastAsia"/>
                <w:color w:val="000000"/>
                <w:szCs w:val="21"/>
              </w:rPr>
              <w:t>号黄龙时代广场</w:t>
            </w:r>
            <w:r w:rsidRPr="00A40A5E">
              <w:rPr>
                <w:rFonts w:ascii="宋体" w:hAnsi="宋体" w:cs="Calibri"/>
                <w:color w:val="000000"/>
                <w:szCs w:val="21"/>
              </w:rPr>
              <w:t>B</w:t>
            </w:r>
            <w:r w:rsidRPr="00A40A5E">
              <w:rPr>
                <w:rFonts w:ascii="宋体" w:hAnsi="宋体" w:cs="Calibri" w:hint="eastAsia"/>
                <w:color w:val="000000"/>
                <w:szCs w:val="21"/>
              </w:rPr>
              <w:t>座</w:t>
            </w:r>
            <w:r w:rsidRPr="00A40A5E">
              <w:rPr>
                <w:rFonts w:ascii="宋体" w:hAnsi="宋体" w:cs="Calibri"/>
                <w:color w:val="000000"/>
                <w:szCs w:val="21"/>
              </w:rPr>
              <w:t>6F </w:t>
            </w:r>
          </w:p>
          <w:p w14:paraId="19C371E6"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客户服务电话：400-076-6123</w:t>
            </w:r>
          </w:p>
          <w:p w14:paraId="79F53F38"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网址：</w:t>
            </w:r>
            <w:hyperlink r:id="rId16" w:history="1">
              <w:r w:rsidRPr="00A40A5E">
                <w:rPr>
                  <w:rFonts w:ascii="宋体" w:hAnsi="宋体" w:cs="Calibri" w:hint="eastAsia"/>
                  <w:color w:val="000000"/>
                  <w:szCs w:val="21"/>
                </w:rPr>
                <w:t>www.fund123.cn</w:t>
              </w:r>
            </w:hyperlink>
          </w:p>
        </w:tc>
      </w:tr>
      <w:tr w:rsidR="0053132E" w:rsidRPr="00A40A5E" w14:paraId="10A3FCA5" w14:textId="77777777" w:rsidTr="00C07F89">
        <w:tc>
          <w:tcPr>
            <w:tcW w:w="816" w:type="dxa"/>
            <w:hideMark/>
          </w:tcPr>
          <w:p w14:paraId="721B28CE" w14:textId="77777777" w:rsidR="0053132E" w:rsidRPr="00C52A47" w:rsidRDefault="0053132E" w:rsidP="00C91C24">
            <w:pPr>
              <w:jc w:val="center"/>
              <w:rPr>
                <w:rFonts w:ascii="宋体" w:hAnsi="宋体" w:cs="Arial"/>
              </w:rPr>
            </w:pPr>
            <w:r>
              <w:rPr>
                <w:rFonts w:ascii="宋体" w:hAnsi="宋体" w:cs="Arial" w:hint="eastAsia"/>
              </w:rPr>
              <w:t>18</w:t>
            </w:r>
          </w:p>
        </w:tc>
        <w:tc>
          <w:tcPr>
            <w:tcW w:w="2529" w:type="dxa"/>
            <w:hideMark/>
          </w:tcPr>
          <w:p w14:paraId="16F966F7"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浙江同花顺基金销售有限公司</w:t>
            </w:r>
          </w:p>
        </w:tc>
        <w:tc>
          <w:tcPr>
            <w:tcW w:w="5160" w:type="dxa"/>
            <w:gridSpan w:val="2"/>
            <w:hideMark/>
          </w:tcPr>
          <w:p w14:paraId="78EFDC95"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 xml:space="preserve">注册(办公)地址：浙江省杭州市余杭区同顺街18号同花顺大楼 </w:t>
            </w:r>
          </w:p>
          <w:p w14:paraId="24EE2B94"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客户服务电话：400-877-3772</w:t>
            </w:r>
          </w:p>
          <w:p w14:paraId="600A9286"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网址：</w:t>
            </w:r>
            <w:hyperlink r:id="rId17" w:history="1">
              <w:r w:rsidRPr="00A40A5E">
                <w:rPr>
                  <w:rFonts w:cs="Calibri" w:hint="eastAsia"/>
                  <w:color w:val="000000"/>
                  <w:szCs w:val="21"/>
                </w:rPr>
                <w:t>www.5ifund.com</w:t>
              </w:r>
            </w:hyperlink>
          </w:p>
        </w:tc>
      </w:tr>
      <w:tr w:rsidR="0053132E" w:rsidRPr="00A40A5E" w14:paraId="1050A5BB" w14:textId="77777777" w:rsidTr="00C07F89">
        <w:tc>
          <w:tcPr>
            <w:tcW w:w="816" w:type="dxa"/>
            <w:hideMark/>
          </w:tcPr>
          <w:p w14:paraId="7E1FF0DF" w14:textId="77777777" w:rsidR="0053132E" w:rsidRPr="00C52A47" w:rsidRDefault="0053132E" w:rsidP="00C91C24">
            <w:pPr>
              <w:jc w:val="center"/>
              <w:rPr>
                <w:rFonts w:ascii="宋体" w:hAnsi="宋体" w:cs="Arial"/>
              </w:rPr>
            </w:pPr>
            <w:r>
              <w:rPr>
                <w:rFonts w:ascii="宋体" w:hAnsi="宋体" w:cs="Arial" w:hint="eastAsia"/>
              </w:rPr>
              <w:t>19</w:t>
            </w:r>
          </w:p>
        </w:tc>
        <w:tc>
          <w:tcPr>
            <w:tcW w:w="2529" w:type="dxa"/>
            <w:hideMark/>
          </w:tcPr>
          <w:p w14:paraId="2A689E4A"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上海陆金所基金销售有限公司</w:t>
            </w:r>
          </w:p>
        </w:tc>
        <w:tc>
          <w:tcPr>
            <w:tcW w:w="5160" w:type="dxa"/>
            <w:gridSpan w:val="2"/>
            <w:hideMark/>
          </w:tcPr>
          <w:p w14:paraId="0A8D395B"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办公地址：中国（上海）自由贸易试验区陆家嘴环路1333号14楼09单元</w:t>
            </w:r>
          </w:p>
          <w:p w14:paraId="66DDFB93"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客服电话：4008219031</w:t>
            </w:r>
          </w:p>
          <w:p w14:paraId="6D0913FC"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公司网址：</w:t>
            </w:r>
            <w:r w:rsidRPr="00A40A5E">
              <w:rPr>
                <w:rFonts w:ascii="宋体" w:hAnsi="宋体" w:cs="Calibri"/>
                <w:color w:val="000000"/>
                <w:szCs w:val="21"/>
              </w:rPr>
              <w:t>www.lufunds.com</w:t>
            </w:r>
          </w:p>
        </w:tc>
      </w:tr>
      <w:tr w:rsidR="0053132E" w:rsidRPr="00A40A5E" w14:paraId="126387B4" w14:textId="77777777" w:rsidTr="00C07F89">
        <w:tc>
          <w:tcPr>
            <w:tcW w:w="816" w:type="dxa"/>
            <w:hideMark/>
          </w:tcPr>
          <w:p w14:paraId="00F2C217" w14:textId="77777777" w:rsidR="0053132E" w:rsidRPr="00C52A47" w:rsidRDefault="0053132E" w:rsidP="00C91C24">
            <w:pPr>
              <w:jc w:val="center"/>
              <w:rPr>
                <w:rFonts w:ascii="宋体" w:hAnsi="宋体" w:cs="Arial"/>
              </w:rPr>
            </w:pPr>
            <w:r>
              <w:rPr>
                <w:rFonts w:ascii="宋体" w:hAnsi="宋体" w:cs="Arial" w:hint="eastAsia"/>
              </w:rPr>
              <w:t>20</w:t>
            </w:r>
          </w:p>
        </w:tc>
        <w:tc>
          <w:tcPr>
            <w:tcW w:w="2529" w:type="dxa"/>
            <w:hideMark/>
          </w:tcPr>
          <w:p w14:paraId="7C0CA6F2"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上海联泰资产管理有限公司</w:t>
            </w:r>
          </w:p>
        </w:tc>
        <w:tc>
          <w:tcPr>
            <w:tcW w:w="5160" w:type="dxa"/>
            <w:gridSpan w:val="2"/>
            <w:hideMark/>
          </w:tcPr>
          <w:p w14:paraId="0C6D93C5"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办公地址：中国（上海）自由贸易试验区富特北路277号3层310室</w:t>
            </w:r>
          </w:p>
          <w:p w14:paraId="62CAA356"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客服电话：4000466788</w:t>
            </w:r>
          </w:p>
          <w:p w14:paraId="12E911FB"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公司网址：</w:t>
            </w:r>
            <w:r w:rsidRPr="00A40A5E">
              <w:rPr>
                <w:rFonts w:ascii="宋体" w:hAnsi="宋体" w:cs="Calibri"/>
                <w:color w:val="000000"/>
                <w:szCs w:val="21"/>
              </w:rPr>
              <w:t xml:space="preserve"> www.66zichan.com</w:t>
            </w:r>
          </w:p>
        </w:tc>
      </w:tr>
      <w:tr w:rsidR="0053132E" w:rsidRPr="000659A8" w14:paraId="31066E99" w14:textId="77777777" w:rsidTr="00C07F89">
        <w:tc>
          <w:tcPr>
            <w:tcW w:w="816" w:type="dxa"/>
            <w:hideMark/>
          </w:tcPr>
          <w:p w14:paraId="0F59BCBD" w14:textId="77777777" w:rsidR="0053132E" w:rsidRPr="00C52A47" w:rsidRDefault="0053132E" w:rsidP="00C91C24">
            <w:pPr>
              <w:jc w:val="center"/>
              <w:rPr>
                <w:rFonts w:ascii="宋体" w:hAnsi="宋体" w:cs="Arial"/>
              </w:rPr>
            </w:pPr>
            <w:r>
              <w:rPr>
                <w:rFonts w:ascii="宋体" w:hAnsi="宋体" w:cs="Arial" w:hint="eastAsia"/>
              </w:rPr>
              <w:t>21</w:t>
            </w:r>
          </w:p>
        </w:tc>
        <w:tc>
          <w:tcPr>
            <w:tcW w:w="2529" w:type="dxa"/>
            <w:hideMark/>
          </w:tcPr>
          <w:p w14:paraId="00AA68EB"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上海天天基金销售有限公司</w:t>
            </w:r>
          </w:p>
        </w:tc>
        <w:tc>
          <w:tcPr>
            <w:tcW w:w="5160" w:type="dxa"/>
            <w:gridSpan w:val="2"/>
            <w:hideMark/>
          </w:tcPr>
          <w:p w14:paraId="2487B313"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办公地址：</w:t>
            </w:r>
            <w:r w:rsidRPr="000659A8">
              <w:rPr>
                <w:rFonts w:ascii="宋体" w:hAnsi="宋体" w:cs="Calibri"/>
                <w:color w:val="000000"/>
                <w:szCs w:val="21"/>
              </w:rPr>
              <w:t xml:space="preserve"> </w:t>
            </w:r>
            <w:r w:rsidRPr="000659A8">
              <w:rPr>
                <w:rFonts w:ascii="宋体" w:hAnsi="宋体" w:cs="Calibri" w:hint="eastAsia"/>
                <w:color w:val="000000"/>
                <w:szCs w:val="21"/>
              </w:rPr>
              <w:t>上海市徐汇区宛平南路</w:t>
            </w:r>
            <w:r w:rsidRPr="000659A8">
              <w:rPr>
                <w:rFonts w:ascii="宋体" w:hAnsi="宋体" w:cs="Calibri"/>
                <w:color w:val="000000"/>
                <w:szCs w:val="21"/>
              </w:rPr>
              <w:t>88</w:t>
            </w:r>
            <w:r w:rsidRPr="000659A8">
              <w:rPr>
                <w:rFonts w:ascii="宋体" w:hAnsi="宋体" w:cs="Calibri" w:hint="eastAsia"/>
                <w:color w:val="000000"/>
                <w:szCs w:val="21"/>
              </w:rPr>
              <w:t>号金座（北楼）</w:t>
            </w:r>
            <w:r w:rsidRPr="000659A8">
              <w:rPr>
                <w:rFonts w:ascii="宋体" w:hAnsi="宋体" w:cs="Calibri"/>
                <w:color w:val="000000"/>
                <w:szCs w:val="21"/>
              </w:rPr>
              <w:t>25</w:t>
            </w:r>
            <w:r w:rsidRPr="000659A8">
              <w:rPr>
                <w:rFonts w:ascii="宋体" w:hAnsi="宋体" w:cs="Calibri" w:hint="eastAsia"/>
                <w:color w:val="000000"/>
                <w:szCs w:val="21"/>
              </w:rPr>
              <w:t>层</w:t>
            </w:r>
          </w:p>
          <w:p w14:paraId="04EDA01F"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客服电话：400-1818-188</w:t>
            </w:r>
          </w:p>
          <w:p w14:paraId="2B24776E"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网址：http://www.1234567.com.cn</w:t>
            </w:r>
          </w:p>
        </w:tc>
      </w:tr>
      <w:tr w:rsidR="0053132E" w:rsidRPr="000659A8" w14:paraId="28C43DDC" w14:textId="77777777" w:rsidTr="00C07F89">
        <w:tc>
          <w:tcPr>
            <w:tcW w:w="816" w:type="dxa"/>
            <w:hideMark/>
          </w:tcPr>
          <w:p w14:paraId="5ECDA52E" w14:textId="77777777" w:rsidR="0053132E" w:rsidRPr="00C52A47" w:rsidRDefault="0053132E" w:rsidP="00C91C24">
            <w:pPr>
              <w:jc w:val="center"/>
              <w:rPr>
                <w:rFonts w:ascii="宋体" w:hAnsi="宋体" w:cs="Arial"/>
              </w:rPr>
            </w:pPr>
            <w:r>
              <w:rPr>
                <w:rFonts w:ascii="宋体" w:hAnsi="宋体" w:cs="Arial" w:hint="eastAsia"/>
              </w:rPr>
              <w:t>22</w:t>
            </w:r>
          </w:p>
        </w:tc>
        <w:tc>
          <w:tcPr>
            <w:tcW w:w="2529" w:type="dxa"/>
            <w:hideMark/>
          </w:tcPr>
          <w:p w14:paraId="1246C3BF"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珠海盈米财富管理有限公司</w:t>
            </w:r>
          </w:p>
        </w:tc>
        <w:tc>
          <w:tcPr>
            <w:tcW w:w="5160" w:type="dxa"/>
            <w:gridSpan w:val="2"/>
            <w:hideMark/>
          </w:tcPr>
          <w:p w14:paraId="3FD03314"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办公地址：广州市海珠区琶洲大道东1号保利国际广场南塔12楼B1201-1203</w:t>
            </w:r>
          </w:p>
          <w:p w14:paraId="3144650D"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客户服务电话：020-89629066</w:t>
            </w:r>
          </w:p>
          <w:p w14:paraId="27E574F2"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网址：</w:t>
            </w:r>
            <w:hyperlink r:id="rId18" w:history="1">
              <w:r w:rsidRPr="000659A8">
                <w:rPr>
                  <w:rFonts w:ascii="宋体" w:hAnsi="宋体" w:cs="Calibri"/>
                  <w:color w:val="000000"/>
                  <w:szCs w:val="21"/>
                </w:rPr>
                <w:t>www.yingmi.cn</w:t>
              </w:r>
            </w:hyperlink>
          </w:p>
        </w:tc>
      </w:tr>
      <w:tr w:rsidR="0053132E" w:rsidRPr="000659A8" w14:paraId="11783C11" w14:textId="77777777" w:rsidTr="00C07F89">
        <w:trPr>
          <w:trHeight w:val="1118"/>
        </w:trPr>
        <w:tc>
          <w:tcPr>
            <w:tcW w:w="816" w:type="dxa"/>
            <w:hideMark/>
          </w:tcPr>
          <w:p w14:paraId="0B85E183" w14:textId="77777777" w:rsidR="0053132E" w:rsidRPr="00C52A47" w:rsidRDefault="0053132E" w:rsidP="00C91C24">
            <w:pPr>
              <w:jc w:val="center"/>
              <w:rPr>
                <w:rFonts w:ascii="宋体" w:hAnsi="宋体" w:cs="Arial"/>
              </w:rPr>
            </w:pPr>
            <w:r>
              <w:rPr>
                <w:rFonts w:ascii="宋体" w:hAnsi="宋体" w:cs="Arial" w:hint="eastAsia"/>
              </w:rPr>
              <w:t>23</w:t>
            </w:r>
          </w:p>
        </w:tc>
        <w:tc>
          <w:tcPr>
            <w:tcW w:w="2529" w:type="dxa"/>
            <w:hideMark/>
          </w:tcPr>
          <w:p w14:paraId="2A292819"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上海长量基金销售投资顾问有限公司</w:t>
            </w:r>
          </w:p>
        </w:tc>
        <w:tc>
          <w:tcPr>
            <w:tcW w:w="5160" w:type="dxa"/>
            <w:gridSpan w:val="2"/>
            <w:hideMark/>
          </w:tcPr>
          <w:p w14:paraId="07F401D4"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办公地址：上海市浦东新区东方路1267号11层</w:t>
            </w:r>
          </w:p>
          <w:p w14:paraId="36F6E514"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客服电话：400-820-2899</w:t>
            </w:r>
          </w:p>
          <w:p w14:paraId="38BEF98C"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公司网站：</w:t>
            </w:r>
            <w:r w:rsidRPr="000659A8">
              <w:rPr>
                <w:rFonts w:ascii="宋体" w:hAnsi="宋体" w:cs="Calibri"/>
                <w:color w:val="000000"/>
                <w:szCs w:val="21"/>
              </w:rPr>
              <w:t xml:space="preserve"> www.erichfund.com</w:t>
            </w:r>
          </w:p>
        </w:tc>
      </w:tr>
      <w:tr w:rsidR="0053132E" w:rsidRPr="00B85155" w14:paraId="6641C244" w14:textId="77777777" w:rsidTr="00C07F89">
        <w:trPr>
          <w:trHeight w:val="1157"/>
        </w:trPr>
        <w:tc>
          <w:tcPr>
            <w:tcW w:w="816" w:type="dxa"/>
            <w:hideMark/>
          </w:tcPr>
          <w:p w14:paraId="4CA5013C" w14:textId="77777777" w:rsidR="0053132E" w:rsidRPr="00C52A47" w:rsidRDefault="0053132E" w:rsidP="00C91C24">
            <w:pPr>
              <w:jc w:val="center"/>
              <w:rPr>
                <w:rFonts w:ascii="宋体" w:hAnsi="宋体" w:cs="Arial"/>
              </w:rPr>
            </w:pPr>
            <w:r>
              <w:rPr>
                <w:rFonts w:ascii="宋体" w:hAnsi="宋体" w:cs="Arial" w:hint="eastAsia"/>
              </w:rPr>
              <w:t>24</w:t>
            </w:r>
          </w:p>
        </w:tc>
        <w:tc>
          <w:tcPr>
            <w:tcW w:w="2529" w:type="dxa"/>
            <w:hideMark/>
          </w:tcPr>
          <w:p w14:paraId="712D4950" w14:textId="6F015CB2" w:rsidR="0053132E" w:rsidRPr="004E4409" w:rsidRDefault="004E4409" w:rsidP="00C91C24">
            <w:pPr>
              <w:snapToGrid w:val="0"/>
              <w:rPr>
                <w:rFonts w:ascii="宋体" w:hAnsi="宋体" w:cs="Calibri"/>
                <w:color w:val="000000"/>
                <w:szCs w:val="21"/>
              </w:rPr>
            </w:pPr>
            <w:r w:rsidRPr="004E4409">
              <w:rPr>
                <w:rFonts w:ascii="宋体" w:hAnsi="宋体" w:cs="Calibri" w:hint="eastAsia"/>
                <w:color w:val="000000"/>
                <w:szCs w:val="21"/>
              </w:rPr>
              <w:t>泰信财富基金销售有限公司</w:t>
            </w:r>
          </w:p>
        </w:tc>
        <w:tc>
          <w:tcPr>
            <w:tcW w:w="5160" w:type="dxa"/>
            <w:gridSpan w:val="2"/>
            <w:hideMark/>
          </w:tcPr>
          <w:p w14:paraId="05D1552B" w14:textId="77777777" w:rsidR="004E4409" w:rsidRPr="004E4409" w:rsidRDefault="004E4409" w:rsidP="004E4409">
            <w:pPr>
              <w:snapToGrid w:val="0"/>
              <w:rPr>
                <w:rFonts w:ascii="宋体" w:hAnsi="宋体" w:cs="Calibri"/>
                <w:color w:val="000000"/>
                <w:szCs w:val="21"/>
              </w:rPr>
            </w:pPr>
            <w:r w:rsidRPr="004E4409">
              <w:rPr>
                <w:rFonts w:ascii="宋体" w:hAnsi="宋体" w:cs="Calibri" w:hint="eastAsia"/>
                <w:color w:val="000000"/>
                <w:szCs w:val="21"/>
              </w:rPr>
              <w:t>注册（办公）地址：北京市朝阳区建国路乙118号京汇大厦1206</w:t>
            </w:r>
          </w:p>
          <w:p w14:paraId="4ABCFB15" w14:textId="77777777" w:rsidR="004E4409" w:rsidRPr="004E4409" w:rsidRDefault="004E4409" w:rsidP="004E4409">
            <w:pPr>
              <w:snapToGrid w:val="0"/>
              <w:rPr>
                <w:rFonts w:ascii="宋体" w:hAnsi="宋体" w:cs="Calibri"/>
                <w:color w:val="000000"/>
                <w:szCs w:val="21"/>
              </w:rPr>
            </w:pPr>
            <w:r w:rsidRPr="004E4409">
              <w:rPr>
                <w:rFonts w:ascii="宋体" w:hAnsi="宋体" w:cs="Calibri" w:hint="eastAsia"/>
                <w:color w:val="000000"/>
                <w:szCs w:val="21"/>
              </w:rPr>
              <w:t xml:space="preserve">客户服务电话：400-004-8821 </w:t>
            </w:r>
          </w:p>
          <w:p w14:paraId="71D3D290" w14:textId="4626A347" w:rsidR="0053132E" w:rsidRPr="00B85155" w:rsidRDefault="004E4409" w:rsidP="00C91C24">
            <w:pPr>
              <w:snapToGrid w:val="0"/>
              <w:rPr>
                <w:rFonts w:ascii="宋体" w:hAnsi="宋体" w:cs="Calibri"/>
                <w:color w:val="000000"/>
                <w:szCs w:val="21"/>
              </w:rPr>
            </w:pPr>
            <w:r w:rsidRPr="004E4409">
              <w:rPr>
                <w:rFonts w:ascii="宋体" w:hAnsi="宋体" w:cs="Calibri" w:hint="eastAsia"/>
                <w:color w:val="000000"/>
                <w:szCs w:val="21"/>
              </w:rPr>
              <w:t>网址：www.taixincf.com</w:t>
            </w:r>
          </w:p>
        </w:tc>
      </w:tr>
      <w:tr w:rsidR="0053132E" w:rsidRPr="00A40A5E" w14:paraId="3524F89C" w14:textId="77777777" w:rsidTr="00C07F89">
        <w:tc>
          <w:tcPr>
            <w:tcW w:w="816" w:type="dxa"/>
            <w:hideMark/>
          </w:tcPr>
          <w:p w14:paraId="03C69089" w14:textId="77777777" w:rsidR="0053132E" w:rsidRPr="00C52A47" w:rsidRDefault="0053132E" w:rsidP="00C91C24">
            <w:pPr>
              <w:jc w:val="center"/>
              <w:rPr>
                <w:rFonts w:ascii="宋体" w:hAnsi="宋体" w:cs="Arial"/>
              </w:rPr>
            </w:pPr>
            <w:r>
              <w:rPr>
                <w:rFonts w:ascii="宋体" w:hAnsi="宋体" w:cs="Arial" w:hint="eastAsia"/>
              </w:rPr>
              <w:t>25</w:t>
            </w:r>
          </w:p>
        </w:tc>
        <w:tc>
          <w:tcPr>
            <w:tcW w:w="2529" w:type="dxa"/>
            <w:hideMark/>
          </w:tcPr>
          <w:p w14:paraId="73A38579"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北京汇成基金销售有限公司</w:t>
            </w:r>
          </w:p>
        </w:tc>
        <w:tc>
          <w:tcPr>
            <w:tcW w:w="5160" w:type="dxa"/>
            <w:gridSpan w:val="2"/>
            <w:hideMark/>
          </w:tcPr>
          <w:p w14:paraId="63446B84"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注册(办公)地址：</w:t>
            </w:r>
            <w:r w:rsidRPr="00A40A5E" w:rsidDel="00CC17A4">
              <w:rPr>
                <w:rFonts w:ascii="宋体" w:hAnsi="宋体" w:cs="Calibri" w:hint="eastAsia"/>
                <w:color w:val="000000"/>
                <w:szCs w:val="21"/>
              </w:rPr>
              <w:t xml:space="preserve"> </w:t>
            </w:r>
            <w:r w:rsidRPr="00A40A5E">
              <w:rPr>
                <w:rFonts w:ascii="宋体" w:hAnsi="宋体" w:cs="Calibri" w:hint="eastAsia"/>
                <w:color w:val="000000"/>
                <w:szCs w:val="21"/>
              </w:rPr>
              <w:t>北京市西城区西直门外大街1号院2号楼</w:t>
            </w:r>
          </w:p>
          <w:p w14:paraId="52DD8AD5"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400-619-9059</w:t>
            </w:r>
          </w:p>
          <w:p w14:paraId="1823EC17"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www.hcjijin.com</w:t>
            </w:r>
          </w:p>
        </w:tc>
      </w:tr>
      <w:tr w:rsidR="0053132E" w:rsidRPr="000659A8" w14:paraId="0C375501" w14:textId="77777777" w:rsidTr="00C07F89">
        <w:tc>
          <w:tcPr>
            <w:tcW w:w="816" w:type="dxa"/>
            <w:hideMark/>
          </w:tcPr>
          <w:p w14:paraId="666252BC" w14:textId="77777777" w:rsidR="0053132E" w:rsidRPr="00C52A47" w:rsidRDefault="0053132E" w:rsidP="00C91C24">
            <w:pPr>
              <w:jc w:val="center"/>
              <w:rPr>
                <w:rFonts w:ascii="宋体" w:hAnsi="宋体" w:cs="Arial"/>
              </w:rPr>
            </w:pPr>
            <w:r>
              <w:rPr>
                <w:rFonts w:ascii="宋体" w:hAnsi="宋体" w:cs="Arial" w:hint="eastAsia"/>
              </w:rPr>
              <w:t>26</w:t>
            </w:r>
          </w:p>
        </w:tc>
        <w:tc>
          <w:tcPr>
            <w:tcW w:w="2529" w:type="dxa"/>
            <w:hideMark/>
          </w:tcPr>
          <w:p w14:paraId="650CDCDF"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深圳市新兰德证券投资咨询有限公司</w:t>
            </w:r>
          </w:p>
        </w:tc>
        <w:tc>
          <w:tcPr>
            <w:tcW w:w="5160" w:type="dxa"/>
            <w:gridSpan w:val="2"/>
            <w:hideMark/>
          </w:tcPr>
          <w:p w14:paraId="39824A67"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办公地址：北京市西城区宣武门外大街</w:t>
            </w:r>
            <w:r w:rsidRPr="000659A8">
              <w:rPr>
                <w:rFonts w:ascii="宋体" w:hAnsi="宋体" w:cs="Calibri"/>
                <w:color w:val="000000"/>
                <w:szCs w:val="21"/>
              </w:rPr>
              <w:t>10</w:t>
            </w:r>
            <w:r w:rsidRPr="000659A8">
              <w:rPr>
                <w:rFonts w:ascii="宋体" w:hAnsi="宋体" w:cs="Calibri" w:hint="eastAsia"/>
                <w:color w:val="000000"/>
                <w:szCs w:val="21"/>
              </w:rPr>
              <w:t>号庄胜广场中央办公楼东翼</w:t>
            </w:r>
            <w:r w:rsidRPr="000659A8">
              <w:rPr>
                <w:rFonts w:ascii="宋体" w:hAnsi="宋体" w:cs="Calibri"/>
                <w:color w:val="000000"/>
                <w:szCs w:val="21"/>
              </w:rPr>
              <w:t>7</w:t>
            </w:r>
            <w:r w:rsidRPr="000659A8">
              <w:rPr>
                <w:rFonts w:ascii="宋体" w:hAnsi="宋体" w:cs="Calibri" w:hint="eastAsia"/>
                <w:color w:val="000000"/>
                <w:szCs w:val="21"/>
              </w:rPr>
              <w:t>层</w:t>
            </w:r>
          </w:p>
          <w:p w14:paraId="566D20C4"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400-166-1188</w:t>
            </w:r>
          </w:p>
          <w:p w14:paraId="338EE6C1"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网址：</w:t>
            </w:r>
            <w:r w:rsidRPr="000659A8">
              <w:rPr>
                <w:rFonts w:ascii="宋体" w:hAnsi="宋体" w:cs="Calibri"/>
                <w:color w:val="000000"/>
                <w:szCs w:val="21"/>
              </w:rPr>
              <w:t>http://8.jrj.com.cn/</w:t>
            </w:r>
          </w:p>
        </w:tc>
      </w:tr>
      <w:tr w:rsidR="0053132E" w:rsidRPr="000659A8" w14:paraId="1A56FD3D" w14:textId="77777777" w:rsidTr="00C07F89">
        <w:tc>
          <w:tcPr>
            <w:tcW w:w="816" w:type="dxa"/>
            <w:hideMark/>
          </w:tcPr>
          <w:p w14:paraId="41C4C781" w14:textId="77777777" w:rsidR="0053132E" w:rsidRPr="00C52A47" w:rsidRDefault="0053132E" w:rsidP="00C91C24">
            <w:pPr>
              <w:jc w:val="center"/>
              <w:rPr>
                <w:rFonts w:ascii="宋体" w:hAnsi="宋体" w:cs="Arial"/>
              </w:rPr>
            </w:pPr>
            <w:r>
              <w:rPr>
                <w:rFonts w:ascii="宋体" w:hAnsi="宋体" w:cs="Arial" w:hint="eastAsia"/>
              </w:rPr>
              <w:lastRenderedPageBreak/>
              <w:t>27</w:t>
            </w:r>
          </w:p>
        </w:tc>
        <w:tc>
          <w:tcPr>
            <w:tcW w:w="2529" w:type="dxa"/>
            <w:hideMark/>
          </w:tcPr>
          <w:p w14:paraId="352665EC"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济安财富（北京）基金销售有限公司</w:t>
            </w:r>
          </w:p>
        </w:tc>
        <w:tc>
          <w:tcPr>
            <w:tcW w:w="5160" w:type="dxa"/>
            <w:gridSpan w:val="2"/>
            <w:hideMark/>
          </w:tcPr>
          <w:p w14:paraId="1D20E235" w14:textId="77777777" w:rsidR="0053132E" w:rsidRPr="000659A8" w:rsidRDefault="0053132E" w:rsidP="00C91C24">
            <w:pPr>
              <w:widowControl/>
              <w:snapToGrid w:val="0"/>
              <w:rPr>
                <w:rFonts w:ascii="宋体" w:hAnsi="宋体" w:cs="Calibri"/>
                <w:color w:val="000000"/>
                <w:szCs w:val="21"/>
              </w:rPr>
            </w:pPr>
            <w:r w:rsidRPr="000659A8">
              <w:rPr>
                <w:rFonts w:ascii="宋体" w:hAnsi="宋体" w:cs="Calibri" w:hint="eastAsia"/>
                <w:color w:val="000000"/>
                <w:szCs w:val="21"/>
              </w:rPr>
              <w:t>办公地址：北京市朝阳区东三环中路7号北京财富中心A座46层</w:t>
            </w:r>
            <w:r w:rsidRPr="000659A8" w:rsidDel="00E15C1D">
              <w:rPr>
                <w:rFonts w:ascii="宋体" w:hAnsi="宋体" w:cs="Calibri"/>
                <w:color w:val="000000"/>
                <w:szCs w:val="21"/>
              </w:rPr>
              <w:t xml:space="preserve"> </w:t>
            </w:r>
          </w:p>
          <w:p w14:paraId="1192CC12" w14:textId="77777777" w:rsidR="0053132E" w:rsidRPr="000659A8" w:rsidRDefault="0053132E" w:rsidP="00C91C24">
            <w:pPr>
              <w:widowControl/>
              <w:snapToGrid w:val="0"/>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400-673-7010</w:t>
            </w:r>
          </w:p>
          <w:p w14:paraId="47AB8696"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网址：</w:t>
            </w:r>
            <w:hyperlink r:id="rId19" w:history="1">
              <w:r w:rsidRPr="000659A8">
                <w:rPr>
                  <w:rFonts w:ascii="宋体" w:hAnsi="宋体" w:cs="Calibri"/>
                  <w:color w:val="000000"/>
                  <w:szCs w:val="21"/>
                </w:rPr>
                <w:t>www.jianfortune.com</w:t>
              </w:r>
            </w:hyperlink>
          </w:p>
        </w:tc>
      </w:tr>
      <w:tr w:rsidR="0053132E" w:rsidRPr="000659A8" w14:paraId="30DD480B" w14:textId="77777777" w:rsidTr="00C07F89">
        <w:tc>
          <w:tcPr>
            <w:tcW w:w="816" w:type="dxa"/>
            <w:hideMark/>
          </w:tcPr>
          <w:p w14:paraId="163DD159" w14:textId="77777777" w:rsidR="0053132E" w:rsidRPr="00C52A47" w:rsidRDefault="0053132E" w:rsidP="00C91C24">
            <w:pPr>
              <w:jc w:val="center"/>
              <w:rPr>
                <w:rFonts w:ascii="宋体" w:hAnsi="宋体" w:cs="Arial"/>
              </w:rPr>
            </w:pPr>
            <w:r>
              <w:rPr>
                <w:rFonts w:ascii="宋体" w:hAnsi="宋体" w:cs="Arial" w:hint="eastAsia"/>
              </w:rPr>
              <w:t>28</w:t>
            </w:r>
          </w:p>
        </w:tc>
        <w:tc>
          <w:tcPr>
            <w:tcW w:w="2529" w:type="dxa"/>
            <w:hideMark/>
          </w:tcPr>
          <w:p w14:paraId="5C95020C" w14:textId="77777777" w:rsidR="0053132E" w:rsidRPr="000659A8" w:rsidRDefault="0053132E" w:rsidP="00C91C24">
            <w:pPr>
              <w:snapToGrid w:val="0"/>
              <w:rPr>
                <w:rFonts w:ascii="宋体" w:hAnsi="宋体" w:cs="Calibri"/>
                <w:color w:val="000000"/>
                <w:szCs w:val="21"/>
              </w:rPr>
            </w:pPr>
            <w:r>
              <w:rPr>
                <w:rFonts w:ascii="宋体" w:hAnsi="宋体" w:cs="Calibri" w:hint="eastAsia"/>
                <w:color w:val="000000"/>
                <w:szCs w:val="21"/>
              </w:rPr>
              <w:t>方德</w:t>
            </w:r>
            <w:r w:rsidRPr="000659A8">
              <w:rPr>
                <w:rFonts w:ascii="宋体" w:hAnsi="宋体" w:cs="Calibri" w:hint="eastAsia"/>
                <w:color w:val="000000"/>
                <w:szCs w:val="21"/>
              </w:rPr>
              <w:t>保险代理有限公司</w:t>
            </w:r>
          </w:p>
        </w:tc>
        <w:tc>
          <w:tcPr>
            <w:tcW w:w="5160" w:type="dxa"/>
            <w:gridSpan w:val="2"/>
            <w:hideMark/>
          </w:tcPr>
          <w:p w14:paraId="5B7C6179" w14:textId="77777777" w:rsidR="0053132E" w:rsidRPr="000659A8" w:rsidRDefault="0053132E" w:rsidP="00C91C24">
            <w:pPr>
              <w:widowControl/>
              <w:snapToGrid w:val="0"/>
              <w:rPr>
                <w:rFonts w:ascii="宋体" w:hAnsi="宋体" w:cs="Calibri"/>
                <w:color w:val="000000"/>
                <w:szCs w:val="21"/>
              </w:rPr>
            </w:pPr>
            <w:r w:rsidRPr="000659A8">
              <w:rPr>
                <w:rFonts w:ascii="宋体" w:hAnsi="宋体" w:cs="Calibri" w:hint="eastAsia"/>
                <w:color w:val="000000"/>
                <w:szCs w:val="21"/>
              </w:rPr>
              <w:t>注册(办公)地址：</w:t>
            </w:r>
            <w:r w:rsidRPr="00BA70C0">
              <w:rPr>
                <w:rFonts w:ascii="宋体" w:hAnsi="宋体" w:cs="Calibri" w:hint="eastAsia"/>
                <w:bCs/>
                <w:color w:val="000000"/>
                <w:szCs w:val="21"/>
              </w:rPr>
              <w:t>北京市东城区东直门外大街46号12层02室</w:t>
            </w:r>
          </w:p>
          <w:p w14:paraId="4DB43400" w14:textId="77777777" w:rsidR="0053132E" w:rsidRPr="000659A8" w:rsidRDefault="0053132E" w:rsidP="00C91C24">
            <w:pPr>
              <w:widowControl/>
              <w:snapToGrid w:val="0"/>
              <w:rPr>
                <w:rFonts w:ascii="宋体" w:hAnsi="宋体" w:cs="Calibri"/>
                <w:color w:val="000000"/>
                <w:szCs w:val="21"/>
              </w:rPr>
            </w:pPr>
            <w:r w:rsidRPr="000659A8">
              <w:rPr>
                <w:rFonts w:ascii="宋体" w:hAnsi="宋体" w:cs="Calibri" w:hint="eastAsia"/>
                <w:color w:val="000000"/>
                <w:szCs w:val="21"/>
              </w:rPr>
              <w:t>客户服务电话：</w:t>
            </w:r>
            <w:r w:rsidRPr="00BA70C0">
              <w:rPr>
                <w:rFonts w:ascii="宋体" w:hAnsi="宋体" w:cs="Calibri"/>
                <w:color w:val="000000"/>
                <w:szCs w:val="21"/>
              </w:rPr>
              <w:t>010-64068617</w:t>
            </w:r>
          </w:p>
          <w:p w14:paraId="153BC410" w14:textId="77777777" w:rsidR="0053132E" w:rsidRPr="000659A8" w:rsidRDefault="0053132E" w:rsidP="00C91C24">
            <w:pPr>
              <w:widowControl/>
              <w:snapToGrid w:val="0"/>
              <w:rPr>
                <w:rFonts w:ascii="宋体" w:hAnsi="宋体" w:cs="Calibri"/>
                <w:color w:val="000000"/>
                <w:szCs w:val="21"/>
              </w:rPr>
            </w:pPr>
            <w:r w:rsidRPr="000659A8">
              <w:rPr>
                <w:rFonts w:ascii="宋体" w:hAnsi="宋体" w:cs="Calibri" w:hint="eastAsia"/>
                <w:color w:val="000000"/>
                <w:szCs w:val="21"/>
              </w:rPr>
              <w:t>网址：</w:t>
            </w:r>
            <w:r w:rsidRPr="00BA70C0">
              <w:rPr>
                <w:rFonts w:ascii="宋体" w:hAnsi="宋体" w:cs="Calibri"/>
                <w:color w:val="000000"/>
                <w:szCs w:val="21"/>
              </w:rPr>
              <w:t>http://www.fundsure.cn/</w:t>
            </w:r>
          </w:p>
        </w:tc>
      </w:tr>
      <w:tr w:rsidR="0053132E" w:rsidRPr="000659A8" w14:paraId="3804099B" w14:textId="77777777" w:rsidTr="00C07F89">
        <w:tc>
          <w:tcPr>
            <w:tcW w:w="816" w:type="dxa"/>
          </w:tcPr>
          <w:p w14:paraId="3421AA9C" w14:textId="77777777" w:rsidR="0053132E" w:rsidRPr="00C52A47" w:rsidRDefault="0053132E" w:rsidP="00C91C24">
            <w:pPr>
              <w:jc w:val="center"/>
              <w:rPr>
                <w:rFonts w:ascii="宋体" w:hAnsi="宋体" w:cs="Arial"/>
              </w:rPr>
            </w:pPr>
            <w:r>
              <w:rPr>
                <w:rFonts w:ascii="宋体" w:hAnsi="宋体" w:cs="Arial" w:hint="eastAsia"/>
              </w:rPr>
              <w:t>29</w:t>
            </w:r>
          </w:p>
        </w:tc>
        <w:tc>
          <w:tcPr>
            <w:tcW w:w="2529" w:type="dxa"/>
          </w:tcPr>
          <w:p w14:paraId="0A9AE9A2"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民商基金销售(上海)有限公司</w:t>
            </w:r>
          </w:p>
        </w:tc>
        <w:tc>
          <w:tcPr>
            <w:tcW w:w="5160" w:type="dxa"/>
            <w:gridSpan w:val="2"/>
          </w:tcPr>
          <w:p w14:paraId="74019FD9" w14:textId="77777777" w:rsidR="0053132E" w:rsidRPr="000659A8" w:rsidRDefault="0053132E" w:rsidP="00C91C24">
            <w:pPr>
              <w:widowControl/>
              <w:snapToGrid w:val="0"/>
              <w:rPr>
                <w:rFonts w:ascii="宋体" w:hAnsi="宋体" w:cs="Calibri"/>
                <w:color w:val="000000"/>
                <w:szCs w:val="21"/>
              </w:rPr>
            </w:pPr>
            <w:r w:rsidRPr="000659A8">
              <w:rPr>
                <w:rFonts w:ascii="宋体" w:hAnsi="宋体" w:cs="Calibri" w:hint="eastAsia"/>
                <w:color w:val="000000"/>
                <w:szCs w:val="21"/>
              </w:rPr>
              <w:t>注册(办公)地址：上海黄浦区北京东路666号H区（东座）6楼A31室</w:t>
            </w:r>
          </w:p>
          <w:p w14:paraId="7D5E4A47" w14:textId="77777777" w:rsidR="0053132E" w:rsidRPr="000659A8" w:rsidRDefault="0053132E" w:rsidP="00C91C24">
            <w:pPr>
              <w:widowControl/>
              <w:snapToGrid w:val="0"/>
              <w:rPr>
                <w:rFonts w:ascii="宋体" w:hAnsi="宋体" w:cs="Calibri"/>
                <w:color w:val="000000"/>
                <w:szCs w:val="21"/>
              </w:rPr>
            </w:pPr>
            <w:r w:rsidRPr="000659A8">
              <w:rPr>
                <w:rFonts w:ascii="宋体" w:hAnsi="宋体" w:cs="Calibri" w:hint="eastAsia"/>
                <w:color w:val="000000"/>
                <w:szCs w:val="21"/>
              </w:rPr>
              <w:t>客户服务电话：021-50206003</w:t>
            </w:r>
          </w:p>
          <w:p w14:paraId="25548F23" w14:textId="77777777" w:rsidR="0053132E" w:rsidRPr="000659A8" w:rsidRDefault="0053132E" w:rsidP="00C91C24">
            <w:pPr>
              <w:widowControl/>
              <w:snapToGrid w:val="0"/>
              <w:rPr>
                <w:rFonts w:ascii="宋体" w:hAnsi="宋体" w:cs="Calibri"/>
                <w:color w:val="000000"/>
                <w:szCs w:val="21"/>
              </w:rPr>
            </w:pPr>
            <w:r w:rsidRPr="000659A8">
              <w:rPr>
                <w:rFonts w:ascii="宋体" w:hAnsi="宋体" w:cs="Calibri" w:hint="eastAsia"/>
                <w:color w:val="000000"/>
                <w:szCs w:val="21"/>
              </w:rPr>
              <w:t>网址：http://www.msftec.com</w:t>
            </w:r>
          </w:p>
        </w:tc>
      </w:tr>
      <w:tr w:rsidR="0053132E" w:rsidRPr="000659A8" w14:paraId="72D5B8BF" w14:textId="77777777" w:rsidTr="00C07F89">
        <w:tc>
          <w:tcPr>
            <w:tcW w:w="816" w:type="dxa"/>
          </w:tcPr>
          <w:p w14:paraId="0DF15BA0" w14:textId="77777777" w:rsidR="0053132E" w:rsidRPr="00C52A47" w:rsidRDefault="0053132E" w:rsidP="00C91C24">
            <w:pPr>
              <w:jc w:val="center"/>
              <w:rPr>
                <w:rFonts w:ascii="宋体" w:hAnsi="宋体"/>
                <w:color w:val="000000"/>
              </w:rPr>
            </w:pPr>
            <w:r>
              <w:rPr>
                <w:rFonts w:ascii="宋体" w:hAnsi="宋体" w:hint="eastAsia"/>
                <w:color w:val="000000"/>
              </w:rPr>
              <w:t>30</w:t>
            </w:r>
          </w:p>
        </w:tc>
        <w:tc>
          <w:tcPr>
            <w:tcW w:w="2529" w:type="dxa"/>
          </w:tcPr>
          <w:p w14:paraId="7F54B435"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大连网金基金销售有限公司</w:t>
            </w:r>
          </w:p>
        </w:tc>
        <w:tc>
          <w:tcPr>
            <w:tcW w:w="5160" w:type="dxa"/>
            <w:gridSpan w:val="2"/>
          </w:tcPr>
          <w:p w14:paraId="6F924019" w14:textId="77777777" w:rsidR="0053132E" w:rsidRPr="000659A8" w:rsidRDefault="0053132E" w:rsidP="00C91C24">
            <w:pPr>
              <w:widowControl/>
              <w:snapToGrid w:val="0"/>
              <w:rPr>
                <w:rFonts w:ascii="宋体" w:hAnsi="宋体" w:cs="Calibri"/>
                <w:color w:val="000000"/>
                <w:szCs w:val="21"/>
              </w:rPr>
            </w:pPr>
            <w:r w:rsidRPr="000659A8">
              <w:rPr>
                <w:rFonts w:ascii="宋体" w:hAnsi="宋体" w:cs="Calibri" w:hint="eastAsia"/>
                <w:color w:val="000000"/>
                <w:szCs w:val="21"/>
              </w:rPr>
              <w:t>注册</w:t>
            </w:r>
            <w:r w:rsidRPr="000659A8">
              <w:rPr>
                <w:rFonts w:ascii="宋体" w:hAnsi="宋体" w:cs="Calibri"/>
                <w:color w:val="000000"/>
                <w:szCs w:val="21"/>
              </w:rPr>
              <w:t>(</w:t>
            </w:r>
            <w:r w:rsidRPr="000659A8">
              <w:rPr>
                <w:rFonts w:ascii="宋体" w:hAnsi="宋体" w:cs="Calibri" w:hint="eastAsia"/>
                <w:color w:val="000000"/>
                <w:szCs w:val="21"/>
              </w:rPr>
              <w:t>办公</w:t>
            </w:r>
            <w:r w:rsidRPr="000659A8">
              <w:rPr>
                <w:rFonts w:ascii="宋体" w:hAnsi="宋体" w:cs="Calibri"/>
                <w:color w:val="000000"/>
                <w:szCs w:val="21"/>
              </w:rPr>
              <w:t>)</w:t>
            </w:r>
            <w:r w:rsidRPr="000659A8">
              <w:rPr>
                <w:rFonts w:ascii="宋体" w:hAnsi="宋体" w:cs="Calibri" w:hint="eastAsia"/>
                <w:color w:val="000000"/>
                <w:szCs w:val="21"/>
              </w:rPr>
              <w:t>地址：大连市沙河口区体坛路</w:t>
            </w:r>
            <w:r w:rsidRPr="000659A8">
              <w:rPr>
                <w:rFonts w:ascii="宋体" w:hAnsi="宋体" w:cs="Calibri"/>
                <w:color w:val="000000"/>
                <w:szCs w:val="21"/>
              </w:rPr>
              <w:t>22</w:t>
            </w:r>
            <w:r w:rsidRPr="000659A8">
              <w:rPr>
                <w:rFonts w:ascii="宋体" w:hAnsi="宋体" w:cs="Calibri" w:hint="eastAsia"/>
                <w:color w:val="000000"/>
                <w:szCs w:val="21"/>
              </w:rPr>
              <w:t>号诺德大厦</w:t>
            </w:r>
            <w:r w:rsidRPr="000659A8">
              <w:rPr>
                <w:rFonts w:ascii="宋体" w:hAnsi="宋体" w:cs="Calibri"/>
                <w:color w:val="000000"/>
                <w:szCs w:val="21"/>
              </w:rPr>
              <w:t>2</w:t>
            </w:r>
            <w:r w:rsidRPr="000659A8">
              <w:rPr>
                <w:rFonts w:ascii="宋体" w:hAnsi="宋体" w:cs="Calibri" w:hint="eastAsia"/>
                <w:color w:val="000000"/>
                <w:szCs w:val="21"/>
              </w:rPr>
              <w:t>层</w:t>
            </w:r>
          </w:p>
          <w:p w14:paraId="58B2002F" w14:textId="77777777" w:rsidR="0053132E" w:rsidRPr="000659A8" w:rsidRDefault="0053132E" w:rsidP="00C91C24">
            <w:pPr>
              <w:widowControl/>
              <w:snapToGrid w:val="0"/>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4000-899-100</w:t>
            </w:r>
          </w:p>
          <w:p w14:paraId="3FBDE3B7" w14:textId="77777777" w:rsidR="0053132E" w:rsidRPr="000659A8" w:rsidRDefault="0053132E" w:rsidP="00C91C24">
            <w:pPr>
              <w:widowControl/>
              <w:snapToGrid w:val="0"/>
              <w:rPr>
                <w:rFonts w:ascii="宋体" w:hAnsi="宋体" w:cs="Calibri"/>
                <w:color w:val="000000"/>
                <w:szCs w:val="21"/>
              </w:rPr>
            </w:pPr>
            <w:r w:rsidRPr="000659A8">
              <w:rPr>
                <w:rFonts w:ascii="宋体" w:hAnsi="宋体" w:cs="Calibri" w:hint="eastAsia"/>
                <w:color w:val="000000"/>
                <w:szCs w:val="21"/>
              </w:rPr>
              <w:t>网址：</w:t>
            </w:r>
            <w:r w:rsidRPr="000659A8">
              <w:rPr>
                <w:rFonts w:ascii="宋体" w:hAnsi="宋体" w:cs="Calibri"/>
                <w:color w:val="000000"/>
                <w:szCs w:val="21"/>
              </w:rPr>
              <w:t xml:space="preserve"> http://www.yibaijin.com/</w:t>
            </w:r>
          </w:p>
        </w:tc>
      </w:tr>
      <w:tr w:rsidR="0053132E" w:rsidRPr="000659A8" w14:paraId="6B8F11BA" w14:textId="77777777" w:rsidTr="00C07F89">
        <w:tc>
          <w:tcPr>
            <w:tcW w:w="816" w:type="dxa"/>
          </w:tcPr>
          <w:p w14:paraId="0C1D6C5A" w14:textId="77777777" w:rsidR="0053132E" w:rsidRPr="00C52A47" w:rsidRDefault="0053132E" w:rsidP="00C91C24">
            <w:pPr>
              <w:jc w:val="center"/>
              <w:rPr>
                <w:rFonts w:ascii="宋体" w:hAnsi="宋体"/>
                <w:color w:val="000000"/>
              </w:rPr>
            </w:pPr>
            <w:r>
              <w:rPr>
                <w:rFonts w:ascii="宋体" w:hAnsi="宋体" w:hint="eastAsia"/>
                <w:color w:val="000000"/>
              </w:rPr>
              <w:t>31</w:t>
            </w:r>
          </w:p>
        </w:tc>
        <w:tc>
          <w:tcPr>
            <w:tcW w:w="2529" w:type="dxa"/>
          </w:tcPr>
          <w:p w14:paraId="5FD28100"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深圳众禄基金销售股份有限公司</w:t>
            </w:r>
          </w:p>
        </w:tc>
        <w:tc>
          <w:tcPr>
            <w:tcW w:w="5160" w:type="dxa"/>
            <w:gridSpan w:val="2"/>
          </w:tcPr>
          <w:p w14:paraId="29ABC1B5" w14:textId="77777777" w:rsidR="0053132E" w:rsidRPr="000659A8" w:rsidRDefault="0053132E" w:rsidP="00C91C24">
            <w:pPr>
              <w:widowControl/>
              <w:snapToGrid w:val="0"/>
              <w:rPr>
                <w:rFonts w:ascii="宋体" w:hAnsi="宋体" w:cs="Calibri"/>
                <w:color w:val="000000"/>
                <w:szCs w:val="21"/>
              </w:rPr>
            </w:pPr>
            <w:r w:rsidRPr="000659A8">
              <w:rPr>
                <w:rFonts w:ascii="宋体" w:hAnsi="宋体" w:cs="Calibri" w:hint="eastAsia"/>
                <w:color w:val="000000"/>
                <w:szCs w:val="21"/>
              </w:rPr>
              <w:t>注册（办公）地址：深圳市罗湖区梨园路物资控股置地大厦8楼</w:t>
            </w:r>
          </w:p>
          <w:p w14:paraId="3D32F507" w14:textId="77777777" w:rsidR="0053132E" w:rsidRPr="000659A8" w:rsidRDefault="0053132E" w:rsidP="00C91C24">
            <w:pPr>
              <w:widowControl/>
              <w:snapToGrid w:val="0"/>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4006-788-887</w:t>
            </w:r>
          </w:p>
          <w:p w14:paraId="66EED0D4" w14:textId="77777777" w:rsidR="0053132E" w:rsidRPr="000659A8" w:rsidRDefault="0053132E" w:rsidP="00C91C24">
            <w:pPr>
              <w:widowControl/>
              <w:snapToGrid w:val="0"/>
              <w:rPr>
                <w:rFonts w:ascii="宋体" w:hAnsi="宋体" w:cs="Calibri"/>
                <w:color w:val="000000"/>
                <w:szCs w:val="21"/>
              </w:rPr>
            </w:pPr>
            <w:r w:rsidRPr="000659A8">
              <w:rPr>
                <w:rFonts w:ascii="宋体" w:hAnsi="宋体" w:cs="Calibri" w:hint="eastAsia"/>
                <w:color w:val="000000"/>
                <w:szCs w:val="21"/>
              </w:rPr>
              <w:t>网址：众禄基金网</w:t>
            </w:r>
            <w:r w:rsidRPr="000659A8">
              <w:rPr>
                <w:rFonts w:ascii="宋体" w:hAnsi="宋体" w:cs="Calibri"/>
                <w:color w:val="000000"/>
                <w:szCs w:val="21"/>
              </w:rPr>
              <w:t xml:space="preserve"> </w:t>
            </w:r>
            <w:hyperlink r:id="rId20" w:history="1">
              <w:r w:rsidRPr="000659A8">
                <w:rPr>
                  <w:rFonts w:ascii="宋体" w:hAnsi="宋体" w:cs="Calibri"/>
                  <w:color w:val="000000"/>
                  <w:szCs w:val="21"/>
                </w:rPr>
                <w:t>www.zlfund.cn</w:t>
              </w:r>
            </w:hyperlink>
          </w:p>
          <w:p w14:paraId="72CE3333" w14:textId="77777777" w:rsidR="0053132E" w:rsidRPr="000659A8" w:rsidRDefault="0053132E" w:rsidP="00C91C24">
            <w:pPr>
              <w:widowControl/>
              <w:snapToGrid w:val="0"/>
              <w:rPr>
                <w:rFonts w:ascii="宋体" w:hAnsi="宋体" w:cs="Calibri"/>
                <w:color w:val="000000"/>
                <w:szCs w:val="21"/>
              </w:rPr>
            </w:pPr>
            <w:r w:rsidRPr="000659A8">
              <w:rPr>
                <w:rFonts w:ascii="宋体" w:hAnsi="宋体" w:cs="Calibri" w:hint="eastAsia"/>
                <w:color w:val="000000"/>
                <w:szCs w:val="21"/>
              </w:rPr>
              <w:t>基金买卖网</w:t>
            </w:r>
            <w:r w:rsidRPr="000659A8">
              <w:rPr>
                <w:rFonts w:ascii="宋体" w:hAnsi="宋体" w:cs="Calibri"/>
                <w:color w:val="000000"/>
                <w:szCs w:val="21"/>
              </w:rPr>
              <w:t xml:space="preserve"> </w:t>
            </w:r>
            <w:hyperlink r:id="rId21" w:history="1">
              <w:r w:rsidRPr="000659A8">
                <w:rPr>
                  <w:rFonts w:ascii="宋体" w:hAnsi="宋体" w:cs="Calibri"/>
                  <w:color w:val="000000"/>
                  <w:szCs w:val="21"/>
                </w:rPr>
                <w:t>www.jjmmw.com</w:t>
              </w:r>
            </w:hyperlink>
          </w:p>
        </w:tc>
      </w:tr>
      <w:tr w:rsidR="0053132E" w:rsidRPr="000659A8" w14:paraId="6DFD9F47" w14:textId="77777777" w:rsidTr="00C07F89">
        <w:tc>
          <w:tcPr>
            <w:tcW w:w="816" w:type="dxa"/>
          </w:tcPr>
          <w:p w14:paraId="6AA8037B" w14:textId="77777777" w:rsidR="0053132E" w:rsidRPr="00C52A47" w:rsidRDefault="0053132E" w:rsidP="00C91C24">
            <w:pPr>
              <w:jc w:val="center"/>
              <w:rPr>
                <w:rFonts w:ascii="宋体" w:hAnsi="宋体"/>
                <w:color w:val="000000"/>
              </w:rPr>
            </w:pPr>
            <w:r>
              <w:rPr>
                <w:rFonts w:ascii="宋体" w:hAnsi="宋体" w:cs="宋体" w:hint="eastAsia"/>
              </w:rPr>
              <w:t>32</w:t>
            </w:r>
          </w:p>
        </w:tc>
        <w:tc>
          <w:tcPr>
            <w:tcW w:w="2529" w:type="dxa"/>
          </w:tcPr>
          <w:p w14:paraId="4A9A69B6" w14:textId="5352ADD0" w:rsidR="0053132E" w:rsidRPr="000659A8" w:rsidRDefault="00D26BDA" w:rsidP="00C91C24">
            <w:pPr>
              <w:snapToGrid w:val="0"/>
              <w:rPr>
                <w:rFonts w:ascii="宋体" w:hAnsi="宋体" w:cs="Calibri"/>
                <w:color w:val="000000"/>
                <w:szCs w:val="21"/>
              </w:rPr>
            </w:pPr>
            <w:r w:rsidRPr="00D26BDA">
              <w:rPr>
                <w:rFonts w:ascii="宋体" w:hAnsi="宋体" w:cs="Calibri" w:hint="eastAsia"/>
                <w:color w:val="000000"/>
                <w:szCs w:val="21"/>
              </w:rPr>
              <w:t>北京雪球基金销售有限公司</w:t>
            </w:r>
          </w:p>
        </w:tc>
        <w:tc>
          <w:tcPr>
            <w:tcW w:w="5160" w:type="dxa"/>
            <w:gridSpan w:val="2"/>
          </w:tcPr>
          <w:p w14:paraId="31CBE039" w14:textId="77777777" w:rsidR="00D26BDA" w:rsidRPr="00D26BDA" w:rsidRDefault="00D26BDA" w:rsidP="00D26BDA">
            <w:pPr>
              <w:widowControl/>
              <w:snapToGrid w:val="0"/>
              <w:rPr>
                <w:rFonts w:ascii="宋体" w:hAnsi="宋体" w:cs="Calibri"/>
                <w:color w:val="000000"/>
                <w:szCs w:val="21"/>
              </w:rPr>
            </w:pPr>
            <w:r w:rsidRPr="00D26BDA">
              <w:rPr>
                <w:rFonts w:ascii="宋体" w:hAnsi="宋体" w:cs="Calibri" w:hint="eastAsia"/>
                <w:color w:val="000000"/>
                <w:szCs w:val="21"/>
              </w:rPr>
              <w:t>注册（办公）地址：北京市朝阳区阜通东大街1号院6号楼2单元21层222507</w:t>
            </w:r>
          </w:p>
          <w:p w14:paraId="7565B568" w14:textId="77777777" w:rsidR="00D26BDA" w:rsidRPr="00D26BDA" w:rsidRDefault="00D26BDA" w:rsidP="00D26BDA">
            <w:pPr>
              <w:widowControl/>
              <w:snapToGrid w:val="0"/>
              <w:rPr>
                <w:rFonts w:ascii="宋体" w:hAnsi="宋体" w:cs="Calibri"/>
                <w:color w:val="000000"/>
                <w:szCs w:val="21"/>
              </w:rPr>
            </w:pPr>
            <w:r w:rsidRPr="00D26BDA">
              <w:rPr>
                <w:rFonts w:ascii="宋体" w:hAnsi="宋体" w:cs="Calibri" w:hint="eastAsia"/>
                <w:color w:val="000000"/>
                <w:szCs w:val="21"/>
              </w:rPr>
              <w:t>客户服务电话：400 0618 518</w:t>
            </w:r>
          </w:p>
          <w:p w14:paraId="29CE64CC" w14:textId="370456AD" w:rsidR="0053132E" w:rsidRPr="000659A8" w:rsidRDefault="00D26BDA" w:rsidP="00C91C24">
            <w:pPr>
              <w:widowControl/>
              <w:snapToGrid w:val="0"/>
              <w:rPr>
                <w:rFonts w:ascii="宋体" w:hAnsi="宋体" w:cs="Calibri"/>
                <w:color w:val="000000"/>
                <w:szCs w:val="21"/>
              </w:rPr>
            </w:pPr>
            <w:r w:rsidRPr="00D26BDA">
              <w:rPr>
                <w:rFonts w:ascii="宋体" w:hAnsi="宋体" w:cs="Calibri" w:hint="eastAsia"/>
                <w:color w:val="000000"/>
                <w:szCs w:val="21"/>
              </w:rPr>
              <w:t>网址：http://danjuanapp.com/</w:t>
            </w:r>
          </w:p>
        </w:tc>
      </w:tr>
      <w:tr w:rsidR="0053132E" w:rsidRPr="000659A8" w14:paraId="60B9A25E" w14:textId="77777777" w:rsidTr="00C07F89">
        <w:tc>
          <w:tcPr>
            <w:tcW w:w="816" w:type="dxa"/>
          </w:tcPr>
          <w:p w14:paraId="35D45756" w14:textId="77777777" w:rsidR="0053132E" w:rsidRPr="00C52A47" w:rsidRDefault="0053132E" w:rsidP="00C91C24">
            <w:pPr>
              <w:jc w:val="center"/>
              <w:rPr>
                <w:rFonts w:ascii="宋体" w:hAnsi="宋体"/>
                <w:color w:val="000000"/>
              </w:rPr>
            </w:pPr>
            <w:r>
              <w:rPr>
                <w:rFonts w:ascii="宋体" w:hAnsi="宋体" w:cs="宋体" w:hint="eastAsia"/>
              </w:rPr>
              <w:t>33</w:t>
            </w:r>
          </w:p>
        </w:tc>
        <w:tc>
          <w:tcPr>
            <w:tcW w:w="2529" w:type="dxa"/>
          </w:tcPr>
          <w:p w14:paraId="2E27517D" w14:textId="3C7E03F0" w:rsidR="0053132E" w:rsidRPr="000659A8" w:rsidRDefault="00D26BDA" w:rsidP="00C91C24">
            <w:pPr>
              <w:snapToGrid w:val="0"/>
              <w:rPr>
                <w:rFonts w:ascii="宋体" w:hAnsi="宋体" w:cs="Calibri"/>
                <w:color w:val="000000"/>
                <w:szCs w:val="21"/>
              </w:rPr>
            </w:pPr>
            <w:r w:rsidRPr="00D26BDA">
              <w:rPr>
                <w:rFonts w:ascii="宋体" w:hAnsi="宋体" w:cs="Calibri" w:hint="eastAsia"/>
                <w:color w:val="000000"/>
                <w:szCs w:val="21"/>
              </w:rPr>
              <w:t>财咨道信息技术有限公司</w:t>
            </w:r>
          </w:p>
        </w:tc>
        <w:tc>
          <w:tcPr>
            <w:tcW w:w="5160" w:type="dxa"/>
            <w:gridSpan w:val="2"/>
          </w:tcPr>
          <w:p w14:paraId="337FF46B" w14:textId="77777777" w:rsidR="00D26BDA" w:rsidRPr="00D26BDA" w:rsidRDefault="00D26BDA" w:rsidP="00D26BDA">
            <w:pPr>
              <w:widowControl/>
              <w:snapToGrid w:val="0"/>
              <w:rPr>
                <w:rFonts w:ascii="宋体" w:hAnsi="宋体" w:cs="Calibri"/>
                <w:color w:val="000000"/>
                <w:szCs w:val="21"/>
              </w:rPr>
            </w:pPr>
            <w:r w:rsidRPr="00D26BDA">
              <w:rPr>
                <w:rFonts w:ascii="宋体" w:hAnsi="宋体" w:cs="Calibri" w:hint="eastAsia"/>
                <w:color w:val="000000"/>
                <w:szCs w:val="21"/>
              </w:rPr>
              <w:t>注册（办公）地址：沈阳市浑南区白塔二南街18-2号</w:t>
            </w:r>
          </w:p>
          <w:p w14:paraId="4ED08237" w14:textId="77777777" w:rsidR="00D26BDA" w:rsidRPr="00D26BDA" w:rsidRDefault="00D26BDA" w:rsidP="00D26BDA">
            <w:pPr>
              <w:widowControl/>
              <w:snapToGrid w:val="0"/>
              <w:rPr>
                <w:rFonts w:ascii="宋体" w:hAnsi="宋体" w:cs="Calibri"/>
                <w:color w:val="000000"/>
                <w:szCs w:val="21"/>
              </w:rPr>
            </w:pPr>
            <w:r w:rsidRPr="00D26BDA">
              <w:rPr>
                <w:rFonts w:ascii="宋体" w:hAnsi="宋体" w:cs="Calibri" w:hint="eastAsia"/>
                <w:color w:val="000000"/>
                <w:szCs w:val="21"/>
              </w:rPr>
              <w:t>客户服务电话：400-003-5811</w:t>
            </w:r>
            <w:r w:rsidRPr="00D26BDA">
              <w:rPr>
                <w:rFonts w:ascii="宋体" w:hAnsi="宋体" w:cs="Calibri" w:hint="eastAsia"/>
                <w:color w:val="000000"/>
                <w:szCs w:val="21"/>
              </w:rPr>
              <w:tab/>
            </w:r>
          </w:p>
          <w:p w14:paraId="6CD5CA2A" w14:textId="17EDAC5B" w:rsidR="0053132E" w:rsidRPr="000659A8" w:rsidRDefault="00D26BDA" w:rsidP="00C91C24">
            <w:pPr>
              <w:widowControl/>
              <w:snapToGrid w:val="0"/>
              <w:rPr>
                <w:rFonts w:ascii="宋体" w:hAnsi="宋体" w:cs="Calibri"/>
                <w:color w:val="000000"/>
                <w:szCs w:val="21"/>
              </w:rPr>
            </w:pPr>
            <w:r w:rsidRPr="00D26BDA">
              <w:rPr>
                <w:rFonts w:ascii="宋体" w:hAnsi="宋体" w:cs="Calibri" w:hint="eastAsia"/>
                <w:color w:val="000000"/>
                <w:szCs w:val="21"/>
              </w:rPr>
              <w:t>网址：www.win-stock.com.cn</w:t>
            </w:r>
          </w:p>
        </w:tc>
      </w:tr>
      <w:tr w:rsidR="0053132E" w:rsidRPr="000659A8" w14:paraId="419A04E4" w14:textId="77777777" w:rsidTr="00C07F89">
        <w:tc>
          <w:tcPr>
            <w:tcW w:w="816" w:type="dxa"/>
          </w:tcPr>
          <w:p w14:paraId="4C96ECC1" w14:textId="77777777" w:rsidR="0053132E" w:rsidRPr="00C52A47" w:rsidRDefault="0053132E" w:rsidP="00C91C24">
            <w:pPr>
              <w:jc w:val="center"/>
              <w:rPr>
                <w:rFonts w:ascii="宋体" w:hAnsi="宋体"/>
                <w:color w:val="000000"/>
              </w:rPr>
            </w:pPr>
            <w:r>
              <w:rPr>
                <w:rFonts w:ascii="宋体" w:hAnsi="宋体" w:hint="eastAsia"/>
                <w:color w:val="000000"/>
              </w:rPr>
              <w:t>34</w:t>
            </w:r>
          </w:p>
        </w:tc>
        <w:tc>
          <w:tcPr>
            <w:tcW w:w="2529" w:type="dxa"/>
          </w:tcPr>
          <w:p w14:paraId="55058493" w14:textId="77777777" w:rsidR="0053132E" w:rsidRPr="000659A8" w:rsidRDefault="0053132E" w:rsidP="00C91C24">
            <w:pPr>
              <w:snapToGrid w:val="0"/>
              <w:rPr>
                <w:rFonts w:ascii="宋体" w:hAnsi="宋体" w:cs="Calibri"/>
                <w:color w:val="000000"/>
                <w:szCs w:val="21"/>
              </w:rPr>
            </w:pPr>
            <w:r w:rsidRPr="000659A8">
              <w:rPr>
                <w:rFonts w:ascii="宋体" w:hAnsi="宋体" w:cs="Calibri" w:hint="eastAsia"/>
                <w:color w:val="000000"/>
                <w:szCs w:val="21"/>
              </w:rPr>
              <w:t>深圳前海财厚基金销售有限公司</w:t>
            </w:r>
          </w:p>
        </w:tc>
        <w:tc>
          <w:tcPr>
            <w:tcW w:w="5160" w:type="dxa"/>
            <w:gridSpan w:val="2"/>
          </w:tcPr>
          <w:p w14:paraId="4FBBDAC9" w14:textId="77777777" w:rsidR="0053132E" w:rsidRPr="000659A8" w:rsidRDefault="0053132E" w:rsidP="00C91C24">
            <w:pPr>
              <w:widowControl/>
              <w:snapToGrid w:val="0"/>
              <w:rPr>
                <w:rFonts w:ascii="宋体" w:hAnsi="宋体" w:cs="Calibri"/>
                <w:color w:val="000000"/>
                <w:szCs w:val="21"/>
              </w:rPr>
            </w:pPr>
            <w:r w:rsidRPr="000659A8">
              <w:rPr>
                <w:rFonts w:ascii="宋体" w:hAnsi="宋体" w:cs="Calibri" w:hint="eastAsia"/>
                <w:color w:val="000000"/>
                <w:szCs w:val="21"/>
              </w:rPr>
              <w:t>办公地址：广东省深圳市南山区高新南十道 深圳湾科技生态园三区</w:t>
            </w:r>
            <w:r w:rsidRPr="000659A8">
              <w:rPr>
                <w:rFonts w:ascii="宋体" w:hAnsi="宋体" w:cs="Calibri"/>
                <w:color w:val="000000"/>
                <w:szCs w:val="21"/>
              </w:rPr>
              <w:t>11栋A座3608室</w:t>
            </w:r>
          </w:p>
          <w:p w14:paraId="74C5339F" w14:textId="77777777" w:rsidR="0053132E" w:rsidRPr="000659A8" w:rsidRDefault="0053132E" w:rsidP="00C91C24">
            <w:pPr>
              <w:widowControl/>
              <w:snapToGrid w:val="0"/>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400-128-6800</w:t>
            </w:r>
          </w:p>
          <w:p w14:paraId="4C5A5C76" w14:textId="77777777" w:rsidR="0053132E" w:rsidRPr="000659A8" w:rsidRDefault="0053132E" w:rsidP="00C91C24">
            <w:pPr>
              <w:tabs>
                <w:tab w:val="left" w:pos="540"/>
              </w:tabs>
              <w:snapToGrid w:val="0"/>
              <w:rPr>
                <w:rFonts w:ascii="宋体" w:hAnsi="宋体" w:cs="Calibri"/>
                <w:color w:val="000000"/>
                <w:szCs w:val="21"/>
              </w:rPr>
            </w:pPr>
            <w:r w:rsidRPr="000659A8">
              <w:rPr>
                <w:rFonts w:ascii="宋体" w:hAnsi="宋体" w:cs="Calibri" w:hint="eastAsia"/>
                <w:color w:val="000000"/>
                <w:szCs w:val="21"/>
              </w:rPr>
              <w:t>网址：</w:t>
            </w:r>
            <w:r w:rsidRPr="000659A8">
              <w:rPr>
                <w:rFonts w:ascii="宋体" w:hAnsi="宋体" w:cs="Calibri"/>
                <w:color w:val="000000"/>
                <w:szCs w:val="21"/>
              </w:rPr>
              <w:t>caiho.cn</w:t>
            </w:r>
          </w:p>
        </w:tc>
      </w:tr>
      <w:tr w:rsidR="0053132E" w:rsidRPr="00A40A5E" w14:paraId="623A1F48" w14:textId="77777777" w:rsidTr="00C07F89">
        <w:tc>
          <w:tcPr>
            <w:tcW w:w="816" w:type="dxa"/>
          </w:tcPr>
          <w:p w14:paraId="4CBA797E" w14:textId="77777777" w:rsidR="0053132E" w:rsidRPr="00C52A47" w:rsidRDefault="0053132E" w:rsidP="00C91C24">
            <w:pPr>
              <w:jc w:val="center"/>
              <w:rPr>
                <w:rFonts w:ascii="宋体" w:hAnsi="宋体"/>
                <w:color w:val="000000"/>
              </w:rPr>
            </w:pPr>
            <w:r>
              <w:rPr>
                <w:rFonts w:ascii="宋体" w:hAnsi="宋体" w:hint="eastAsia"/>
                <w:color w:val="000000"/>
              </w:rPr>
              <w:t>35</w:t>
            </w:r>
          </w:p>
        </w:tc>
        <w:tc>
          <w:tcPr>
            <w:tcW w:w="2529" w:type="dxa"/>
          </w:tcPr>
          <w:p w14:paraId="28D3A85F"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上海</w:t>
            </w:r>
            <w:r w:rsidRPr="00A40A5E">
              <w:rPr>
                <w:rFonts w:ascii="宋体" w:hAnsi="宋体" w:cs="Calibri"/>
                <w:color w:val="000000"/>
                <w:szCs w:val="21"/>
              </w:rPr>
              <w:t>挖财基金销售有限公司</w:t>
            </w:r>
          </w:p>
        </w:tc>
        <w:tc>
          <w:tcPr>
            <w:tcW w:w="5160" w:type="dxa"/>
            <w:gridSpan w:val="2"/>
          </w:tcPr>
          <w:p w14:paraId="5AEF16EE"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(办公)地址：中国（上海）自由贸易试验区扬高南路799号5楼01、02、03室</w:t>
            </w:r>
          </w:p>
          <w:p w14:paraId="214FA12C"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400-711-8718</w:t>
            </w:r>
          </w:p>
          <w:p w14:paraId="06E6E05E"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w:t>
            </w:r>
            <w:hyperlink r:id="rId22" w:history="1">
              <w:r w:rsidRPr="00A40A5E">
                <w:rPr>
                  <w:rFonts w:ascii="宋体" w:hAnsi="宋体" w:cs="Calibri"/>
                  <w:color w:val="000000"/>
                  <w:szCs w:val="21"/>
                </w:rPr>
                <w:t>www.wacaijijin.com</w:t>
              </w:r>
            </w:hyperlink>
          </w:p>
        </w:tc>
      </w:tr>
      <w:tr w:rsidR="0053132E" w:rsidRPr="00A40A5E" w14:paraId="4F8FD3C2" w14:textId="77777777" w:rsidTr="00C07F89">
        <w:tc>
          <w:tcPr>
            <w:tcW w:w="816" w:type="dxa"/>
          </w:tcPr>
          <w:p w14:paraId="6ACF02A4" w14:textId="77777777" w:rsidR="0053132E" w:rsidRPr="00C52A47" w:rsidRDefault="0053132E" w:rsidP="00C91C24">
            <w:pPr>
              <w:jc w:val="center"/>
              <w:rPr>
                <w:rFonts w:ascii="宋体" w:hAnsi="宋体"/>
                <w:color w:val="000000"/>
              </w:rPr>
            </w:pPr>
            <w:r>
              <w:rPr>
                <w:rFonts w:ascii="宋体" w:hAnsi="宋体" w:hint="eastAsia"/>
                <w:color w:val="000000"/>
              </w:rPr>
              <w:t>36</w:t>
            </w:r>
          </w:p>
        </w:tc>
        <w:tc>
          <w:tcPr>
            <w:tcW w:w="2529" w:type="dxa"/>
          </w:tcPr>
          <w:p w14:paraId="22A54697"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诺亚正行基金销售有限公司</w:t>
            </w:r>
          </w:p>
        </w:tc>
        <w:tc>
          <w:tcPr>
            <w:tcW w:w="5160" w:type="dxa"/>
            <w:gridSpan w:val="2"/>
          </w:tcPr>
          <w:p w14:paraId="3991CFD2"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(办公)地址：上海市杨浦区长阳路1687号2号楼</w:t>
            </w:r>
          </w:p>
          <w:p w14:paraId="29DE7146"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4008-215-399</w:t>
            </w:r>
          </w:p>
          <w:p w14:paraId="55AC56EE"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www.noah-fund.com</w:t>
            </w:r>
          </w:p>
        </w:tc>
      </w:tr>
      <w:tr w:rsidR="0053132E" w:rsidRPr="00A40A5E" w14:paraId="129F75C2" w14:textId="77777777" w:rsidTr="00C07F89">
        <w:tc>
          <w:tcPr>
            <w:tcW w:w="816" w:type="dxa"/>
          </w:tcPr>
          <w:p w14:paraId="5BBB9783" w14:textId="77777777" w:rsidR="0053132E" w:rsidRPr="00C52A47" w:rsidRDefault="0053132E" w:rsidP="00C91C24">
            <w:pPr>
              <w:jc w:val="center"/>
              <w:rPr>
                <w:rFonts w:ascii="宋体" w:hAnsi="宋体"/>
                <w:color w:val="000000"/>
              </w:rPr>
            </w:pPr>
            <w:r>
              <w:rPr>
                <w:rFonts w:ascii="宋体" w:hAnsi="宋体" w:hint="eastAsia"/>
                <w:color w:val="000000"/>
              </w:rPr>
              <w:t>37</w:t>
            </w:r>
          </w:p>
        </w:tc>
        <w:tc>
          <w:tcPr>
            <w:tcW w:w="2529" w:type="dxa"/>
          </w:tcPr>
          <w:p w14:paraId="46B054DB"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上海凯石财富基金销售有限公司</w:t>
            </w:r>
          </w:p>
        </w:tc>
        <w:tc>
          <w:tcPr>
            <w:tcW w:w="5160" w:type="dxa"/>
            <w:gridSpan w:val="2"/>
          </w:tcPr>
          <w:p w14:paraId="75B42E58"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(办公)地址：上海市黄浦区西藏南路765号602-115室</w:t>
            </w:r>
          </w:p>
          <w:p w14:paraId="1C62EF8A"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400-643-3389</w:t>
            </w:r>
          </w:p>
          <w:p w14:paraId="1A8C477E"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www.vstonewealth.com</w:t>
            </w:r>
          </w:p>
        </w:tc>
      </w:tr>
      <w:tr w:rsidR="0053132E" w:rsidRPr="00A40A5E" w14:paraId="791ADAD2" w14:textId="77777777" w:rsidTr="00C07F89">
        <w:tc>
          <w:tcPr>
            <w:tcW w:w="816" w:type="dxa"/>
          </w:tcPr>
          <w:p w14:paraId="0A7543CF" w14:textId="77777777" w:rsidR="0053132E" w:rsidRPr="00C52A47" w:rsidRDefault="0053132E" w:rsidP="00C91C24">
            <w:pPr>
              <w:jc w:val="center"/>
              <w:rPr>
                <w:rFonts w:ascii="宋体" w:hAnsi="宋体"/>
                <w:color w:val="000000"/>
              </w:rPr>
            </w:pPr>
            <w:r>
              <w:rPr>
                <w:rFonts w:ascii="宋体" w:hAnsi="宋体" w:hint="eastAsia"/>
                <w:color w:val="000000"/>
              </w:rPr>
              <w:t>38</w:t>
            </w:r>
          </w:p>
        </w:tc>
        <w:tc>
          <w:tcPr>
            <w:tcW w:w="2529" w:type="dxa"/>
          </w:tcPr>
          <w:p w14:paraId="4FB715BE" w14:textId="13F9EBF0" w:rsidR="0053132E" w:rsidRPr="00A40A5E" w:rsidRDefault="00D26BDA" w:rsidP="00C91C24">
            <w:pPr>
              <w:snapToGrid w:val="0"/>
              <w:rPr>
                <w:rFonts w:ascii="宋体" w:hAnsi="宋体" w:cs="Calibri"/>
                <w:color w:val="000000"/>
                <w:szCs w:val="21"/>
              </w:rPr>
            </w:pPr>
            <w:r w:rsidRPr="00D26BDA">
              <w:rPr>
                <w:rFonts w:ascii="宋体" w:hAnsi="宋体" w:cs="Calibri" w:hint="eastAsia"/>
                <w:color w:val="000000"/>
                <w:szCs w:val="21"/>
              </w:rPr>
              <w:t>北京度小满基金销售有限公司</w:t>
            </w:r>
          </w:p>
        </w:tc>
        <w:tc>
          <w:tcPr>
            <w:tcW w:w="5160" w:type="dxa"/>
            <w:gridSpan w:val="2"/>
          </w:tcPr>
          <w:p w14:paraId="0798A62C" w14:textId="77777777" w:rsidR="00D26BDA" w:rsidRPr="00D26BDA" w:rsidRDefault="00D26BDA" w:rsidP="00D26BDA">
            <w:pPr>
              <w:snapToGrid w:val="0"/>
              <w:rPr>
                <w:rFonts w:ascii="宋体" w:hAnsi="宋体" w:cs="Calibri"/>
                <w:color w:val="000000"/>
                <w:szCs w:val="21"/>
              </w:rPr>
            </w:pPr>
            <w:r w:rsidRPr="00D26BDA">
              <w:rPr>
                <w:rFonts w:ascii="宋体" w:hAnsi="宋体" w:cs="Calibri" w:hint="eastAsia"/>
                <w:color w:val="000000"/>
                <w:szCs w:val="21"/>
              </w:rPr>
              <w:t xml:space="preserve">注册（办公）地址：北京市海淀区西北旺东路 10 号院西区 4 号楼 1 层 103 室 </w:t>
            </w:r>
          </w:p>
          <w:p w14:paraId="062BA48E" w14:textId="77777777" w:rsidR="00D26BDA" w:rsidRPr="00D26BDA" w:rsidRDefault="00D26BDA" w:rsidP="00D26BDA">
            <w:pPr>
              <w:snapToGrid w:val="0"/>
              <w:rPr>
                <w:rFonts w:ascii="宋体" w:hAnsi="宋体" w:cs="Calibri"/>
                <w:color w:val="000000"/>
                <w:szCs w:val="21"/>
              </w:rPr>
            </w:pPr>
            <w:r w:rsidRPr="00D26BDA">
              <w:rPr>
                <w:rFonts w:ascii="宋体" w:hAnsi="宋体" w:cs="Calibri" w:hint="eastAsia"/>
                <w:color w:val="000000"/>
                <w:szCs w:val="21"/>
              </w:rPr>
              <w:t xml:space="preserve">客户服务电话：95055-4 </w:t>
            </w:r>
          </w:p>
          <w:p w14:paraId="7BBC1266" w14:textId="1C26EBF3" w:rsidR="0053132E" w:rsidRPr="00A40A5E" w:rsidRDefault="00D26BDA" w:rsidP="00C91C24">
            <w:pPr>
              <w:snapToGrid w:val="0"/>
              <w:rPr>
                <w:rFonts w:ascii="宋体" w:hAnsi="宋体" w:cs="Calibri"/>
                <w:color w:val="000000"/>
                <w:szCs w:val="21"/>
              </w:rPr>
            </w:pPr>
            <w:r w:rsidRPr="00D26BDA">
              <w:rPr>
                <w:rFonts w:ascii="宋体" w:hAnsi="宋体" w:cs="Calibri" w:hint="eastAsia"/>
                <w:color w:val="000000"/>
                <w:szCs w:val="21"/>
              </w:rPr>
              <w:t>网址：www.duxiaomanfund.com</w:t>
            </w:r>
          </w:p>
        </w:tc>
      </w:tr>
      <w:tr w:rsidR="0053132E" w:rsidRPr="00A40A5E" w14:paraId="3A31F0A9" w14:textId="77777777" w:rsidTr="00C07F89">
        <w:tc>
          <w:tcPr>
            <w:tcW w:w="816" w:type="dxa"/>
          </w:tcPr>
          <w:p w14:paraId="1649AF97" w14:textId="77777777" w:rsidR="0053132E" w:rsidRPr="00C52A47" w:rsidRDefault="0053132E" w:rsidP="00C91C24">
            <w:pPr>
              <w:jc w:val="center"/>
              <w:rPr>
                <w:rFonts w:ascii="宋体" w:hAnsi="宋体"/>
                <w:color w:val="000000"/>
              </w:rPr>
            </w:pPr>
            <w:r>
              <w:rPr>
                <w:rFonts w:ascii="宋体" w:hAnsi="宋体" w:hint="eastAsia"/>
                <w:color w:val="000000"/>
              </w:rPr>
              <w:t>39</w:t>
            </w:r>
          </w:p>
        </w:tc>
        <w:tc>
          <w:tcPr>
            <w:tcW w:w="2529" w:type="dxa"/>
          </w:tcPr>
          <w:p w14:paraId="23E1ECBA"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上海利得基金销售有限公司</w:t>
            </w:r>
          </w:p>
        </w:tc>
        <w:tc>
          <w:tcPr>
            <w:tcW w:w="5160" w:type="dxa"/>
            <w:gridSpan w:val="2"/>
          </w:tcPr>
          <w:p w14:paraId="2D43703E"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注册地址：上海市宝山区蕴川路5475号1033室</w:t>
            </w:r>
          </w:p>
          <w:p w14:paraId="0F35B7BE"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95733</w:t>
            </w:r>
          </w:p>
          <w:p w14:paraId="1AD6B6DD"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www.leadfund.com.cn</w:t>
            </w:r>
          </w:p>
        </w:tc>
      </w:tr>
      <w:tr w:rsidR="0053132E" w:rsidRPr="00A40A5E" w14:paraId="26C9E425" w14:textId="77777777" w:rsidTr="00C07F89">
        <w:tc>
          <w:tcPr>
            <w:tcW w:w="816" w:type="dxa"/>
          </w:tcPr>
          <w:p w14:paraId="28EA5BF6" w14:textId="77777777" w:rsidR="0053132E" w:rsidRPr="00C52A47" w:rsidRDefault="0053132E" w:rsidP="00C91C24">
            <w:pPr>
              <w:jc w:val="center"/>
              <w:rPr>
                <w:rFonts w:ascii="宋体" w:hAnsi="宋体"/>
                <w:color w:val="000000"/>
              </w:rPr>
            </w:pPr>
            <w:r>
              <w:rPr>
                <w:rFonts w:ascii="宋体" w:hAnsi="宋体" w:hint="eastAsia"/>
                <w:color w:val="000000"/>
              </w:rPr>
              <w:lastRenderedPageBreak/>
              <w:t>40</w:t>
            </w:r>
          </w:p>
        </w:tc>
        <w:tc>
          <w:tcPr>
            <w:tcW w:w="2529" w:type="dxa"/>
          </w:tcPr>
          <w:p w14:paraId="41D6BAAB"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南京苏宁基金销售有限公司</w:t>
            </w:r>
          </w:p>
        </w:tc>
        <w:tc>
          <w:tcPr>
            <w:tcW w:w="5160" w:type="dxa"/>
            <w:gridSpan w:val="2"/>
          </w:tcPr>
          <w:p w14:paraId="65C404D7"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注册(办公)地址 :南京市玄武区苏宁大道1-6号</w:t>
            </w:r>
          </w:p>
          <w:p w14:paraId="2BFA9A54"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客户服务电话：025-66996699</w:t>
            </w:r>
          </w:p>
          <w:p w14:paraId="47FF4369"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网址：</w:t>
            </w:r>
            <w:hyperlink r:id="rId23" w:history="1">
              <w:r w:rsidRPr="00A40A5E">
                <w:rPr>
                  <w:rStyle w:val="afc"/>
                  <w:rFonts w:ascii="宋体" w:hAnsi="宋体" w:cs="Calibri"/>
                  <w:szCs w:val="21"/>
                </w:rPr>
                <w:t>www.snjijin</w:t>
              </w:r>
            </w:hyperlink>
            <w:r w:rsidRPr="00A40A5E">
              <w:rPr>
                <w:rFonts w:ascii="宋体" w:hAnsi="宋体" w:cs="Calibri" w:hint="eastAsia"/>
                <w:color w:val="000000"/>
                <w:szCs w:val="21"/>
              </w:rPr>
              <w:t>.com</w:t>
            </w:r>
          </w:p>
        </w:tc>
      </w:tr>
      <w:tr w:rsidR="0053132E" w:rsidRPr="00A40A5E" w14:paraId="39763A80" w14:textId="77777777" w:rsidTr="00C07F89">
        <w:tc>
          <w:tcPr>
            <w:tcW w:w="816" w:type="dxa"/>
          </w:tcPr>
          <w:p w14:paraId="2A42207B" w14:textId="77777777" w:rsidR="0053132E" w:rsidRPr="00C52A47" w:rsidRDefault="0053132E" w:rsidP="00C91C24">
            <w:pPr>
              <w:jc w:val="center"/>
              <w:rPr>
                <w:rFonts w:ascii="宋体" w:hAnsi="宋体"/>
                <w:color w:val="000000"/>
              </w:rPr>
            </w:pPr>
            <w:r>
              <w:rPr>
                <w:rFonts w:ascii="宋体" w:hAnsi="宋体" w:hint="eastAsia"/>
                <w:color w:val="000000"/>
              </w:rPr>
              <w:t>41</w:t>
            </w:r>
          </w:p>
        </w:tc>
        <w:tc>
          <w:tcPr>
            <w:tcW w:w="2529" w:type="dxa"/>
          </w:tcPr>
          <w:p w14:paraId="45E4DBA3"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中证金牛（北京）投资咨询有限公司</w:t>
            </w:r>
          </w:p>
        </w:tc>
        <w:tc>
          <w:tcPr>
            <w:tcW w:w="5160" w:type="dxa"/>
            <w:gridSpan w:val="2"/>
          </w:tcPr>
          <w:p w14:paraId="77CAC498"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注册地址:北京市丰台区东管头</w:t>
            </w:r>
            <w:r w:rsidRPr="00A40A5E">
              <w:rPr>
                <w:rFonts w:ascii="宋体" w:hAnsi="宋体" w:cs="Calibri"/>
                <w:color w:val="000000"/>
                <w:szCs w:val="21"/>
              </w:rPr>
              <w:t>1号2号楼2-45室</w:t>
            </w:r>
          </w:p>
          <w:p w14:paraId="38E4E6E4"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客户服务电话：4008-909-998</w:t>
            </w:r>
          </w:p>
          <w:p w14:paraId="407A936B"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网址：www.jnlc.com</w:t>
            </w:r>
          </w:p>
        </w:tc>
      </w:tr>
      <w:tr w:rsidR="0053132E" w:rsidRPr="00A40A5E" w14:paraId="1E5DBBAB" w14:textId="77777777" w:rsidTr="00C07F89">
        <w:tc>
          <w:tcPr>
            <w:tcW w:w="816" w:type="dxa"/>
          </w:tcPr>
          <w:p w14:paraId="07AF170C" w14:textId="77777777" w:rsidR="0053132E" w:rsidRPr="00C52A47" w:rsidRDefault="0053132E" w:rsidP="00C91C24">
            <w:pPr>
              <w:jc w:val="center"/>
              <w:rPr>
                <w:rFonts w:ascii="宋体" w:hAnsi="宋体"/>
                <w:color w:val="000000"/>
              </w:rPr>
            </w:pPr>
            <w:r>
              <w:rPr>
                <w:rFonts w:ascii="宋体" w:hAnsi="宋体" w:hint="eastAsia"/>
                <w:color w:val="000000"/>
              </w:rPr>
              <w:t>42</w:t>
            </w:r>
          </w:p>
        </w:tc>
        <w:tc>
          <w:tcPr>
            <w:tcW w:w="2529" w:type="dxa"/>
          </w:tcPr>
          <w:p w14:paraId="6313D2F7"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江苏汇林保大基金销售有限公司</w:t>
            </w:r>
          </w:p>
        </w:tc>
        <w:tc>
          <w:tcPr>
            <w:tcW w:w="5160" w:type="dxa"/>
            <w:gridSpan w:val="2"/>
          </w:tcPr>
          <w:p w14:paraId="0A9142FF"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地址:</w:t>
            </w:r>
            <w:r w:rsidRPr="00A40A5E">
              <w:rPr>
                <w:rFonts w:ascii="宋体" w:hAnsi="宋体" w:cs="Calibri" w:hint="eastAsia"/>
                <w:color w:val="000000"/>
                <w:szCs w:val="21"/>
              </w:rPr>
              <w:t>南京市高淳区经济开发区古檀大道47号</w:t>
            </w:r>
          </w:p>
          <w:p w14:paraId="01C3EE62"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025-66046166</w:t>
            </w:r>
          </w:p>
          <w:p w14:paraId="549CCC7D"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网址：www.huilinbd.com</w:t>
            </w:r>
          </w:p>
        </w:tc>
      </w:tr>
      <w:tr w:rsidR="0053132E" w:rsidRPr="00A40A5E" w14:paraId="0023E93F" w14:textId="77777777" w:rsidTr="00C07F89">
        <w:tc>
          <w:tcPr>
            <w:tcW w:w="816" w:type="dxa"/>
          </w:tcPr>
          <w:p w14:paraId="0CF55AF4" w14:textId="77777777" w:rsidR="0053132E" w:rsidRPr="00C52A47" w:rsidRDefault="0053132E" w:rsidP="00C91C24">
            <w:pPr>
              <w:jc w:val="center"/>
              <w:rPr>
                <w:rFonts w:ascii="宋体" w:hAnsi="宋体"/>
                <w:color w:val="000000"/>
              </w:rPr>
            </w:pPr>
            <w:r>
              <w:rPr>
                <w:rFonts w:ascii="宋体" w:hAnsi="宋体" w:hint="eastAsia"/>
                <w:color w:val="000000"/>
              </w:rPr>
              <w:t>43</w:t>
            </w:r>
          </w:p>
        </w:tc>
        <w:tc>
          <w:tcPr>
            <w:tcW w:w="2529" w:type="dxa"/>
          </w:tcPr>
          <w:p w14:paraId="3BAEEF39"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玄元保险代理有限公司</w:t>
            </w:r>
          </w:p>
        </w:tc>
        <w:tc>
          <w:tcPr>
            <w:tcW w:w="5160" w:type="dxa"/>
            <w:gridSpan w:val="2"/>
          </w:tcPr>
          <w:p w14:paraId="411C3A78"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中国（上海）自由贸易试验区张杨路7</w:t>
            </w:r>
            <w:r w:rsidRPr="00A40A5E">
              <w:rPr>
                <w:rFonts w:ascii="宋体" w:hAnsi="宋体" w:cs="Calibri"/>
                <w:color w:val="000000"/>
                <w:szCs w:val="21"/>
              </w:rPr>
              <w:t>07</w:t>
            </w:r>
            <w:r w:rsidRPr="00A40A5E">
              <w:rPr>
                <w:rFonts w:ascii="宋体" w:hAnsi="宋体" w:cs="Calibri" w:hint="eastAsia"/>
                <w:color w:val="000000"/>
                <w:szCs w:val="21"/>
              </w:rPr>
              <w:t>号1</w:t>
            </w:r>
            <w:r w:rsidRPr="00A40A5E">
              <w:rPr>
                <w:rFonts w:ascii="宋体" w:hAnsi="宋体" w:cs="Calibri"/>
                <w:color w:val="000000"/>
                <w:szCs w:val="21"/>
              </w:rPr>
              <w:t>105</w:t>
            </w:r>
            <w:r w:rsidRPr="00A40A5E">
              <w:rPr>
                <w:rFonts w:ascii="宋体" w:hAnsi="宋体" w:cs="Calibri" w:hint="eastAsia"/>
                <w:color w:val="000000"/>
                <w:szCs w:val="21"/>
              </w:rPr>
              <w:t>室</w:t>
            </w:r>
          </w:p>
          <w:p w14:paraId="72FBE27C"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客户服务电话：0</w:t>
            </w:r>
            <w:r w:rsidRPr="00A40A5E">
              <w:rPr>
                <w:rFonts w:ascii="宋体" w:hAnsi="宋体" w:cs="Calibri"/>
                <w:color w:val="000000"/>
                <w:szCs w:val="21"/>
              </w:rPr>
              <w:t>21-50701003</w:t>
            </w:r>
          </w:p>
          <w:p w14:paraId="442CA788"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www.licaimofang.cn</w:t>
            </w:r>
          </w:p>
        </w:tc>
      </w:tr>
      <w:tr w:rsidR="0053132E" w:rsidRPr="00A40A5E" w14:paraId="64E931B5" w14:textId="77777777" w:rsidTr="00C07F89">
        <w:tc>
          <w:tcPr>
            <w:tcW w:w="816" w:type="dxa"/>
          </w:tcPr>
          <w:p w14:paraId="7CB7CB62" w14:textId="77777777" w:rsidR="0053132E" w:rsidRPr="00C52A47" w:rsidRDefault="0053132E" w:rsidP="00C91C24">
            <w:pPr>
              <w:jc w:val="center"/>
              <w:rPr>
                <w:rFonts w:ascii="宋体" w:hAnsi="宋体"/>
                <w:color w:val="000000"/>
              </w:rPr>
            </w:pPr>
            <w:r>
              <w:rPr>
                <w:rFonts w:ascii="宋体" w:hAnsi="宋体" w:hint="eastAsia"/>
                <w:color w:val="000000"/>
              </w:rPr>
              <w:t>44</w:t>
            </w:r>
          </w:p>
        </w:tc>
        <w:tc>
          <w:tcPr>
            <w:tcW w:w="2529" w:type="dxa"/>
          </w:tcPr>
          <w:p w14:paraId="320262F8"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宜信普泽（北京）基金销售有限公司</w:t>
            </w:r>
          </w:p>
        </w:tc>
        <w:tc>
          <w:tcPr>
            <w:tcW w:w="5160" w:type="dxa"/>
            <w:gridSpan w:val="2"/>
          </w:tcPr>
          <w:p w14:paraId="209B8968"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北京市</w:t>
            </w:r>
            <w:r w:rsidRPr="00A40A5E">
              <w:rPr>
                <w:rFonts w:ascii="宋体" w:hAnsi="宋体" w:cs="Calibri"/>
                <w:color w:val="000000"/>
                <w:szCs w:val="21"/>
              </w:rPr>
              <w:t>朝阳区建国路</w:t>
            </w:r>
            <w:r w:rsidRPr="00A40A5E">
              <w:rPr>
                <w:rFonts w:ascii="宋体" w:hAnsi="宋体" w:cs="Calibri" w:hint="eastAsia"/>
                <w:color w:val="000000"/>
                <w:szCs w:val="21"/>
              </w:rPr>
              <w:t>88号9号</w:t>
            </w:r>
            <w:r w:rsidRPr="00A40A5E">
              <w:rPr>
                <w:rFonts w:ascii="宋体" w:hAnsi="宋体" w:cs="Calibri"/>
                <w:color w:val="000000"/>
                <w:szCs w:val="21"/>
              </w:rPr>
              <w:t>楼</w:t>
            </w:r>
            <w:r w:rsidRPr="00A40A5E">
              <w:rPr>
                <w:rFonts w:ascii="宋体" w:hAnsi="宋体" w:cs="Calibri" w:hint="eastAsia"/>
                <w:color w:val="000000"/>
                <w:szCs w:val="21"/>
              </w:rPr>
              <w:t>15层1809</w:t>
            </w:r>
          </w:p>
          <w:p w14:paraId="09F30EEF"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客户服务电话：400</w:t>
            </w:r>
            <w:r w:rsidRPr="00A40A5E">
              <w:rPr>
                <w:rFonts w:ascii="宋体" w:hAnsi="宋体" w:cs="Calibri"/>
                <w:color w:val="000000"/>
                <w:szCs w:val="21"/>
              </w:rPr>
              <w:t>6099200</w:t>
            </w:r>
          </w:p>
          <w:p w14:paraId="4C90AA7C"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http://www.yixinfund.com/</w:t>
            </w:r>
          </w:p>
        </w:tc>
      </w:tr>
      <w:tr w:rsidR="0053132E" w:rsidRPr="00A40A5E" w14:paraId="12248031" w14:textId="77777777" w:rsidTr="00C07F89">
        <w:tc>
          <w:tcPr>
            <w:tcW w:w="816" w:type="dxa"/>
          </w:tcPr>
          <w:p w14:paraId="6124E4B6" w14:textId="77777777" w:rsidR="0053132E" w:rsidRPr="00C52A47" w:rsidRDefault="0053132E" w:rsidP="00C91C24">
            <w:pPr>
              <w:jc w:val="center"/>
              <w:rPr>
                <w:rFonts w:ascii="宋体" w:hAnsi="宋体"/>
                <w:color w:val="000000"/>
              </w:rPr>
            </w:pPr>
            <w:r>
              <w:rPr>
                <w:rFonts w:ascii="宋体" w:hAnsi="宋体" w:hint="eastAsia"/>
                <w:color w:val="000000"/>
              </w:rPr>
              <w:t>45</w:t>
            </w:r>
          </w:p>
        </w:tc>
        <w:tc>
          <w:tcPr>
            <w:tcW w:w="2529" w:type="dxa"/>
          </w:tcPr>
          <w:p w14:paraId="5F6712E6"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喜鹊财富基金销售有限公司</w:t>
            </w:r>
          </w:p>
        </w:tc>
        <w:tc>
          <w:tcPr>
            <w:tcW w:w="5160" w:type="dxa"/>
            <w:gridSpan w:val="2"/>
          </w:tcPr>
          <w:p w14:paraId="104CFA44"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西藏拉萨市柳梧新区柳梧大厦1513室</w:t>
            </w:r>
          </w:p>
          <w:p w14:paraId="7429CE14"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客户服务电话：400-699-7719</w:t>
            </w:r>
          </w:p>
          <w:p w14:paraId="02D3CB22" w14:textId="77777777" w:rsidR="0053132E" w:rsidRPr="00A40A5E" w:rsidRDefault="0053132E" w:rsidP="00C91C24">
            <w:pPr>
              <w:snapToGrid w:val="0"/>
              <w:rPr>
                <w:rFonts w:ascii="宋体" w:hAnsi="宋体" w:cs="Calibri"/>
                <w:color w:val="000000"/>
                <w:szCs w:val="21"/>
              </w:rPr>
            </w:pPr>
            <w:r w:rsidRPr="00A40A5E">
              <w:rPr>
                <w:rFonts w:ascii="宋体" w:hAnsi="宋体" w:cs="Calibri" w:hint="eastAsia"/>
                <w:color w:val="000000"/>
                <w:szCs w:val="21"/>
              </w:rPr>
              <w:t>网址：www.xiquefund.com</w:t>
            </w:r>
          </w:p>
        </w:tc>
      </w:tr>
      <w:tr w:rsidR="0053132E" w14:paraId="5FB4874C" w14:textId="77777777" w:rsidTr="00C07F89">
        <w:tc>
          <w:tcPr>
            <w:tcW w:w="816" w:type="dxa"/>
          </w:tcPr>
          <w:p w14:paraId="1D568B0E" w14:textId="77777777" w:rsidR="0053132E" w:rsidRDefault="0053132E" w:rsidP="00C91C24">
            <w:pPr>
              <w:jc w:val="center"/>
              <w:rPr>
                <w:rFonts w:ascii="宋体" w:hAnsi="宋体"/>
                <w:color w:val="000000"/>
              </w:rPr>
            </w:pPr>
            <w:r>
              <w:rPr>
                <w:rFonts w:ascii="宋体" w:hAnsi="宋体" w:hint="eastAsia"/>
                <w:color w:val="000000"/>
              </w:rPr>
              <w:t>46</w:t>
            </w:r>
          </w:p>
        </w:tc>
        <w:tc>
          <w:tcPr>
            <w:tcW w:w="2529" w:type="dxa"/>
          </w:tcPr>
          <w:p w14:paraId="1C216BDC" w14:textId="77777777" w:rsidR="0053132E" w:rsidRPr="00A40A5E" w:rsidRDefault="0053132E" w:rsidP="00C91C24">
            <w:pPr>
              <w:snapToGrid w:val="0"/>
              <w:rPr>
                <w:rFonts w:ascii="宋体" w:hAnsi="宋体" w:cs="Calibri"/>
                <w:color w:val="000000"/>
                <w:szCs w:val="21"/>
              </w:rPr>
            </w:pPr>
            <w:r>
              <w:rPr>
                <w:rFonts w:ascii="宋体" w:hAnsi="宋体" w:cs="Calibri" w:hint="eastAsia"/>
                <w:color w:val="000000"/>
                <w:szCs w:val="21"/>
              </w:rPr>
              <w:t>和耕传承基金销售有限公司</w:t>
            </w:r>
          </w:p>
        </w:tc>
        <w:tc>
          <w:tcPr>
            <w:tcW w:w="5160" w:type="dxa"/>
            <w:gridSpan w:val="2"/>
          </w:tcPr>
          <w:p w14:paraId="49338D3F" w14:textId="77777777" w:rsidR="0053132E" w:rsidRDefault="0053132E" w:rsidP="00C91C24">
            <w:pPr>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河南自贸试验区郑州片区（郑东）东风南路东康宁街北6号楼5楼503</w:t>
            </w:r>
          </w:p>
          <w:p w14:paraId="59BE77D0" w14:textId="77777777" w:rsidR="0053132E" w:rsidRDefault="0053132E" w:rsidP="00C91C24">
            <w:pPr>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color w:val="000000"/>
                <w:szCs w:val="21"/>
              </w:rPr>
              <w:t>4000-555-671</w:t>
            </w:r>
          </w:p>
          <w:p w14:paraId="7B073CCD" w14:textId="77777777" w:rsidR="0053132E" w:rsidRDefault="0053132E" w:rsidP="00C91C24">
            <w:pPr>
              <w:rPr>
                <w:rFonts w:ascii="宋体" w:hAnsi="宋体" w:cs="Calibri"/>
                <w:color w:val="000000"/>
                <w:szCs w:val="21"/>
              </w:rPr>
            </w:pPr>
            <w:r>
              <w:rPr>
                <w:rFonts w:ascii="宋体" w:hAnsi="宋体" w:cs="Calibri" w:hint="eastAsia"/>
                <w:color w:val="000000"/>
                <w:szCs w:val="21"/>
              </w:rPr>
              <w:t>网址：</w:t>
            </w:r>
            <w:r w:rsidRPr="009F3D98">
              <w:rPr>
                <w:rFonts w:ascii="宋体" w:hAnsi="宋体" w:cs="Calibri"/>
                <w:color w:val="000000"/>
                <w:szCs w:val="21"/>
              </w:rPr>
              <w:t>www. hgccpb.com</w:t>
            </w:r>
          </w:p>
        </w:tc>
      </w:tr>
      <w:tr w:rsidR="0053132E" w14:paraId="5EC46F5C" w14:textId="77777777" w:rsidTr="00C07F89">
        <w:tc>
          <w:tcPr>
            <w:tcW w:w="816" w:type="dxa"/>
          </w:tcPr>
          <w:p w14:paraId="2BB74E25" w14:textId="77777777" w:rsidR="0053132E" w:rsidRDefault="0053132E" w:rsidP="00C91C24">
            <w:pPr>
              <w:jc w:val="center"/>
              <w:rPr>
                <w:rFonts w:ascii="宋体" w:hAnsi="宋体"/>
                <w:color w:val="000000"/>
              </w:rPr>
            </w:pPr>
            <w:r>
              <w:rPr>
                <w:rFonts w:ascii="宋体" w:hAnsi="宋体" w:hint="eastAsia"/>
                <w:color w:val="000000"/>
              </w:rPr>
              <w:t>47</w:t>
            </w:r>
          </w:p>
        </w:tc>
        <w:tc>
          <w:tcPr>
            <w:tcW w:w="2529" w:type="dxa"/>
          </w:tcPr>
          <w:p w14:paraId="323DAB9F" w14:textId="77777777" w:rsidR="0053132E" w:rsidRPr="004E284A" w:rsidRDefault="0053132E" w:rsidP="00C91C24">
            <w:pPr>
              <w:rPr>
                <w:rFonts w:ascii="宋体" w:hAnsi="宋体"/>
                <w:color w:val="000000"/>
              </w:rPr>
            </w:pPr>
            <w:r>
              <w:rPr>
                <w:rFonts w:ascii="宋体" w:hAnsi="宋体" w:hint="eastAsia"/>
                <w:color w:val="000000"/>
              </w:rPr>
              <w:t>北京新浪仓石基金销售有限公司</w:t>
            </w:r>
          </w:p>
        </w:tc>
        <w:tc>
          <w:tcPr>
            <w:tcW w:w="5160" w:type="dxa"/>
            <w:gridSpan w:val="2"/>
          </w:tcPr>
          <w:p w14:paraId="02EDC5DC" w14:textId="77777777" w:rsidR="0053132E" w:rsidRDefault="0053132E" w:rsidP="00C91C24">
            <w:pPr>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北京市海淀区东北旺西路中关村软件园二期（西扩）N-1、N-2地块新浪总部科研楼5层518室</w:t>
            </w:r>
          </w:p>
          <w:p w14:paraId="76CC4D41" w14:textId="77777777" w:rsidR="0053132E" w:rsidRDefault="0053132E" w:rsidP="00C91C24">
            <w:pPr>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010-62675369</w:t>
            </w:r>
          </w:p>
          <w:p w14:paraId="16BCA9A2" w14:textId="77777777" w:rsidR="0053132E" w:rsidRDefault="0053132E" w:rsidP="00C91C24">
            <w:pPr>
              <w:rPr>
                <w:rFonts w:ascii="宋体" w:hAnsi="宋体" w:cs="Calibri"/>
                <w:color w:val="000000"/>
                <w:szCs w:val="21"/>
              </w:rPr>
            </w:pPr>
            <w:r>
              <w:rPr>
                <w:rFonts w:ascii="宋体" w:hAnsi="宋体" w:cs="Calibri" w:hint="eastAsia"/>
                <w:color w:val="000000"/>
                <w:szCs w:val="21"/>
              </w:rPr>
              <w:t>网址：</w:t>
            </w:r>
            <w:r w:rsidRPr="009F3D98">
              <w:rPr>
                <w:rFonts w:ascii="宋体" w:hAnsi="宋体" w:cs="Calibri" w:hint="eastAsia"/>
                <w:color w:val="000000"/>
                <w:szCs w:val="21"/>
              </w:rPr>
              <w:t>www.xincai.com</w:t>
            </w:r>
          </w:p>
        </w:tc>
      </w:tr>
      <w:tr w:rsidR="0053132E" w:rsidRPr="0037390A" w14:paraId="54713880" w14:textId="77777777" w:rsidTr="00C07F89">
        <w:tc>
          <w:tcPr>
            <w:tcW w:w="816" w:type="dxa"/>
          </w:tcPr>
          <w:p w14:paraId="30F10F83" w14:textId="77777777" w:rsidR="0053132E" w:rsidRDefault="0053132E" w:rsidP="00C91C24">
            <w:pPr>
              <w:jc w:val="center"/>
              <w:rPr>
                <w:rFonts w:ascii="宋体" w:hAnsi="宋体"/>
                <w:color w:val="000000"/>
              </w:rPr>
            </w:pPr>
            <w:r>
              <w:rPr>
                <w:rFonts w:ascii="宋体" w:hAnsi="宋体" w:hint="eastAsia"/>
                <w:color w:val="000000"/>
              </w:rPr>
              <w:t>48</w:t>
            </w:r>
          </w:p>
        </w:tc>
        <w:tc>
          <w:tcPr>
            <w:tcW w:w="2529" w:type="dxa"/>
          </w:tcPr>
          <w:p w14:paraId="2AECEE6E" w14:textId="77777777" w:rsidR="0053132E" w:rsidRPr="004E284A" w:rsidRDefault="0053132E" w:rsidP="00C91C24">
            <w:pPr>
              <w:rPr>
                <w:rFonts w:ascii="宋体" w:hAnsi="宋体"/>
                <w:color w:val="000000"/>
              </w:rPr>
            </w:pPr>
            <w:r>
              <w:rPr>
                <w:rFonts w:ascii="宋体" w:hAnsi="宋体" w:cs="Calibri" w:hint="eastAsia"/>
                <w:bCs/>
                <w:color w:val="000000"/>
                <w:szCs w:val="21"/>
              </w:rPr>
              <w:t>华瑞保险销售有限公司</w:t>
            </w:r>
          </w:p>
        </w:tc>
        <w:tc>
          <w:tcPr>
            <w:tcW w:w="5160" w:type="dxa"/>
            <w:gridSpan w:val="2"/>
          </w:tcPr>
          <w:p w14:paraId="5E83C3A2" w14:textId="77777777" w:rsidR="0053132E" w:rsidRDefault="0053132E" w:rsidP="00C91C24">
            <w:pPr>
              <w:rPr>
                <w:rFonts w:ascii="宋体" w:hAnsi="宋体"/>
                <w:color w:val="000000"/>
              </w:rPr>
            </w:pPr>
            <w:r w:rsidRPr="0037390A">
              <w:rPr>
                <w:rFonts w:ascii="宋体" w:hAnsi="宋体" w:hint="eastAsia"/>
                <w:color w:val="000000"/>
              </w:rPr>
              <w:t>注册</w:t>
            </w:r>
            <w:r w:rsidRPr="0037390A">
              <w:rPr>
                <w:rFonts w:ascii="宋体" w:hAnsi="宋体"/>
                <w:color w:val="000000"/>
              </w:rPr>
              <w:t>地址:</w:t>
            </w:r>
            <w:r w:rsidRPr="0037390A" w:rsidDel="00FA340E">
              <w:rPr>
                <w:rFonts w:ascii="宋体" w:hAnsi="宋体"/>
                <w:color w:val="000000"/>
              </w:rPr>
              <w:t xml:space="preserve"> </w:t>
            </w:r>
            <w:r w:rsidRPr="0037390A">
              <w:rPr>
                <w:rFonts w:ascii="宋体" w:hAnsi="宋体" w:hint="eastAsia"/>
                <w:color w:val="000000"/>
              </w:rPr>
              <w:t>上海市嘉定区南翔镇众仁路399号运通星财富广场1号楼B座13、14层</w:t>
            </w:r>
          </w:p>
          <w:p w14:paraId="7FF4F73D" w14:textId="77777777" w:rsidR="0053132E" w:rsidRPr="0037390A" w:rsidRDefault="0053132E" w:rsidP="00C91C24">
            <w:pPr>
              <w:rPr>
                <w:rFonts w:ascii="宋体" w:hAnsi="宋体"/>
                <w:color w:val="000000"/>
              </w:rPr>
            </w:pPr>
            <w:r w:rsidRPr="0037390A">
              <w:rPr>
                <w:rFonts w:ascii="宋体" w:hAnsi="宋体" w:hint="eastAsia"/>
                <w:color w:val="000000"/>
              </w:rPr>
              <w:t>客户服务电话：952303</w:t>
            </w:r>
          </w:p>
          <w:p w14:paraId="73BDD3BF" w14:textId="77777777" w:rsidR="0053132E" w:rsidRPr="0037390A" w:rsidRDefault="0053132E" w:rsidP="00C91C24">
            <w:pPr>
              <w:rPr>
                <w:rFonts w:ascii="宋体" w:hAnsi="宋体"/>
                <w:color w:val="000000"/>
              </w:rPr>
            </w:pPr>
            <w:r w:rsidRPr="0037390A">
              <w:rPr>
                <w:rFonts w:ascii="宋体" w:hAnsi="宋体" w:hint="eastAsia"/>
                <w:color w:val="000000"/>
              </w:rPr>
              <w:t>网址：w</w:t>
            </w:r>
            <w:r w:rsidRPr="0037390A">
              <w:rPr>
                <w:rFonts w:ascii="宋体" w:hAnsi="宋体"/>
                <w:color w:val="000000"/>
              </w:rPr>
              <w:t>ww.huaruisales.com</w:t>
            </w:r>
          </w:p>
        </w:tc>
      </w:tr>
      <w:tr w:rsidR="0053132E" w:rsidRPr="00F20D14" w14:paraId="59D9C2DC" w14:textId="77777777" w:rsidTr="00C07F89">
        <w:tc>
          <w:tcPr>
            <w:tcW w:w="816" w:type="dxa"/>
          </w:tcPr>
          <w:p w14:paraId="169178EB" w14:textId="77777777" w:rsidR="0053132E" w:rsidRDefault="0053132E" w:rsidP="00C91C24">
            <w:pPr>
              <w:jc w:val="center"/>
              <w:rPr>
                <w:rFonts w:ascii="宋体" w:hAnsi="宋体"/>
                <w:color w:val="000000"/>
              </w:rPr>
            </w:pPr>
            <w:r>
              <w:rPr>
                <w:rFonts w:ascii="宋体" w:hAnsi="宋体" w:hint="eastAsia"/>
                <w:color w:val="000000"/>
              </w:rPr>
              <w:t>49</w:t>
            </w:r>
          </w:p>
        </w:tc>
        <w:tc>
          <w:tcPr>
            <w:tcW w:w="2529" w:type="dxa"/>
          </w:tcPr>
          <w:p w14:paraId="65D890DB" w14:textId="77777777" w:rsidR="0053132E" w:rsidRDefault="0053132E" w:rsidP="00C91C24">
            <w:pPr>
              <w:rPr>
                <w:rFonts w:ascii="宋体" w:hAnsi="宋体" w:cs="Calibri"/>
                <w:bCs/>
                <w:color w:val="000000"/>
                <w:szCs w:val="21"/>
              </w:rPr>
            </w:pPr>
            <w:r w:rsidRPr="00F20D14">
              <w:rPr>
                <w:rFonts w:ascii="宋体" w:hAnsi="宋体" w:cs="Calibri" w:hint="eastAsia"/>
                <w:bCs/>
                <w:color w:val="000000"/>
                <w:szCs w:val="21"/>
              </w:rPr>
              <w:t>阳光人寿保险股份有限公司</w:t>
            </w:r>
          </w:p>
        </w:tc>
        <w:tc>
          <w:tcPr>
            <w:tcW w:w="5160" w:type="dxa"/>
            <w:gridSpan w:val="2"/>
          </w:tcPr>
          <w:p w14:paraId="403A1852" w14:textId="77777777" w:rsidR="0053132E" w:rsidRDefault="0053132E" w:rsidP="00C91C24">
            <w:pPr>
              <w:rPr>
                <w:rFonts w:ascii="宋体" w:hAnsi="宋体" w:cs="Calibri"/>
                <w:color w:val="000000"/>
                <w:szCs w:val="21"/>
              </w:rPr>
            </w:pPr>
            <w:r w:rsidRPr="000E1DB5">
              <w:rPr>
                <w:rFonts w:ascii="宋体" w:hAnsi="宋体" w:cs="Calibri" w:hint="eastAsia"/>
                <w:color w:val="000000"/>
                <w:szCs w:val="21"/>
              </w:rPr>
              <w:t>注册</w:t>
            </w:r>
            <w:r w:rsidRPr="000E1DB5">
              <w:rPr>
                <w:rFonts w:ascii="宋体" w:hAnsi="宋体" w:cs="Calibri"/>
                <w:color w:val="000000"/>
                <w:szCs w:val="21"/>
              </w:rPr>
              <w:t>地址:</w:t>
            </w:r>
            <w:r w:rsidRPr="000E1DB5" w:rsidDel="00FA340E">
              <w:rPr>
                <w:rFonts w:ascii="宋体" w:hAnsi="宋体" w:cs="Calibri"/>
                <w:color w:val="000000"/>
                <w:szCs w:val="21"/>
              </w:rPr>
              <w:t xml:space="preserve"> </w:t>
            </w:r>
            <w:r w:rsidRPr="000E1DB5">
              <w:rPr>
                <w:rFonts w:ascii="宋体" w:hAnsi="宋体" w:cs="Calibri" w:hint="eastAsia"/>
                <w:color w:val="000000"/>
                <w:szCs w:val="21"/>
              </w:rPr>
              <w:t>海南省三亚市迎宾路360-1号三亚阳光金融广场16层</w:t>
            </w:r>
          </w:p>
          <w:p w14:paraId="0FC3D7CF" w14:textId="77777777" w:rsidR="0053132E" w:rsidRPr="000E1DB5" w:rsidRDefault="0053132E" w:rsidP="00C91C24">
            <w:pPr>
              <w:widowControl/>
              <w:jc w:val="left"/>
              <w:rPr>
                <w:rFonts w:ascii="宋体" w:hAnsi="宋体" w:cs="Calibri"/>
                <w:color w:val="000000"/>
                <w:szCs w:val="21"/>
              </w:rPr>
            </w:pPr>
            <w:r w:rsidRPr="000E1DB5">
              <w:rPr>
                <w:rFonts w:ascii="宋体" w:hAnsi="宋体" w:cs="Calibri" w:hint="eastAsia"/>
                <w:color w:val="000000"/>
                <w:szCs w:val="21"/>
              </w:rPr>
              <w:t>客户服务电话：95510</w:t>
            </w:r>
          </w:p>
          <w:p w14:paraId="673AE7C1" w14:textId="77777777" w:rsidR="0053132E" w:rsidRPr="00F20D14" w:rsidRDefault="0053132E" w:rsidP="00C91C24">
            <w:pPr>
              <w:widowControl/>
              <w:jc w:val="left"/>
              <w:rPr>
                <w:rFonts w:ascii="宋体" w:hAnsi="宋体" w:cs="Calibri"/>
                <w:color w:val="000000"/>
                <w:szCs w:val="21"/>
              </w:rPr>
            </w:pPr>
            <w:r w:rsidRPr="000E1DB5">
              <w:rPr>
                <w:rFonts w:ascii="宋体" w:hAnsi="宋体" w:cs="Calibri" w:hint="eastAsia"/>
                <w:color w:val="000000"/>
                <w:szCs w:val="21"/>
              </w:rPr>
              <w:t>网址：fund.sinosig.com</w:t>
            </w:r>
          </w:p>
        </w:tc>
      </w:tr>
      <w:tr w:rsidR="00C07F89" w:rsidRPr="00772392" w14:paraId="0F5633AD" w14:textId="77777777" w:rsidTr="00C07F89">
        <w:trPr>
          <w:gridAfter w:val="1"/>
          <w:wAfter w:w="28" w:type="dxa"/>
        </w:trPr>
        <w:tc>
          <w:tcPr>
            <w:tcW w:w="816" w:type="dxa"/>
          </w:tcPr>
          <w:p w14:paraId="6C7B5074" w14:textId="77777777" w:rsidR="00942509" w:rsidRDefault="00942509" w:rsidP="00772392">
            <w:pPr>
              <w:jc w:val="center"/>
              <w:rPr>
                <w:rFonts w:ascii="宋体" w:hAnsi="宋体"/>
                <w:color w:val="000000"/>
              </w:rPr>
            </w:pPr>
            <w:r>
              <w:rPr>
                <w:rFonts w:ascii="宋体" w:hAnsi="宋体" w:hint="eastAsia"/>
                <w:color w:val="000000"/>
              </w:rPr>
              <w:t>50</w:t>
            </w:r>
          </w:p>
        </w:tc>
        <w:tc>
          <w:tcPr>
            <w:tcW w:w="2529" w:type="dxa"/>
          </w:tcPr>
          <w:p w14:paraId="51CA6C6C" w14:textId="77777777" w:rsidR="00942509" w:rsidRDefault="00942509" w:rsidP="00772392">
            <w:pPr>
              <w:pStyle w:val="aff1"/>
              <w:widowControl/>
              <w:ind w:firstLineChars="0" w:firstLine="0"/>
            </w:pPr>
            <w:r>
              <w:t>通华财富（上海）基金销售有限公司</w:t>
            </w:r>
          </w:p>
          <w:p w14:paraId="5DAE55DB" w14:textId="77777777" w:rsidR="00942509" w:rsidRPr="00F20D14" w:rsidRDefault="00942509" w:rsidP="00772392">
            <w:pPr>
              <w:pStyle w:val="aff1"/>
              <w:widowControl/>
              <w:ind w:firstLineChars="0" w:firstLine="0"/>
              <w:rPr>
                <w:rFonts w:ascii="宋体" w:hAnsi="宋体" w:cs="Calibri"/>
                <w:bCs/>
                <w:color w:val="000000"/>
                <w:szCs w:val="21"/>
              </w:rPr>
            </w:pPr>
          </w:p>
        </w:tc>
        <w:tc>
          <w:tcPr>
            <w:tcW w:w="5132" w:type="dxa"/>
          </w:tcPr>
          <w:p w14:paraId="04209E9C" w14:textId="77777777" w:rsidR="00942509" w:rsidRDefault="00942509" w:rsidP="00772392">
            <w:pPr>
              <w:pStyle w:val="aff1"/>
              <w:widowControl/>
              <w:ind w:firstLineChars="0" w:firstLine="0"/>
            </w:pPr>
            <w:r>
              <w:t>注册</w:t>
            </w:r>
            <w:r w:rsidRPr="00C52A47">
              <w:rPr>
                <w:rFonts w:ascii="宋体" w:hAnsi="宋体" w:cs="Calibri" w:hint="eastAsia"/>
                <w:color w:val="000000"/>
                <w:szCs w:val="21"/>
              </w:rPr>
              <w:t>（办公）</w:t>
            </w:r>
            <w:r>
              <w:t>地址：上海市虹口区同丰路</w:t>
            </w:r>
            <w:r>
              <w:t xml:space="preserve"> 667 </w:t>
            </w:r>
            <w:r>
              <w:t>弄</w:t>
            </w:r>
            <w:r>
              <w:t xml:space="preserve"> 107 </w:t>
            </w:r>
            <w:r>
              <w:t>号</w:t>
            </w:r>
            <w:r>
              <w:t xml:space="preserve"> 201 </w:t>
            </w:r>
            <w:r>
              <w:t>室</w:t>
            </w:r>
            <w:r>
              <w:t xml:space="preserve"> </w:t>
            </w:r>
          </w:p>
          <w:p w14:paraId="7271774C" w14:textId="77777777" w:rsidR="00942509" w:rsidRDefault="00942509" w:rsidP="00772392">
            <w:pPr>
              <w:pStyle w:val="aff1"/>
              <w:widowControl/>
              <w:ind w:firstLineChars="0" w:firstLine="0"/>
            </w:pPr>
            <w:r>
              <w:t>客户服务电话：</w:t>
            </w:r>
            <w:r>
              <w:t>400-101-9301</w:t>
            </w:r>
          </w:p>
          <w:p w14:paraId="05FA9A65" w14:textId="77777777" w:rsidR="00942509" w:rsidRPr="00772392" w:rsidRDefault="00942509" w:rsidP="00772392">
            <w:pPr>
              <w:pStyle w:val="aff1"/>
              <w:widowControl/>
              <w:ind w:firstLineChars="0" w:firstLine="0"/>
            </w:pPr>
            <w:r>
              <w:t>网址：</w:t>
            </w:r>
            <w:hyperlink r:id="rId24" w:history="1">
              <w:r w:rsidRPr="00F52337">
                <w:rPr>
                  <w:rStyle w:val="afc"/>
                </w:rPr>
                <w:t>www.tonghuafund.com</w:t>
              </w:r>
            </w:hyperlink>
          </w:p>
        </w:tc>
      </w:tr>
      <w:tr w:rsidR="00C07F89" w:rsidRPr="000E1DB5" w14:paraId="7220856C" w14:textId="77777777" w:rsidTr="00C07F89">
        <w:trPr>
          <w:gridAfter w:val="1"/>
          <w:wAfter w:w="28" w:type="dxa"/>
        </w:trPr>
        <w:tc>
          <w:tcPr>
            <w:tcW w:w="816" w:type="dxa"/>
          </w:tcPr>
          <w:p w14:paraId="31D066A3" w14:textId="77777777" w:rsidR="00942509" w:rsidRDefault="00942509" w:rsidP="00772392">
            <w:pPr>
              <w:jc w:val="center"/>
              <w:rPr>
                <w:rFonts w:ascii="宋体" w:hAnsi="宋体"/>
                <w:color w:val="000000"/>
              </w:rPr>
            </w:pPr>
            <w:r>
              <w:rPr>
                <w:rFonts w:ascii="宋体" w:hAnsi="宋体" w:hint="eastAsia"/>
                <w:color w:val="000000"/>
              </w:rPr>
              <w:t>51</w:t>
            </w:r>
          </w:p>
        </w:tc>
        <w:tc>
          <w:tcPr>
            <w:tcW w:w="2529" w:type="dxa"/>
          </w:tcPr>
          <w:p w14:paraId="22FE59DA" w14:textId="77777777" w:rsidR="00942509" w:rsidRDefault="00942509" w:rsidP="00772392">
            <w:pPr>
              <w:pStyle w:val="aff1"/>
              <w:widowControl/>
              <w:ind w:firstLineChars="0" w:firstLine="0"/>
            </w:pPr>
            <w:r>
              <w:t>上海万得基金销售有限公司</w:t>
            </w:r>
            <w:r>
              <w:t xml:space="preserve"> </w:t>
            </w:r>
          </w:p>
          <w:p w14:paraId="12C9C37C" w14:textId="77777777" w:rsidR="00942509" w:rsidRPr="00F20D14" w:rsidRDefault="00942509" w:rsidP="00772392">
            <w:pPr>
              <w:rPr>
                <w:rFonts w:ascii="宋体" w:hAnsi="宋体" w:cs="Calibri"/>
                <w:bCs/>
                <w:color w:val="000000"/>
                <w:szCs w:val="21"/>
              </w:rPr>
            </w:pPr>
          </w:p>
        </w:tc>
        <w:tc>
          <w:tcPr>
            <w:tcW w:w="5132" w:type="dxa"/>
          </w:tcPr>
          <w:p w14:paraId="615D23DE" w14:textId="77777777" w:rsidR="00942509" w:rsidRDefault="00942509" w:rsidP="00772392">
            <w:pPr>
              <w:pStyle w:val="aff1"/>
              <w:widowControl/>
              <w:ind w:firstLineChars="0" w:firstLine="0"/>
            </w:pPr>
            <w:r>
              <w:t>注册</w:t>
            </w:r>
            <w:r w:rsidRPr="00C52A47">
              <w:rPr>
                <w:rFonts w:ascii="宋体" w:hAnsi="宋体" w:cs="Calibri" w:hint="eastAsia"/>
                <w:color w:val="000000"/>
                <w:szCs w:val="21"/>
              </w:rPr>
              <w:t>（办公）</w:t>
            </w:r>
            <w:r>
              <w:t>地址：中国（上海）自由贸易试验区福山路</w:t>
            </w:r>
            <w:r>
              <w:t xml:space="preserve"> 33 </w:t>
            </w:r>
            <w:r>
              <w:t>号</w:t>
            </w:r>
            <w:r>
              <w:t xml:space="preserve"> 11 </w:t>
            </w:r>
            <w:r>
              <w:t>楼</w:t>
            </w:r>
            <w:r>
              <w:t xml:space="preserve"> B </w:t>
            </w:r>
            <w:r>
              <w:t>座</w:t>
            </w:r>
            <w:r>
              <w:t xml:space="preserve"> </w:t>
            </w:r>
          </w:p>
          <w:p w14:paraId="4D35E1DA" w14:textId="77777777" w:rsidR="00942509" w:rsidRDefault="00942509" w:rsidP="00772392">
            <w:pPr>
              <w:pStyle w:val="aff1"/>
              <w:widowControl/>
              <w:ind w:firstLineChars="0" w:firstLine="0"/>
            </w:pPr>
            <w:r>
              <w:t>客户服务电话：</w:t>
            </w:r>
            <w:r>
              <w:t xml:space="preserve">400-799-1888 </w:t>
            </w:r>
          </w:p>
          <w:p w14:paraId="272638BF" w14:textId="77777777" w:rsidR="00942509" w:rsidRPr="000E1DB5" w:rsidRDefault="00942509" w:rsidP="00772392">
            <w:pPr>
              <w:rPr>
                <w:rFonts w:ascii="宋体" w:hAnsi="宋体" w:cs="Calibri"/>
                <w:color w:val="000000"/>
                <w:szCs w:val="21"/>
              </w:rPr>
            </w:pPr>
            <w:r>
              <w:t>网址：</w:t>
            </w:r>
            <w:r>
              <w:t>www.520fund.com.cn</w:t>
            </w:r>
          </w:p>
        </w:tc>
      </w:tr>
      <w:tr w:rsidR="00C07F89" w:rsidRPr="000E1DB5" w14:paraId="433060E7" w14:textId="77777777" w:rsidTr="00C07F89">
        <w:trPr>
          <w:gridAfter w:val="1"/>
          <w:wAfter w:w="28" w:type="dxa"/>
        </w:trPr>
        <w:tc>
          <w:tcPr>
            <w:tcW w:w="816" w:type="dxa"/>
          </w:tcPr>
          <w:p w14:paraId="593AC07F" w14:textId="77777777" w:rsidR="00942509" w:rsidRDefault="00942509" w:rsidP="00772392">
            <w:pPr>
              <w:jc w:val="center"/>
              <w:rPr>
                <w:rFonts w:ascii="宋体" w:hAnsi="宋体"/>
                <w:color w:val="000000"/>
              </w:rPr>
            </w:pPr>
            <w:r>
              <w:rPr>
                <w:rFonts w:ascii="宋体" w:hAnsi="宋体" w:hint="eastAsia"/>
                <w:color w:val="000000"/>
              </w:rPr>
              <w:t>52</w:t>
            </w:r>
          </w:p>
        </w:tc>
        <w:tc>
          <w:tcPr>
            <w:tcW w:w="2529" w:type="dxa"/>
          </w:tcPr>
          <w:p w14:paraId="3DF7B4A3" w14:textId="77777777" w:rsidR="00942509" w:rsidRDefault="00942509" w:rsidP="00772392">
            <w:pPr>
              <w:pStyle w:val="aff1"/>
              <w:widowControl/>
              <w:ind w:firstLineChars="0" w:firstLine="0"/>
            </w:pPr>
            <w:r>
              <w:t>泛华普益基金销售有限公司</w:t>
            </w:r>
            <w:r>
              <w:t xml:space="preserve"> </w:t>
            </w:r>
          </w:p>
          <w:p w14:paraId="62D993AD" w14:textId="77777777" w:rsidR="00942509" w:rsidRPr="00F20D14" w:rsidRDefault="00942509" w:rsidP="00772392">
            <w:pPr>
              <w:rPr>
                <w:rFonts w:ascii="宋体" w:hAnsi="宋体" w:cs="Calibri"/>
                <w:bCs/>
                <w:color w:val="000000"/>
                <w:szCs w:val="21"/>
              </w:rPr>
            </w:pPr>
          </w:p>
        </w:tc>
        <w:tc>
          <w:tcPr>
            <w:tcW w:w="5132" w:type="dxa"/>
          </w:tcPr>
          <w:p w14:paraId="5003321B" w14:textId="77777777" w:rsidR="00942509" w:rsidRDefault="00942509" w:rsidP="00772392">
            <w:pPr>
              <w:pStyle w:val="aff1"/>
              <w:widowControl/>
              <w:ind w:firstLineChars="0" w:firstLine="0"/>
            </w:pPr>
            <w:r>
              <w:lastRenderedPageBreak/>
              <w:t>注册</w:t>
            </w:r>
            <w:r w:rsidRPr="00C52A47">
              <w:rPr>
                <w:rFonts w:ascii="宋体" w:hAnsi="宋体" w:cs="Calibri" w:hint="eastAsia"/>
                <w:color w:val="000000"/>
                <w:szCs w:val="21"/>
              </w:rPr>
              <w:t>（办公）</w:t>
            </w:r>
            <w:r>
              <w:t>地址：成都市成华区建设路</w:t>
            </w:r>
            <w:r>
              <w:t>9</w:t>
            </w:r>
            <w:r>
              <w:t>号高地中心</w:t>
            </w:r>
            <w:r>
              <w:t xml:space="preserve">1101 </w:t>
            </w:r>
            <w:r>
              <w:t>室</w:t>
            </w:r>
          </w:p>
          <w:p w14:paraId="25A622FB" w14:textId="77777777" w:rsidR="00942509" w:rsidRDefault="00942509" w:rsidP="00772392">
            <w:pPr>
              <w:pStyle w:val="aff1"/>
              <w:widowControl/>
              <w:ind w:firstLineChars="0" w:firstLine="0"/>
            </w:pPr>
            <w:r>
              <w:lastRenderedPageBreak/>
              <w:t>客户服务电话：</w:t>
            </w:r>
            <w:r>
              <w:t xml:space="preserve">400-080-3388 </w:t>
            </w:r>
          </w:p>
          <w:p w14:paraId="7198C39C" w14:textId="77777777" w:rsidR="00942509" w:rsidRPr="000E1DB5" w:rsidRDefault="00942509" w:rsidP="00772392">
            <w:pPr>
              <w:rPr>
                <w:rFonts w:ascii="宋体" w:hAnsi="宋体" w:cs="Calibri"/>
                <w:color w:val="000000"/>
                <w:szCs w:val="21"/>
              </w:rPr>
            </w:pPr>
            <w:r>
              <w:t>网址：</w:t>
            </w:r>
            <w:hyperlink r:id="rId25" w:history="1">
              <w:r w:rsidRPr="00F52337">
                <w:rPr>
                  <w:rStyle w:val="afc"/>
                </w:rPr>
                <w:t>www.puyifund.com</w:t>
              </w:r>
            </w:hyperlink>
          </w:p>
        </w:tc>
      </w:tr>
      <w:tr w:rsidR="00C07F89" w:rsidRPr="000E1DB5" w14:paraId="4C1128E4" w14:textId="77777777" w:rsidTr="00C07F89">
        <w:trPr>
          <w:gridAfter w:val="1"/>
          <w:wAfter w:w="28" w:type="dxa"/>
        </w:trPr>
        <w:tc>
          <w:tcPr>
            <w:tcW w:w="816" w:type="dxa"/>
          </w:tcPr>
          <w:p w14:paraId="4F600E3B" w14:textId="77777777" w:rsidR="00942509" w:rsidRDefault="00942509" w:rsidP="00772392">
            <w:pPr>
              <w:jc w:val="center"/>
              <w:rPr>
                <w:rFonts w:ascii="宋体" w:hAnsi="宋体"/>
                <w:color w:val="000000"/>
              </w:rPr>
            </w:pPr>
            <w:r>
              <w:rPr>
                <w:rFonts w:ascii="宋体" w:hAnsi="宋体" w:hint="eastAsia"/>
                <w:color w:val="000000"/>
              </w:rPr>
              <w:lastRenderedPageBreak/>
              <w:t>53</w:t>
            </w:r>
          </w:p>
        </w:tc>
        <w:tc>
          <w:tcPr>
            <w:tcW w:w="2529" w:type="dxa"/>
          </w:tcPr>
          <w:p w14:paraId="330ECC4B" w14:textId="77777777" w:rsidR="00942509" w:rsidRDefault="00942509" w:rsidP="00772392">
            <w:pPr>
              <w:pStyle w:val="aff1"/>
              <w:widowControl/>
              <w:ind w:firstLineChars="0" w:firstLine="0"/>
            </w:pPr>
            <w:r w:rsidRPr="00995BFF">
              <w:rPr>
                <w:rFonts w:hint="eastAsia"/>
              </w:rPr>
              <w:t>众惠基金销售有限公司</w:t>
            </w:r>
          </w:p>
          <w:p w14:paraId="59C0316F" w14:textId="77777777" w:rsidR="00942509" w:rsidRPr="00F20D14" w:rsidRDefault="00942509" w:rsidP="00772392">
            <w:pPr>
              <w:rPr>
                <w:rFonts w:ascii="宋体" w:hAnsi="宋体" w:cs="Calibri"/>
                <w:bCs/>
                <w:color w:val="000000"/>
                <w:szCs w:val="21"/>
              </w:rPr>
            </w:pPr>
          </w:p>
        </w:tc>
        <w:tc>
          <w:tcPr>
            <w:tcW w:w="5132" w:type="dxa"/>
          </w:tcPr>
          <w:p w14:paraId="3D356782" w14:textId="77777777" w:rsidR="00942509" w:rsidRDefault="00942509" w:rsidP="00772392">
            <w:pPr>
              <w:pStyle w:val="aff1"/>
              <w:widowControl/>
              <w:ind w:firstLineChars="0" w:firstLine="0"/>
            </w:pPr>
            <w:r>
              <w:t>注册</w:t>
            </w:r>
            <w:r w:rsidRPr="00C52A47">
              <w:rPr>
                <w:rFonts w:ascii="宋体" w:hAnsi="宋体" w:cs="Calibri" w:hint="eastAsia"/>
                <w:color w:val="000000"/>
                <w:szCs w:val="21"/>
              </w:rPr>
              <w:t>（办公）</w:t>
            </w:r>
            <w:r>
              <w:t>地址：</w:t>
            </w:r>
            <w:r w:rsidRPr="00995BFF">
              <w:rPr>
                <w:rFonts w:hint="eastAsia"/>
              </w:rPr>
              <w:t>贵州省贵阳市观山湖区长岭北路贵阳国际金融中心二期商务区第</w:t>
            </w:r>
            <w:r w:rsidRPr="00995BFF">
              <w:rPr>
                <w:rFonts w:hint="eastAsia"/>
              </w:rPr>
              <w:t>C4</w:t>
            </w:r>
            <w:r w:rsidRPr="00995BFF">
              <w:rPr>
                <w:rFonts w:hint="eastAsia"/>
              </w:rPr>
              <w:t>栋</w:t>
            </w:r>
            <w:r w:rsidRPr="00995BFF">
              <w:rPr>
                <w:rFonts w:hint="eastAsia"/>
              </w:rPr>
              <w:t>30</w:t>
            </w:r>
            <w:r w:rsidRPr="00995BFF">
              <w:rPr>
                <w:rFonts w:hint="eastAsia"/>
              </w:rPr>
              <w:t>层</w:t>
            </w:r>
          </w:p>
          <w:p w14:paraId="44D0CD8D" w14:textId="77777777" w:rsidR="00942509" w:rsidRDefault="00942509" w:rsidP="00772392">
            <w:pPr>
              <w:pStyle w:val="aff1"/>
              <w:widowControl/>
              <w:ind w:firstLineChars="0" w:firstLine="0"/>
            </w:pPr>
            <w:r>
              <w:rPr>
                <w:rFonts w:hint="eastAsia"/>
              </w:rPr>
              <w:t>客服电话：</w:t>
            </w:r>
            <w:r>
              <w:rPr>
                <w:rFonts w:hint="eastAsia"/>
              </w:rPr>
              <w:t>400-839-1818</w:t>
            </w:r>
          </w:p>
          <w:p w14:paraId="196A8692" w14:textId="77777777" w:rsidR="00942509" w:rsidRPr="000E1DB5" w:rsidRDefault="00942509" w:rsidP="00772392">
            <w:pPr>
              <w:rPr>
                <w:rFonts w:ascii="宋体" w:hAnsi="宋体" w:cs="Calibri"/>
                <w:color w:val="000000"/>
                <w:szCs w:val="21"/>
              </w:rPr>
            </w:pPr>
            <w:r>
              <w:rPr>
                <w:rFonts w:hint="eastAsia"/>
              </w:rPr>
              <w:t>公司网站：</w:t>
            </w:r>
            <w:r>
              <w:rPr>
                <w:rFonts w:hint="eastAsia"/>
              </w:rPr>
              <w:t>www.hyzhfund.com</w:t>
            </w:r>
          </w:p>
        </w:tc>
      </w:tr>
      <w:tr w:rsidR="00C07F89" w:rsidRPr="000E1DB5" w14:paraId="1EE78A2F" w14:textId="77777777" w:rsidTr="00C07F89">
        <w:trPr>
          <w:gridAfter w:val="1"/>
          <w:wAfter w:w="28" w:type="dxa"/>
        </w:trPr>
        <w:tc>
          <w:tcPr>
            <w:tcW w:w="816" w:type="dxa"/>
          </w:tcPr>
          <w:p w14:paraId="2FF9A86E" w14:textId="77777777" w:rsidR="00942509" w:rsidRDefault="00942509" w:rsidP="00772392">
            <w:pPr>
              <w:jc w:val="center"/>
              <w:rPr>
                <w:rFonts w:ascii="宋体" w:hAnsi="宋体"/>
                <w:color w:val="000000"/>
              </w:rPr>
            </w:pPr>
            <w:r>
              <w:rPr>
                <w:rFonts w:ascii="宋体" w:hAnsi="宋体" w:hint="eastAsia"/>
                <w:color w:val="000000"/>
              </w:rPr>
              <w:t>54</w:t>
            </w:r>
          </w:p>
        </w:tc>
        <w:tc>
          <w:tcPr>
            <w:tcW w:w="2529" w:type="dxa"/>
          </w:tcPr>
          <w:p w14:paraId="17BF6200" w14:textId="77777777" w:rsidR="00942509" w:rsidRDefault="00942509" w:rsidP="00772392">
            <w:pPr>
              <w:pStyle w:val="a6"/>
            </w:pPr>
            <w:r>
              <w:t>北京创金启富基金销售有限公司</w:t>
            </w:r>
          </w:p>
          <w:p w14:paraId="241F4BE7" w14:textId="77777777" w:rsidR="00942509" w:rsidRPr="00F20D14" w:rsidRDefault="00942509" w:rsidP="00772392">
            <w:pPr>
              <w:rPr>
                <w:rFonts w:ascii="宋体" w:hAnsi="宋体" w:cs="Calibri"/>
                <w:bCs/>
                <w:color w:val="000000"/>
                <w:szCs w:val="21"/>
              </w:rPr>
            </w:pPr>
          </w:p>
        </w:tc>
        <w:tc>
          <w:tcPr>
            <w:tcW w:w="5132" w:type="dxa"/>
          </w:tcPr>
          <w:p w14:paraId="5FAFB5B5" w14:textId="77777777" w:rsidR="00942509" w:rsidRDefault="00942509" w:rsidP="00772392">
            <w:pPr>
              <w:pStyle w:val="a6"/>
            </w:pPr>
            <w:r>
              <w:t>注册</w:t>
            </w:r>
            <w:r w:rsidRPr="00C52A47">
              <w:rPr>
                <w:rFonts w:ascii="宋体" w:hAnsi="宋体" w:cs="Calibri" w:hint="eastAsia"/>
                <w:color w:val="000000"/>
                <w:szCs w:val="21"/>
              </w:rPr>
              <w:t>（办公）</w:t>
            </w:r>
            <w:r>
              <w:t>地址：</w:t>
            </w:r>
            <w:r w:rsidRPr="00995BFF">
              <w:rPr>
                <w:rFonts w:hint="eastAsia"/>
              </w:rPr>
              <w:t>北京市西城区白纸坊东街</w:t>
            </w:r>
            <w:r w:rsidRPr="00995BFF">
              <w:rPr>
                <w:rFonts w:hint="eastAsia"/>
              </w:rPr>
              <w:t>2</w:t>
            </w:r>
            <w:r w:rsidRPr="00995BFF">
              <w:rPr>
                <w:rFonts w:hint="eastAsia"/>
              </w:rPr>
              <w:t>号经济日报社</w:t>
            </w:r>
            <w:r w:rsidRPr="00995BFF">
              <w:rPr>
                <w:rFonts w:hint="eastAsia"/>
              </w:rPr>
              <w:t>A</w:t>
            </w:r>
            <w:r w:rsidRPr="00995BFF">
              <w:rPr>
                <w:rFonts w:hint="eastAsia"/>
              </w:rPr>
              <w:t>座综合楼</w:t>
            </w:r>
            <w:r w:rsidRPr="00995BFF">
              <w:rPr>
                <w:rFonts w:hint="eastAsia"/>
              </w:rPr>
              <w:t>712</w:t>
            </w:r>
            <w:r w:rsidRPr="00995BFF">
              <w:rPr>
                <w:rFonts w:hint="eastAsia"/>
              </w:rPr>
              <w:t>室</w:t>
            </w:r>
          </w:p>
          <w:p w14:paraId="72DAC3F5" w14:textId="77777777" w:rsidR="00942509" w:rsidRDefault="00942509" w:rsidP="00772392">
            <w:pPr>
              <w:pStyle w:val="a6"/>
            </w:pPr>
            <w:r>
              <w:t>客服电话：</w:t>
            </w:r>
            <w:r>
              <w:t xml:space="preserve">010-66154828 </w:t>
            </w:r>
          </w:p>
          <w:p w14:paraId="4D9C7AB9" w14:textId="77777777" w:rsidR="00942509" w:rsidRPr="000E1DB5" w:rsidRDefault="00942509" w:rsidP="00772392">
            <w:pPr>
              <w:rPr>
                <w:rFonts w:ascii="宋体" w:hAnsi="宋体" w:cs="Calibri"/>
                <w:color w:val="000000"/>
                <w:szCs w:val="21"/>
              </w:rPr>
            </w:pPr>
            <w:r>
              <w:t>公司网站：</w:t>
            </w:r>
            <w:r>
              <w:t>corp.5irich.com</w:t>
            </w:r>
          </w:p>
        </w:tc>
      </w:tr>
      <w:tr w:rsidR="00C07F89" w:rsidRPr="00772392" w14:paraId="1B22D2D6" w14:textId="77777777" w:rsidTr="00C07F89">
        <w:trPr>
          <w:gridAfter w:val="1"/>
          <w:wAfter w:w="28" w:type="dxa"/>
        </w:trPr>
        <w:tc>
          <w:tcPr>
            <w:tcW w:w="816" w:type="dxa"/>
          </w:tcPr>
          <w:p w14:paraId="7DC7A9C8" w14:textId="77777777" w:rsidR="00942509" w:rsidRDefault="00942509" w:rsidP="00772392">
            <w:pPr>
              <w:jc w:val="center"/>
              <w:rPr>
                <w:rFonts w:ascii="宋体" w:hAnsi="宋体"/>
                <w:color w:val="000000"/>
              </w:rPr>
            </w:pPr>
            <w:r>
              <w:rPr>
                <w:rFonts w:ascii="宋体" w:hAnsi="宋体" w:hint="eastAsia"/>
                <w:color w:val="000000"/>
              </w:rPr>
              <w:t>55</w:t>
            </w:r>
          </w:p>
        </w:tc>
        <w:tc>
          <w:tcPr>
            <w:tcW w:w="2529" w:type="dxa"/>
          </w:tcPr>
          <w:p w14:paraId="6FC95FCE" w14:textId="77777777" w:rsidR="00942509" w:rsidRDefault="00942509" w:rsidP="00772392">
            <w:pPr>
              <w:pStyle w:val="a6"/>
            </w:pPr>
            <w:r>
              <w:rPr>
                <w:rFonts w:hint="eastAsia"/>
              </w:rPr>
              <w:t>和讯信息科技有限公司</w:t>
            </w:r>
          </w:p>
          <w:p w14:paraId="1B6D4F4F" w14:textId="77777777" w:rsidR="00942509" w:rsidRPr="00704EA9" w:rsidRDefault="00942509" w:rsidP="00772392">
            <w:pPr>
              <w:pStyle w:val="a6"/>
              <w:rPr>
                <w:rFonts w:ascii="宋体" w:hAnsi="宋体" w:cs="Calibri"/>
                <w:bCs/>
                <w:color w:val="000000"/>
                <w:szCs w:val="21"/>
              </w:rPr>
            </w:pPr>
          </w:p>
        </w:tc>
        <w:tc>
          <w:tcPr>
            <w:tcW w:w="5132" w:type="dxa"/>
          </w:tcPr>
          <w:p w14:paraId="4B884BB6" w14:textId="77777777" w:rsidR="00942509" w:rsidRPr="00995BFF" w:rsidRDefault="00942509" w:rsidP="00772392">
            <w:pPr>
              <w:pStyle w:val="a6"/>
            </w:pPr>
            <w:r>
              <w:t>注册</w:t>
            </w:r>
            <w:r w:rsidRPr="00C52A47">
              <w:rPr>
                <w:rFonts w:ascii="宋体" w:hAnsi="宋体" w:cs="Calibri" w:hint="eastAsia"/>
                <w:color w:val="000000"/>
                <w:szCs w:val="21"/>
              </w:rPr>
              <w:t>（办公）</w:t>
            </w:r>
            <w:r>
              <w:t>地址：</w:t>
            </w:r>
            <w:r w:rsidRPr="00995BFF">
              <w:rPr>
                <w:rFonts w:hint="eastAsia"/>
              </w:rPr>
              <w:t>北京市朝外大街</w:t>
            </w:r>
            <w:r w:rsidRPr="00995BFF">
              <w:rPr>
                <w:rFonts w:hint="eastAsia"/>
              </w:rPr>
              <w:t>22</w:t>
            </w:r>
            <w:r w:rsidRPr="00995BFF">
              <w:rPr>
                <w:rFonts w:hint="eastAsia"/>
              </w:rPr>
              <w:t>号</w:t>
            </w:r>
            <w:r w:rsidRPr="00995BFF">
              <w:rPr>
                <w:rFonts w:hint="eastAsia"/>
              </w:rPr>
              <w:t xml:space="preserve"> </w:t>
            </w:r>
            <w:r w:rsidRPr="00995BFF">
              <w:rPr>
                <w:rFonts w:hint="eastAsia"/>
              </w:rPr>
              <w:t>泛利大厦</w:t>
            </w:r>
            <w:r w:rsidRPr="00995BFF">
              <w:rPr>
                <w:rFonts w:hint="eastAsia"/>
              </w:rPr>
              <w:t>10</w:t>
            </w:r>
            <w:r w:rsidRPr="00995BFF">
              <w:rPr>
                <w:rFonts w:hint="eastAsia"/>
              </w:rPr>
              <w:t>层</w:t>
            </w:r>
          </w:p>
          <w:p w14:paraId="46CD5FEE" w14:textId="77777777" w:rsidR="00942509" w:rsidRDefault="00942509" w:rsidP="00772392">
            <w:pPr>
              <w:pStyle w:val="a6"/>
            </w:pPr>
            <w:r>
              <w:rPr>
                <w:rFonts w:hint="eastAsia"/>
              </w:rPr>
              <w:t>客服电话：</w:t>
            </w:r>
            <w:r>
              <w:rPr>
                <w:rFonts w:hint="eastAsia"/>
              </w:rPr>
              <w:t>400-920-0022</w:t>
            </w:r>
          </w:p>
          <w:p w14:paraId="4FE60CFE" w14:textId="77777777" w:rsidR="00942509" w:rsidRPr="00772392" w:rsidRDefault="00942509" w:rsidP="00772392">
            <w:pPr>
              <w:pStyle w:val="a6"/>
            </w:pPr>
            <w:r>
              <w:rPr>
                <w:rFonts w:hint="eastAsia"/>
              </w:rPr>
              <w:t>公司网站：</w:t>
            </w:r>
            <w:hyperlink r:id="rId26" w:history="1">
              <w:r w:rsidRPr="00F52337">
                <w:rPr>
                  <w:rStyle w:val="afc"/>
                  <w:rFonts w:hint="eastAsia"/>
                </w:rPr>
                <w:t>www.licaike.com</w:t>
              </w:r>
            </w:hyperlink>
          </w:p>
        </w:tc>
      </w:tr>
      <w:tr w:rsidR="00C07F89" w:rsidRPr="000E1DB5" w14:paraId="39FA2122" w14:textId="77777777" w:rsidTr="00C07F89">
        <w:trPr>
          <w:gridAfter w:val="1"/>
          <w:wAfter w:w="28" w:type="dxa"/>
        </w:trPr>
        <w:tc>
          <w:tcPr>
            <w:tcW w:w="816" w:type="dxa"/>
          </w:tcPr>
          <w:p w14:paraId="152E9106" w14:textId="77777777" w:rsidR="00942509" w:rsidRDefault="00942509" w:rsidP="00772392">
            <w:pPr>
              <w:jc w:val="center"/>
              <w:rPr>
                <w:rFonts w:ascii="宋体" w:hAnsi="宋体"/>
                <w:color w:val="000000"/>
              </w:rPr>
            </w:pPr>
            <w:r>
              <w:rPr>
                <w:rFonts w:ascii="宋体" w:hAnsi="宋体" w:hint="eastAsia"/>
                <w:color w:val="000000"/>
              </w:rPr>
              <w:t>56</w:t>
            </w:r>
          </w:p>
        </w:tc>
        <w:tc>
          <w:tcPr>
            <w:tcW w:w="2529" w:type="dxa"/>
          </w:tcPr>
          <w:p w14:paraId="367E5784" w14:textId="77777777" w:rsidR="00942509" w:rsidRDefault="00942509" w:rsidP="00772392">
            <w:pPr>
              <w:pStyle w:val="a6"/>
            </w:pPr>
            <w:r w:rsidRPr="0054481B">
              <w:rPr>
                <w:rFonts w:hint="eastAsia"/>
              </w:rPr>
              <w:t>中国人寿股份有限公司</w:t>
            </w:r>
          </w:p>
          <w:p w14:paraId="27F02F9B" w14:textId="77777777" w:rsidR="00942509" w:rsidRPr="00F20D14" w:rsidRDefault="00942509" w:rsidP="00772392">
            <w:pPr>
              <w:rPr>
                <w:rFonts w:ascii="宋体" w:hAnsi="宋体" w:cs="Calibri"/>
                <w:bCs/>
                <w:color w:val="000000"/>
                <w:szCs w:val="21"/>
              </w:rPr>
            </w:pPr>
          </w:p>
        </w:tc>
        <w:tc>
          <w:tcPr>
            <w:tcW w:w="5132" w:type="dxa"/>
          </w:tcPr>
          <w:p w14:paraId="445F202E" w14:textId="77777777" w:rsidR="00942509" w:rsidRDefault="00942509" w:rsidP="00772392">
            <w:pPr>
              <w:pStyle w:val="a6"/>
            </w:pPr>
            <w:r>
              <w:t>注册</w:t>
            </w:r>
            <w:r w:rsidRPr="00C52A47">
              <w:rPr>
                <w:rFonts w:ascii="宋体" w:hAnsi="宋体" w:cs="Calibri" w:hint="eastAsia"/>
                <w:color w:val="000000"/>
                <w:szCs w:val="21"/>
              </w:rPr>
              <w:t>（办公）</w:t>
            </w:r>
            <w:r>
              <w:t>地址：</w:t>
            </w:r>
            <w:r w:rsidRPr="0054481B">
              <w:rPr>
                <w:rFonts w:hint="eastAsia"/>
              </w:rPr>
              <w:t>中国北京市西城区金融大街</w:t>
            </w:r>
            <w:r w:rsidRPr="0054481B">
              <w:rPr>
                <w:rFonts w:hint="eastAsia"/>
              </w:rPr>
              <w:t>16</w:t>
            </w:r>
            <w:r w:rsidRPr="0054481B">
              <w:rPr>
                <w:rFonts w:hint="eastAsia"/>
              </w:rPr>
              <w:t>号</w:t>
            </w:r>
          </w:p>
          <w:p w14:paraId="10625A82" w14:textId="77777777" w:rsidR="00942509" w:rsidRDefault="00942509" w:rsidP="00772392">
            <w:pPr>
              <w:pStyle w:val="a6"/>
            </w:pPr>
            <w:r>
              <w:rPr>
                <w:rFonts w:hint="eastAsia"/>
              </w:rPr>
              <w:t>客服电话：</w:t>
            </w:r>
            <w:r w:rsidRPr="0054481B">
              <w:t>95519</w:t>
            </w:r>
          </w:p>
          <w:p w14:paraId="2836DFE1" w14:textId="77777777" w:rsidR="00942509" w:rsidRPr="000E1DB5" w:rsidRDefault="00942509" w:rsidP="00772392">
            <w:pPr>
              <w:rPr>
                <w:rFonts w:ascii="宋体" w:hAnsi="宋体" w:cs="Calibri"/>
                <w:color w:val="000000"/>
                <w:szCs w:val="21"/>
              </w:rPr>
            </w:pPr>
            <w:r>
              <w:rPr>
                <w:rFonts w:hint="eastAsia"/>
              </w:rPr>
              <w:t>公司网站：</w:t>
            </w:r>
            <w:hyperlink r:id="rId27" w:history="1">
              <w:r w:rsidRPr="00397488">
                <w:rPr>
                  <w:rStyle w:val="afc"/>
                </w:rPr>
                <w:t>https://www.e-chinalife.com/</w:t>
              </w:r>
            </w:hyperlink>
          </w:p>
        </w:tc>
      </w:tr>
      <w:tr w:rsidR="00C07F89" w:rsidRPr="000E1DB5" w14:paraId="5D8BA6BF" w14:textId="77777777" w:rsidTr="00C07F89">
        <w:trPr>
          <w:gridAfter w:val="1"/>
          <w:wAfter w:w="28" w:type="dxa"/>
        </w:trPr>
        <w:tc>
          <w:tcPr>
            <w:tcW w:w="816" w:type="dxa"/>
          </w:tcPr>
          <w:p w14:paraId="5A155167" w14:textId="77777777" w:rsidR="00942509" w:rsidRDefault="00942509" w:rsidP="00772392">
            <w:pPr>
              <w:jc w:val="center"/>
              <w:rPr>
                <w:rFonts w:ascii="宋体" w:hAnsi="宋体"/>
                <w:color w:val="000000"/>
              </w:rPr>
            </w:pPr>
            <w:r>
              <w:rPr>
                <w:rFonts w:ascii="宋体" w:hAnsi="宋体" w:hint="eastAsia"/>
                <w:color w:val="000000"/>
              </w:rPr>
              <w:t>57</w:t>
            </w:r>
          </w:p>
        </w:tc>
        <w:tc>
          <w:tcPr>
            <w:tcW w:w="2529" w:type="dxa"/>
          </w:tcPr>
          <w:p w14:paraId="7EE0CCE2" w14:textId="77777777" w:rsidR="00942509" w:rsidRDefault="00942509" w:rsidP="00772392">
            <w:pPr>
              <w:pStyle w:val="a6"/>
            </w:pPr>
            <w:r>
              <w:t>北京中植基金销售有限公司</w:t>
            </w:r>
          </w:p>
          <w:p w14:paraId="1120EC98" w14:textId="77777777" w:rsidR="00942509" w:rsidRPr="00F20D14" w:rsidRDefault="00942509" w:rsidP="00772392">
            <w:pPr>
              <w:rPr>
                <w:rFonts w:ascii="宋体" w:hAnsi="宋体" w:cs="Calibri"/>
                <w:bCs/>
                <w:color w:val="000000"/>
                <w:szCs w:val="21"/>
              </w:rPr>
            </w:pPr>
          </w:p>
        </w:tc>
        <w:tc>
          <w:tcPr>
            <w:tcW w:w="5132" w:type="dxa"/>
          </w:tcPr>
          <w:p w14:paraId="37214BAD" w14:textId="77777777" w:rsidR="00942509" w:rsidRDefault="00942509" w:rsidP="00772392">
            <w:pPr>
              <w:pStyle w:val="a6"/>
            </w:pPr>
            <w:r>
              <w:t>注册（办公）地址：北京市北京经济技术开发区宏达北</w:t>
            </w:r>
            <w:r>
              <w:t xml:space="preserve"> </w:t>
            </w:r>
            <w:r>
              <w:t>路</w:t>
            </w:r>
            <w:r>
              <w:t xml:space="preserve"> 10 </w:t>
            </w:r>
            <w:r>
              <w:t>号五层</w:t>
            </w:r>
            <w:r>
              <w:t xml:space="preserve"> 5122 </w:t>
            </w:r>
            <w:r>
              <w:t>室</w:t>
            </w:r>
            <w:r>
              <w:t xml:space="preserve"> </w:t>
            </w:r>
          </w:p>
          <w:p w14:paraId="1360F821" w14:textId="77777777" w:rsidR="00942509" w:rsidRDefault="00942509" w:rsidP="00772392">
            <w:pPr>
              <w:pStyle w:val="a6"/>
            </w:pPr>
            <w:r>
              <w:t>客户服务电话：</w:t>
            </w:r>
            <w:r>
              <w:t>400-8980-618</w:t>
            </w:r>
          </w:p>
          <w:p w14:paraId="0A1BBA05" w14:textId="77777777" w:rsidR="00942509" w:rsidRPr="000E1DB5" w:rsidRDefault="00942509" w:rsidP="00772392">
            <w:pPr>
              <w:rPr>
                <w:rFonts w:ascii="宋体" w:hAnsi="宋体" w:cs="Calibri"/>
                <w:color w:val="000000"/>
                <w:szCs w:val="21"/>
              </w:rPr>
            </w:pPr>
            <w:r>
              <w:rPr>
                <w:rFonts w:hint="eastAsia"/>
              </w:rPr>
              <w:t>公司网站：</w:t>
            </w:r>
            <w:r>
              <w:t>https://www.zzfund.com</w:t>
            </w:r>
          </w:p>
        </w:tc>
      </w:tr>
      <w:tr w:rsidR="00C07F89" w14:paraId="6156D16B" w14:textId="77777777" w:rsidTr="00C07F89">
        <w:trPr>
          <w:gridAfter w:val="1"/>
          <w:wAfter w:w="28" w:type="dxa"/>
        </w:trPr>
        <w:tc>
          <w:tcPr>
            <w:tcW w:w="816" w:type="dxa"/>
          </w:tcPr>
          <w:p w14:paraId="5F0DFA3F" w14:textId="555E0AB7" w:rsidR="002E7B2F" w:rsidRDefault="002E7B2F" w:rsidP="00772392">
            <w:pPr>
              <w:jc w:val="center"/>
              <w:rPr>
                <w:rFonts w:ascii="宋体" w:hAnsi="宋体"/>
                <w:color w:val="000000"/>
              </w:rPr>
            </w:pPr>
            <w:r>
              <w:rPr>
                <w:rFonts w:ascii="宋体" w:hAnsi="宋体" w:hint="eastAsia"/>
                <w:color w:val="000000"/>
              </w:rPr>
              <w:t>5</w:t>
            </w:r>
            <w:r>
              <w:rPr>
                <w:rFonts w:ascii="宋体" w:hAnsi="宋体"/>
                <w:color w:val="000000"/>
              </w:rPr>
              <w:t>8</w:t>
            </w:r>
          </w:p>
        </w:tc>
        <w:tc>
          <w:tcPr>
            <w:tcW w:w="2529" w:type="dxa"/>
          </w:tcPr>
          <w:p w14:paraId="36463C0C" w14:textId="77777777" w:rsidR="002E7B2F" w:rsidRDefault="002E7B2F" w:rsidP="00772392">
            <w:pPr>
              <w:rPr>
                <w:rFonts w:ascii="宋体" w:hAnsi="宋体" w:cs="Calibri"/>
                <w:bCs/>
                <w:color w:val="000000"/>
                <w:szCs w:val="21"/>
              </w:rPr>
            </w:pPr>
            <w:r>
              <w:rPr>
                <w:rFonts w:ascii="宋体" w:hAnsi="宋体" w:cs="宋体"/>
                <w:bCs/>
              </w:rPr>
              <w:t>宁波银行股份有限公司</w:t>
            </w:r>
          </w:p>
        </w:tc>
        <w:tc>
          <w:tcPr>
            <w:tcW w:w="5132" w:type="dxa"/>
          </w:tcPr>
          <w:p w14:paraId="3F7A672F" w14:textId="77777777" w:rsidR="002E7B2F" w:rsidRPr="00C07F89" w:rsidRDefault="002E7B2F" w:rsidP="00C07F89">
            <w:pPr>
              <w:pStyle w:val="a6"/>
            </w:pPr>
            <w:r w:rsidRPr="00C07F89">
              <w:rPr>
                <w:rFonts w:hint="eastAsia"/>
              </w:rPr>
              <w:t>注册地址：浙江省宁波市鄞州区宁东路</w:t>
            </w:r>
            <w:r w:rsidRPr="00C07F89">
              <w:t xml:space="preserve">345 </w:t>
            </w:r>
            <w:r w:rsidRPr="00C07F89">
              <w:rPr>
                <w:rFonts w:hint="eastAsia"/>
              </w:rPr>
              <w:t>号</w:t>
            </w:r>
          </w:p>
          <w:p w14:paraId="55D55336" w14:textId="77777777" w:rsidR="002E7B2F" w:rsidRPr="00C07F89" w:rsidRDefault="002E7B2F" w:rsidP="00C07F89">
            <w:pPr>
              <w:pStyle w:val="a6"/>
            </w:pPr>
            <w:r w:rsidRPr="00C07F89">
              <w:t>客户服务电话：</w:t>
            </w:r>
            <w:r w:rsidRPr="00C07F89">
              <w:t>95574</w:t>
            </w:r>
          </w:p>
          <w:p w14:paraId="73E60FFD" w14:textId="77777777" w:rsidR="002E7B2F" w:rsidRDefault="002E7B2F" w:rsidP="00C07F89">
            <w:pPr>
              <w:pStyle w:val="a6"/>
              <w:rPr>
                <w:rFonts w:ascii="宋体" w:hAnsi="宋体" w:cs="Calibri"/>
                <w:color w:val="000000"/>
                <w:szCs w:val="21"/>
              </w:rPr>
            </w:pPr>
            <w:r w:rsidRPr="00C07F89">
              <w:rPr>
                <w:rFonts w:hint="eastAsia"/>
              </w:rPr>
              <w:t>网址</w:t>
            </w:r>
            <w:r w:rsidRPr="00C07F89">
              <w:t>：</w:t>
            </w:r>
            <w:r w:rsidRPr="00C07F89">
              <w:t>www.nbcb.com.cn</w:t>
            </w:r>
          </w:p>
        </w:tc>
      </w:tr>
    </w:tbl>
    <w:p w14:paraId="29A92D7C" w14:textId="77777777" w:rsidR="00942509" w:rsidRPr="002E7B2F" w:rsidRDefault="00942509">
      <w:pPr>
        <w:tabs>
          <w:tab w:val="left" w:pos="540"/>
        </w:tabs>
        <w:adjustRightInd w:val="0"/>
        <w:snapToGrid w:val="0"/>
        <w:spacing w:line="360" w:lineRule="auto"/>
        <w:ind w:firstLineChars="200" w:firstLine="482"/>
        <w:rPr>
          <w:rFonts w:asciiTheme="minorEastAsia" w:hAnsiTheme="minorEastAsia" w:cs="Arial"/>
          <w:b/>
          <w:bCs/>
          <w:sz w:val="24"/>
          <w:szCs w:val="24"/>
        </w:rPr>
      </w:pPr>
    </w:p>
    <w:p w14:paraId="2B2AC3B4" w14:textId="162F24F3" w:rsidR="00AC3A9B" w:rsidRDefault="002C3C29">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22A2A4D6" w14:textId="77777777" w:rsidR="00AC3A9B" w:rsidRDefault="002C3C2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名称：富荣基金管理有限公司 </w:t>
      </w:r>
    </w:p>
    <w:p w14:paraId="549A746A" w14:textId="77777777" w:rsidR="00AC3A9B" w:rsidRDefault="002C3C2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住所：广东省广州市南沙区海滨路171号南沙金融大厦11楼1101之一J20 </w:t>
      </w:r>
    </w:p>
    <w:p w14:paraId="4470FC12" w14:textId="77777777" w:rsidR="00AC3A9B" w:rsidRDefault="002C3C2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w:t>
      </w:r>
      <w:r>
        <w:rPr>
          <w:rFonts w:asciiTheme="minorEastAsia" w:hAnsiTheme="minorEastAsia" w:cs="Times New Roman" w:hint="eastAsia"/>
          <w:kern w:val="0"/>
          <w:sz w:val="24"/>
          <w:szCs w:val="24"/>
        </w:rPr>
        <w:t>深圳市福田区八卦四路52号安吉尔大厦24层</w:t>
      </w:r>
      <w:r>
        <w:rPr>
          <w:rFonts w:asciiTheme="minorEastAsia" w:hAnsiTheme="minorEastAsia" w:cs="Arial" w:hint="eastAsia"/>
          <w:color w:val="000000"/>
          <w:kern w:val="0"/>
          <w:sz w:val="24"/>
          <w:szCs w:val="24"/>
        </w:rPr>
        <w:t xml:space="preserve"> </w:t>
      </w:r>
    </w:p>
    <w:p w14:paraId="3D831827" w14:textId="77777777" w:rsidR="00AC3A9B" w:rsidRDefault="002C3C2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法定代表人：杨小舟 </w:t>
      </w:r>
    </w:p>
    <w:p w14:paraId="6942734C" w14:textId="77777777" w:rsidR="00AC3A9B" w:rsidRDefault="002C3C2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354E105D" w14:textId="77777777" w:rsidR="00AC3A9B" w:rsidRDefault="002C3C29">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 0755-84356604</w:t>
      </w:r>
    </w:p>
    <w:p w14:paraId="0ED68CE4" w14:textId="77777777" w:rsidR="00AC3A9B" w:rsidRDefault="002C3C29">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 0755-83230787</w:t>
      </w:r>
    </w:p>
    <w:p w14:paraId="57E7B6C8" w14:textId="77777777" w:rsidR="00AC3A9B"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6F5BFA15"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名称：上海市通力律师事务所</w:t>
      </w:r>
    </w:p>
    <w:p w14:paraId="3695F941"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住所：上海市银城中路68号时代金融中心19楼</w:t>
      </w:r>
    </w:p>
    <w:p w14:paraId="328815BF"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办公地址：上海市银城中路68号时代金融中心19楼</w:t>
      </w:r>
    </w:p>
    <w:p w14:paraId="29B6FFC7"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负责人：俞卫锋</w:t>
      </w:r>
    </w:p>
    <w:p w14:paraId="6C7F4264"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电话：021-31358666</w:t>
      </w:r>
    </w:p>
    <w:p w14:paraId="6922F302"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传真：021-31358600</w:t>
      </w:r>
    </w:p>
    <w:p w14:paraId="7CD17727"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经办律师：陆奇、安冬</w:t>
      </w:r>
    </w:p>
    <w:p w14:paraId="0AD514CC"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 陆奇</w:t>
      </w:r>
    </w:p>
    <w:p w14:paraId="2B8B92E1" w14:textId="77777777" w:rsidR="00AC3A9B" w:rsidRDefault="002C3C29">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248E8121"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09FC9C18"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住所：中国北京市东城区东长安街1号东方广场安永大楼16层</w:t>
      </w:r>
    </w:p>
    <w:p w14:paraId="3AFCF4AC"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办公地址：中国北京市东城区东长安街1号东方广场安永大楼16层</w:t>
      </w:r>
    </w:p>
    <w:p w14:paraId="15434DEB"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法定代表人：毛鞍宁</w:t>
      </w:r>
    </w:p>
    <w:p w14:paraId="5210E545"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电话：+86</w:t>
      </w:r>
      <w:r>
        <w:rPr>
          <w:rFonts w:asciiTheme="minorEastAsia" w:hAnsiTheme="minorEastAsia" w:cs="Arial"/>
          <w:kern w:val="0"/>
          <w:sz w:val="24"/>
          <w:szCs w:val="24"/>
        </w:rPr>
        <w:t xml:space="preserve"> 10 58153000</w:t>
      </w:r>
    </w:p>
    <w:p w14:paraId="6D386B0B"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传真：+86</w:t>
      </w:r>
      <w:r>
        <w:rPr>
          <w:rFonts w:asciiTheme="minorEastAsia" w:hAnsiTheme="minorEastAsia" w:cs="Arial"/>
          <w:kern w:val="0"/>
          <w:sz w:val="24"/>
          <w:szCs w:val="24"/>
        </w:rPr>
        <w:t xml:space="preserve"> 10 85188298</w:t>
      </w:r>
    </w:p>
    <w:p w14:paraId="286F832D"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  高鹤</w:t>
      </w:r>
    </w:p>
    <w:p w14:paraId="59082AB1" w14:textId="77777777" w:rsidR="00AC3A9B" w:rsidRDefault="002C3C29">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联系人：吴翠蓉</w:t>
      </w:r>
    </w:p>
    <w:p w14:paraId="295A9DDF" w14:textId="77777777" w:rsidR="00AC3A9B"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footerReference w:type="default" r:id="rId28"/>
          <w:pgSz w:w="11906" w:h="16838"/>
          <w:pgMar w:top="1440" w:right="1800" w:bottom="1440" w:left="1800" w:header="851" w:footer="992" w:gutter="0"/>
          <w:pgNumType w:chapStyle="1"/>
          <w:cols w:space="720"/>
          <w:docGrid w:type="lines" w:linePitch="312"/>
        </w:sectPr>
      </w:pPr>
      <w:bookmarkStart w:id="114" w:name="_Toc416264542"/>
      <w:bookmarkStart w:id="115" w:name="_Toc263092314"/>
      <w:bookmarkStart w:id="116" w:name="_Toc123112235"/>
      <w:bookmarkStart w:id="117" w:name="_Toc139991737"/>
      <w:bookmarkStart w:id="118" w:name="_Toc141703887"/>
      <w:bookmarkStart w:id="119" w:name="_Toc3601"/>
      <w:bookmarkStart w:id="120" w:name="_Toc16859"/>
      <w:bookmarkStart w:id="121" w:name="_Toc31653"/>
      <w:bookmarkStart w:id="122" w:name="_Toc352229753"/>
      <w:bookmarkStart w:id="123" w:name="_Toc12245"/>
      <w:bookmarkStart w:id="124" w:name="_Toc26207"/>
      <w:bookmarkStart w:id="125" w:name="_Toc29251"/>
      <w:bookmarkStart w:id="126" w:name="_Toc98560353"/>
      <w:bookmarkStart w:id="127" w:name="_Toc31235"/>
      <w:bookmarkStart w:id="128" w:name="_Toc15143"/>
      <w:bookmarkStart w:id="129" w:name="_Toc6405"/>
      <w:bookmarkStart w:id="130" w:name="_Toc123051453"/>
      <w:bookmarkStart w:id="131" w:name="_Toc123102454"/>
      <w:bookmarkStart w:id="132" w:name="_Toc31644"/>
      <w:bookmarkStart w:id="133" w:name="_Toc14835"/>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14673820" w14:textId="77777777" w:rsidR="00AC3A9B" w:rsidRDefault="002C3C29">
      <w:pPr>
        <w:pStyle w:val="1"/>
        <w:jc w:val="center"/>
        <w:rPr>
          <w:sz w:val="30"/>
          <w:szCs w:val="30"/>
        </w:rPr>
      </w:pPr>
      <w:bookmarkStart w:id="134" w:name="_Toc37770209"/>
      <w:r>
        <w:rPr>
          <w:rFonts w:hint="eastAsia"/>
          <w:sz w:val="30"/>
          <w:szCs w:val="30"/>
        </w:rPr>
        <w:lastRenderedPageBreak/>
        <w:t>第六部分</w:t>
      </w:r>
      <w:r>
        <w:rPr>
          <w:sz w:val="30"/>
          <w:szCs w:val="30"/>
        </w:rPr>
        <w:t xml:space="preserve">  </w:t>
      </w:r>
      <w:r>
        <w:rPr>
          <w:rFonts w:hint="eastAsia"/>
          <w:sz w:val="30"/>
          <w:szCs w:val="30"/>
        </w:rPr>
        <w:t>基金的募集</w:t>
      </w:r>
      <w:bookmarkEnd w:id="114"/>
      <w:bookmarkEnd w:id="115"/>
      <w:bookmarkEnd w:id="134"/>
    </w:p>
    <w:p w14:paraId="56E0DB5F" w14:textId="77777777"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按照《基金法》、《运作办法》、《销售办法》、基金合同及其他有关规定募集本基金，并于2017年6月16日经中国证监会证监许可[2017]931号文准予注册募集。本基金于2017年12月15日起通过各销售机构向社会公开募集，截至2018年3月13日，基金募集工作已顺利结束。</w:t>
      </w:r>
    </w:p>
    <w:p w14:paraId="0B4CAAC0" w14:textId="77777777" w:rsidR="00AC3A9B" w:rsidRDefault="00AC3A9B">
      <w:pPr>
        <w:keepNext/>
        <w:keepLines/>
        <w:spacing w:line="360" w:lineRule="auto"/>
        <w:jc w:val="center"/>
        <w:outlineLvl w:val="0"/>
        <w:rPr>
          <w:rFonts w:ascii="Times New Roman" w:eastAsia="宋体" w:hAnsi="Times New Roman" w:cs="Times New Roman"/>
          <w:b/>
          <w:kern w:val="0"/>
          <w:sz w:val="30"/>
          <w:szCs w:val="30"/>
        </w:rPr>
        <w:sectPr w:rsidR="00AC3A9B">
          <w:footerReference w:type="default" r:id="rId29"/>
          <w:pgSz w:w="11906" w:h="16838"/>
          <w:pgMar w:top="1440" w:right="1800" w:bottom="1440" w:left="1800" w:header="851" w:footer="992" w:gutter="0"/>
          <w:pgNumType w:chapStyle="1"/>
          <w:cols w:space="720"/>
          <w:docGrid w:type="lines" w:linePitch="312"/>
        </w:sectPr>
      </w:pPr>
      <w:bookmarkStart w:id="135" w:name="_Toc263092315"/>
      <w:bookmarkStart w:id="136" w:name="_Toc214873596"/>
      <w:bookmarkStart w:id="137" w:name="_Toc416264543"/>
      <w:bookmarkStart w:id="138" w:name="_Toc25783"/>
      <w:bookmarkStart w:id="139" w:name="_Toc123112236"/>
      <w:bookmarkStart w:id="140" w:name="_Toc123051454"/>
      <w:bookmarkStart w:id="141" w:name="_Toc20768"/>
      <w:bookmarkStart w:id="142" w:name="_Toc3321"/>
      <w:bookmarkStart w:id="143" w:name="_Toc6447"/>
      <w:bookmarkStart w:id="144" w:name="_Toc352229754"/>
      <w:bookmarkStart w:id="145" w:name="_Toc7058"/>
      <w:bookmarkStart w:id="146" w:name="_Toc9706"/>
      <w:bookmarkStart w:id="147" w:name="_Toc141703888"/>
      <w:bookmarkStart w:id="148" w:name="_Toc18567"/>
      <w:bookmarkStart w:id="149" w:name="_Toc98560354"/>
      <w:bookmarkStart w:id="150" w:name="_Toc79392583"/>
      <w:bookmarkStart w:id="151" w:name="_Toc123102455"/>
      <w:bookmarkStart w:id="152" w:name="_Toc3771"/>
      <w:bookmarkStart w:id="153" w:name="_Toc139991738"/>
      <w:bookmarkStart w:id="154" w:name="_Toc11030"/>
      <w:bookmarkStart w:id="155" w:name="_Toc10650"/>
      <w:bookmarkStart w:id="156" w:name="_Toc4559"/>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173F360F" w14:textId="77777777" w:rsidR="00AC3A9B" w:rsidRDefault="002C3C29">
      <w:pPr>
        <w:pStyle w:val="1"/>
        <w:jc w:val="center"/>
        <w:rPr>
          <w:sz w:val="30"/>
          <w:szCs w:val="30"/>
        </w:rPr>
      </w:pPr>
      <w:bookmarkStart w:id="157" w:name="_Toc37770210"/>
      <w:r>
        <w:rPr>
          <w:rFonts w:hint="eastAsia"/>
          <w:sz w:val="30"/>
          <w:szCs w:val="30"/>
        </w:rPr>
        <w:lastRenderedPageBreak/>
        <w:t>第七部分</w:t>
      </w:r>
      <w:r>
        <w:rPr>
          <w:sz w:val="30"/>
          <w:szCs w:val="30"/>
        </w:rPr>
        <w:t xml:space="preserve">  </w:t>
      </w:r>
      <w:r>
        <w:rPr>
          <w:rFonts w:hint="eastAsia"/>
          <w:sz w:val="30"/>
          <w:szCs w:val="30"/>
        </w:rPr>
        <w:t>基金</w:t>
      </w:r>
      <w:bookmarkEnd w:id="135"/>
      <w:bookmarkEnd w:id="136"/>
      <w:r>
        <w:rPr>
          <w:rFonts w:hint="eastAsia"/>
          <w:sz w:val="30"/>
          <w:szCs w:val="30"/>
        </w:rPr>
        <w:t>合同的生效</w:t>
      </w:r>
      <w:bookmarkEnd w:id="137"/>
      <w:bookmarkEnd w:id="157"/>
    </w:p>
    <w:p w14:paraId="6F099AAA" w14:textId="77777777" w:rsidR="00AC3A9B" w:rsidRDefault="002C3C29">
      <w:pPr>
        <w:adjustRightInd w:val="0"/>
        <w:snapToGrid w:val="0"/>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根据《基金法》、《运作办法》以及基金合同、招募说明书、基金份额发售公告的有关规定，本基金募集结果符合有关条件，本基金管理人于2018年3月16日向中国证监会办理完毕基金备案手续并已获书面确认，基金合同自该日期正式生效。自基金合同生效之日起，本基金管理人正式开始管理本基金。</w:t>
      </w:r>
    </w:p>
    <w:p w14:paraId="5E7F54F5" w14:textId="77777777" w:rsidR="00AC3A9B" w:rsidRDefault="002C3C29">
      <w:pPr>
        <w:adjustRightInd w:val="0"/>
        <w:snapToGrid w:val="0"/>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基金合同》生效后，连续20个工作日出现基金份额持有人数量不满200人或者基金资产净值低于5000万元情形的，基金管理人应当在定期报告中予以披露；连续60个工作日出现前述情形的，基金管理人应当10个工作日内向中国证监会报告并提出解决方案，如持续运作、转换运作方式、与其他基金合并或者终止基金合同等，并6个月内召开基金份额持有人大会。</w:t>
      </w:r>
    </w:p>
    <w:p w14:paraId="55EB15BE" w14:textId="77777777" w:rsidR="00AC3A9B" w:rsidRDefault="002C3C29">
      <w:pPr>
        <w:widowControl/>
        <w:spacing w:line="360" w:lineRule="auto"/>
        <w:ind w:firstLineChars="200" w:firstLine="480"/>
        <w:jc w:val="left"/>
        <w:rPr>
          <w:rFonts w:ascii="Arial" w:eastAsia="宋体" w:hAnsi="Arial" w:cs="Times New Roman"/>
          <w:szCs w:val="20"/>
        </w:rPr>
        <w:sectPr w:rsidR="00AC3A9B">
          <w:footerReference w:type="default" r:id="rId30"/>
          <w:pgSz w:w="11906" w:h="16838"/>
          <w:pgMar w:top="1440" w:right="1800" w:bottom="1440" w:left="1800" w:header="851" w:footer="992" w:gutter="0"/>
          <w:pgNumType w:chapStyle="1"/>
          <w:cols w:space="720"/>
          <w:docGrid w:type="lines" w:linePitch="312"/>
        </w:sectPr>
      </w:pPr>
      <w:r>
        <w:rPr>
          <w:rFonts w:asciiTheme="minorEastAsia" w:hAnsiTheme="minorEastAsia" w:cs="Times New Roman" w:hint="eastAsia"/>
          <w:sz w:val="24"/>
          <w:szCs w:val="24"/>
        </w:rPr>
        <w:t xml:space="preserve">法律法规另有规定时，从其规定。 </w:t>
      </w:r>
      <w:bookmarkStart w:id="158" w:name="_Toc214873597"/>
      <w:bookmarkStart w:id="159" w:name="_Toc147463118"/>
      <w:bookmarkStart w:id="160" w:name="_Toc12357171"/>
      <w:bookmarkStart w:id="161" w:name="_Toc416264544"/>
      <w:bookmarkStart w:id="162" w:name="_Toc263092316"/>
      <w:bookmarkStart w:id="163" w:name="_Toc21073391"/>
      <w:bookmarkStart w:id="164" w:name="_Toc725"/>
      <w:bookmarkStart w:id="165" w:name="_Toc16164"/>
      <w:bookmarkStart w:id="166" w:name="_Toc123051455"/>
      <w:bookmarkStart w:id="167" w:name="_Toc10398"/>
      <w:bookmarkStart w:id="168" w:name="_Toc139991739"/>
      <w:bookmarkStart w:id="169" w:name="_Toc21735"/>
      <w:bookmarkStart w:id="170" w:name="_Toc3572"/>
      <w:bookmarkStart w:id="171" w:name="_Toc18206"/>
      <w:bookmarkStart w:id="172" w:name="_Toc18769"/>
      <w:bookmarkStart w:id="173" w:name="_Toc1745"/>
      <w:bookmarkStart w:id="174" w:name="_Toc141703889"/>
      <w:bookmarkStart w:id="175" w:name="_Toc123112237"/>
      <w:bookmarkStart w:id="176" w:name="_Toc98560355"/>
      <w:bookmarkStart w:id="177" w:name="_Toc123102456"/>
      <w:bookmarkStart w:id="178" w:name="_Toc352229755"/>
      <w:bookmarkStart w:id="179" w:name="_Toc31821"/>
      <w:bookmarkStart w:id="180" w:name="_Toc3963"/>
      <w:bookmarkStart w:id="181" w:name="_Toc3080"/>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36ADF297" w14:textId="77777777" w:rsidR="00AC3A9B" w:rsidRDefault="002C3C29">
      <w:pPr>
        <w:pStyle w:val="1"/>
        <w:jc w:val="center"/>
        <w:rPr>
          <w:rFonts w:ascii="Arial" w:hAnsi="Arial" w:cs="Arial"/>
          <w:bCs/>
          <w:sz w:val="30"/>
          <w:szCs w:val="30"/>
        </w:rPr>
      </w:pPr>
      <w:bookmarkStart w:id="182" w:name="_Toc37770211"/>
      <w:r>
        <w:rPr>
          <w:rFonts w:hint="eastAsia"/>
          <w:sz w:val="30"/>
          <w:szCs w:val="30"/>
        </w:rPr>
        <w:lastRenderedPageBreak/>
        <w:t>第八部分</w:t>
      </w:r>
      <w:r>
        <w:rPr>
          <w:sz w:val="30"/>
          <w:szCs w:val="30"/>
        </w:rPr>
        <w:t xml:space="preserve">  </w:t>
      </w:r>
      <w:r>
        <w:rPr>
          <w:rFonts w:hint="eastAsia"/>
          <w:sz w:val="30"/>
          <w:szCs w:val="30"/>
        </w:rPr>
        <w:t>基金份额的申购与赎回</w:t>
      </w:r>
      <w:bookmarkEnd w:id="158"/>
      <w:bookmarkEnd w:id="159"/>
      <w:bookmarkEnd w:id="160"/>
      <w:bookmarkEnd w:id="161"/>
      <w:bookmarkEnd w:id="162"/>
      <w:bookmarkEnd w:id="163"/>
      <w:bookmarkEnd w:id="182"/>
    </w:p>
    <w:p w14:paraId="4A405928" w14:textId="77777777" w:rsidR="00AC3A9B" w:rsidRDefault="002C3C29">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21A92641" w14:textId="77777777" w:rsidR="00AC3A9B" w:rsidRDefault="002C3C2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本基金的申购与赎回将通过销售机构进行。具体的销售网点将由基金管理人在相关公告中列明。基金管理人可根据情况变更或增减销售机构，</w:t>
      </w:r>
      <w:r>
        <w:rPr>
          <w:rFonts w:hint="eastAsia"/>
          <w:bCs/>
          <w:kern w:val="0"/>
          <w:sz w:val="24"/>
        </w:rPr>
        <w:t>并在管理人网站公示</w:t>
      </w:r>
      <w:r>
        <w:rPr>
          <w:rFonts w:asciiTheme="minorEastAsia" w:hAnsiTheme="minorEastAsia" w:cs="Times New Roman" w:hint="eastAsia"/>
          <w:bCs/>
          <w:sz w:val="24"/>
          <w:szCs w:val="24"/>
        </w:rPr>
        <w:t>。基金投资者应当在销售机构办理基金销售业务的营业场所或按销售机构提供的其他方式办理基金份额的申购与赎回。</w:t>
      </w:r>
    </w:p>
    <w:p w14:paraId="712D5378" w14:textId="77777777" w:rsidR="00AC3A9B" w:rsidRDefault="002C3C2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若基金管理人或其指定的销售机构开通电话、传真或网上等交易方式，投资人可以通过上述方式进行申购与赎回，具体办法由基金管理人或其指定的销售机构另行公告。</w:t>
      </w:r>
    </w:p>
    <w:p w14:paraId="72E803D9" w14:textId="77777777" w:rsidR="00AC3A9B"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49E89358" w14:textId="77777777" w:rsidR="00AC3A9B" w:rsidRDefault="002C3C29">
      <w:pPr>
        <w:tabs>
          <w:tab w:val="left" w:pos="1110"/>
        </w:tabs>
        <w:adjustRightInd w:val="0"/>
        <w:snapToGrid w:val="0"/>
        <w:spacing w:line="360" w:lineRule="auto"/>
        <w:ind w:firstLineChars="200" w:firstLine="480"/>
        <w:rPr>
          <w:rFonts w:asciiTheme="minorEastAsia" w:hAnsiTheme="minorEastAsia" w:cs="Arial"/>
          <w:sz w:val="24"/>
          <w:szCs w:val="24"/>
        </w:rPr>
      </w:pPr>
      <w:bookmarkStart w:id="183" w:name="_Toc510842719"/>
      <w:r>
        <w:rPr>
          <w:rFonts w:asciiTheme="minorEastAsia" w:hAnsiTheme="minorEastAsia" w:cs="Arial" w:hint="eastAsia"/>
          <w:sz w:val="24"/>
          <w:szCs w:val="24"/>
        </w:rPr>
        <w:t>1、开放日及开放时间</w:t>
      </w:r>
    </w:p>
    <w:p w14:paraId="7A696604" w14:textId="77777777" w:rsidR="00AC3A9B" w:rsidRDefault="002C3C2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87B997F" w14:textId="77777777" w:rsidR="00AC3A9B" w:rsidRDefault="002C3C2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78BC624B" w14:textId="77777777" w:rsidR="00AC3A9B" w:rsidRDefault="002C3C2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2、申购、赎回开始日及业务办理时间</w:t>
      </w:r>
    </w:p>
    <w:p w14:paraId="6E13CA2F" w14:textId="77777777" w:rsidR="00AC3A9B" w:rsidRDefault="002C3C2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本基金已于2018年3月20日开始办理申购、赎回业务。</w:t>
      </w:r>
    </w:p>
    <w:p w14:paraId="08405F7E" w14:textId="77777777" w:rsidR="00AC3A9B" w:rsidRDefault="002C3C2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bookmarkEnd w:id="183"/>
    <w:p w14:paraId="289C2656" w14:textId="77777777" w:rsidR="00AC3A9B" w:rsidRDefault="002C3C29">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0977889D" w14:textId="77777777" w:rsidR="00AC3A9B" w:rsidRDefault="002C3C2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、“未知价”原则，即申购、赎回价格以申请当日收市后计算的某一类别基金份额净值为基准进行计算；</w:t>
      </w:r>
    </w:p>
    <w:p w14:paraId="49C09A91" w14:textId="77777777" w:rsidR="00AC3A9B" w:rsidRDefault="002C3C2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、“金额申购、份额赎回”原则，即申购以金额申请，赎回以份额申请；</w:t>
      </w:r>
    </w:p>
    <w:p w14:paraId="7CF69AF8" w14:textId="77777777" w:rsidR="00AC3A9B" w:rsidRDefault="002C3C2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、当日的申购与赎回申请可以在基金管理人规定的时间以内撤销；</w:t>
      </w:r>
    </w:p>
    <w:p w14:paraId="1BA40452" w14:textId="77777777" w:rsidR="00AC3A9B" w:rsidRDefault="002C3C2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、赎回遵循“先进先出”原则，即按照投资人认购、申购的先后次序进行</w:t>
      </w:r>
      <w:r>
        <w:rPr>
          <w:rFonts w:asciiTheme="minorEastAsia" w:hAnsiTheme="minorEastAsia" w:cs="Arial" w:hint="eastAsia"/>
          <w:sz w:val="24"/>
          <w:szCs w:val="24"/>
        </w:rPr>
        <w:lastRenderedPageBreak/>
        <w:t>顺序赎回；</w:t>
      </w:r>
    </w:p>
    <w:p w14:paraId="7E468ABD" w14:textId="77777777" w:rsidR="00AC3A9B" w:rsidRDefault="002C3C2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5、投资者办理申购、赎回等业务时应提交的文件和办理手续、办理时间、处理规则等在遵守基金合同和招募说明书规定的前提下，以各销售机构的具体规定为准。</w:t>
      </w:r>
    </w:p>
    <w:p w14:paraId="73456367" w14:textId="77777777" w:rsidR="00AC3A9B" w:rsidRDefault="002C3C2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基金管理人可在法律法规允许的情况下，对上述原则进行调整。基金管理人必须在新规则开始实施前依照《信息披露办法》的有关规定在指定媒介上公告。</w:t>
      </w:r>
    </w:p>
    <w:p w14:paraId="4803523D" w14:textId="77777777" w:rsidR="00AC3A9B"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4276D6AF" w14:textId="77777777" w:rsidR="00AC3A9B"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、申购和赎回的申请方式</w:t>
      </w:r>
    </w:p>
    <w:p w14:paraId="6416E052" w14:textId="77777777" w:rsidR="00AC3A9B"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5CA8A771" w14:textId="77777777" w:rsidR="00AC3A9B"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、申购和赎回的款项支付</w:t>
      </w:r>
    </w:p>
    <w:p w14:paraId="4D2C8B58" w14:textId="77777777" w:rsidR="00AC3A9B"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投资人申购基金份额时，必须全额交付申购款项，投资人在规定时间前全额交付申购款项，申购成立；登记机构确认基金份额时，申购生效。</w:t>
      </w:r>
    </w:p>
    <w:p w14:paraId="40EA7B05" w14:textId="77777777" w:rsidR="00AC3A9B"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基金份额持有人递交赎回申请，赎回成立；登记机构确认赎回时，赎回生效。投资人赎回申请成功后，基金管理人将在</w:t>
      </w:r>
      <w:r>
        <w:rPr>
          <w:rFonts w:asciiTheme="minorEastAsia" w:hAnsiTheme="minorEastAsia" w:cs="Arial"/>
          <w:sz w:val="24"/>
          <w:szCs w:val="24"/>
        </w:rPr>
        <w:t>T</w:t>
      </w:r>
      <w:r>
        <w:rPr>
          <w:rFonts w:asciiTheme="minorEastAsia" w:hAnsiTheme="minorEastAsia" w:cs="Arial" w:hint="eastAsia"/>
          <w:sz w:val="24"/>
          <w:szCs w:val="24"/>
        </w:rPr>
        <w:t>＋</w:t>
      </w:r>
      <w:r>
        <w:rPr>
          <w:rFonts w:asciiTheme="minorEastAsia" w:hAnsiTheme="minorEastAsia" w:cs="Arial"/>
          <w:sz w:val="24"/>
          <w:szCs w:val="24"/>
        </w:rPr>
        <w:t>7</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内支付赎回款项。在发生巨额赎回时，款项的支付办法参照基金合同有关条款处理。</w:t>
      </w:r>
    </w:p>
    <w:p w14:paraId="7E7E56AA" w14:textId="77777777" w:rsidR="00AC3A9B"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、申购和赎回申请的确认</w:t>
      </w:r>
    </w:p>
    <w:p w14:paraId="4FCFAE85" w14:textId="77777777" w:rsidR="00AC3A9B"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w:t>
      </w:r>
      <w:r>
        <w:rPr>
          <w:rFonts w:asciiTheme="minorEastAsia" w:hAnsiTheme="minorEastAsia" w:cs="Arial"/>
          <w:sz w:val="24"/>
          <w:szCs w:val="24"/>
        </w:rPr>
        <w:t>(T</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，在正常情况下，本基金登记机构在</w:t>
      </w:r>
      <w:r>
        <w:rPr>
          <w:rFonts w:asciiTheme="minorEastAsia" w:hAnsiTheme="minorEastAsia" w:cs="Arial"/>
          <w:sz w:val="24"/>
          <w:szCs w:val="24"/>
        </w:rPr>
        <w:t>T+1</w:t>
      </w:r>
      <w:r>
        <w:rPr>
          <w:rFonts w:asciiTheme="minorEastAsia" w:hAnsiTheme="minorEastAsia" w:cs="Arial" w:hint="eastAsia"/>
          <w:sz w:val="24"/>
          <w:szCs w:val="24"/>
        </w:rPr>
        <w:t>日内对该交易的有效性进行确认。</w:t>
      </w:r>
      <w:r>
        <w:rPr>
          <w:rFonts w:asciiTheme="minorEastAsia" w:hAnsiTheme="minorEastAsia" w:cs="Arial"/>
          <w:sz w:val="24"/>
          <w:szCs w:val="24"/>
        </w:rPr>
        <w:t>T</w:t>
      </w:r>
      <w:r>
        <w:rPr>
          <w:rFonts w:asciiTheme="minorEastAsia" w:hAnsiTheme="minorEastAsia" w:cs="Arial" w:hint="eastAsia"/>
          <w:sz w:val="24"/>
          <w:szCs w:val="24"/>
        </w:rPr>
        <w:t>日提交的有效申请，投资人应在</w:t>
      </w:r>
      <w:r>
        <w:rPr>
          <w:rFonts w:asciiTheme="minorEastAsia" w:hAnsiTheme="minorEastAsia" w:cs="Arial"/>
          <w:sz w:val="24"/>
          <w:szCs w:val="24"/>
        </w:rPr>
        <w:t>T+2</w:t>
      </w:r>
      <w:r>
        <w:rPr>
          <w:rFonts w:asciiTheme="minorEastAsia" w:hAnsiTheme="minorEastAsia" w:cs="Arial" w:hint="eastAsia"/>
          <w:sz w:val="24"/>
          <w:szCs w:val="24"/>
        </w:rPr>
        <w:t>日后</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及时到销售网点柜台或以销售机构规定的其他方式查询申请的确认情况。若申购不成功，则申购款项退还给投资人。</w:t>
      </w:r>
    </w:p>
    <w:p w14:paraId="6D66FA68" w14:textId="77777777" w:rsidR="00AC3A9B"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14:paraId="22A15CAC" w14:textId="77777777" w:rsidR="00AC3A9B"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基金管理人可以在法律法规和基金合同允许的范围内，对上述业务办理时间进行调整，并在调整实施前依照《信息披露办法》的有关规定在指定媒介上公告。</w:t>
      </w:r>
    </w:p>
    <w:p w14:paraId="236CF3C0" w14:textId="77777777" w:rsidR="00AC3A9B" w:rsidRDefault="002C3C29">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五、申购与赎回的数额限制</w:t>
      </w:r>
    </w:p>
    <w:p w14:paraId="25CFC83F" w14:textId="7E1B2875" w:rsidR="00AC3A9B" w:rsidRDefault="002C3C2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1、投资人申购 A 类基金份额，首次最低申购金额为人民币 1.00 元，追加申购单笔最低金额为人民币 1.00 元。投资人申购 C 类基金份额，首次最低申</w:t>
      </w:r>
      <w:r>
        <w:rPr>
          <w:rFonts w:asciiTheme="minorEastAsia" w:hAnsiTheme="minorEastAsia" w:cs="Arial" w:hint="eastAsia"/>
          <w:sz w:val="24"/>
          <w:szCs w:val="24"/>
        </w:rPr>
        <w:lastRenderedPageBreak/>
        <w:t>购金额为人民币</w:t>
      </w:r>
      <w:r w:rsidR="00ED28A0">
        <w:rPr>
          <w:rFonts w:asciiTheme="minorEastAsia" w:hAnsiTheme="minorEastAsia" w:cs="Arial"/>
          <w:sz w:val="24"/>
          <w:szCs w:val="24"/>
        </w:rPr>
        <w:t>1.00</w:t>
      </w:r>
      <w:r>
        <w:rPr>
          <w:rFonts w:asciiTheme="minorEastAsia" w:hAnsiTheme="minorEastAsia" w:cs="Arial" w:hint="eastAsia"/>
          <w:sz w:val="24"/>
          <w:szCs w:val="24"/>
        </w:rPr>
        <w:t xml:space="preserve">元，追加申购单笔最低金额为人民币 </w:t>
      </w:r>
      <w:r w:rsidR="00ED28A0">
        <w:rPr>
          <w:rFonts w:asciiTheme="minorEastAsia" w:hAnsiTheme="minorEastAsia" w:cs="Arial"/>
          <w:sz w:val="24"/>
          <w:szCs w:val="24"/>
        </w:rPr>
        <w:t>1.00</w:t>
      </w:r>
      <w:r>
        <w:rPr>
          <w:rFonts w:asciiTheme="minorEastAsia" w:hAnsiTheme="minorEastAsia" w:cs="Arial" w:hint="eastAsia"/>
          <w:sz w:val="24"/>
          <w:szCs w:val="24"/>
        </w:rPr>
        <w:t>元。各销售机构在不低于上述规定的前提下，可根据自己的情况调整首次最低申购金额和追加单笔最低申购金额限制，具体以销售机构公布的为准。</w:t>
      </w:r>
    </w:p>
    <w:p w14:paraId="2F41D4E8" w14:textId="77777777" w:rsidR="00AC3A9B" w:rsidRDefault="002C3C2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2、基金份额持有人在销售机构赎回时，每个交易账户最低持有某一类别基金份额余额为 1份，若某笔赎回导致单个交易账户的某一类别基金份额余额少于 1份时，该类份额余额部分基金份额必须一同赎回。</w:t>
      </w:r>
    </w:p>
    <w:p w14:paraId="0B918EB8" w14:textId="77777777" w:rsidR="00AC3A9B"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3、基金管理人可以规定单个投资者累计持有的某一类别基金份额数量限制，具体规定见定期更新的招募说明书或相关公告。</w:t>
      </w:r>
    </w:p>
    <w:p w14:paraId="6A1CD26D" w14:textId="77777777" w:rsidR="00AC3A9B" w:rsidRDefault="002C3C29">
      <w:pPr>
        <w:spacing w:line="360" w:lineRule="auto"/>
        <w:ind w:firstLineChars="200" w:firstLine="480"/>
        <w:rPr>
          <w:bCs/>
          <w:sz w:val="24"/>
          <w:szCs w:val="24"/>
        </w:rPr>
      </w:pPr>
      <w:r>
        <w:rPr>
          <w:bCs/>
          <w:sz w:val="24"/>
          <w:szCs w:val="24"/>
        </w:rPr>
        <w:t>4</w:t>
      </w:r>
      <w:r>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6EC19888" w14:textId="77777777" w:rsidR="00AC3A9B" w:rsidRDefault="002C3C29">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w:t>
      </w:r>
    </w:p>
    <w:p w14:paraId="140579B1" w14:textId="77777777" w:rsidR="00AC3A9B" w:rsidRDefault="002C3C29">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311A3E83" w14:textId="77777777" w:rsidR="00AC3A9B"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56DCFECE" w14:textId="77777777" w:rsidR="00AC3A9B"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p w14:paraId="77280F28" w14:textId="77777777" w:rsidR="00AC3A9B" w:rsidRDefault="00AC3A9B">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430"/>
      </w:tblGrid>
      <w:tr w:rsidR="00AC3A9B" w14:paraId="13D73BCE" w14:textId="77777777">
        <w:trPr>
          <w:trHeight w:val="190"/>
          <w:jc w:val="center"/>
        </w:trPr>
        <w:tc>
          <w:tcPr>
            <w:tcW w:w="8522" w:type="dxa"/>
            <w:gridSpan w:val="2"/>
            <w:tcBorders>
              <w:top w:val="single" w:sz="4" w:space="0" w:color="auto"/>
              <w:left w:val="single" w:sz="4" w:space="0" w:color="auto"/>
              <w:bottom w:val="single" w:sz="4" w:space="0" w:color="auto"/>
              <w:right w:val="single" w:sz="4" w:space="0" w:color="auto"/>
            </w:tcBorders>
          </w:tcPr>
          <w:p w14:paraId="56DA6811" w14:textId="77777777" w:rsidR="00AC3A9B" w:rsidRDefault="002C3C29">
            <w:pPr>
              <w:widowControl/>
              <w:spacing w:line="264" w:lineRule="auto"/>
              <w:jc w:val="center"/>
              <w:rPr>
                <w:rFonts w:asciiTheme="minorEastAsia" w:hAnsiTheme="minorEastAsia" w:cs="Arial"/>
                <w:bCs/>
                <w:kern w:val="0"/>
                <w:sz w:val="24"/>
                <w:szCs w:val="24"/>
              </w:rPr>
            </w:pPr>
            <w:r>
              <w:rPr>
                <w:rFonts w:asciiTheme="minorEastAsia" w:hAnsiTheme="minorEastAsia" w:cs="Arial" w:hint="eastAsia"/>
                <w:b/>
                <w:bCs/>
                <w:kern w:val="0"/>
                <w:sz w:val="24"/>
                <w:szCs w:val="24"/>
              </w:rPr>
              <w:t>A类基金份额</w:t>
            </w:r>
          </w:p>
        </w:tc>
      </w:tr>
      <w:tr w:rsidR="00AC3A9B" w14:paraId="5179E6FD"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31E0954"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申购金额（M）</w:t>
            </w:r>
          </w:p>
        </w:tc>
        <w:tc>
          <w:tcPr>
            <w:tcW w:w="4430" w:type="dxa"/>
            <w:tcBorders>
              <w:top w:val="single" w:sz="4" w:space="0" w:color="auto"/>
              <w:left w:val="single" w:sz="4" w:space="0" w:color="auto"/>
              <w:bottom w:val="single" w:sz="4" w:space="0" w:color="auto"/>
              <w:right w:val="single" w:sz="4" w:space="0" w:color="auto"/>
            </w:tcBorders>
          </w:tcPr>
          <w:p w14:paraId="7258BDE5"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申购费率</w:t>
            </w:r>
          </w:p>
        </w:tc>
      </w:tr>
      <w:tr w:rsidR="00AC3A9B" w14:paraId="0037E30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C9F47DC" w14:textId="77777777" w:rsidR="00AC3A9B" w:rsidRDefault="002C3C2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M＜100万元</w:t>
            </w:r>
          </w:p>
        </w:tc>
        <w:tc>
          <w:tcPr>
            <w:tcW w:w="4430" w:type="dxa"/>
            <w:tcBorders>
              <w:top w:val="single" w:sz="4" w:space="0" w:color="auto"/>
              <w:left w:val="single" w:sz="4" w:space="0" w:color="auto"/>
              <w:bottom w:val="single" w:sz="4" w:space="0" w:color="auto"/>
              <w:right w:val="single" w:sz="4" w:space="0" w:color="auto"/>
            </w:tcBorders>
          </w:tcPr>
          <w:p w14:paraId="1594957F" w14:textId="77777777" w:rsidR="00AC3A9B" w:rsidRDefault="002C3C2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1.50%</w:t>
            </w:r>
          </w:p>
        </w:tc>
      </w:tr>
      <w:tr w:rsidR="00AC3A9B" w14:paraId="48A93291"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7B0E7995" w14:textId="77777777" w:rsidR="00AC3A9B" w:rsidRDefault="002C3C2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100万元≤M＜500万元</w:t>
            </w:r>
          </w:p>
        </w:tc>
        <w:tc>
          <w:tcPr>
            <w:tcW w:w="4430" w:type="dxa"/>
            <w:tcBorders>
              <w:top w:val="single" w:sz="4" w:space="0" w:color="auto"/>
              <w:left w:val="single" w:sz="4" w:space="0" w:color="auto"/>
              <w:bottom w:val="single" w:sz="4" w:space="0" w:color="auto"/>
              <w:right w:val="single" w:sz="4" w:space="0" w:color="auto"/>
            </w:tcBorders>
          </w:tcPr>
          <w:p w14:paraId="755B3FBD" w14:textId="77777777" w:rsidR="00AC3A9B" w:rsidRDefault="002C3C2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w:t>
            </w:r>
          </w:p>
        </w:tc>
      </w:tr>
      <w:tr w:rsidR="00AC3A9B" w14:paraId="11DF91E3"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1E05B6BA" w14:textId="77777777" w:rsidR="00AC3A9B" w:rsidRDefault="002C3C2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500万元≤M＜1000万元</w:t>
            </w:r>
          </w:p>
        </w:tc>
        <w:tc>
          <w:tcPr>
            <w:tcW w:w="4430" w:type="dxa"/>
            <w:tcBorders>
              <w:top w:val="single" w:sz="4" w:space="0" w:color="auto"/>
              <w:left w:val="single" w:sz="4" w:space="0" w:color="auto"/>
              <w:bottom w:val="single" w:sz="4" w:space="0" w:color="auto"/>
              <w:right w:val="single" w:sz="4" w:space="0" w:color="auto"/>
            </w:tcBorders>
          </w:tcPr>
          <w:p w14:paraId="5C3FAD13" w14:textId="77777777" w:rsidR="00AC3A9B" w:rsidRDefault="002C3C2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0.30%</w:t>
            </w:r>
          </w:p>
        </w:tc>
      </w:tr>
      <w:tr w:rsidR="00AC3A9B" w14:paraId="78C316E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8EC7F17" w14:textId="77777777" w:rsidR="00AC3A9B" w:rsidRDefault="002C3C2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M≥1000万元</w:t>
            </w:r>
          </w:p>
        </w:tc>
        <w:tc>
          <w:tcPr>
            <w:tcW w:w="4430" w:type="dxa"/>
            <w:tcBorders>
              <w:top w:val="single" w:sz="4" w:space="0" w:color="auto"/>
              <w:left w:val="single" w:sz="4" w:space="0" w:color="auto"/>
              <w:bottom w:val="single" w:sz="4" w:space="0" w:color="auto"/>
              <w:right w:val="single" w:sz="4" w:space="0" w:color="auto"/>
            </w:tcBorders>
          </w:tcPr>
          <w:p w14:paraId="33D47617" w14:textId="77777777" w:rsidR="00AC3A9B" w:rsidRDefault="002C3C29">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1000元/笔</w:t>
            </w:r>
          </w:p>
        </w:tc>
      </w:tr>
      <w:tr w:rsidR="00AC3A9B" w14:paraId="7DD54A4D"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6F53D312" w14:textId="77777777" w:rsidR="00AC3A9B" w:rsidRDefault="002C3C29">
            <w:pPr>
              <w:widowControl/>
              <w:spacing w:line="264" w:lineRule="auto"/>
              <w:jc w:val="center"/>
              <w:rPr>
                <w:rFonts w:asciiTheme="minorEastAsia" w:hAnsiTheme="minorEastAsia" w:cs="Arial"/>
                <w:b/>
                <w:kern w:val="0"/>
                <w:sz w:val="24"/>
                <w:szCs w:val="24"/>
              </w:rPr>
            </w:pPr>
            <w:r>
              <w:rPr>
                <w:rFonts w:asciiTheme="minorEastAsia" w:hAnsiTheme="minorEastAsia" w:cs="Arial" w:hint="eastAsia"/>
                <w:b/>
                <w:bCs/>
                <w:kern w:val="0"/>
                <w:sz w:val="24"/>
                <w:szCs w:val="24"/>
              </w:rPr>
              <w:t>C类基金份额</w:t>
            </w:r>
          </w:p>
        </w:tc>
      </w:tr>
      <w:tr w:rsidR="00AC3A9B" w14:paraId="13B4F387"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7A907A68" w14:textId="77777777" w:rsidR="00AC3A9B" w:rsidRDefault="002C3C29">
            <w:pPr>
              <w:widowControl/>
              <w:spacing w:line="264" w:lineRule="auto"/>
              <w:jc w:val="center"/>
              <w:rPr>
                <w:rFonts w:asciiTheme="minorEastAsia" w:hAnsiTheme="minorEastAsia" w:cs="Arial"/>
                <w:kern w:val="0"/>
                <w:sz w:val="24"/>
                <w:szCs w:val="24"/>
              </w:rPr>
            </w:pPr>
            <w:r>
              <w:rPr>
                <w:rFonts w:asciiTheme="minorEastAsia" w:hAnsiTheme="minorEastAsia" w:cs="Arial" w:hint="eastAsia"/>
                <w:bCs/>
                <w:kern w:val="0"/>
                <w:sz w:val="24"/>
                <w:szCs w:val="24"/>
              </w:rPr>
              <w:t>申</w:t>
            </w:r>
            <w:r>
              <w:rPr>
                <w:rFonts w:asciiTheme="minorEastAsia" w:hAnsiTheme="minorEastAsia" w:cs="Arial" w:hint="eastAsia"/>
                <w:kern w:val="0"/>
                <w:sz w:val="24"/>
                <w:szCs w:val="24"/>
              </w:rPr>
              <w:t>购费率为零</w:t>
            </w:r>
          </w:p>
        </w:tc>
      </w:tr>
    </w:tbl>
    <w:p w14:paraId="1FEF2C61" w14:textId="77777777" w:rsidR="00AC3A9B" w:rsidRDefault="00AC3A9B">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358650C4" w14:textId="77777777" w:rsidR="00AC3A9B" w:rsidRDefault="002C3C29">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本基金的申购费用由申购基金份额的投资人承担，不列入基金资产，用于基</w:t>
      </w:r>
      <w:r>
        <w:rPr>
          <w:rFonts w:asciiTheme="minorEastAsia" w:hAnsiTheme="minorEastAsia" w:cs="Arial" w:hint="eastAsia"/>
          <w:sz w:val="24"/>
          <w:szCs w:val="24"/>
        </w:rPr>
        <w:lastRenderedPageBreak/>
        <w:t>金的市场推广、销售、登记等各项费用。</w:t>
      </w:r>
    </w:p>
    <w:p w14:paraId="7CD54CA3"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1DE9F676"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AC3A9B" w14:paraId="1AB3D41B"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3A0E06A" w14:textId="77777777" w:rsidR="00AC3A9B" w:rsidRDefault="002C3C29">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3DCE0A4A" w14:textId="77777777" w:rsidR="00AC3A9B" w:rsidRDefault="002C3C29">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246D932C" w14:textId="77777777" w:rsidR="00AC3A9B" w:rsidRDefault="002C3C29">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C类份额赎回费率</w:t>
            </w:r>
          </w:p>
        </w:tc>
      </w:tr>
      <w:tr w:rsidR="00AC3A9B" w14:paraId="73B5F77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FDCD078"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5536826E"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27369319" w14:textId="77777777" w:rsidR="00AC3A9B" w:rsidRDefault="002C3C2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r>
      <w:tr w:rsidR="00AC3A9B" w14:paraId="66A98B90"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6E30106"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6DAAFB99"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5383142B" w14:textId="77777777" w:rsidR="00AC3A9B" w:rsidRDefault="002C3C2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r>
      <w:tr w:rsidR="00AC3A9B" w14:paraId="0A8F28D9"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115BFA44"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30日 ≤ Y ＜ 6个月</w:t>
            </w:r>
          </w:p>
        </w:tc>
        <w:tc>
          <w:tcPr>
            <w:tcW w:w="2127" w:type="dxa"/>
            <w:tcBorders>
              <w:top w:val="single" w:sz="4" w:space="0" w:color="auto"/>
              <w:left w:val="single" w:sz="4" w:space="0" w:color="auto"/>
              <w:bottom w:val="single" w:sz="4" w:space="0" w:color="auto"/>
              <w:right w:val="single" w:sz="4" w:space="0" w:color="auto"/>
            </w:tcBorders>
          </w:tcPr>
          <w:p w14:paraId="109CCC36"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6A52EE5C" w14:textId="77777777" w:rsidR="00AC3A9B" w:rsidRDefault="002C3C2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r w:rsidR="00AC3A9B" w14:paraId="46E0E026"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11ED61D"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Y≥6个月</w:t>
            </w:r>
          </w:p>
        </w:tc>
        <w:tc>
          <w:tcPr>
            <w:tcW w:w="2127" w:type="dxa"/>
            <w:tcBorders>
              <w:top w:val="single" w:sz="4" w:space="0" w:color="auto"/>
              <w:left w:val="single" w:sz="4" w:space="0" w:color="auto"/>
              <w:bottom w:val="single" w:sz="4" w:space="0" w:color="auto"/>
              <w:right w:val="single" w:sz="4" w:space="0" w:color="auto"/>
            </w:tcBorders>
          </w:tcPr>
          <w:p w14:paraId="0708E2BE" w14:textId="77777777" w:rsidR="00AC3A9B" w:rsidRDefault="002C3C29">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7AEF3C15" w14:textId="77777777" w:rsidR="00AC3A9B" w:rsidRDefault="002C3C29">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bl>
    <w:p w14:paraId="3C03E8A6" w14:textId="77777777" w:rsidR="00AC3A9B" w:rsidRDefault="00AC3A9B">
      <w:pPr>
        <w:adjustRightInd w:val="0"/>
        <w:snapToGrid w:val="0"/>
        <w:spacing w:line="360" w:lineRule="auto"/>
        <w:rPr>
          <w:rFonts w:asciiTheme="minorEastAsia" w:hAnsiTheme="minorEastAsia" w:cs="Arial"/>
          <w:sz w:val="24"/>
          <w:szCs w:val="24"/>
        </w:rPr>
      </w:pPr>
    </w:p>
    <w:p w14:paraId="7D00EFC8" w14:textId="77777777" w:rsidR="00AC3A9B" w:rsidRDefault="002C3C29">
      <w:pPr>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（注：一月为</w:t>
      </w:r>
      <w:r>
        <w:rPr>
          <w:rFonts w:asciiTheme="minorEastAsia" w:hAnsiTheme="minorEastAsia" w:cs="Arial"/>
          <w:sz w:val="24"/>
          <w:szCs w:val="24"/>
        </w:rPr>
        <w:t>3</w:t>
      </w:r>
      <w:r>
        <w:rPr>
          <w:rFonts w:asciiTheme="minorEastAsia" w:hAnsiTheme="minorEastAsia" w:cs="Arial" w:hint="eastAsia"/>
          <w:sz w:val="24"/>
          <w:szCs w:val="24"/>
        </w:rPr>
        <w:t>0日）</w:t>
      </w:r>
    </w:p>
    <w:p w14:paraId="27FBD6CD"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036C35CB"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产。上述未纳入基金财产的赎回费用于支付登记费和其他必要的手续费。</w:t>
      </w:r>
    </w:p>
    <w:p w14:paraId="69584C83"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14:paraId="7B7C3E63" w14:textId="77777777" w:rsidR="00AC3A9B" w:rsidRDefault="002C3C29">
      <w:pPr>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w:t>
      </w:r>
    </w:p>
    <w:p w14:paraId="68726562" w14:textId="77777777" w:rsidR="00AC3A9B"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07A83F8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1、A类基金份额申购份额的计算方式：</w:t>
      </w:r>
    </w:p>
    <w:p w14:paraId="5C9A49ED"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（1）当申购费用适用比例费率时，申购份额的计算公式如下：</w:t>
      </w:r>
    </w:p>
    <w:p w14:paraId="2612FD2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4186F598"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7188B10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申购份额=净申购金额/T 日A类基金份额净值</w:t>
      </w:r>
    </w:p>
    <w:p w14:paraId="23FCD142"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34F497EF"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26758631"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05A9BB87"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申购份额＝净申购金额/T日A类基金份额净值</w:t>
      </w:r>
    </w:p>
    <w:p w14:paraId="5B8BE695"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2119D958"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元申购本基金A类基金份额，且该申购申请被全额确认，对应的申购费率为1.5%，假定申购当日A类基金份额净值为1.0500元，则可得到的申购份额为：</w:t>
      </w:r>
    </w:p>
    <w:p w14:paraId="77B3B811"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净申购金额＝50,000/(1+1.5%)＝49,261.08元</w:t>
      </w:r>
    </w:p>
    <w:p w14:paraId="44A95FBC"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申购费用＝50,000－49,261.08＝738.92元</w:t>
      </w:r>
    </w:p>
    <w:p w14:paraId="30CA7701"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申购份额＝49,261.08/1.0500＝46,915.31 份</w:t>
      </w:r>
    </w:p>
    <w:p w14:paraId="624434AF"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元申购本基金A类基金份额，假定申购当日A类基金份额净值为1.0500元，可得到46,915.31份A类基金份额。</w:t>
      </w:r>
    </w:p>
    <w:p w14:paraId="6DA5F6D0"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2、C类基金份额申购份额的计算方式：</w:t>
      </w:r>
    </w:p>
    <w:p w14:paraId="12FA7038"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申购份额＝申购金额/T日C类基金份额净值</w:t>
      </w:r>
    </w:p>
    <w:p w14:paraId="2CAFC220"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6DB71EC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元申购本基金C类基金份额，且该申购申请被全额确认，假定申购当日C类基金份额净值为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2300元，则可得到的申购份额为：</w:t>
      </w:r>
    </w:p>
    <w:p w14:paraId="25250B11"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1.</w:t>
      </w:r>
      <w:r>
        <w:rPr>
          <w:rFonts w:asciiTheme="minorEastAsia" w:hAnsiTheme="minorEastAsia" w:cs="Arial" w:hint="eastAsia"/>
          <w:sz w:val="24"/>
          <w:szCs w:val="24"/>
        </w:rPr>
        <w:t>2500=4</w:t>
      </w:r>
      <w:r>
        <w:rPr>
          <w:rFonts w:asciiTheme="minorEastAsia" w:hAnsiTheme="minorEastAsia" w:cs="Arial"/>
          <w:sz w:val="24"/>
          <w:szCs w:val="24"/>
        </w:rPr>
        <w:t>,</w:t>
      </w:r>
      <w:r>
        <w:rPr>
          <w:rFonts w:asciiTheme="minorEastAsia" w:hAnsiTheme="minorEastAsia" w:cs="Arial" w:hint="eastAsia"/>
          <w:sz w:val="24"/>
          <w:szCs w:val="24"/>
        </w:rPr>
        <w:t>000,000.00份</w:t>
      </w:r>
    </w:p>
    <w:p w14:paraId="1926635E"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2500元，可得到4</w:t>
      </w:r>
      <w:r>
        <w:rPr>
          <w:rFonts w:asciiTheme="minorEastAsia" w:hAnsiTheme="minorEastAsia" w:cs="Arial"/>
          <w:sz w:val="24"/>
          <w:szCs w:val="24"/>
        </w:rPr>
        <w:t>,0</w:t>
      </w:r>
      <w:r>
        <w:rPr>
          <w:rFonts w:asciiTheme="minorEastAsia" w:hAnsiTheme="minorEastAsia" w:cs="Arial" w:hint="eastAsia"/>
          <w:sz w:val="24"/>
          <w:szCs w:val="24"/>
        </w:rPr>
        <w:t>00,000.00份C类基金份额。</w:t>
      </w:r>
    </w:p>
    <w:p w14:paraId="70BEDEF8"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 xml:space="preserve"> </w:t>
      </w:r>
      <w:r>
        <w:rPr>
          <w:rFonts w:asciiTheme="minorEastAsia" w:hAnsiTheme="minorEastAsia" w:cs="Arial" w:hint="eastAsia"/>
          <w:sz w:val="24"/>
          <w:szCs w:val="24"/>
        </w:rPr>
        <w:t>赎回金额的计算方式：</w:t>
      </w:r>
    </w:p>
    <w:p w14:paraId="657CB76B"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7C95704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0C01C0B8"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3A4B13CF"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上述计算结果均按四舍五入方法，保留到小数点后2位，由此产生的收益或</w:t>
      </w:r>
      <w:r>
        <w:rPr>
          <w:rFonts w:asciiTheme="minorEastAsia" w:hAnsiTheme="minorEastAsia" w:cs="Arial" w:hint="eastAsia"/>
          <w:sz w:val="24"/>
          <w:szCs w:val="24"/>
        </w:rPr>
        <w:lastRenderedPageBreak/>
        <w:t>损失由基金财产承担。</w:t>
      </w:r>
    </w:p>
    <w:p w14:paraId="6D43B22E"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例1：某投资者赎回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类基金份额且持有时间为3个月，赎回费率为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元，则可得到的赎回金额为：</w:t>
      </w:r>
    </w:p>
    <w:p w14:paraId="59178193"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10,680.00 </w:t>
      </w:r>
      <w:r>
        <w:rPr>
          <w:rFonts w:asciiTheme="minorEastAsia" w:hAnsiTheme="minorEastAsia" w:cs="Arial" w:hint="eastAsia"/>
          <w:sz w:val="24"/>
          <w:szCs w:val="24"/>
        </w:rPr>
        <w:t>元</w:t>
      </w:r>
    </w:p>
    <w:p w14:paraId="75D2CFC6"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3379C3EF"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615E7BF8"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00C6B243"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例2：某投资人赎回本基金10,000份C类基金份额，持有时间为20日，对应的赎回费率为0.5%，假设赎回当日C类基金份额净值是1.0680元，则其可得到的赎回金额为：</w:t>
      </w:r>
    </w:p>
    <w:p w14:paraId="61B16DA9"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赎回金额=10,000×1.0680=10,680元</w:t>
      </w:r>
    </w:p>
    <w:p w14:paraId="6EC8C482"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赎回费用=10,680×0.5%=53.40元</w:t>
      </w:r>
    </w:p>
    <w:p w14:paraId="2727ABE9"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净赎回金额=10,680-53.40=10,626.60元</w:t>
      </w:r>
    </w:p>
    <w:p w14:paraId="37FAC6B6"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即：投资人赎回本基金10,000份C类基金份额，持有期限为20日，假设赎回当日本基金C类基金份额净值是1.0680元，则其可得到的净赎回金额为10,626.60元。</w:t>
      </w:r>
    </w:p>
    <w:p w14:paraId="2AA60F62"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类基金份额分别设置代码，分别计算和公告两类基金份额净值和两类基金份额累计净值。</w:t>
      </w:r>
      <w:r>
        <w:rPr>
          <w:rFonts w:asciiTheme="minorEastAsia" w:hAnsiTheme="minorEastAsia" w:cs="Times New Roman" w:hint="eastAsia"/>
          <w:sz w:val="24"/>
          <w:szCs w:val="24"/>
        </w:rPr>
        <w:t>本基金两类基金份额净值的计算，保留到小数点后4位，小数点后第5位四舍五入，由此产生的收益或损失由基金财产承担。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3FA8DF38" w14:textId="77777777" w:rsidR="00AC3A9B" w:rsidRDefault="002C3C29">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八、申购与赎回的登记业务</w:t>
      </w:r>
    </w:p>
    <w:p w14:paraId="4C883F29"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21EBDD3D"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709342B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lastRenderedPageBreak/>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在指定媒介公告。</w:t>
      </w:r>
    </w:p>
    <w:p w14:paraId="5C73C40B" w14:textId="77777777" w:rsidR="00AC3A9B"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6034B82E" w14:textId="77777777" w:rsidR="00AC3A9B" w:rsidRDefault="002C3C29">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618AA2E9"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、因不可抗力导致基金无法正常运作。</w:t>
      </w:r>
    </w:p>
    <w:p w14:paraId="1E98BB8F"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、发生基金合同规定的暂停基金资产估值情况时，基金管理人可暂停接受投资人的申购申请。</w:t>
      </w:r>
    </w:p>
    <w:p w14:paraId="64601A8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、证券、期货交易所交易时间非正常停市，导致基金管理人无法计算当日基金资产净值。</w:t>
      </w:r>
    </w:p>
    <w:p w14:paraId="55E705CF"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、基金管理人接受某笔或某些申购申请会损害现有基金份额持有人利益或对存量基金份额持有人利益构成潜在重大不利影响时。</w:t>
      </w:r>
    </w:p>
    <w:p w14:paraId="1AD6C2B3"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Pr>
          <w:rFonts w:asciiTheme="minorEastAsia" w:hAnsiTheme="minorEastAsia" w:cs="Arial" w:hint="eastAsia"/>
          <w:sz w:val="24"/>
          <w:szCs w:val="24"/>
        </w:rPr>
        <w:t>、基金资产规模过大，使基金管理人无法找到合适的投资品种，或其他可能对基金业绩产生负面影响，或发生其他损害现有基金份额持有人利益的情形。</w:t>
      </w:r>
    </w:p>
    <w:p w14:paraId="3BF8011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Pr>
          <w:rFonts w:asciiTheme="minorEastAsia" w:hAnsiTheme="minorEastAsia" w:cs="Arial" w:hint="eastAsia"/>
          <w:sz w:val="24"/>
          <w:szCs w:val="24"/>
        </w:rPr>
        <w:t>、基金管理人、基金托管人、销售机构或登记机构的技术故障等异常情况导致基金销售系统、基金注册登记系统或基金会计系统无法正常运行。</w:t>
      </w:r>
    </w:p>
    <w:p w14:paraId="344F2580" w14:textId="77777777" w:rsidR="00AC3A9B" w:rsidRDefault="002C3C29">
      <w:pPr>
        <w:spacing w:line="360" w:lineRule="auto"/>
        <w:ind w:firstLineChars="200" w:firstLine="480"/>
        <w:rPr>
          <w:bCs/>
          <w:sz w:val="24"/>
          <w:szCs w:val="24"/>
        </w:rPr>
      </w:pPr>
      <w:r>
        <w:rPr>
          <w:rFonts w:hint="eastAsia"/>
          <w:bCs/>
          <w:sz w:val="24"/>
          <w:szCs w:val="24"/>
        </w:rPr>
        <w:t>7</w:t>
      </w:r>
      <w:r>
        <w:rPr>
          <w:rFonts w:hint="eastAsia"/>
          <w:bCs/>
          <w:sz w:val="24"/>
          <w:szCs w:val="24"/>
        </w:rPr>
        <w:t>、基金管理人接受某笔或者某些申购申请有可能导致单一投资者持有基金份额的比例达到或者超过</w:t>
      </w:r>
      <w:r>
        <w:rPr>
          <w:rFonts w:hint="eastAsia"/>
          <w:bCs/>
          <w:sz w:val="24"/>
          <w:szCs w:val="24"/>
        </w:rPr>
        <w:t>50%</w:t>
      </w:r>
      <w:r>
        <w:rPr>
          <w:rFonts w:hint="eastAsia"/>
          <w:bCs/>
          <w:sz w:val="24"/>
          <w:szCs w:val="24"/>
        </w:rPr>
        <w:t>，或者变相规避</w:t>
      </w:r>
      <w:r>
        <w:rPr>
          <w:rFonts w:hint="eastAsia"/>
          <w:bCs/>
          <w:sz w:val="24"/>
          <w:szCs w:val="24"/>
        </w:rPr>
        <w:t>50%</w:t>
      </w:r>
      <w:r>
        <w:rPr>
          <w:rFonts w:hint="eastAsia"/>
          <w:bCs/>
          <w:sz w:val="24"/>
          <w:szCs w:val="24"/>
        </w:rPr>
        <w:t>集中度的情形时。</w:t>
      </w:r>
    </w:p>
    <w:p w14:paraId="5B5E7E48" w14:textId="77777777" w:rsidR="00AC3A9B" w:rsidRDefault="002C3C29">
      <w:pPr>
        <w:spacing w:line="360" w:lineRule="auto"/>
        <w:ind w:firstLineChars="200" w:firstLine="480"/>
        <w:rPr>
          <w:bCs/>
          <w:sz w:val="24"/>
          <w:szCs w:val="24"/>
        </w:rPr>
      </w:pPr>
      <w:r>
        <w:rPr>
          <w:rFonts w:hint="eastAsia"/>
          <w:bCs/>
          <w:sz w:val="24"/>
          <w:szCs w:val="24"/>
        </w:rPr>
        <w:t>8</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以上的资产出现无可参考的活跃市场价格且采用估值技术仍导致公允价值存在重大不确定性时，经与基金托管人协商确认后，基金管理人应当采取延缓支付赎回款项或暂停接受基金申购赎回申请的措施。</w:t>
      </w:r>
    </w:p>
    <w:p w14:paraId="531F87BE" w14:textId="77777777" w:rsidR="00AC3A9B" w:rsidRDefault="002C3C29">
      <w:pPr>
        <w:spacing w:line="360" w:lineRule="auto"/>
        <w:ind w:firstLineChars="200" w:firstLine="480"/>
        <w:rPr>
          <w:bCs/>
          <w:sz w:val="24"/>
          <w:szCs w:val="24"/>
        </w:rPr>
      </w:pPr>
      <w:r>
        <w:rPr>
          <w:rFonts w:hint="eastAsia"/>
          <w:bCs/>
          <w:sz w:val="24"/>
          <w:szCs w:val="24"/>
        </w:rPr>
        <w:t>9</w:t>
      </w:r>
      <w:r>
        <w:rPr>
          <w:rFonts w:hint="eastAsia"/>
          <w:bCs/>
          <w:sz w:val="24"/>
          <w:szCs w:val="24"/>
        </w:rPr>
        <w:t>、</w:t>
      </w:r>
      <w:r>
        <w:rPr>
          <w:bCs/>
          <w:sz w:val="24"/>
          <w:szCs w:val="24"/>
        </w:rPr>
        <w:t>法律法规规定或中国证监会认定的其他情形。</w:t>
      </w:r>
    </w:p>
    <w:p w14:paraId="7BA759F6" w14:textId="77777777" w:rsidR="00AC3A9B" w:rsidRDefault="002C3C29">
      <w:pPr>
        <w:spacing w:line="360" w:lineRule="auto"/>
        <w:ind w:firstLineChars="200" w:firstLine="480"/>
        <w:rPr>
          <w:bCs/>
          <w:sz w:val="24"/>
          <w:szCs w:val="24"/>
        </w:rPr>
      </w:pPr>
      <w:r>
        <w:rPr>
          <w:bCs/>
          <w:sz w:val="24"/>
          <w:szCs w:val="24"/>
        </w:rPr>
        <w:t>发生上述第</w:t>
      </w:r>
      <w:r>
        <w:rPr>
          <w:bCs/>
          <w:sz w:val="24"/>
          <w:szCs w:val="24"/>
        </w:rPr>
        <w:t>1</w:t>
      </w:r>
      <w:r>
        <w:rPr>
          <w:bCs/>
          <w:sz w:val="24"/>
          <w:szCs w:val="24"/>
        </w:rPr>
        <w:t>、</w:t>
      </w:r>
      <w:r>
        <w:rPr>
          <w:bCs/>
          <w:sz w:val="24"/>
          <w:szCs w:val="24"/>
        </w:rPr>
        <w:t>2</w:t>
      </w:r>
      <w:r>
        <w:rPr>
          <w:bCs/>
          <w:sz w:val="24"/>
          <w:szCs w:val="24"/>
        </w:rPr>
        <w:t>、</w:t>
      </w:r>
      <w:r>
        <w:rPr>
          <w:rFonts w:hint="eastAsia"/>
          <w:bCs/>
          <w:sz w:val="24"/>
          <w:szCs w:val="24"/>
        </w:rPr>
        <w:t>3</w:t>
      </w:r>
      <w:r>
        <w:rPr>
          <w:bCs/>
          <w:sz w:val="24"/>
          <w:szCs w:val="24"/>
        </w:rPr>
        <w:t>、</w:t>
      </w:r>
      <w:r>
        <w:rPr>
          <w:bCs/>
          <w:sz w:val="24"/>
          <w:szCs w:val="24"/>
        </w:rPr>
        <w:t>5</w:t>
      </w:r>
      <w:r>
        <w:rPr>
          <w:rFonts w:hint="eastAsia"/>
          <w:bCs/>
          <w:sz w:val="24"/>
          <w:szCs w:val="24"/>
        </w:rPr>
        <w:t>、</w:t>
      </w:r>
      <w:r>
        <w:rPr>
          <w:rFonts w:hint="eastAsia"/>
          <w:bCs/>
          <w:sz w:val="24"/>
          <w:szCs w:val="24"/>
        </w:rPr>
        <w:t>6</w:t>
      </w:r>
      <w:r>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Pr>
          <w:bCs/>
          <w:sz w:val="24"/>
          <w:szCs w:val="24"/>
        </w:rPr>
        <w:t>项暂停申购情形</w:t>
      </w:r>
      <w:r>
        <w:rPr>
          <w:rFonts w:hint="eastAsia"/>
          <w:bCs/>
          <w:sz w:val="24"/>
          <w:szCs w:val="24"/>
        </w:rPr>
        <w:t>之一且基金管理人决定暂停接受投资人的申购申请</w:t>
      </w:r>
      <w:r>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5E333FAE" w14:textId="77777777" w:rsidR="00AC3A9B" w:rsidRDefault="002C3C29">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十、暂停赎回或延缓支付赎回款项的情形及处理</w:t>
      </w:r>
    </w:p>
    <w:p w14:paraId="6F1EE63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发生下列情形时，基金管理人可暂停接受投资人的赎回申请或延缓支付赎回款项：</w:t>
      </w:r>
    </w:p>
    <w:p w14:paraId="0F732E1E"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1、因不可抗力导致基金管理人不能支付赎回款项。</w:t>
      </w:r>
    </w:p>
    <w:p w14:paraId="50BCEFDE"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7B4AEF9C"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3、证券、期货交易所交易时间非正常停市，导致基金管理人无法计算当日基金资产净值。</w:t>
      </w:r>
    </w:p>
    <w:p w14:paraId="04D73D52"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4、连续两个或两个以上开放日发生巨额赎回。</w:t>
      </w:r>
    </w:p>
    <w:p w14:paraId="505819D3"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5、继续接受赎回申请将损害现有基金份额持有人利益的情形时，基金管理人可暂停接受投资人的赎回申请。</w:t>
      </w:r>
    </w:p>
    <w:p w14:paraId="5EE3A5D7"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当前一估值日基金资产净值50%以上的资产出现无可参考的活跃市场价格且采用估值技术仍导致公允价值存在重大不确定性时，经与基金托管人协商确认后，基金管理人暂停基金估值并采取延缓支付赎回款项或暂停接受基金赎回申请的措施。</w:t>
      </w:r>
    </w:p>
    <w:p w14:paraId="5E5E226A"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7、法律法规规定或中国证监会认定的其他情形。</w:t>
      </w:r>
    </w:p>
    <w:p w14:paraId="5C5B1945"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发生上述情形之一且基金管理人决定拒绝接受或暂停接受基金份额持有人的赎回申请时，基金管理人应在当日报中国证监会备案，已确认的赎回申请，基金管理人应足额支付；如暂时不能足额支付，</w:t>
      </w:r>
      <w:r>
        <w:rPr>
          <w:bCs/>
          <w:sz w:val="24"/>
        </w:rPr>
        <w:t>应将可支付部分按单个账户申请量占申请总量的比例分配给赎回申请人，</w:t>
      </w:r>
      <w:r>
        <w:rPr>
          <w:rFonts w:asciiTheme="minorEastAsia" w:hAnsiTheme="minorEastAsia" w:cs="Arial" w:hint="eastAsia"/>
          <w:sz w:val="24"/>
          <w:szCs w:val="24"/>
        </w:rPr>
        <w:t>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bookmarkStart w:id="184" w:name="_Toc416264545"/>
      <w:bookmarkStart w:id="185" w:name="_Toc17920"/>
      <w:bookmarkStart w:id="186" w:name="_Toc739"/>
      <w:bookmarkStart w:id="187" w:name="_Toc352229756"/>
      <w:bookmarkStart w:id="188" w:name="_Toc139991740"/>
      <w:bookmarkStart w:id="189" w:name="_Toc20976"/>
      <w:bookmarkStart w:id="190" w:name="_Toc123102457"/>
      <w:bookmarkStart w:id="191" w:name="_Toc17198"/>
      <w:bookmarkStart w:id="192" w:name="_Toc29408"/>
      <w:bookmarkStart w:id="193" w:name="_Toc123051456"/>
      <w:bookmarkStart w:id="194" w:name="_Toc32092"/>
      <w:bookmarkStart w:id="195" w:name="_Toc79392622"/>
      <w:bookmarkStart w:id="196" w:name="_Toc98560356"/>
      <w:bookmarkStart w:id="197" w:name="_Toc123112238"/>
      <w:bookmarkStart w:id="198" w:name="_Toc141703890"/>
      <w:bookmarkStart w:id="199" w:name="_Toc32584"/>
      <w:bookmarkStart w:id="200" w:name="_Toc3329"/>
      <w:bookmarkStart w:id="201" w:name="_Toc48649708"/>
      <w:bookmarkStart w:id="202" w:name="_Toc21237"/>
      <w:bookmarkStart w:id="203" w:name="_Toc5170"/>
      <w:bookmarkStart w:id="204" w:name="_Toc879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2DE540F6" w14:textId="77777777" w:rsidR="00AC3A9B" w:rsidRDefault="002C3C2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4EF9EF7D"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1、巨额赎回的认定</w:t>
      </w:r>
    </w:p>
    <w:p w14:paraId="65656B3F"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7ED02BBF"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2、巨额赎回的处理方式</w:t>
      </w:r>
    </w:p>
    <w:p w14:paraId="132B32C1"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当基金出现巨额赎回时，基金管理人可以根据基金当时的资产组合状况决定全额赎回或部分延期赎回。</w:t>
      </w:r>
    </w:p>
    <w:p w14:paraId="7B46CD08"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（1）全额赎回：当基金管理人认为有能力支付投资人的全部赎回申请时，按正常赎回程序执行。</w:t>
      </w:r>
    </w:p>
    <w:p w14:paraId="6634B194" w14:textId="77777777" w:rsidR="00AC3A9B" w:rsidRDefault="002C3C29">
      <w:pPr>
        <w:spacing w:line="360" w:lineRule="auto"/>
        <w:ind w:firstLineChars="200" w:firstLine="480"/>
        <w:rPr>
          <w:bCs/>
          <w:sz w:val="24"/>
          <w:szCs w:val="24"/>
        </w:rPr>
      </w:pPr>
      <w:r>
        <w:rPr>
          <w:bCs/>
          <w:sz w:val="24"/>
          <w:szCs w:val="24"/>
        </w:rPr>
        <w:t>（</w:t>
      </w:r>
      <w:r>
        <w:rPr>
          <w:rFonts w:hint="eastAsia"/>
          <w:bCs/>
          <w:sz w:val="24"/>
          <w:szCs w:val="24"/>
        </w:rPr>
        <w:t>2</w:t>
      </w:r>
      <w:r>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szCs w:val="24"/>
        </w:rPr>
        <w:t>10%</w:t>
      </w:r>
      <w:r>
        <w:rPr>
          <w:bCs/>
          <w:sz w:val="24"/>
          <w:szCs w:val="24"/>
        </w:rPr>
        <w:t>的前提下，可对其余赎回申请延期办理。</w:t>
      </w:r>
      <w:r>
        <w:rPr>
          <w:rFonts w:hint="eastAsia"/>
          <w:bCs/>
          <w:sz w:val="24"/>
          <w:szCs w:val="24"/>
        </w:rPr>
        <w:t>若进行上述延期办理，</w:t>
      </w:r>
      <w:r>
        <w:rPr>
          <w:bCs/>
          <w:sz w:val="24"/>
          <w:szCs w:val="24"/>
        </w:rPr>
        <w:t>对于</w:t>
      </w:r>
      <w:r>
        <w:rPr>
          <w:rFonts w:hint="eastAsia"/>
          <w:bCs/>
          <w:sz w:val="24"/>
          <w:szCs w:val="24"/>
        </w:rPr>
        <w:t>单个基金份额持有人</w:t>
      </w:r>
      <w:r>
        <w:rPr>
          <w:bCs/>
          <w:sz w:val="24"/>
          <w:szCs w:val="24"/>
        </w:rPr>
        <w:t>当日</w:t>
      </w:r>
      <w:r>
        <w:rPr>
          <w:rFonts w:hint="eastAsia"/>
          <w:bCs/>
          <w:sz w:val="24"/>
          <w:szCs w:val="24"/>
        </w:rPr>
        <w:t>赎回申请超过上一开放日基金总份额</w:t>
      </w:r>
      <w:r>
        <w:rPr>
          <w:bCs/>
          <w:sz w:val="24"/>
          <w:szCs w:val="24"/>
        </w:rPr>
        <w:t>50</w:t>
      </w:r>
      <w:r>
        <w:rPr>
          <w:rFonts w:hint="eastAsia"/>
          <w:bCs/>
          <w:sz w:val="24"/>
          <w:szCs w:val="24"/>
        </w:rPr>
        <w:t>%</w:t>
      </w:r>
      <w:r>
        <w:rPr>
          <w:rFonts w:hint="eastAsia"/>
          <w:bCs/>
          <w:sz w:val="24"/>
          <w:szCs w:val="24"/>
        </w:rPr>
        <w:t>以上的部分，将自动进行延期办理。对于其余当日非自动延期办理</w:t>
      </w:r>
      <w:r>
        <w:rPr>
          <w:bCs/>
          <w:sz w:val="24"/>
          <w:szCs w:val="24"/>
        </w:rPr>
        <w:t>的赎回申请，</w:t>
      </w:r>
      <w:r>
        <w:rPr>
          <w:rFonts w:hint="eastAsia"/>
          <w:bCs/>
          <w:sz w:val="24"/>
          <w:szCs w:val="24"/>
        </w:rPr>
        <w:t>有权</w:t>
      </w:r>
      <w:r>
        <w:rPr>
          <w:bCs/>
          <w:sz w:val="24"/>
          <w:szCs w:val="24"/>
        </w:rPr>
        <w:t>按单个账户</w:t>
      </w:r>
      <w:r>
        <w:rPr>
          <w:rFonts w:hint="eastAsia"/>
          <w:bCs/>
          <w:sz w:val="24"/>
          <w:szCs w:val="24"/>
        </w:rPr>
        <w:t>非自动延期办理的</w:t>
      </w:r>
      <w:r>
        <w:rPr>
          <w:bCs/>
          <w:sz w:val="24"/>
          <w:szCs w:val="24"/>
        </w:rPr>
        <w:t>赎回申请量占</w:t>
      </w:r>
      <w:r>
        <w:rPr>
          <w:rFonts w:hint="eastAsia"/>
          <w:bCs/>
          <w:sz w:val="24"/>
          <w:szCs w:val="24"/>
        </w:rPr>
        <w:t>非自动延期办理的</w:t>
      </w:r>
      <w:r>
        <w:rPr>
          <w:bCs/>
          <w:sz w:val="24"/>
          <w:szCs w:val="24"/>
        </w:rPr>
        <w:t>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Pr>
          <w:rFonts w:hint="eastAsia"/>
          <w:bCs/>
          <w:sz w:val="24"/>
          <w:szCs w:val="24"/>
        </w:rPr>
        <w:t>某一类别</w:t>
      </w:r>
      <w:r>
        <w:rPr>
          <w:bCs/>
          <w:sz w:val="24"/>
          <w:szCs w:val="24"/>
        </w:rPr>
        <w:t>的基金份额净值为基础计算赎回金额，以此类推，直到全部赎回为止。如投资人在提交赎回申请时未作明确选择，投资人未能赎回部分作自动延期赎回处理。</w:t>
      </w:r>
    </w:p>
    <w:p w14:paraId="0E8D5668"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5F388CE0"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3、巨额赎回的公告</w:t>
      </w:r>
    </w:p>
    <w:p w14:paraId="178156F4"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当发生上述巨额赎回并延期办理时，基金管理人应当通过邮寄、传真或者招募说明书规定的其他方式在3个交易日内通知基金份额持有人，说明有关处理方法，</w:t>
      </w:r>
      <w:r>
        <w:rPr>
          <w:rFonts w:hint="eastAsia"/>
          <w:bCs/>
          <w:kern w:val="0"/>
          <w:sz w:val="24"/>
        </w:rPr>
        <w:t>并在</w:t>
      </w:r>
      <w:r>
        <w:rPr>
          <w:bCs/>
          <w:kern w:val="0"/>
          <w:sz w:val="24"/>
        </w:rPr>
        <w:t>2</w:t>
      </w:r>
      <w:r>
        <w:rPr>
          <w:rFonts w:hint="eastAsia"/>
          <w:bCs/>
          <w:kern w:val="0"/>
          <w:sz w:val="24"/>
        </w:rPr>
        <w:t>日内在指定媒介上刊登公告</w:t>
      </w:r>
      <w:r>
        <w:rPr>
          <w:rFonts w:asciiTheme="minorEastAsia" w:hAnsiTheme="minorEastAsia" w:cs="Arial" w:hint="eastAsia"/>
          <w:sz w:val="24"/>
          <w:szCs w:val="24"/>
        </w:rPr>
        <w:t>。</w:t>
      </w:r>
    </w:p>
    <w:p w14:paraId="57F17F7E" w14:textId="77777777" w:rsidR="00AC3A9B" w:rsidRDefault="002C3C2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66B4EF18"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1、发生上述暂停申购或赎回情况的，</w:t>
      </w:r>
      <w:r>
        <w:rPr>
          <w:rFonts w:hint="eastAsia"/>
          <w:bCs/>
          <w:sz w:val="24"/>
          <w:szCs w:val="24"/>
        </w:rPr>
        <w:t>基金管理人应在规定期限内在指定媒介上刊登暂停公告。</w:t>
      </w:r>
    </w:p>
    <w:p w14:paraId="46456241"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6ED73F16"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3、上述暂停申购或赎回情况消除的，基金管理人应于重新开放日公布最近1个工作日两类基金份额净值。</w:t>
      </w:r>
    </w:p>
    <w:p w14:paraId="529C2946" w14:textId="77777777" w:rsidR="00AC3A9B" w:rsidRDefault="002C3C2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4BE84D0D"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29E0D7C5" w14:textId="77777777" w:rsidR="00AC3A9B" w:rsidRDefault="002C3C2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十四、基金份额的转让</w:t>
      </w:r>
    </w:p>
    <w:p w14:paraId="31C2778F"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0C717E5F" w14:textId="77777777" w:rsidR="00AC3A9B" w:rsidRDefault="002C3C2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十五、基金的非交易过户</w:t>
      </w:r>
    </w:p>
    <w:p w14:paraId="7909B8AF"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04FEF7EE"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447A1DBB" w14:textId="77777777" w:rsidR="00AC3A9B" w:rsidRDefault="002C3C2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十六、基金的转托管</w:t>
      </w:r>
    </w:p>
    <w:p w14:paraId="1BD37896"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1AC5CA51" w14:textId="77777777" w:rsidR="00AC3A9B" w:rsidRDefault="002C3C2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十七、定期定额投资计划</w:t>
      </w:r>
    </w:p>
    <w:p w14:paraId="30EF4544"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6411240" w14:textId="77777777" w:rsidR="00AC3A9B" w:rsidRDefault="002C3C29">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十八、基金份额的冻结、解冻与质押</w:t>
      </w:r>
    </w:p>
    <w:p w14:paraId="69660534" w14:textId="77777777" w:rsidR="00AC3A9B" w:rsidRDefault="002C3C29">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14:paraId="09E28192" w14:textId="77777777" w:rsidR="00AC3A9B" w:rsidRDefault="002C3C29">
      <w:pPr>
        <w:spacing w:line="360" w:lineRule="auto"/>
        <w:ind w:firstLineChars="200" w:firstLine="480"/>
        <w:rPr>
          <w:bCs/>
          <w:sz w:val="24"/>
        </w:rPr>
      </w:pPr>
      <w:r>
        <w:rPr>
          <w:rFonts w:hint="eastAsia"/>
          <w:bCs/>
          <w:sz w:val="24"/>
        </w:rPr>
        <w:t>基金份额被冻结的，被冻结部分产生的权益一并冻结，被冻结部分份额仍然参与收益分配。法律法规或监管机构另有规定的除外。</w:t>
      </w:r>
    </w:p>
    <w:p w14:paraId="5191842C" w14:textId="77777777" w:rsidR="00AC3A9B" w:rsidRDefault="002C3C29">
      <w:pPr>
        <w:widowControl/>
        <w:spacing w:line="360" w:lineRule="auto"/>
        <w:ind w:firstLineChars="200" w:firstLine="480"/>
        <w:jc w:val="left"/>
        <w:rPr>
          <w:rFonts w:ascii="Arial" w:eastAsia="宋体" w:hAnsi="Arial" w:cs="Arial"/>
          <w:szCs w:val="21"/>
        </w:rPr>
        <w:sectPr w:rsidR="00AC3A9B">
          <w:footerReference w:type="default" r:id="rId31"/>
          <w:pgSz w:w="11906" w:h="16838"/>
          <w:pgMar w:top="1440" w:right="1800" w:bottom="1440" w:left="1800" w:header="851" w:footer="992" w:gutter="0"/>
          <w:pgNumType w:chapStyle="1"/>
          <w:cols w:space="720"/>
          <w:docGrid w:type="lines" w:linePitch="312"/>
        </w:sectPr>
      </w:pPr>
      <w:r>
        <w:rPr>
          <w:rFonts w:asciiTheme="minorEastAsia" w:hAnsiTheme="minorEastAsia" w:cs="Arial" w:hint="eastAsia"/>
          <w:sz w:val="24"/>
          <w:szCs w:val="24"/>
        </w:rPr>
        <w:t>如相关法律法规允许基金管理人办理基金份额的质押业务或其他基金业务，基金管理人将制定和实施相应的业务规则。</w:t>
      </w:r>
    </w:p>
    <w:p w14:paraId="5688666C" w14:textId="77777777" w:rsidR="00AC3A9B" w:rsidRDefault="002C3C29">
      <w:pPr>
        <w:pStyle w:val="1"/>
        <w:jc w:val="center"/>
        <w:rPr>
          <w:sz w:val="30"/>
          <w:szCs w:val="30"/>
        </w:rPr>
      </w:pPr>
      <w:bookmarkStart w:id="205" w:name="_Toc37770212"/>
      <w:r>
        <w:rPr>
          <w:rFonts w:hint="eastAsia"/>
          <w:sz w:val="30"/>
          <w:szCs w:val="30"/>
        </w:rPr>
        <w:lastRenderedPageBreak/>
        <w:t>第九部分</w:t>
      </w:r>
      <w:r>
        <w:rPr>
          <w:sz w:val="30"/>
          <w:szCs w:val="30"/>
        </w:rPr>
        <w:t xml:space="preserve">  </w:t>
      </w:r>
      <w:r>
        <w:rPr>
          <w:rFonts w:hint="eastAsia"/>
          <w:sz w:val="30"/>
          <w:szCs w:val="30"/>
        </w:rPr>
        <w:t>基金的投资</w:t>
      </w:r>
      <w:bookmarkEnd w:id="184"/>
      <w:bookmarkEnd w:id="205"/>
    </w:p>
    <w:p w14:paraId="49CE204A" w14:textId="77777777" w:rsidR="00AC3A9B" w:rsidRDefault="002C3C2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一、投资目标</w:t>
      </w:r>
    </w:p>
    <w:p w14:paraId="03B995AC" w14:textId="77777777" w:rsidR="00AC3A9B" w:rsidRDefault="002C3C2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本基金通过对多种投资策略的有机结合，在严格控制风险的基础上，力求取得超越基金业绩比较基准的收益。</w:t>
      </w:r>
    </w:p>
    <w:p w14:paraId="01AF9259" w14:textId="77777777" w:rsidR="00AC3A9B" w:rsidRDefault="002C3C2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二、投资范围</w:t>
      </w:r>
    </w:p>
    <w:p w14:paraId="478E0FE9"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本基金的投资范围主要为具有良好流动性的金融工具，包括国内依法发行上市的股票（包括中小板、创业板及其他经中国证监会核准上市的股票）</w:t>
      </w:r>
      <w:r>
        <w:rPr>
          <w:rFonts w:asciiTheme="minorEastAsia" w:hAnsiTheme="minorEastAsia" w:cs="Times New Roman" w:hint="eastAsia"/>
          <w:bCs/>
          <w:sz w:val="24"/>
          <w:szCs w:val="24"/>
        </w:rPr>
        <w:t>、存托凭证</w:t>
      </w:r>
      <w:r>
        <w:rPr>
          <w:rFonts w:hint="eastAsia"/>
          <w:bCs/>
          <w:sz w:val="24"/>
        </w:rPr>
        <w:t>，债券（含国债、金融债、企业债、公司债、央行票据、中期票据、短期融资券、超短期融资券、政府支持机构债、地方政府债、公开发行的次级债、可转换债券、可交换债券、中小企业私募债及其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3005449A" w14:textId="77777777" w:rsidR="00AC3A9B" w:rsidRDefault="002C3C29">
      <w:pPr>
        <w:spacing w:line="360" w:lineRule="auto"/>
        <w:ind w:firstLineChars="200" w:firstLine="480"/>
        <w:rPr>
          <w:rFonts w:asciiTheme="minorEastAsia" w:hAnsiTheme="minorEastAsia" w:cs="Times New Roman"/>
          <w:bCs/>
          <w:sz w:val="24"/>
          <w:szCs w:val="24"/>
        </w:rPr>
      </w:pPr>
      <w:r>
        <w:rPr>
          <w:rFonts w:hint="eastAsia"/>
          <w:bCs/>
          <w:sz w:val="24"/>
        </w:rPr>
        <w:t>基金的投资组合比例为：股票资产占基金资产的</w:t>
      </w:r>
      <w:r>
        <w:rPr>
          <w:rFonts w:hint="eastAsia"/>
          <w:bCs/>
          <w:sz w:val="24"/>
        </w:rPr>
        <w:t>50%-95%</w:t>
      </w:r>
      <w:r>
        <w:rPr>
          <w:rFonts w:hint="eastAsia"/>
          <w:bCs/>
          <w:sz w:val="24"/>
        </w:rPr>
        <w:t>；每个交易日日终在扣除股指期货、国债期货合约需缴纳的保证金以后，本基金保留的现金或到期日在一年以内的政府债券不低于基金资产净值的</w:t>
      </w:r>
      <w:r>
        <w:rPr>
          <w:rFonts w:hint="eastAsia"/>
          <w:bCs/>
          <w:sz w:val="24"/>
        </w:rPr>
        <w:t>5%</w:t>
      </w:r>
      <w:r>
        <w:rPr>
          <w:rFonts w:asciiTheme="minorEastAsia" w:hAnsiTheme="minorEastAsia" w:cs="Times New Roman" w:hint="eastAsia"/>
          <w:bCs/>
          <w:sz w:val="24"/>
          <w:szCs w:val="24"/>
        </w:rPr>
        <w:t>，其中现金不包括结算备付金、存出保证金、应收申购款等</w:t>
      </w:r>
      <w:r>
        <w:rPr>
          <w:rFonts w:hint="eastAsia"/>
          <w:bCs/>
          <w:sz w:val="24"/>
        </w:rPr>
        <w:t>；权证投资占基金资产净值的</w:t>
      </w:r>
      <w:r>
        <w:rPr>
          <w:rFonts w:hint="eastAsia"/>
          <w:bCs/>
          <w:sz w:val="24"/>
        </w:rPr>
        <w:t>0-3%</w:t>
      </w:r>
      <w:r>
        <w:rPr>
          <w:rFonts w:asciiTheme="minorEastAsia" w:hAnsiTheme="minorEastAsia" w:cs="Times New Roman" w:hint="eastAsia"/>
          <w:bCs/>
          <w:sz w:val="24"/>
          <w:szCs w:val="24"/>
        </w:rPr>
        <w:t>。</w:t>
      </w:r>
    </w:p>
    <w:p w14:paraId="55258217" w14:textId="77777777" w:rsidR="00AC3A9B" w:rsidRDefault="002C3C29">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1AFC8466" w14:textId="77777777" w:rsidR="00AC3A9B" w:rsidRDefault="002C3C2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三、投资策略</w:t>
      </w:r>
    </w:p>
    <w:p w14:paraId="647000F0" w14:textId="77777777" w:rsidR="00AC3A9B" w:rsidRDefault="002C3C29">
      <w:pPr>
        <w:autoSpaceDE w:val="0"/>
        <w:autoSpaceDN w:val="0"/>
        <w:spacing w:line="360" w:lineRule="auto"/>
        <w:ind w:firstLineChars="200" w:firstLine="480"/>
        <w:textAlignment w:val="bottom"/>
        <w:rPr>
          <w:bCs/>
          <w:sz w:val="24"/>
        </w:rPr>
      </w:pPr>
      <w:r>
        <w:rPr>
          <w:rFonts w:hint="eastAsia"/>
          <w:bCs/>
          <w:sz w:val="24"/>
        </w:rPr>
        <w:t>（一）资产配置策略</w:t>
      </w:r>
    </w:p>
    <w:p w14:paraId="37E0E6C2"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本基金将通过跟踪考量通常的宏观经济变量（包括</w:t>
      </w:r>
      <w:r>
        <w:rPr>
          <w:rFonts w:hint="eastAsia"/>
          <w:bCs/>
          <w:sz w:val="24"/>
        </w:rPr>
        <w:t>GDP</w:t>
      </w:r>
      <w:r>
        <w:rPr>
          <w:rFonts w:hint="eastAsia"/>
          <w:bCs/>
          <w:sz w:val="24"/>
        </w:rPr>
        <w:t>增长率、</w:t>
      </w:r>
      <w:r>
        <w:rPr>
          <w:rFonts w:hint="eastAsia"/>
          <w:bCs/>
          <w:sz w:val="24"/>
        </w:rPr>
        <w:t>CPI</w:t>
      </w:r>
      <w:r>
        <w:rPr>
          <w:rFonts w:hint="eastAsia"/>
          <w:bCs/>
          <w:sz w:val="24"/>
        </w:rPr>
        <w:t>走势、</w:t>
      </w:r>
      <w:r>
        <w:rPr>
          <w:rFonts w:hint="eastAsia"/>
          <w:bCs/>
          <w:sz w:val="24"/>
        </w:rPr>
        <w:t>M2</w:t>
      </w:r>
      <w:r>
        <w:rPr>
          <w:rFonts w:hint="eastAsia"/>
          <w:bCs/>
          <w:sz w:val="24"/>
        </w:rPr>
        <w:t>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收益。</w:t>
      </w:r>
    </w:p>
    <w:p w14:paraId="4A0165B6" w14:textId="77777777" w:rsidR="00AC3A9B" w:rsidRDefault="002C3C29">
      <w:pPr>
        <w:autoSpaceDE w:val="0"/>
        <w:autoSpaceDN w:val="0"/>
        <w:spacing w:line="360" w:lineRule="auto"/>
        <w:ind w:firstLineChars="200" w:firstLine="480"/>
        <w:textAlignment w:val="bottom"/>
        <w:rPr>
          <w:bCs/>
          <w:sz w:val="24"/>
        </w:rPr>
      </w:pPr>
      <w:r>
        <w:rPr>
          <w:rFonts w:hint="eastAsia"/>
          <w:bCs/>
          <w:sz w:val="24"/>
        </w:rPr>
        <w:t>（二）债券投资策略</w:t>
      </w:r>
    </w:p>
    <w:p w14:paraId="32A7CAAA"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本基金债券投资将采取久期策略、收益率曲线策略、骑乘策略、息差策略、</w:t>
      </w:r>
      <w:r>
        <w:rPr>
          <w:rFonts w:hint="eastAsia"/>
          <w:bCs/>
          <w:sz w:val="24"/>
        </w:rPr>
        <w:lastRenderedPageBreak/>
        <w:t>个券选择策略、信用策略、中小企业私募债投资策略、可转债投资策略等积极投资策略，灵活地调整组合的券种搭配，精选个券，力争实现投资组合的保值增值。</w:t>
      </w:r>
    </w:p>
    <w:p w14:paraId="6A16A389" w14:textId="77777777" w:rsidR="00AC3A9B" w:rsidRDefault="002C3C29">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、久期策略</w:t>
      </w:r>
    </w:p>
    <w:p w14:paraId="018CBF6D" w14:textId="77777777" w:rsidR="00AC3A9B" w:rsidRDefault="002C3C29">
      <w:pPr>
        <w:autoSpaceDE w:val="0"/>
        <w:autoSpaceDN w:val="0"/>
        <w:spacing w:line="360" w:lineRule="auto"/>
        <w:ind w:firstLineChars="200" w:firstLine="480"/>
        <w:textAlignment w:val="bottom"/>
        <w:rPr>
          <w:bCs/>
          <w:sz w:val="24"/>
        </w:rPr>
      </w:pPr>
      <w:r>
        <w:rPr>
          <w:rFonts w:hint="eastAsia"/>
          <w:bCs/>
          <w:sz w:val="24"/>
        </w:rPr>
        <w:t>久期管理是债券投资的重要考量因素，本基金将采用以“目标久期”为中心、</w:t>
      </w:r>
      <w:r>
        <w:rPr>
          <w:rFonts w:hint="eastAsia"/>
          <w:bCs/>
          <w:sz w:val="24"/>
        </w:rPr>
        <w:t xml:space="preserve"> </w:t>
      </w:r>
      <w:r>
        <w:rPr>
          <w:rFonts w:hint="eastAsia"/>
          <w:bCs/>
          <w:sz w:val="24"/>
        </w:rPr>
        <w:t>自上而下的组合久期管理策略。</w:t>
      </w:r>
    </w:p>
    <w:p w14:paraId="0F98675B" w14:textId="77777777" w:rsidR="00AC3A9B" w:rsidRDefault="002C3C29">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、收益率曲线策略</w:t>
      </w:r>
    </w:p>
    <w:p w14:paraId="64C1CEB9"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收益率曲线的形状变化是判断市场整体走向的一个重要依据，本基金将据此调整组合长、中、短期债券的搭配，并进行动态调整。</w:t>
      </w:r>
    </w:p>
    <w:p w14:paraId="7A246B2E" w14:textId="77777777" w:rsidR="00AC3A9B" w:rsidRDefault="002C3C29">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、骑乘策略</w:t>
      </w:r>
    </w:p>
    <w:p w14:paraId="6230AF4E"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本基金将采用基于收益率曲线分析对债券组合进行适时调整的骑乘策略，</w:t>
      </w:r>
      <w:r>
        <w:rPr>
          <w:rFonts w:hint="eastAsia"/>
          <w:bCs/>
          <w:sz w:val="24"/>
        </w:rPr>
        <w:t xml:space="preserve"> </w:t>
      </w:r>
      <w:r>
        <w:rPr>
          <w:rFonts w:hint="eastAsia"/>
          <w:bCs/>
          <w:sz w:val="24"/>
        </w:rPr>
        <w:t>以达到增强组合的持有期收益的目的。</w:t>
      </w:r>
    </w:p>
    <w:p w14:paraId="00C23D40" w14:textId="77777777" w:rsidR="00AC3A9B" w:rsidRDefault="002C3C29">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、息差策略</w:t>
      </w:r>
    </w:p>
    <w:p w14:paraId="36B461AB"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本基金将采用息差策略，以达到更好地利用杠杆放大债券投资的收益的目的。</w:t>
      </w:r>
    </w:p>
    <w:p w14:paraId="4113B769" w14:textId="77777777" w:rsidR="00AC3A9B" w:rsidRDefault="002C3C29">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、个券选择策略</w:t>
      </w:r>
    </w:p>
    <w:p w14:paraId="2C7017BB"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本基金将根据单个债券到期收益率相对于市场收益率曲线的偏离程度，结合信用等级、流动性、选择权条款、税赋特点等因素，确定其投资价值，选择定价合理或价值被低估的债券进行投资。</w:t>
      </w:r>
    </w:p>
    <w:p w14:paraId="634B1994" w14:textId="77777777" w:rsidR="00AC3A9B" w:rsidRDefault="002C3C29">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、信用策略</w:t>
      </w:r>
    </w:p>
    <w:p w14:paraId="532128E4"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通过主动承担适度的信用风险来获取信用溢价，根据内、外部信用评级结果，结合对类似债券信用利差的分析以及对未来信用利差走势的判断，选择信用利差被高估、未来信用利差可能下降的信用债进行投资。</w:t>
      </w:r>
    </w:p>
    <w:p w14:paraId="3A2AA2C6" w14:textId="77777777" w:rsidR="00AC3A9B" w:rsidRDefault="002C3C29">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、中小企业私募债券策略</w:t>
      </w:r>
    </w:p>
    <w:p w14:paraId="10B347A5" w14:textId="77777777" w:rsidR="00AC3A9B" w:rsidRDefault="002C3C29">
      <w:pPr>
        <w:autoSpaceDE w:val="0"/>
        <w:autoSpaceDN w:val="0"/>
        <w:spacing w:line="360" w:lineRule="auto"/>
        <w:ind w:firstLineChars="200" w:firstLine="480"/>
        <w:textAlignment w:val="bottom"/>
        <w:rPr>
          <w:bCs/>
          <w:sz w:val="24"/>
        </w:rPr>
      </w:pPr>
      <w:r>
        <w:rPr>
          <w:rFonts w:hint="eastAsia"/>
          <w:bCs/>
          <w:sz w:val="24"/>
        </w:rPr>
        <w:t>中小企业私募债券是在中国境内以非公开方式发行和转让，约定在一定期限还本付息的公司债券。由于其非公开性及条款可协商性，普遍具有较高收益。</w:t>
      </w:r>
      <w:r>
        <w:rPr>
          <w:rFonts w:hint="eastAsia"/>
          <w:bCs/>
          <w:sz w:val="24"/>
        </w:rPr>
        <w:t xml:space="preserve"> </w:t>
      </w:r>
      <w:r>
        <w:rPr>
          <w:rFonts w:hint="eastAsia"/>
          <w:bCs/>
          <w:sz w:val="24"/>
        </w:rPr>
        <w:t>本基金将深入研究发行人资信及公司运营情况，合理合规合格地进行中小企业私募债券投资。本基金在投资过程中密切监控债券信用等级或发行人信用等级变化情况，尽力规避风险，并获取超额收益。</w:t>
      </w:r>
    </w:p>
    <w:p w14:paraId="48D043E2" w14:textId="77777777" w:rsidR="00AC3A9B" w:rsidRDefault="002C3C29">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、可转债投资策略</w:t>
      </w:r>
    </w:p>
    <w:p w14:paraId="78C8FEC1"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可转债兼具权益类证券与固定收益类证券的特性，本基金一方面将对发债主</w:t>
      </w:r>
      <w:r>
        <w:rPr>
          <w:rFonts w:hint="eastAsia"/>
          <w:bCs/>
          <w:sz w:val="24"/>
        </w:rPr>
        <w:lastRenderedPageBreak/>
        <w:t>体的信用基本面进行深入挖掘以明确该可转债的债底保护，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进行投资。</w:t>
      </w:r>
    </w:p>
    <w:p w14:paraId="51E22128" w14:textId="77777777" w:rsidR="00AC3A9B" w:rsidRDefault="002C3C29">
      <w:pPr>
        <w:autoSpaceDE w:val="0"/>
        <w:autoSpaceDN w:val="0"/>
        <w:spacing w:line="360" w:lineRule="auto"/>
        <w:ind w:firstLineChars="200" w:firstLine="480"/>
        <w:textAlignment w:val="bottom"/>
        <w:rPr>
          <w:bCs/>
          <w:sz w:val="24"/>
        </w:rPr>
      </w:pPr>
      <w:r>
        <w:rPr>
          <w:rFonts w:hint="eastAsia"/>
          <w:bCs/>
          <w:sz w:val="24"/>
        </w:rPr>
        <w:t>（三）股票投资策略</w:t>
      </w:r>
    </w:p>
    <w:p w14:paraId="6B1EDCDC"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和估值水平进行综合的研判，力争实现组合的保值增值。</w:t>
      </w:r>
    </w:p>
    <w:p w14:paraId="1A0BE241" w14:textId="77777777" w:rsidR="00AC3A9B" w:rsidRDefault="002C3C29">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、自上而下的行业遴选</w:t>
      </w:r>
    </w:p>
    <w:p w14:paraId="54F394AE"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w:t>
      </w:r>
      <w:r>
        <w:rPr>
          <w:rFonts w:hint="eastAsia"/>
          <w:bCs/>
          <w:sz w:val="24"/>
        </w:rPr>
        <w:t xml:space="preserve"> </w:t>
      </w:r>
      <w:r>
        <w:rPr>
          <w:rFonts w:hint="eastAsia"/>
          <w:bCs/>
          <w:sz w:val="24"/>
        </w:rPr>
        <w:t>特别是业内竞争的方式、业内竞争的激烈程度、以及业内厂商的谈判能力等。基于对行业结构的分析形成对业内竞争的关键成功要素的判断，为预测企业经营环境的变化建立起扎实的基础。</w:t>
      </w:r>
    </w:p>
    <w:p w14:paraId="1F9BB27A" w14:textId="77777777" w:rsidR="00AC3A9B" w:rsidRDefault="002C3C29">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、自下而上的个股选择</w:t>
      </w:r>
    </w:p>
    <w:p w14:paraId="331AAEF0"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w:t>
      </w:r>
    </w:p>
    <w:p w14:paraId="21B60501"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另一方面是管理层分析，在国内监管体系落后、公司治理结构不完善的基础上，上市公司的命运对管理团队的依赖度大大增加。本基金将着重考察公司的管理层以及管理制度。</w:t>
      </w:r>
    </w:p>
    <w:p w14:paraId="5EEACCB4" w14:textId="77777777" w:rsidR="00AC3A9B" w:rsidRDefault="002C3C29">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、综合研判</w:t>
      </w:r>
    </w:p>
    <w:p w14:paraId="70BC1152"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本基金在自上而下和自下而上的基础上，结合估值分析，力争实现组合的保值增值。通过对估值方法的选择和估值倍数的比较，选择股价相对低估的股票。</w:t>
      </w:r>
      <w:r>
        <w:rPr>
          <w:rFonts w:hint="eastAsia"/>
          <w:bCs/>
          <w:sz w:val="24"/>
        </w:rPr>
        <w:lastRenderedPageBreak/>
        <w:t>就估值方法而言，基于行业的特点确定对股价最有影响力的关键估值方法（包括</w:t>
      </w:r>
      <w:r>
        <w:rPr>
          <w:rFonts w:hint="eastAsia"/>
          <w:bCs/>
          <w:sz w:val="24"/>
        </w:rPr>
        <w:t>PE</w:t>
      </w:r>
      <w:r>
        <w:rPr>
          <w:rFonts w:hint="eastAsia"/>
          <w:bCs/>
          <w:sz w:val="24"/>
        </w:rPr>
        <w:t>、</w:t>
      </w:r>
      <w:r>
        <w:rPr>
          <w:rFonts w:hint="eastAsia"/>
          <w:bCs/>
          <w:sz w:val="24"/>
        </w:rPr>
        <w:t>PEG</w:t>
      </w:r>
      <w:r>
        <w:rPr>
          <w:rFonts w:hint="eastAsia"/>
          <w:bCs/>
          <w:sz w:val="24"/>
        </w:rPr>
        <w:t>、</w:t>
      </w:r>
      <w:r>
        <w:rPr>
          <w:rFonts w:hint="eastAsia"/>
          <w:bCs/>
          <w:sz w:val="24"/>
        </w:rPr>
        <w:t>PB</w:t>
      </w:r>
      <w:r>
        <w:rPr>
          <w:rFonts w:hint="eastAsia"/>
          <w:bCs/>
          <w:sz w:val="24"/>
        </w:rPr>
        <w:t>、</w:t>
      </w:r>
      <w:r>
        <w:rPr>
          <w:rFonts w:hint="eastAsia"/>
          <w:bCs/>
          <w:sz w:val="24"/>
        </w:rPr>
        <w:t>PS</w:t>
      </w:r>
      <w:r>
        <w:rPr>
          <w:rFonts w:hint="eastAsia"/>
          <w:bCs/>
          <w:sz w:val="24"/>
        </w:rPr>
        <w:t>、</w:t>
      </w:r>
      <w:r>
        <w:rPr>
          <w:rFonts w:hint="eastAsia"/>
          <w:bCs/>
          <w:sz w:val="24"/>
        </w:rPr>
        <w:t>EV/EBITDA</w:t>
      </w:r>
      <w:r>
        <w:rPr>
          <w:rFonts w:hint="eastAsia"/>
          <w:bCs/>
          <w:sz w:val="24"/>
        </w:rPr>
        <w:t>等）；就估值倍数而言，通过业内比较、历史比较和增长性分析，确定具有上升基础的股价水平。</w:t>
      </w:r>
    </w:p>
    <w:p w14:paraId="79F16142" w14:textId="77777777" w:rsidR="00AC3A9B" w:rsidRDefault="002C3C29">
      <w:pPr>
        <w:autoSpaceDE w:val="0"/>
        <w:autoSpaceDN w:val="0"/>
        <w:spacing w:line="360" w:lineRule="auto"/>
        <w:ind w:firstLineChars="200" w:firstLine="480"/>
        <w:textAlignment w:val="bottom"/>
        <w:rPr>
          <w:bCs/>
          <w:sz w:val="24"/>
        </w:rPr>
      </w:pPr>
      <w:bookmarkStart w:id="206" w:name="_Toc386095938"/>
      <w:r>
        <w:rPr>
          <w:rFonts w:hint="eastAsia"/>
          <w:bCs/>
          <w:sz w:val="24"/>
        </w:rPr>
        <w:t>（四）金融衍生品投资策略</w:t>
      </w:r>
      <w:bookmarkEnd w:id="206"/>
    </w:p>
    <w:p w14:paraId="3C2D2586" w14:textId="77777777" w:rsidR="00AC3A9B" w:rsidRDefault="002C3C29">
      <w:pPr>
        <w:autoSpaceDE w:val="0"/>
        <w:autoSpaceDN w:val="0"/>
        <w:spacing w:line="360" w:lineRule="auto"/>
        <w:ind w:firstLineChars="200" w:firstLine="480"/>
        <w:textAlignment w:val="bottom"/>
        <w:rPr>
          <w:bCs/>
          <w:sz w:val="24"/>
        </w:rPr>
      </w:pPr>
      <w:r>
        <w:rPr>
          <w:bCs/>
          <w:sz w:val="24"/>
        </w:rPr>
        <w:t>1</w:t>
      </w:r>
      <w:r>
        <w:rPr>
          <w:rFonts w:hint="eastAsia"/>
          <w:bCs/>
          <w:sz w:val="24"/>
        </w:rPr>
        <w:t>、权证投资策略</w:t>
      </w:r>
    </w:p>
    <w:p w14:paraId="2B056BF5" w14:textId="77777777" w:rsidR="00AC3A9B" w:rsidRDefault="002C3C29">
      <w:pPr>
        <w:autoSpaceDE w:val="0"/>
        <w:autoSpaceDN w:val="0"/>
        <w:spacing w:line="360" w:lineRule="auto"/>
        <w:ind w:firstLineChars="200" w:firstLine="480"/>
        <w:textAlignment w:val="bottom"/>
        <w:rPr>
          <w:bCs/>
          <w:sz w:val="24"/>
        </w:rPr>
      </w:pPr>
      <w:r>
        <w:rPr>
          <w:bCs/>
          <w:sz w:val="24"/>
        </w:rPr>
        <w:t>权证为本基金辅助性投资工具，投资原则为有利于基金资产增值、控制下跌风险。</w:t>
      </w:r>
      <w:r>
        <w:rPr>
          <w:rFonts w:hint="eastAsia"/>
          <w:bCs/>
          <w:sz w:val="24"/>
        </w:rPr>
        <w:t>本基金在权证投资方面将以价值分析为基础，在采用数量化模型分析其合理定价的基础上，立足于无风险套利，力求稳健的投资收益。</w:t>
      </w:r>
    </w:p>
    <w:p w14:paraId="0A0B6D86" w14:textId="77777777" w:rsidR="00AC3A9B" w:rsidRDefault="002C3C29">
      <w:pPr>
        <w:autoSpaceDE w:val="0"/>
        <w:autoSpaceDN w:val="0"/>
        <w:spacing w:line="360" w:lineRule="auto"/>
        <w:ind w:firstLineChars="200" w:firstLine="480"/>
        <w:textAlignment w:val="bottom"/>
        <w:rPr>
          <w:bCs/>
          <w:sz w:val="24"/>
        </w:rPr>
      </w:pPr>
      <w:r>
        <w:rPr>
          <w:bCs/>
          <w:sz w:val="24"/>
        </w:rPr>
        <w:t>2</w:t>
      </w:r>
      <w:r>
        <w:rPr>
          <w:rFonts w:hint="eastAsia"/>
          <w:bCs/>
          <w:sz w:val="24"/>
        </w:rPr>
        <w:t>、股指期货投资策略</w:t>
      </w:r>
    </w:p>
    <w:p w14:paraId="73756726" w14:textId="77777777" w:rsidR="00AC3A9B" w:rsidRDefault="002C3C29">
      <w:pPr>
        <w:autoSpaceDE w:val="0"/>
        <w:autoSpaceDN w:val="0"/>
        <w:spacing w:line="360" w:lineRule="auto"/>
        <w:ind w:firstLineChars="200" w:firstLine="480"/>
        <w:textAlignment w:val="bottom"/>
        <w:rPr>
          <w:bCs/>
          <w:sz w:val="24"/>
        </w:rPr>
      </w:pPr>
      <w:r>
        <w:rPr>
          <w:bCs/>
          <w:sz w:val="24"/>
        </w:rPr>
        <w:t>本基金将根据风险管理的原则，以套期保值为目的，在风险可控的前提下，本着谨慎原则，参与股指期货的投资，以管理投资组合的系统性风险，改善组合的风险收益特性。</w:t>
      </w:r>
    </w:p>
    <w:p w14:paraId="7A0302DB" w14:textId="77777777" w:rsidR="00AC3A9B" w:rsidRDefault="002C3C29">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、股票期权投资策略</w:t>
      </w:r>
    </w:p>
    <w:p w14:paraId="609174AE"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本基金按照风险管理的原则，在严格控制风险的前提下，</w:t>
      </w:r>
      <w:r>
        <w:rPr>
          <w:bCs/>
          <w:sz w:val="24"/>
        </w:rPr>
        <w:t>以套期保值为目的，</w:t>
      </w:r>
      <w:r>
        <w:rPr>
          <w:rFonts w:hint="eastAsia"/>
          <w:bCs/>
          <w:sz w:val="24"/>
        </w:rPr>
        <w:t>选择流动性好、交易活跃的股票期权合约进行投资。本基金基于证券市场的判断，结合期权定价模型，选择估值合理的股票期权合约。</w:t>
      </w:r>
    </w:p>
    <w:p w14:paraId="4736316B"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本基金投资股票期权，基金管理人将根据审慎原则，建立期权交易决策部门或小组，授权特定的管理人员负责期权的投资审批事项，以防范期权投资的风险。</w:t>
      </w:r>
    </w:p>
    <w:p w14:paraId="0512B988" w14:textId="77777777" w:rsidR="00AC3A9B" w:rsidRDefault="002C3C29">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、国债期货投资策略</w:t>
      </w:r>
    </w:p>
    <w:p w14:paraId="3A6439D9"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本基金投资国债期货，将根据风险管理的原则，</w:t>
      </w:r>
      <w:r>
        <w:rPr>
          <w:bCs/>
          <w:sz w:val="24"/>
        </w:rPr>
        <w:t>以套期保值为目的，</w:t>
      </w:r>
      <w:r>
        <w:rPr>
          <w:rFonts w:hint="eastAsia"/>
          <w:bCs/>
          <w:sz w:val="24"/>
        </w:rPr>
        <w:t>充分考虑国债期货的流动性和风险收益特征，在风险可控的前提下，适度参与国债期货投资。</w:t>
      </w:r>
    </w:p>
    <w:p w14:paraId="320C1073"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未来，根据市场情况，基金可相应调整和更新相关投资策略，并在招募说明书更新中公告。</w:t>
      </w:r>
    </w:p>
    <w:p w14:paraId="13DFE4B8" w14:textId="77777777" w:rsidR="00AC3A9B" w:rsidRDefault="002C3C29">
      <w:pPr>
        <w:autoSpaceDE w:val="0"/>
        <w:autoSpaceDN w:val="0"/>
        <w:spacing w:line="360" w:lineRule="auto"/>
        <w:ind w:firstLineChars="200" w:firstLine="480"/>
        <w:textAlignment w:val="bottom"/>
        <w:rPr>
          <w:bCs/>
          <w:sz w:val="24"/>
        </w:rPr>
      </w:pPr>
      <w:r>
        <w:rPr>
          <w:rFonts w:hint="eastAsia"/>
          <w:bCs/>
          <w:sz w:val="24"/>
        </w:rPr>
        <w:t>（五）资产支持证券投资策略</w:t>
      </w:r>
    </w:p>
    <w:p w14:paraId="0F5631A0"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14:paraId="78BA853D" w14:textId="77777777" w:rsidR="00AC3A9B" w:rsidRDefault="002C3C29">
      <w:pPr>
        <w:autoSpaceDE w:val="0"/>
        <w:autoSpaceDN w:val="0"/>
        <w:spacing w:line="360" w:lineRule="auto"/>
        <w:ind w:firstLineChars="200" w:firstLine="480"/>
        <w:textAlignment w:val="bottom"/>
        <w:rPr>
          <w:bCs/>
          <w:sz w:val="24"/>
        </w:rPr>
      </w:pPr>
      <w:r>
        <w:rPr>
          <w:rFonts w:hint="eastAsia"/>
          <w:bCs/>
          <w:sz w:val="24"/>
        </w:rPr>
        <w:lastRenderedPageBreak/>
        <w:t>（六）存托凭证投资策略</w:t>
      </w:r>
    </w:p>
    <w:p w14:paraId="26966541"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本基金将在控制风险的前提下，依照基金投资目标和股票投资策略，基于对基础证券投资价值的深入研究和判断，通过定性分析和定量分析相结合的方式，精选出具有比较优势的存托凭证。</w:t>
      </w:r>
    </w:p>
    <w:p w14:paraId="72B73E42" w14:textId="77777777" w:rsidR="00AC3A9B" w:rsidRDefault="002C3C29">
      <w:pPr>
        <w:autoSpaceDE w:val="0"/>
        <w:autoSpaceDN w:val="0"/>
        <w:spacing w:line="360" w:lineRule="auto"/>
        <w:ind w:firstLineChars="200" w:firstLine="480"/>
        <w:textAlignment w:val="bottom"/>
        <w:rPr>
          <w:rFonts w:asciiTheme="minorEastAsia" w:hAnsiTheme="minorEastAsia" w:cs="Times New Roman"/>
          <w:bCs/>
          <w:sz w:val="24"/>
          <w:szCs w:val="24"/>
        </w:rPr>
      </w:pPr>
      <w:r>
        <w:rPr>
          <w:bCs/>
          <w:sz w:val="24"/>
        </w:rPr>
        <w:t>未来随着证券市场投资工具的发展和丰富，在符合有关法律法规规定的前提下，</w:t>
      </w:r>
      <w:r>
        <w:rPr>
          <w:rFonts w:hint="eastAsia"/>
          <w:bCs/>
          <w:sz w:val="24"/>
        </w:rPr>
        <w:t>本</w:t>
      </w:r>
      <w:r>
        <w:rPr>
          <w:bCs/>
          <w:sz w:val="24"/>
        </w:rPr>
        <w:t>基金可相应调整和更新相关投资策略。</w:t>
      </w:r>
    </w:p>
    <w:p w14:paraId="7ADC6D66" w14:textId="77777777" w:rsidR="00AC3A9B" w:rsidRDefault="002C3C2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四、投资限制</w:t>
      </w:r>
    </w:p>
    <w:p w14:paraId="755DD2F8" w14:textId="77777777" w:rsidR="00AC3A9B" w:rsidRDefault="002C3C29">
      <w:pPr>
        <w:autoSpaceDE w:val="0"/>
        <w:autoSpaceDN w:val="0"/>
        <w:spacing w:line="360" w:lineRule="auto"/>
        <w:ind w:firstLineChars="200" w:firstLine="480"/>
        <w:textAlignment w:val="bottom"/>
        <w:rPr>
          <w:bCs/>
          <w:sz w:val="24"/>
        </w:rPr>
      </w:pPr>
      <w:r>
        <w:rPr>
          <w:bCs/>
          <w:sz w:val="24"/>
        </w:rPr>
        <w:t>1</w:t>
      </w:r>
      <w:r>
        <w:rPr>
          <w:bCs/>
          <w:sz w:val="24"/>
        </w:rPr>
        <w:t>、组合限制</w:t>
      </w:r>
    </w:p>
    <w:p w14:paraId="2B736A1B"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基金的投资组合应遵循以下限制：</w:t>
      </w:r>
    </w:p>
    <w:p w14:paraId="05BA6AF3" w14:textId="77777777" w:rsidR="00AC3A9B" w:rsidRDefault="002C3C29">
      <w:pPr>
        <w:spacing w:line="360" w:lineRule="auto"/>
        <w:ind w:firstLineChars="200" w:firstLine="480"/>
        <w:rPr>
          <w:bCs/>
          <w:sz w:val="24"/>
          <w:highlight w:val="yellow"/>
        </w:rPr>
      </w:pPr>
      <w:r>
        <w:rPr>
          <w:bCs/>
          <w:sz w:val="24"/>
        </w:rPr>
        <w:t>（</w:t>
      </w:r>
      <w:r>
        <w:rPr>
          <w:bCs/>
          <w:sz w:val="24"/>
        </w:rPr>
        <w:t>1</w:t>
      </w:r>
      <w:r>
        <w:rPr>
          <w:bCs/>
          <w:sz w:val="24"/>
        </w:rPr>
        <w:t>）</w:t>
      </w:r>
      <w:r>
        <w:rPr>
          <w:rFonts w:hint="eastAsia"/>
          <w:bCs/>
          <w:sz w:val="24"/>
        </w:rPr>
        <w:t>股票投资占基金资产的比例为</w:t>
      </w:r>
      <w:r>
        <w:rPr>
          <w:rFonts w:hint="eastAsia"/>
          <w:bCs/>
          <w:sz w:val="24"/>
        </w:rPr>
        <w:t>50%</w:t>
      </w:r>
      <w:r>
        <w:rPr>
          <w:rFonts w:hint="eastAsia"/>
          <w:bCs/>
          <w:sz w:val="24"/>
        </w:rPr>
        <w:t>–</w:t>
      </w:r>
      <w:r>
        <w:rPr>
          <w:rFonts w:hint="eastAsia"/>
          <w:bCs/>
          <w:sz w:val="24"/>
        </w:rPr>
        <w:t>95%</w:t>
      </w:r>
      <w:r>
        <w:rPr>
          <w:rFonts w:hint="eastAsia"/>
          <w:bCs/>
          <w:sz w:val="24"/>
        </w:rPr>
        <w:t>；</w:t>
      </w:r>
    </w:p>
    <w:p w14:paraId="5BA59749" w14:textId="77777777" w:rsidR="00AC3A9B" w:rsidRDefault="002C3C29">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每个交易日日终在扣除股指期货、国债期货合约需缴纳的交易保证金后，</w:t>
      </w:r>
      <w:r>
        <w:rPr>
          <w:bCs/>
          <w:sz w:val="24"/>
        </w:rPr>
        <w:t>保持不低于基金资产净值</w:t>
      </w:r>
      <w:r>
        <w:rPr>
          <w:bCs/>
          <w:sz w:val="24"/>
        </w:rPr>
        <w:t>5</w:t>
      </w:r>
      <w:r>
        <w:rPr>
          <w:bCs/>
          <w:sz w:val="24"/>
        </w:rPr>
        <w:t>％的现金或者到期日在一年以内的政府债券</w:t>
      </w:r>
      <w:r>
        <w:rPr>
          <w:rFonts w:asciiTheme="minorEastAsia" w:hAnsiTheme="minorEastAsia" w:cs="Times New Roman" w:hint="eastAsia"/>
          <w:bCs/>
          <w:sz w:val="24"/>
          <w:szCs w:val="24"/>
        </w:rPr>
        <w:t>，其中现金不包括结算备付金、存出保证金、应收申购款等</w:t>
      </w:r>
      <w:r>
        <w:rPr>
          <w:bCs/>
          <w:sz w:val="24"/>
        </w:rPr>
        <w:t>；</w:t>
      </w:r>
    </w:p>
    <w:p w14:paraId="7AA9AF65" w14:textId="77777777" w:rsidR="00AC3A9B" w:rsidRDefault="002C3C29">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p>
    <w:p w14:paraId="5ABABAC3" w14:textId="77777777" w:rsidR="00AC3A9B" w:rsidRDefault="002C3C29">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14:paraId="489BBB75" w14:textId="77777777" w:rsidR="00AC3A9B" w:rsidRDefault="002C3C29">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19735192" w14:textId="77777777" w:rsidR="00AC3A9B" w:rsidRDefault="002C3C29">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780D0E40" w14:textId="77777777" w:rsidR="00AC3A9B" w:rsidRDefault="002C3C29">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27E8A0A4" w14:textId="77777777" w:rsidR="00AC3A9B" w:rsidRDefault="002C3C29">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226782EE" w14:textId="77777777" w:rsidR="00AC3A9B" w:rsidRDefault="002C3C29">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，中国证监会规定的特殊品种除外</w:t>
      </w:r>
      <w:r>
        <w:rPr>
          <w:bCs/>
          <w:sz w:val="24"/>
        </w:rPr>
        <w:t>；</w:t>
      </w:r>
    </w:p>
    <w:p w14:paraId="7816A5A5" w14:textId="77777777" w:rsidR="00AC3A9B" w:rsidRDefault="002C3C29">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17DDAC32" w14:textId="77777777" w:rsidR="00AC3A9B" w:rsidRDefault="002C3C29">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2E23BA61" w14:textId="77777777" w:rsidR="00AC3A9B" w:rsidRDefault="002C3C29">
      <w:pPr>
        <w:spacing w:line="360" w:lineRule="auto"/>
        <w:ind w:firstLineChars="200" w:firstLine="480"/>
        <w:rPr>
          <w:bCs/>
          <w:sz w:val="24"/>
        </w:rPr>
      </w:pPr>
      <w:r>
        <w:rPr>
          <w:bCs/>
          <w:sz w:val="24"/>
        </w:rPr>
        <w:lastRenderedPageBreak/>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2BB1E844" w14:textId="77777777" w:rsidR="00AC3A9B" w:rsidRDefault="002C3C29">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6328480D" w14:textId="77777777" w:rsidR="00AC3A9B" w:rsidRDefault="002C3C29">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rFonts w:hint="eastAsia"/>
          <w:bCs/>
          <w:sz w:val="24"/>
        </w:rPr>
        <w:t>，在全国银行间同业市场的债券回购最长期限为</w:t>
      </w:r>
      <w:r>
        <w:rPr>
          <w:rFonts w:hint="eastAsia"/>
          <w:bCs/>
          <w:sz w:val="24"/>
        </w:rPr>
        <w:t>1</w:t>
      </w:r>
      <w:r>
        <w:rPr>
          <w:rFonts w:hint="eastAsia"/>
          <w:bCs/>
          <w:sz w:val="24"/>
        </w:rPr>
        <w:t>年，债券回购到期后不得展期</w:t>
      </w:r>
      <w:r>
        <w:rPr>
          <w:bCs/>
          <w:sz w:val="24"/>
        </w:rPr>
        <w:t>；</w:t>
      </w:r>
    </w:p>
    <w:p w14:paraId="1B610247" w14:textId="77777777" w:rsidR="00AC3A9B" w:rsidRDefault="002C3C29">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）本基金总资产不得超过基金净资产的</w:t>
      </w:r>
      <w:r>
        <w:rPr>
          <w:rFonts w:hint="eastAsia"/>
          <w:bCs/>
          <w:sz w:val="24"/>
        </w:rPr>
        <w:t xml:space="preserve"> 140%</w:t>
      </w:r>
      <w:r>
        <w:rPr>
          <w:rFonts w:hint="eastAsia"/>
          <w:bCs/>
          <w:sz w:val="24"/>
        </w:rPr>
        <w:t>；</w:t>
      </w:r>
    </w:p>
    <w:p w14:paraId="73A11251" w14:textId="77777777" w:rsidR="00AC3A9B" w:rsidRDefault="002C3C29">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；基金投资于中小企业私募债的比例不超过基金资产净值的</w:t>
      </w:r>
      <w:r>
        <w:rPr>
          <w:bCs/>
          <w:sz w:val="24"/>
        </w:rPr>
        <w:t>20%</w:t>
      </w:r>
      <w:r>
        <w:rPr>
          <w:rFonts w:hint="eastAsia"/>
          <w:bCs/>
          <w:sz w:val="24"/>
        </w:rPr>
        <w:t>；</w:t>
      </w:r>
    </w:p>
    <w:p w14:paraId="054893EE" w14:textId="77777777" w:rsidR="00AC3A9B" w:rsidRDefault="002C3C2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17</w:t>
      </w:r>
      <w:r>
        <w:rPr>
          <w:rFonts w:hint="eastAsia"/>
          <w:bCs/>
          <w:sz w:val="24"/>
        </w:rPr>
        <w:t>）本基金参与股指期货、国债期货交易，需遵守下列规定：</w:t>
      </w:r>
    </w:p>
    <w:p w14:paraId="4C5FD785" w14:textId="77777777" w:rsidR="00AC3A9B" w:rsidRDefault="002C3C29">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13DBDCCA" w14:textId="77777777" w:rsidR="00AC3A9B" w:rsidRDefault="002C3C29">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）本基金在任何交易日日终，持有的买入股指期货、国债期货合约价值与有价证券市值之和，不得超过基金资产净值的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74B1F231" w14:textId="77777777" w:rsidR="00AC3A9B" w:rsidRDefault="002C3C29">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69A54692" w14:textId="77777777" w:rsidR="00AC3A9B" w:rsidRDefault="002C3C29">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04914A26" w14:textId="77777777" w:rsidR="00AC3A9B" w:rsidRDefault="002C3C29">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）本基金所持有的股票市值和买入、卖出股指期货合约价值，合计（轧差计算）应当符合基金合同关于股票投资比例的有关规定；</w:t>
      </w:r>
    </w:p>
    <w:p w14:paraId="54D657FD" w14:textId="77777777" w:rsidR="00AC3A9B" w:rsidRDefault="002C3C29">
      <w:pPr>
        <w:spacing w:line="360" w:lineRule="auto"/>
        <w:ind w:firstLineChars="200" w:firstLine="480"/>
        <w:rPr>
          <w:bCs/>
          <w:sz w:val="24"/>
        </w:rPr>
      </w:pPr>
      <w:r>
        <w:rPr>
          <w:rFonts w:hint="eastAsia"/>
          <w:bCs/>
          <w:sz w:val="24"/>
        </w:rPr>
        <w:t>6</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14:paraId="3DFA69FD" w14:textId="77777777" w:rsidR="00AC3A9B" w:rsidRDefault="002C3C29">
      <w:pPr>
        <w:spacing w:line="360" w:lineRule="auto"/>
        <w:ind w:firstLineChars="200" w:firstLine="480"/>
        <w:rPr>
          <w:bCs/>
          <w:sz w:val="24"/>
        </w:rPr>
      </w:pPr>
      <w:r>
        <w:rPr>
          <w:rFonts w:hint="eastAsia"/>
          <w:bCs/>
          <w:sz w:val="24"/>
        </w:rPr>
        <w:t>7</w:t>
      </w:r>
      <w:r>
        <w:rPr>
          <w:rFonts w:hint="eastAsia"/>
          <w:bCs/>
          <w:sz w:val="24"/>
        </w:rPr>
        <w:t>）本基金在任何交易日日终，持有的卖出国债期货合约价值不得超过基金持有的债券总市值的</w:t>
      </w:r>
      <w:r>
        <w:rPr>
          <w:rFonts w:hint="eastAsia"/>
          <w:bCs/>
          <w:sz w:val="24"/>
        </w:rPr>
        <w:t>30%</w:t>
      </w:r>
      <w:r>
        <w:rPr>
          <w:rFonts w:hint="eastAsia"/>
          <w:bCs/>
          <w:sz w:val="24"/>
        </w:rPr>
        <w:t>；</w:t>
      </w:r>
    </w:p>
    <w:p w14:paraId="4AC0EA06" w14:textId="77777777" w:rsidR="00AC3A9B" w:rsidRDefault="002C3C29">
      <w:pPr>
        <w:spacing w:line="360" w:lineRule="auto"/>
        <w:ind w:firstLineChars="200" w:firstLine="480"/>
        <w:rPr>
          <w:bCs/>
          <w:sz w:val="24"/>
        </w:rPr>
      </w:pPr>
      <w:r>
        <w:rPr>
          <w:rFonts w:hint="eastAsia"/>
          <w:bCs/>
          <w:sz w:val="24"/>
        </w:rPr>
        <w:t>8</w:t>
      </w:r>
      <w:r>
        <w:rPr>
          <w:rFonts w:hint="eastAsia"/>
          <w:bCs/>
          <w:sz w:val="24"/>
        </w:rPr>
        <w:t>）本基金在任何交易日内交易（不包括平仓）的国债期货合约的成交金额</w:t>
      </w:r>
      <w:r>
        <w:rPr>
          <w:rFonts w:hint="eastAsia"/>
          <w:bCs/>
          <w:sz w:val="24"/>
        </w:rPr>
        <w:lastRenderedPageBreak/>
        <w:t>不得超过上一交易日基金资产净值的</w:t>
      </w:r>
      <w:r>
        <w:rPr>
          <w:rFonts w:hint="eastAsia"/>
          <w:bCs/>
          <w:sz w:val="24"/>
        </w:rPr>
        <w:t>30%</w:t>
      </w:r>
      <w:r>
        <w:rPr>
          <w:rFonts w:hint="eastAsia"/>
          <w:bCs/>
          <w:sz w:val="24"/>
        </w:rPr>
        <w:t>；</w:t>
      </w:r>
    </w:p>
    <w:p w14:paraId="65DEBD39" w14:textId="77777777" w:rsidR="00AC3A9B" w:rsidRDefault="002C3C29">
      <w:pPr>
        <w:spacing w:line="360" w:lineRule="auto"/>
        <w:ind w:firstLineChars="200" w:firstLine="480"/>
        <w:rPr>
          <w:sz w:val="24"/>
        </w:rPr>
      </w:pPr>
      <w:r>
        <w:rPr>
          <w:rFonts w:hint="eastAsia"/>
          <w:sz w:val="24"/>
        </w:rPr>
        <w:t>（</w:t>
      </w:r>
      <w:r>
        <w:rPr>
          <w:rFonts w:hint="eastAsia"/>
          <w:sz w:val="24"/>
        </w:rPr>
        <w:t>18</w:t>
      </w:r>
      <w:r>
        <w:rPr>
          <w:rFonts w:hint="eastAsia"/>
          <w:sz w:val="24"/>
        </w:rPr>
        <w:t>）本基金参与股票期权交易，需遵守下列投资比例限制：</w:t>
      </w:r>
    </w:p>
    <w:p w14:paraId="2D0E13C4" w14:textId="77777777" w:rsidR="00AC3A9B" w:rsidRDefault="002C3C29">
      <w:pPr>
        <w:spacing w:line="360" w:lineRule="auto"/>
        <w:ind w:firstLineChars="200" w:firstLine="480"/>
        <w:rPr>
          <w:sz w:val="24"/>
        </w:rPr>
      </w:pPr>
      <w:r>
        <w:rPr>
          <w:rFonts w:hint="eastAsia"/>
          <w:sz w:val="24"/>
        </w:rPr>
        <w:t>1</w:t>
      </w:r>
      <w:r>
        <w:rPr>
          <w:rFonts w:hint="eastAsia"/>
          <w:sz w:val="24"/>
        </w:rPr>
        <w:t>）本基金因未平仓的期权合约支付和收取的权利金总额不得超过基金资产净值的</w:t>
      </w:r>
      <w:r>
        <w:rPr>
          <w:rFonts w:hint="eastAsia"/>
          <w:sz w:val="24"/>
        </w:rPr>
        <w:t>10%</w:t>
      </w:r>
      <w:r>
        <w:rPr>
          <w:rFonts w:hint="eastAsia"/>
          <w:sz w:val="24"/>
        </w:rPr>
        <w:t>；</w:t>
      </w:r>
    </w:p>
    <w:p w14:paraId="10191ACD" w14:textId="77777777" w:rsidR="00AC3A9B" w:rsidRDefault="002C3C29">
      <w:pPr>
        <w:spacing w:line="360" w:lineRule="auto"/>
        <w:ind w:firstLineChars="200" w:firstLine="480"/>
        <w:rPr>
          <w:sz w:val="24"/>
        </w:rPr>
      </w:pPr>
      <w:r>
        <w:rPr>
          <w:rFonts w:hint="eastAsia"/>
          <w:sz w:val="24"/>
        </w:rPr>
        <w:t>2</w:t>
      </w:r>
      <w:r>
        <w:rPr>
          <w:rFonts w:hint="eastAsia"/>
          <w:sz w:val="24"/>
        </w:rPr>
        <w:t>）本基金开仓卖出认购期权的，应持有足额标的证券；开仓卖出认沽期权的，应持有合约行权所需的全额现金或交易所规则认可的可冲抵期权保证金的现金等价物；</w:t>
      </w:r>
    </w:p>
    <w:p w14:paraId="2E25E0B9" w14:textId="77777777" w:rsidR="00AC3A9B" w:rsidRDefault="002C3C29">
      <w:pPr>
        <w:spacing w:line="360" w:lineRule="auto"/>
        <w:ind w:firstLineChars="200" w:firstLine="480"/>
        <w:rPr>
          <w:sz w:val="24"/>
        </w:rPr>
      </w:pPr>
      <w:r>
        <w:rPr>
          <w:rFonts w:hint="eastAsia"/>
          <w:sz w:val="24"/>
        </w:rPr>
        <w:t>3</w:t>
      </w:r>
      <w:r>
        <w:rPr>
          <w:rFonts w:hint="eastAsia"/>
          <w:sz w:val="24"/>
        </w:rPr>
        <w:t>）本基金未平仓的期权合约面值不得超过基金资产净值的</w:t>
      </w:r>
      <w:r>
        <w:rPr>
          <w:rFonts w:hint="eastAsia"/>
          <w:sz w:val="24"/>
        </w:rPr>
        <w:t>20%</w:t>
      </w:r>
      <w:r>
        <w:rPr>
          <w:rFonts w:hint="eastAsia"/>
          <w:sz w:val="24"/>
        </w:rPr>
        <w:t>。其中，合约面值按照行权价乘以合约乘数计算；</w:t>
      </w:r>
    </w:p>
    <w:p w14:paraId="7E2AE029" w14:textId="77777777" w:rsidR="00AC3A9B" w:rsidRDefault="002C3C29">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4DE6859F" w14:textId="77777777" w:rsidR="00AC3A9B" w:rsidRDefault="002C3C29">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1FA10100" w14:textId="77777777" w:rsidR="00AC3A9B" w:rsidRDefault="002C3C29">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7EB0277A" w14:textId="77777777" w:rsidR="00AC3A9B" w:rsidRDefault="002C3C29">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46E7624A" w14:textId="77777777" w:rsidR="00AC3A9B" w:rsidRDefault="002C3C2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）本基金投资存托凭证的比例限制依照境内上市交易的股票执行，与境内上市交易的股票合并计算；</w:t>
      </w:r>
    </w:p>
    <w:p w14:paraId="35B28B2C" w14:textId="77777777" w:rsidR="00AC3A9B" w:rsidRDefault="002C3C2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23</w:t>
      </w:r>
      <w:r>
        <w:rPr>
          <w:rFonts w:hint="eastAsia"/>
          <w:bCs/>
          <w:sz w:val="24"/>
        </w:rPr>
        <w:t>）法律法规及中国证监会规定的和《基金合同》约定的其他投资限制。</w:t>
      </w:r>
    </w:p>
    <w:p w14:paraId="1D91EC1B" w14:textId="77777777" w:rsidR="00AC3A9B" w:rsidRDefault="002C3C29">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021B887A"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w:t>
      </w:r>
      <w:r>
        <w:rPr>
          <w:rFonts w:hint="eastAsia"/>
          <w:bCs/>
          <w:sz w:val="24"/>
        </w:rPr>
        <w:lastRenderedPageBreak/>
        <w:t>基金合同的有关约定。在上述期间内，本基金的投资范围、投资策略应当符合基金合同的约定。基金托管人对基金的投资的监督与检查自基金合同生效之日起开始。</w:t>
      </w:r>
    </w:p>
    <w:p w14:paraId="754F5A6D"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法律法规或监管部门取消或调整上述限制，如适用于本基金，基金管理人在履行适当程序后，则本基金投资不再受相关限制或按调整后的规定执行。</w:t>
      </w:r>
    </w:p>
    <w:p w14:paraId="004D0AF4" w14:textId="77777777" w:rsidR="00AC3A9B" w:rsidRDefault="002C3C29">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、禁止行为</w:t>
      </w:r>
    </w:p>
    <w:p w14:paraId="26A9E6B8" w14:textId="77777777" w:rsidR="00AC3A9B" w:rsidRDefault="002C3C29">
      <w:pPr>
        <w:autoSpaceDE w:val="0"/>
        <w:autoSpaceDN w:val="0"/>
        <w:spacing w:line="360" w:lineRule="auto"/>
        <w:ind w:firstLineChars="200" w:firstLine="480"/>
        <w:textAlignment w:val="bottom"/>
        <w:rPr>
          <w:bCs/>
          <w:sz w:val="24"/>
        </w:rPr>
      </w:pPr>
      <w:r>
        <w:rPr>
          <w:rFonts w:hint="eastAsia"/>
          <w:bCs/>
          <w:sz w:val="24"/>
        </w:rPr>
        <w:t>为维护基金份额持有人的合法权益，基金财产不得用于下列投资或者活动：</w:t>
      </w:r>
    </w:p>
    <w:p w14:paraId="5F04DD89" w14:textId="77777777" w:rsidR="00AC3A9B" w:rsidRDefault="002C3C2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）承销证券；</w:t>
      </w:r>
    </w:p>
    <w:p w14:paraId="58B3BDF0" w14:textId="77777777" w:rsidR="00AC3A9B" w:rsidRDefault="002C3C2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）违反规定向他人贷款或者提供担保；</w:t>
      </w:r>
    </w:p>
    <w:p w14:paraId="028A92FB" w14:textId="77777777" w:rsidR="00AC3A9B" w:rsidRDefault="002C3C2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）从事承担无限责任的投资；</w:t>
      </w:r>
    </w:p>
    <w:p w14:paraId="19356527" w14:textId="77777777" w:rsidR="00AC3A9B" w:rsidRDefault="002C3C2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307644F7" w14:textId="77777777" w:rsidR="00AC3A9B" w:rsidRDefault="002C3C2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）向其基金管理人、基金托管人出资；</w:t>
      </w:r>
    </w:p>
    <w:p w14:paraId="44408043" w14:textId="77777777" w:rsidR="00AC3A9B" w:rsidRDefault="002C3C2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79855D95" w14:textId="77777777" w:rsidR="00AC3A9B" w:rsidRDefault="002C3C2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0C6415C4"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6A3C4C2" w14:textId="77777777" w:rsidR="00AC3A9B" w:rsidRDefault="002C3C29">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法律、行政法规或监管部门取消上述禁止性规定，如适用于本基金，则本基金投资不再受相关限制。</w:t>
      </w:r>
    </w:p>
    <w:p w14:paraId="03C04E67" w14:textId="77777777" w:rsidR="00AC3A9B" w:rsidRDefault="002C3C2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五、业绩比较基准</w:t>
      </w:r>
    </w:p>
    <w:p w14:paraId="038C65B7"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本基金的业绩比较基准为：中证全债指数收益率×</w:t>
      </w:r>
      <w:r>
        <w:rPr>
          <w:rFonts w:hint="eastAsia"/>
          <w:bCs/>
          <w:sz w:val="24"/>
        </w:rPr>
        <w:t>30%+</w:t>
      </w:r>
      <w:r>
        <w:rPr>
          <w:rFonts w:hint="eastAsia"/>
          <w:bCs/>
          <w:sz w:val="24"/>
        </w:rPr>
        <w:t>沪深</w:t>
      </w:r>
      <w:r>
        <w:rPr>
          <w:rFonts w:hint="eastAsia"/>
          <w:bCs/>
          <w:sz w:val="24"/>
        </w:rPr>
        <w:t>300</w:t>
      </w:r>
      <w:r>
        <w:rPr>
          <w:rFonts w:hint="eastAsia"/>
          <w:bCs/>
          <w:sz w:val="24"/>
        </w:rPr>
        <w:t>指数收益率×</w:t>
      </w:r>
      <w:r>
        <w:rPr>
          <w:rFonts w:hint="eastAsia"/>
          <w:bCs/>
          <w:sz w:val="24"/>
        </w:rPr>
        <w:t>70%</w:t>
      </w:r>
    </w:p>
    <w:p w14:paraId="3C26DBF9" w14:textId="77777777" w:rsidR="00AC3A9B" w:rsidRDefault="002C3C29">
      <w:pPr>
        <w:autoSpaceDE w:val="0"/>
        <w:autoSpaceDN w:val="0"/>
        <w:spacing w:line="360" w:lineRule="auto"/>
        <w:ind w:firstLineChars="200" w:firstLine="480"/>
        <w:textAlignment w:val="bottom"/>
        <w:rPr>
          <w:bCs/>
          <w:sz w:val="24"/>
        </w:rPr>
      </w:pPr>
      <w:r>
        <w:rPr>
          <w:rFonts w:hint="eastAsia"/>
          <w:bCs/>
          <w:sz w:val="24"/>
        </w:rPr>
        <w:t>中证全债指数的选样债券的信用类别覆盖全面，期限构成宽泛，适于做基金债券资产的业绩比较基准。沪深</w:t>
      </w:r>
      <w:r>
        <w:rPr>
          <w:rFonts w:hint="eastAsia"/>
          <w:bCs/>
          <w:sz w:val="24"/>
        </w:rPr>
        <w:t>300</w:t>
      </w:r>
      <w:r>
        <w:rPr>
          <w:rFonts w:hint="eastAsia"/>
          <w:bCs/>
          <w:sz w:val="24"/>
        </w:rPr>
        <w:t>指数选样科学客观，行业代表性好，流动性高，抗操纵性强，是目前市场上较有影响力的股票投资业绩比较基准。基于本基</w:t>
      </w:r>
      <w:r>
        <w:rPr>
          <w:rFonts w:hint="eastAsia"/>
          <w:bCs/>
          <w:sz w:val="24"/>
        </w:rPr>
        <w:lastRenderedPageBreak/>
        <w:t>金的投资范围和投资比例限制，选用上述业绩比较基准能够忠实反映本基金的风险收益特征。</w:t>
      </w:r>
    </w:p>
    <w:p w14:paraId="39D1A5AA" w14:textId="77777777" w:rsidR="00AC3A9B" w:rsidRDefault="002C3C29">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14:paraId="3ACD4C2A" w14:textId="77777777" w:rsidR="00AC3A9B" w:rsidRDefault="002C3C29">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六、风险收益特征</w:t>
      </w:r>
    </w:p>
    <w:p w14:paraId="70EFC630"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本基金属于混合型基金，其预期风险和预期收益高于货币市场基金、债券基金，低于股票型基金，属于证券投资基金中中高风险、中高预期收益的品种。</w:t>
      </w:r>
    </w:p>
    <w:p w14:paraId="399324F6" w14:textId="77777777" w:rsidR="00AC3A9B" w:rsidRDefault="002C3C29">
      <w:pPr>
        <w:autoSpaceDE w:val="0"/>
        <w:autoSpaceDN w:val="0"/>
        <w:spacing w:line="360" w:lineRule="auto"/>
        <w:ind w:firstLineChars="200" w:firstLine="480"/>
        <w:textAlignment w:val="bottom"/>
        <w:rPr>
          <w:bCs/>
          <w:sz w:val="24"/>
        </w:rPr>
      </w:pPr>
      <w:r>
        <w:rPr>
          <w:rFonts w:hint="eastAsia"/>
          <w:bCs/>
          <w:sz w:val="24"/>
        </w:rPr>
        <w:t>七、基金管理人代表基金行使股东和债权人权利的处理原则及方法</w:t>
      </w:r>
    </w:p>
    <w:p w14:paraId="5CFDBF37" w14:textId="77777777" w:rsidR="00AC3A9B" w:rsidRDefault="002C3C29">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、基金管理人按照国家有关规定代表基金独立行使股东和债权人权利，保护基金份额持有人的利益；</w:t>
      </w:r>
    </w:p>
    <w:p w14:paraId="0D9D969F" w14:textId="77777777" w:rsidR="00AC3A9B" w:rsidRDefault="002C3C29">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、不谋求对上市公司的控股，不参与所投资上市公司的经营管理；</w:t>
      </w:r>
    </w:p>
    <w:p w14:paraId="71A80BFA" w14:textId="77777777" w:rsidR="00AC3A9B" w:rsidRDefault="002C3C29">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、有利于基金财产的安全与增值；</w:t>
      </w:r>
    </w:p>
    <w:p w14:paraId="56E07B31" w14:textId="77777777" w:rsidR="00AC3A9B" w:rsidRDefault="002C3C29">
      <w:pPr>
        <w:autoSpaceDE w:val="0"/>
        <w:autoSpaceDN w:val="0"/>
        <w:spacing w:line="360" w:lineRule="auto"/>
        <w:ind w:firstLineChars="200" w:firstLine="480"/>
        <w:textAlignment w:val="bottom"/>
        <w:rPr>
          <w:rFonts w:ascii="Times New Roman" w:eastAsia="宋体" w:hAnsi="Times New Roman" w:cs="Times New Roman"/>
          <w:b/>
          <w:kern w:val="0"/>
          <w:sz w:val="30"/>
          <w:szCs w:val="30"/>
        </w:rPr>
      </w:pPr>
      <w:r>
        <w:rPr>
          <w:rFonts w:hint="eastAsia"/>
          <w:bCs/>
          <w:sz w:val="24"/>
        </w:rPr>
        <w:t>4</w:t>
      </w:r>
      <w:r>
        <w:rPr>
          <w:rFonts w:hint="eastAsia"/>
          <w:bCs/>
          <w:sz w:val="24"/>
        </w:rPr>
        <w:t>、不通过关联交易为自身、雇员、授权代理人或任何存在利害关系的第三人牟取任何不当利益。</w:t>
      </w:r>
    </w:p>
    <w:p w14:paraId="7CE2ECED"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八、基金投资组合报告</w:t>
      </w:r>
    </w:p>
    <w:p w14:paraId="28A8300B"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基金管理人的董事会、董事保证本报告所载资料不存在虚假记载、误导性陈述或重大遗漏，并对其内容的真实性、准确性和完整性承担个别及连带的法律责任。</w:t>
      </w:r>
    </w:p>
    <w:p w14:paraId="5747D7DB"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基金托管人平安银行股份有限公司根据本基金合同规定，已复核了本报告中的财务指标、净值表现和投资组合报告等内容，保证复核内容不存在虚假记载、误导性陈述或者重大遗漏。</w:t>
      </w:r>
    </w:p>
    <w:p w14:paraId="7A30DFCC" w14:textId="5B8A6FFD"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本投资组合报告所载数据截至</w:t>
      </w:r>
      <w:r>
        <w:rPr>
          <w:rFonts w:asciiTheme="minorEastAsia" w:hAnsiTheme="minorEastAsia"/>
          <w:bCs/>
          <w:sz w:val="24"/>
          <w:szCs w:val="24"/>
        </w:rPr>
        <w:t xml:space="preserve"> </w:t>
      </w:r>
      <w:r w:rsidR="00440CA4">
        <w:rPr>
          <w:rFonts w:asciiTheme="minorEastAsia" w:hAnsiTheme="minorEastAsia"/>
          <w:bCs/>
          <w:sz w:val="24"/>
          <w:szCs w:val="24"/>
        </w:rPr>
        <w:t>202</w:t>
      </w:r>
      <w:r w:rsidR="00BF600C">
        <w:rPr>
          <w:rFonts w:asciiTheme="minorEastAsia" w:hAnsiTheme="minorEastAsia"/>
          <w:bCs/>
          <w:sz w:val="24"/>
          <w:szCs w:val="24"/>
        </w:rPr>
        <w:t>2</w:t>
      </w:r>
      <w:r>
        <w:rPr>
          <w:rFonts w:asciiTheme="minorEastAsia" w:hAnsiTheme="minorEastAsia" w:hint="eastAsia"/>
          <w:bCs/>
          <w:sz w:val="24"/>
          <w:szCs w:val="24"/>
        </w:rPr>
        <w:t>年</w:t>
      </w:r>
      <w:r w:rsidR="00BF600C">
        <w:rPr>
          <w:rFonts w:asciiTheme="minorEastAsia" w:hAnsiTheme="minorEastAsia"/>
          <w:bCs/>
          <w:sz w:val="24"/>
          <w:szCs w:val="24"/>
        </w:rPr>
        <w:t>3</w:t>
      </w:r>
      <w:r>
        <w:rPr>
          <w:rFonts w:asciiTheme="minorEastAsia" w:hAnsiTheme="minorEastAsia" w:hint="eastAsia"/>
          <w:bCs/>
          <w:sz w:val="24"/>
          <w:szCs w:val="24"/>
        </w:rPr>
        <w:t>月31日，本报告中所列财务数据未经审计。</w:t>
      </w:r>
    </w:p>
    <w:p w14:paraId="40067CE3"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1、报告期末基金资产组合情况</w:t>
      </w:r>
    </w:p>
    <w:tbl>
      <w:tblPr>
        <w:tblW w:w="8097" w:type="dxa"/>
        <w:tblInd w:w="108" w:type="dxa"/>
        <w:tblLayout w:type="fixed"/>
        <w:tblLook w:val="04A0" w:firstRow="1" w:lastRow="0" w:firstColumn="1" w:lastColumn="0" w:noHBand="0" w:noVBand="1"/>
      </w:tblPr>
      <w:tblGrid>
        <w:gridCol w:w="739"/>
        <w:gridCol w:w="2584"/>
        <w:gridCol w:w="2349"/>
        <w:gridCol w:w="2425"/>
      </w:tblGrid>
      <w:tr w:rsidR="00AC3A9B" w14:paraId="19E2A253" w14:textId="77777777">
        <w:trPr>
          <w:trHeight w:val="415"/>
        </w:trPr>
        <w:tc>
          <w:tcPr>
            <w:tcW w:w="739" w:type="dxa"/>
            <w:tcBorders>
              <w:top w:val="single" w:sz="8" w:space="0" w:color="000000"/>
              <w:left w:val="single" w:sz="8" w:space="0" w:color="000000"/>
              <w:bottom w:val="single" w:sz="4" w:space="0" w:color="000000"/>
              <w:right w:val="single" w:sz="8" w:space="0" w:color="000000"/>
            </w:tcBorders>
            <w:vAlign w:val="center"/>
          </w:tcPr>
          <w:p w14:paraId="53F1D9F8" w14:textId="77777777" w:rsidR="00AC3A9B" w:rsidRDefault="002C3C29">
            <w:pPr>
              <w:pStyle w:val="biaogecenter"/>
              <w:wordWrap w:val="0"/>
              <w:rPr>
                <w:rFonts w:asciiTheme="minorEastAsia" w:eastAsiaTheme="minorEastAsia" w:hAnsiTheme="minorEastAsia"/>
              </w:rPr>
            </w:pPr>
            <w:r>
              <w:rPr>
                <w:rFonts w:asciiTheme="minorEastAsia" w:eastAsiaTheme="minorEastAsia" w:hAnsiTheme="minorEastAsia" w:hint="eastAsia"/>
              </w:rPr>
              <w:t>序号</w:t>
            </w:r>
          </w:p>
        </w:tc>
        <w:tc>
          <w:tcPr>
            <w:tcW w:w="2584" w:type="dxa"/>
            <w:tcBorders>
              <w:top w:val="single" w:sz="8" w:space="0" w:color="000000"/>
              <w:left w:val="single" w:sz="8" w:space="0" w:color="000000"/>
              <w:bottom w:val="single" w:sz="4" w:space="0" w:color="000000"/>
              <w:right w:val="single" w:sz="8" w:space="0" w:color="000000"/>
            </w:tcBorders>
            <w:vAlign w:val="center"/>
          </w:tcPr>
          <w:p w14:paraId="0043E034" w14:textId="77777777" w:rsidR="00AC3A9B" w:rsidRDefault="002C3C29">
            <w:pPr>
              <w:pStyle w:val="biaogeleft"/>
              <w:rPr>
                <w:rFonts w:asciiTheme="minorEastAsia" w:eastAsiaTheme="minorEastAsia" w:hAnsiTheme="minorEastAsia"/>
              </w:rPr>
            </w:pPr>
            <w:r>
              <w:rPr>
                <w:rFonts w:asciiTheme="minorEastAsia" w:eastAsiaTheme="minorEastAsia" w:hAnsiTheme="minorEastAsia" w:hint="eastAsia"/>
              </w:rPr>
              <w:t>项目</w:t>
            </w:r>
          </w:p>
        </w:tc>
        <w:tc>
          <w:tcPr>
            <w:tcW w:w="2349" w:type="dxa"/>
            <w:tcBorders>
              <w:top w:val="single" w:sz="8" w:space="0" w:color="000000"/>
              <w:left w:val="single" w:sz="8" w:space="0" w:color="000000"/>
              <w:bottom w:val="single" w:sz="4" w:space="0" w:color="000000"/>
              <w:right w:val="single" w:sz="8" w:space="0" w:color="000000"/>
            </w:tcBorders>
            <w:vAlign w:val="center"/>
          </w:tcPr>
          <w:p w14:paraId="46FCEDF4" w14:textId="77777777" w:rsidR="00AC3A9B" w:rsidRDefault="002C3C29">
            <w:pPr>
              <w:pStyle w:val="biaogeright"/>
              <w:rPr>
                <w:rFonts w:asciiTheme="minorEastAsia" w:eastAsiaTheme="minorEastAsia" w:hAnsiTheme="minorEastAsia"/>
              </w:rPr>
            </w:pPr>
            <w:r>
              <w:rPr>
                <w:rFonts w:asciiTheme="minorEastAsia" w:eastAsiaTheme="minorEastAsia" w:hAnsiTheme="minorEastAsia" w:hint="eastAsia"/>
              </w:rPr>
              <w:t>金额(元)</w:t>
            </w:r>
          </w:p>
        </w:tc>
        <w:tc>
          <w:tcPr>
            <w:tcW w:w="2425" w:type="dxa"/>
            <w:tcBorders>
              <w:top w:val="single" w:sz="8" w:space="0" w:color="000000"/>
              <w:left w:val="single" w:sz="8" w:space="0" w:color="000000"/>
              <w:bottom w:val="single" w:sz="4" w:space="0" w:color="000000"/>
              <w:right w:val="single" w:sz="8" w:space="0" w:color="000000"/>
            </w:tcBorders>
            <w:vAlign w:val="center"/>
          </w:tcPr>
          <w:p w14:paraId="704172EB" w14:textId="77777777" w:rsidR="00AC3A9B" w:rsidRDefault="002C3C29">
            <w:pPr>
              <w:pStyle w:val="biaogeright"/>
              <w:rPr>
                <w:rFonts w:asciiTheme="minorEastAsia" w:eastAsiaTheme="minorEastAsia" w:hAnsiTheme="minorEastAsia"/>
              </w:rPr>
            </w:pPr>
            <w:r>
              <w:rPr>
                <w:rFonts w:asciiTheme="minorEastAsia" w:eastAsiaTheme="minorEastAsia" w:hAnsiTheme="minorEastAsia" w:hint="eastAsia"/>
              </w:rPr>
              <w:t>占基金总资产的比例（%）</w:t>
            </w:r>
          </w:p>
        </w:tc>
      </w:tr>
      <w:tr w:rsidR="001F4508" w14:paraId="425CF287" w14:textId="77777777" w:rsidTr="00A73B4E">
        <w:trPr>
          <w:trHeight w:val="415"/>
        </w:trPr>
        <w:tc>
          <w:tcPr>
            <w:tcW w:w="739" w:type="dxa"/>
            <w:tcBorders>
              <w:top w:val="single" w:sz="8" w:space="0" w:color="000000"/>
              <w:left w:val="single" w:sz="8" w:space="0" w:color="000000"/>
              <w:bottom w:val="single" w:sz="6" w:space="0" w:color="000000"/>
              <w:right w:val="single" w:sz="8" w:space="0" w:color="000000"/>
            </w:tcBorders>
            <w:vAlign w:val="center"/>
          </w:tcPr>
          <w:p w14:paraId="267A14DC" w14:textId="0E4AAB4F" w:rsidR="001F4508" w:rsidRDefault="001F4508" w:rsidP="001F4508">
            <w:pPr>
              <w:pStyle w:val="biaogecenter"/>
              <w:wordWrap w:val="0"/>
              <w:rPr>
                <w:rFonts w:asciiTheme="minorEastAsia" w:eastAsiaTheme="minorEastAsia" w:hAnsiTheme="minorEastAsia"/>
              </w:rPr>
            </w:pPr>
            <w:r>
              <w:rPr>
                <w:rFonts w:hAnsi="Calibri" w:hint="eastAsia"/>
                <w:color w:val="000000"/>
              </w:rPr>
              <w:t>1</w:t>
            </w:r>
          </w:p>
        </w:tc>
        <w:tc>
          <w:tcPr>
            <w:tcW w:w="2584" w:type="dxa"/>
            <w:tcBorders>
              <w:top w:val="single" w:sz="8" w:space="0" w:color="000000"/>
              <w:left w:val="single" w:sz="8" w:space="0" w:color="000000"/>
              <w:bottom w:val="single" w:sz="6" w:space="0" w:color="000000"/>
              <w:right w:val="single" w:sz="8" w:space="0" w:color="000000"/>
            </w:tcBorders>
            <w:vAlign w:val="center"/>
          </w:tcPr>
          <w:p w14:paraId="347EF312" w14:textId="619ABF5A" w:rsidR="001F4508" w:rsidRDefault="001F4508" w:rsidP="001F4508">
            <w:pPr>
              <w:pStyle w:val="biaogeleft"/>
              <w:wordWrap w:val="0"/>
              <w:rPr>
                <w:rFonts w:asciiTheme="minorEastAsia" w:eastAsiaTheme="minorEastAsia" w:hAnsiTheme="minorEastAsia"/>
              </w:rPr>
            </w:pPr>
            <w:r>
              <w:rPr>
                <w:rFonts w:hint="eastAsia"/>
              </w:rPr>
              <w:t>权益投资</w:t>
            </w:r>
          </w:p>
        </w:tc>
        <w:tc>
          <w:tcPr>
            <w:tcW w:w="2349" w:type="dxa"/>
            <w:tcBorders>
              <w:top w:val="single" w:sz="8" w:space="0" w:color="000000"/>
              <w:left w:val="single" w:sz="8" w:space="0" w:color="000000"/>
              <w:bottom w:val="single" w:sz="6" w:space="0" w:color="000000"/>
              <w:right w:val="single" w:sz="8" w:space="0" w:color="000000"/>
            </w:tcBorders>
            <w:vAlign w:val="center"/>
          </w:tcPr>
          <w:p w14:paraId="053FC765" w14:textId="22DA1446" w:rsidR="001F4508" w:rsidRDefault="001F4508" w:rsidP="001F4508">
            <w:pPr>
              <w:pStyle w:val="biaogeright"/>
              <w:wordWrap w:val="0"/>
              <w:rPr>
                <w:rFonts w:asciiTheme="minorEastAsia" w:eastAsiaTheme="minorEastAsia" w:hAnsiTheme="minorEastAsia"/>
              </w:rPr>
            </w:pPr>
            <w:r>
              <w:rPr>
                <w:rFonts w:hint="eastAsia"/>
              </w:rPr>
              <w:t>196,736,347.95</w:t>
            </w:r>
          </w:p>
        </w:tc>
        <w:tc>
          <w:tcPr>
            <w:tcW w:w="2425" w:type="dxa"/>
            <w:tcBorders>
              <w:top w:val="single" w:sz="8" w:space="0" w:color="000000"/>
              <w:left w:val="single" w:sz="8" w:space="0" w:color="000000"/>
              <w:bottom w:val="single" w:sz="6" w:space="0" w:color="000000"/>
              <w:right w:val="single" w:sz="8" w:space="0" w:color="000000"/>
            </w:tcBorders>
            <w:vAlign w:val="center"/>
          </w:tcPr>
          <w:p w14:paraId="7AD11699" w14:textId="23489055" w:rsidR="001F4508" w:rsidRDefault="001F4508" w:rsidP="001F4508">
            <w:pPr>
              <w:pStyle w:val="biaogeright"/>
              <w:wordWrap w:val="0"/>
              <w:rPr>
                <w:rFonts w:asciiTheme="minorEastAsia" w:eastAsiaTheme="minorEastAsia" w:hAnsiTheme="minorEastAsia"/>
              </w:rPr>
            </w:pPr>
            <w:r>
              <w:rPr>
                <w:rFonts w:hint="eastAsia"/>
              </w:rPr>
              <w:t>53.43</w:t>
            </w:r>
          </w:p>
        </w:tc>
      </w:tr>
      <w:tr w:rsidR="001F4508" w14:paraId="542EAF55" w14:textId="77777777" w:rsidTr="00A73B4E">
        <w:trPr>
          <w:trHeight w:val="415"/>
        </w:trPr>
        <w:tc>
          <w:tcPr>
            <w:tcW w:w="739" w:type="dxa"/>
            <w:tcBorders>
              <w:top w:val="single" w:sz="8" w:space="0" w:color="000000"/>
              <w:left w:val="single" w:sz="8" w:space="0" w:color="000000"/>
              <w:bottom w:val="single" w:sz="6" w:space="0" w:color="000000"/>
              <w:right w:val="single" w:sz="8" w:space="0" w:color="000000"/>
            </w:tcBorders>
            <w:vAlign w:val="center"/>
          </w:tcPr>
          <w:p w14:paraId="02D10422" w14:textId="77777777" w:rsidR="001F4508" w:rsidRDefault="001F4508" w:rsidP="001F4508">
            <w:pPr>
              <w:pStyle w:val="biaogecenter"/>
              <w:wordWrap w:val="0"/>
              <w:rPr>
                <w:rFonts w:asciiTheme="minorEastAsia" w:eastAsiaTheme="minorEastAsia" w:hAnsiTheme="minorEastAsia"/>
              </w:rPr>
            </w:pPr>
          </w:p>
        </w:tc>
        <w:tc>
          <w:tcPr>
            <w:tcW w:w="2584" w:type="dxa"/>
            <w:tcBorders>
              <w:top w:val="single" w:sz="8" w:space="0" w:color="000000"/>
              <w:left w:val="single" w:sz="8" w:space="0" w:color="000000"/>
              <w:bottom w:val="single" w:sz="6" w:space="0" w:color="000000"/>
              <w:right w:val="single" w:sz="8" w:space="0" w:color="000000"/>
            </w:tcBorders>
            <w:vAlign w:val="center"/>
          </w:tcPr>
          <w:p w14:paraId="27982CB9" w14:textId="6EB16D7F" w:rsidR="001F4508" w:rsidRDefault="001F4508" w:rsidP="001F4508">
            <w:pPr>
              <w:pStyle w:val="biaogeleft"/>
              <w:wordWrap w:val="0"/>
              <w:rPr>
                <w:rFonts w:asciiTheme="minorEastAsia" w:eastAsiaTheme="minorEastAsia" w:hAnsiTheme="minorEastAsia"/>
              </w:rPr>
            </w:pPr>
            <w:r>
              <w:rPr>
                <w:rFonts w:hint="eastAsia"/>
              </w:rPr>
              <w:t>其中：股票</w:t>
            </w:r>
          </w:p>
        </w:tc>
        <w:tc>
          <w:tcPr>
            <w:tcW w:w="2349" w:type="dxa"/>
            <w:tcBorders>
              <w:top w:val="single" w:sz="8" w:space="0" w:color="000000"/>
              <w:left w:val="single" w:sz="8" w:space="0" w:color="000000"/>
              <w:bottom w:val="single" w:sz="6" w:space="0" w:color="000000"/>
              <w:right w:val="single" w:sz="8" w:space="0" w:color="000000"/>
            </w:tcBorders>
            <w:vAlign w:val="center"/>
          </w:tcPr>
          <w:p w14:paraId="13F87AAC" w14:textId="31D5CA9F" w:rsidR="001F4508" w:rsidRDefault="001F4508" w:rsidP="001F4508">
            <w:pPr>
              <w:pStyle w:val="biaogeright"/>
              <w:wordWrap w:val="0"/>
              <w:rPr>
                <w:rFonts w:asciiTheme="minorEastAsia" w:eastAsiaTheme="minorEastAsia" w:hAnsiTheme="minorEastAsia"/>
              </w:rPr>
            </w:pPr>
            <w:r>
              <w:rPr>
                <w:rFonts w:hint="eastAsia"/>
              </w:rPr>
              <w:t>196,736,347.95</w:t>
            </w:r>
          </w:p>
        </w:tc>
        <w:tc>
          <w:tcPr>
            <w:tcW w:w="2425" w:type="dxa"/>
            <w:tcBorders>
              <w:top w:val="single" w:sz="8" w:space="0" w:color="000000"/>
              <w:left w:val="single" w:sz="8" w:space="0" w:color="000000"/>
              <w:bottom w:val="single" w:sz="6" w:space="0" w:color="000000"/>
              <w:right w:val="single" w:sz="8" w:space="0" w:color="000000"/>
            </w:tcBorders>
            <w:vAlign w:val="center"/>
          </w:tcPr>
          <w:p w14:paraId="3E86CB36" w14:textId="71CB0303" w:rsidR="001F4508" w:rsidRDefault="001F4508" w:rsidP="001F4508">
            <w:pPr>
              <w:pStyle w:val="biaogeright"/>
              <w:wordWrap w:val="0"/>
              <w:rPr>
                <w:rFonts w:asciiTheme="minorEastAsia" w:eastAsiaTheme="minorEastAsia" w:hAnsiTheme="minorEastAsia"/>
              </w:rPr>
            </w:pPr>
            <w:r>
              <w:rPr>
                <w:rFonts w:hint="eastAsia"/>
              </w:rPr>
              <w:t>53.43</w:t>
            </w:r>
          </w:p>
        </w:tc>
      </w:tr>
      <w:tr w:rsidR="001F4508" w14:paraId="7CB351B9" w14:textId="77777777" w:rsidTr="00A73B4E">
        <w:trPr>
          <w:trHeight w:val="415"/>
        </w:trPr>
        <w:tc>
          <w:tcPr>
            <w:tcW w:w="739" w:type="dxa"/>
            <w:tcBorders>
              <w:top w:val="single" w:sz="8" w:space="0" w:color="000000"/>
              <w:left w:val="single" w:sz="8" w:space="0" w:color="000000"/>
              <w:bottom w:val="single" w:sz="6" w:space="0" w:color="000000"/>
              <w:right w:val="single" w:sz="8" w:space="0" w:color="000000"/>
            </w:tcBorders>
            <w:vAlign w:val="center"/>
          </w:tcPr>
          <w:p w14:paraId="1E092C1E" w14:textId="6DC42B3A" w:rsidR="001F4508" w:rsidRDefault="001F4508" w:rsidP="001F4508">
            <w:pPr>
              <w:pStyle w:val="biaogecenter"/>
              <w:wordWrap w:val="0"/>
              <w:rPr>
                <w:rFonts w:asciiTheme="minorEastAsia" w:eastAsiaTheme="minorEastAsia" w:hAnsiTheme="minorEastAsia"/>
              </w:rPr>
            </w:pPr>
            <w:r>
              <w:rPr>
                <w:rFonts w:hAnsi="Calibri" w:hint="eastAsia"/>
                <w:color w:val="000000"/>
              </w:rPr>
              <w:lastRenderedPageBreak/>
              <w:t>2</w:t>
            </w:r>
          </w:p>
        </w:tc>
        <w:tc>
          <w:tcPr>
            <w:tcW w:w="2584" w:type="dxa"/>
            <w:tcBorders>
              <w:top w:val="single" w:sz="8" w:space="0" w:color="000000"/>
              <w:left w:val="single" w:sz="8" w:space="0" w:color="000000"/>
              <w:bottom w:val="single" w:sz="6" w:space="0" w:color="000000"/>
              <w:right w:val="single" w:sz="8" w:space="0" w:color="000000"/>
            </w:tcBorders>
            <w:vAlign w:val="center"/>
          </w:tcPr>
          <w:p w14:paraId="60EE4560" w14:textId="19BB4C61" w:rsidR="001F4508" w:rsidRDefault="001F4508" w:rsidP="001F4508">
            <w:pPr>
              <w:pStyle w:val="biaogeleft"/>
              <w:wordWrap w:val="0"/>
              <w:rPr>
                <w:rFonts w:asciiTheme="minorEastAsia" w:eastAsiaTheme="minorEastAsia" w:hAnsiTheme="minorEastAsia"/>
              </w:rPr>
            </w:pPr>
            <w:r>
              <w:rPr>
                <w:rFonts w:hint="eastAsia"/>
              </w:rPr>
              <w:t>基金投资</w:t>
            </w:r>
          </w:p>
        </w:tc>
        <w:tc>
          <w:tcPr>
            <w:tcW w:w="2349" w:type="dxa"/>
            <w:tcBorders>
              <w:top w:val="single" w:sz="8" w:space="0" w:color="000000"/>
              <w:left w:val="single" w:sz="8" w:space="0" w:color="000000"/>
              <w:bottom w:val="single" w:sz="6" w:space="0" w:color="000000"/>
              <w:right w:val="single" w:sz="8" w:space="0" w:color="000000"/>
            </w:tcBorders>
            <w:vAlign w:val="center"/>
          </w:tcPr>
          <w:p w14:paraId="2FE862D8" w14:textId="143F6E59" w:rsidR="001F4508" w:rsidRDefault="001F4508" w:rsidP="001F4508">
            <w:pPr>
              <w:pStyle w:val="biaogeright"/>
              <w:wordWrap w:val="0"/>
              <w:rPr>
                <w:rFonts w:asciiTheme="minorEastAsia" w:eastAsiaTheme="minorEastAsia" w:hAnsiTheme="minorEastAsia"/>
              </w:rPr>
            </w:pPr>
            <w:r>
              <w:rPr>
                <w:rFonts w:hint="eastAsia"/>
              </w:rPr>
              <w:t>-</w:t>
            </w:r>
          </w:p>
        </w:tc>
        <w:tc>
          <w:tcPr>
            <w:tcW w:w="2425" w:type="dxa"/>
            <w:tcBorders>
              <w:top w:val="single" w:sz="8" w:space="0" w:color="000000"/>
              <w:left w:val="single" w:sz="8" w:space="0" w:color="000000"/>
              <w:bottom w:val="single" w:sz="6" w:space="0" w:color="000000"/>
              <w:right w:val="single" w:sz="8" w:space="0" w:color="000000"/>
            </w:tcBorders>
            <w:vAlign w:val="center"/>
          </w:tcPr>
          <w:p w14:paraId="0124D2B0" w14:textId="6079014E" w:rsidR="001F4508" w:rsidRDefault="001F4508" w:rsidP="001F4508">
            <w:pPr>
              <w:pStyle w:val="biaogeright"/>
              <w:wordWrap w:val="0"/>
              <w:rPr>
                <w:rFonts w:asciiTheme="minorEastAsia" w:eastAsiaTheme="minorEastAsia" w:hAnsiTheme="minorEastAsia"/>
              </w:rPr>
            </w:pPr>
            <w:r>
              <w:rPr>
                <w:rFonts w:hint="eastAsia"/>
              </w:rPr>
              <w:t>-</w:t>
            </w:r>
          </w:p>
        </w:tc>
      </w:tr>
      <w:tr w:rsidR="001F4508" w14:paraId="4DA6C1F5" w14:textId="77777777" w:rsidTr="00A73B4E">
        <w:trPr>
          <w:trHeight w:val="415"/>
        </w:trPr>
        <w:tc>
          <w:tcPr>
            <w:tcW w:w="739" w:type="dxa"/>
            <w:tcBorders>
              <w:top w:val="single" w:sz="8" w:space="0" w:color="000000"/>
              <w:left w:val="single" w:sz="8" w:space="0" w:color="000000"/>
              <w:bottom w:val="single" w:sz="6" w:space="0" w:color="000000"/>
              <w:right w:val="single" w:sz="8" w:space="0" w:color="000000"/>
            </w:tcBorders>
            <w:vAlign w:val="center"/>
          </w:tcPr>
          <w:p w14:paraId="0653115C" w14:textId="62049C50" w:rsidR="001F4508" w:rsidRDefault="001F4508" w:rsidP="001F4508">
            <w:pPr>
              <w:pStyle w:val="biaogecenter"/>
              <w:wordWrap w:val="0"/>
              <w:rPr>
                <w:rFonts w:asciiTheme="minorEastAsia" w:eastAsiaTheme="minorEastAsia" w:hAnsiTheme="minorEastAsia"/>
              </w:rPr>
            </w:pPr>
            <w:r>
              <w:rPr>
                <w:rFonts w:hAnsi="Calibri" w:hint="eastAsia"/>
                <w:color w:val="000000"/>
              </w:rPr>
              <w:t>3</w:t>
            </w:r>
          </w:p>
        </w:tc>
        <w:tc>
          <w:tcPr>
            <w:tcW w:w="2584" w:type="dxa"/>
            <w:tcBorders>
              <w:top w:val="single" w:sz="8" w:space="0" w:color="000000"/>
              <w:left w:val="single" w:sz="8" w:space="0" w:color="000000"/>
              <w:bottom w:val="single" w:sz="6" w:space="0" w:color="000000"/>
              <w:right w:val="single" w:sz="8" w:space="0" w:color="000000"/>
            </w:tcBorders>
            <w:vAlign w:val="center"/>
          </w:tcPr>
          <w:p w14:paraId="3BCDABB2" w14:textId="65ED92DC" w:rsidR="001F4508" w:rsidRDefault="001F4508" w:rsidP="001F4508">
            <w:pPr>
              <w:pStyle w:val="biaogeleft"/>
              <w:wordWrap w:val="0"/>
              <w:rPr>
                <w:rFonts w:asciiTheme="minorEastAsia" w:eastAsiaTheme="minorEastAsia" w:hAnsiTheme="minorEastAsia"/>
              </w:rPr>
            </w:pPr>
            <w:r>
              <w:rPr>
                <w:rFonts w:hint="eastAsia"/>
              </w:rPr>
              <w:t>固定收益投资</w:t>
            </w:r>
          </w:p>
        </w:tc>
        <w:tc>
          <w:tcPr>
            <w:tcW w:w="2349" w:type="dxa"/>
            <w:tcBorders>
              <w:top w:val="single" w:sz="8" w:space="0" w:color="000000"/>
              <w:left w:val="single" w:sz="8" w:space="0" w:color="000000"/>
              <w:bottom w:val="single" w:sz="6" w:space="0" w:color="000000"/>
              <w:right w:val="single" w:sz="8" w:space="0" w:color="000000"/>
            </w:tcBorders>
            <w:vAlign w:val="center"/>
          </w:tcPr>
          <w:p w14:paraId="5C40AB1F" w14:textId="1D33F749" w:rsidR="001F4508" w:rsidRDefault="001F4508" w:rsidP="001F4508">
            <w:pPr>
              <w:pStyle w:val="biaogeright"/>
              <w:wordWrap w:val="0"/>
              <w:rPr>
                <w:rFonts w:asciiTheme="minorEastAsia" w:eastAsiaTheme="minorEastAsia" w:hAnsiTheme="minorEastAsia"/>
              </w:rPr>
            </w:pPr>
            <w:r>
              <w:rPr>
                <w:rFonts w:hint="eastAsia"/>
              </w:rPr>
              <w:t>-</w:t>
            </w:r>
          </w:p>
        </w:tc>
        <w:tc>
          <w:tcPr>
            <w:tcW w:w="2425" w:type="dxa"/>
            <w:tcBorders>
              <w:top w:val="single" w:sz="8" w:space="0" w:color="000000"/>
              <w:left w:val="single" w:sz="8" w:space="0" w:color="000000"/>
              <w:bottom w:val="single" w:sz="6" w:space="0" w:color="000000"/>
              <w:right w:val="single" w:sz="8" w:space="0" w:color="000000"/>
            </w:tcBorders>
            <w:vAlign w:val="center"/>
          </w:tcPr>
          <w:p w14:paraId="37F1ADD6" w14:textId="6DA27F36" w:rsidR="001F4508" w:rsidRDefault="001F4508" w:rsidP="001F4508">
            <w:pPr>
              <w:pStyle w:val="biaogeright"/>
              <w:wordWrap w:val="0"/>
              <w:rPr>
                <w:rFonts w:asciiTheme="minorEastAsia" w:eastAsiaTheme="minorEastAsia" w:hAnsiTheme="minorEastAsia"/>
              </w:rPr>
            </w:pPr>
            <w:r>
              <w:rPr>
                <w:rFonts w:hint="eastAsia"/>
              </w:rPr>
              <w:t>-</w:t>
            </w:r>
          </w:p>
        </w:tc>
      </w:tr>
      <w:tr w:rsidR="001F4508" w14:paraId="456B1917" w14:textId="77777777" w:rsidTr="00A73B4E">
        <w:trPr>
          <w:trHeight w:val="415"/>
        </w:trPr>
        <w:tc>
          <w:tcPr>
            <w:tcW w:w="739" w:type="dxa"/>
            <w:tcBorders>
              <w:top w:val="single" w:sz="8" w:space="0" w:color="000000"/>
              <w:left w:val="single" w:sz="8" w:space="0" w:color="000000"/>
              <w:bottom w:val="single" w:sz="6" w:space="0" w:color="000000"/>
              <w:right w:val="single" w:sz="8" w:space="0" w:color="000000"/>
            </w:tcBorders>
            <w:vAlign w:val="center"/>
          </w:tcPr>
          <w:p w14:paraId="116BBE55" w14:textId="77777777" w:rsidR="001F4508" w:rsidRDefault="001F4508" w:rsidP="001F4508">
            <w:pPr>
              <w:pStyle w:val="biaogecenter"/>
              <w:rPr>
                <w:rFonts w:asciiTheme="minorEastAsia" w:eastAsiaTheme="minorEastAsia" w:hAnsiTheme="minorEastAsia"/>
              </w:rPr>
            </w:pPr>
          </w:p>
        </w:tc>
        <w:tc>
          <w:tcPr>
            <w:tcW w:w="2584" w:type="dxa"/>
            <w:tcBorders>
              <w:top w:val="single" w:sz="8" w:space="0" w:color="000000"/>
              <w:left w:val="single" w:sz="8" w:space="0" w:color="000000"/>
              <w:bottom w:val="single" w:sz="6" w:space="0" w:color="000000"/>
              <w:right w:val="single" w:sz="8" w:space="0" w:color="000000"/>
            </w:tcBorders>
            <w:vAlign w:val="center"/>
          </w:tcPr>
          <w:p w14:paraId="6D716CB0" w14:textId="58F8FD4D" w:rsidR="001F4508" w:rsidRDefault="001F4508" w:rsidP="001F4508">
            <w:pPr>
              <w:pStyle w:val="biaogeleft"/>
              <w:wordWrap w:val="0"/>
              <w:rPr>
                <w:rFonts w:asciiTheme="minorEastAsia" w:eastAsiaTheme="minorEastAsia" w:hAnsiTheme="minorEastAsia"/>
              </w:rPr>
            </w:pPr>
            <w:r>
              <w:rPr>
                <w:rFonts w:hint="eastAsia"/>
              </w:rPr>
              <w:t>其中：债券</w:t>
            </w:r>
          </w:p>
        </w:tc>
        <w:tc>
          <w:tcPr>
            <w:tcW w:w="2349" w:type="dxa"/>
            <w:tcBorders>
              <w:top w:val="single" w:sz="8" w:space="0" w:color="000000"/>
              <w:left w:val="single" w:sz="8" w:space="0" w:color="000000"/>
              <w:bottom w:val="single" w:sz="6" w:space="0" w:color="000000"/>
              <w:right w:val="single" w:sz="8" w:space="0" w:color="000000"/>
            </w:tcBorders>
            <w:vAlign w:val="center"/>
          </w:tcPr>
          <w:p w14:paraId="3363836A" w14:textId="0DF736B4" w:rsidR="001F4508" w:rsidRDefault="001F4508" w:rsidP="001F4508">
            <w:pPr>
              <w:pStyle w:val="biaogeright"/>
              <w:wordWrap w:val="0"/>
              <w:rPr>
                <w:rFonts w:asciiTheme="minorEastAsia" w:eastAsiaTheme="minorEastAsia" w:hAnsiTheme="minorEastAsia"/>
              </w:rPr>
            </w:pPr>
            <w:r>
              <w:rPr>
                <w:rFonts w:hint="eastAsia"/>
              </w:rPr>
              <w:t>-</w:t>
            </w:r>
          </w:p>
        </w:tc>
        <w:tc>
          <w:tcPr>
            <w:tcW w:w="2425" w:type="dxa"/>
            <w:tcBorders>
              <w:top w:val="single" w:sz="8" w:space="0" w:color="000000"/>
              <w:left w:val="single" w:sz="8" w:space="0" w:color="000000"/>
              <w:bottom w:val="single" w:sz="6" w:space="0" w:color="000000"/>
              <w:right w:val="single" w:sz="8" w:space="0" w:color="000000"/>
            </w:tcBorders>
            <w:vAlign w:val="center"/>
          </w:tcPr>
          <w:p w14:paraId="0BB54D82" w14:textId="5FFA4312" w:rsidR="001F4508" w:rsidRDefault="001F4508" w:rsidP="001F4508">
            <w:pPr>
              <w:pStyle w:val="biaogeright"/>
              <w:wordWrap w:val="0"/>
              <w:rPr>
                <w:rFonts w:asciiTheme="minorEastAsia" w:eastAsiaTheme="minorEastAsia" w:hAnsiTheme="minorEastAsia"/>
              </w:rPr>
            </w:pPr>
            <w:r>
              <w:rPr>
                <w:rFonts w:hint="eastAsia"/>
              </w:rPr>
              <w:t>-</w:t>
            </w:r>
          </w:p>
        </w:tc>
      </w:tr>
      <w:tr w:rsidR="001F4508" w14:paraId="5D2AEFE3" w14:textId="77777777" w:rsidTr="00A73B4E">
        <w:trPr>
          <w:trHeight w:val="415"/>
        </w:trPr>
        <w:tc>
          <w:tcPr>
            <w:tcW w:w="739" w:type="dxa"/>
            <w:tcBorders>
              <w:top w:val="single" w:sz="8" w:space="0" w:color="000000"/>
              <w:left w:val="single" w:sz="8" w:space="0" w:color="000000"/>
              <w:bottom w:val="single" w:sz="6" w:space="0" w:color="000000"/>
              <w:right w:val="single" w:sz="8" w:space="0" w:color="000000"/>
            </w:tcBorders>
            <w:vAlign w:val="center"/>
          </w:tcPr>
          <w:p w14:paraId="38AE6F48" w14:textId="77777777" w:rsidR="001F4508" w:rsidRDefault="001F4508" w:rsidP="001F4508">
            <w:pPr>
              <w:pStyle w:val="biaogecenter"/>
              <w:wordWrap w:val="0"/>
              <w:rPr>
                <w:rFonts w:asciiTheme="minorEastAsia" w:eastAsiaTheme="minorEastAsia" w:hAnsiTheme="minorEastAsia"/>
              </w:rPr>
            </w:pPr>
          </w:p>
        </w:tc>
        <w:tc>
          <w:tcPr>
            <w:tcW w:w="2584" w:type="dxa"/>
            <w:tcBorders>
              <w:top w:val="single" w:sz="8" w:space="0" w:color="000000"/>
              <w:left w:val="single" w:sz="8" w:space="0" w:color="000000"/>
              <w:bottom w:val="single" w:sz="6" w:space="0" w:color="000000"/>
              <w:right w:val="single" w:sz="8" w:space="0" w:color="000000"/>
            </w:tcBorders>
            <w:vAlign w:val="center"/>
          </w:tcPr>
          <w:p w14:paraId="16EFF487" w14:textId="18A761B5" w:rsidR="001F4508" w:rsidRDefault="001F4508" w:rsidP="001F4508">
            <w:pPr>
              <w:pStyle w:val="biaogeleft"/>
              <w:jc w:val="center"/>
              <w:rPr>
                <w:rFonts w:asciiTheme="minorEastAsia" w:eastAsiaTheme="minorEastAsia" w:hAnsiTheme="minorEastAsia"/>
              </w:rPr>
            </w:pPr>
            <w:r>
              <w:rPr>
                <w:rFonts w:hint="eastAsia"/>
              </w:rPr>
              <w:t>资产支持证券</w:t>
            </w:r>
          </w:p>
        </w:tc>
        <w:tc>
          <w:tcPr>
            <w:tcW w:w="2349" w:type="dxa"/>
            <w:tcBorders>
              <w:top w:val="single" w:sz="8" w:space="0" w:color="000000"/>
              <w:left w:val="single" w:sz="8" w:space="0" w:color="000000"/>
              <w:bottom w:val="single" w:sz="6" w:space="0" w:color="000000"/>
              <w:right w:val="single" w:sz="8" w:space="0" w:color="000000"/>
            </w:tcBorders>
            <w:vAlign w:val="center"/>
          </w:tcPr>
          <w:p w14:paraId="0E848A94" w14:textId="1EEC05C6" w:rsidR="001F4508" w:rsidRDefault="001F4508" w:rsidP="001F4508">
            <w:pPr>
              <w:pStyle w:val="biaogeright"/>
              <w:wordWrap w:val="0"/>
              <w:rPr>
                <w:rFonts w:asciiTheme="minorEastAsia" w:eastAsiaTheme="minorEastAsia" w:hAnsiTheme="minorEastAsia"/>
              </w:rPr>
            </w:pPr>
            <w:r>
              <w:rPr>
                <w:rFonts w:hint="eastAsia"/>
              </w:rPr>
              <w:t>-</w:t>
            </w:r>
          </w:p>
        </w:tc>
        <w:tc>
          <w:tcPr>
            <w:tcW w:w="2425" w:type="dxa"/>
            <w:tcBorders>
              <w:top w:val="single" w:sz="8" w:space="0" w:color="000000"/>
              <w:left w:val="single" w:sz="8" w:space="0" w:color="000000"/>
              <w:bottom w:val="single" w:sz="6" w:space="0" w:color="000000"/>
              <w:right w:val="single" w:sz="8" w:space="0" w:color="000000"/>
            </w:tcBorders>
            <w:vAlign w:val="center"/>
          </w:tcPr>
          <w:p w14:paraId="0DC517B3" w14:textId="5FA6368C" w:rsidR="001F4508" w:rsidRDefault="001F4508" w:rsidP="001F4508">
            <w:pPr>
              <w:pStyle w:val="biaogeright"/>
              <w:wordWrap w:val="0"/>
              <w:rPr>
                <w:rFonts w:asciiTheme="minorEastAsia" w:eastAsiaTheme="minorEastAsia" w:hAnsiTheme="minorEastAsia"/>
              </w:rPr>
            </w:pPr>
            <w:r>
              <w:rPr>
                <w:rFonts w:hint="eastAsia"/>
              </w:rPr>
              <w:t>-</w:t>
            </w:r>
          </w:p>
        </w:tc>
      </w:tr>
      <w:tr w:rsidR="001F4508" w14:paraId="6F09A377" w14:textId="77777777" w:rsidTr="00A73B4E">
        <w:trPr>
          <w:trHeight w:val="415"/>
        </w:trPr>
        <w:tc>
          <w:tcPr>
            <w:tcW w:w="739" w:type="dxa"/>
            <w:tcBorders>
              <w:top w:val="single" w:sz="8" w:space="0" w:color="000000"/>
              <w:left w:val="single" w:sz="8" w:space="0" w:color="000000"/>
              <w:bottom w:val="single" w:sz="6" w:space="0" w:color="000000"/>
              <w:right w:val="single" w:sz="8" w:space="0" w:color="000000"/>
            </w:tcBorders>
            <w:vAlign w:val="center"/>
          </w:tcPr>
          <w:p w14:paraId="5341CAB4" w14:textId="0ADE88BC" w:rsidR="001F4508" w:rsidRDefault="001F4508" w:rsidP="001F4508">
            <w:pPr>
              <w:pStyle w:val="biaogecenter"/>
              <w:wordWrap w:val="0"/>
              <w:rPr>
                <w:rFonts w:asciiTheme="minorEastAsia" w:eastAsiaTheme="minorEastAsia" w:hAnsiTheme="minorEastAsia"/>
              </w:rPr>
            </w:pPr>
            <w:r>
              <w:rPr>
                <w:rFonts w:hAnsi="Calibri" w:hint="eastAsia"/>
                <w:color w:val="000000"/>
              </w:rPr>
              <w:t>4</w:t>
            </w:r>
          </w:p>
        </w:tc>
        <w:tc>
          <w:tcPr>
            <w:tcW w:w="2584" w:type="dxa"/>
            <w:tcBorders>
              <w:top w:val="single" w:sz="8" w:space="0" w:color="000000"/>
              <w:left w:val="single" w:sz="8" w:space="0" w:color="000000"/>
              <w:bottom w:val="single" w:sz="6" w:space="0" w:color="000000"/>
              <w:right w:val="single" w:sz="8" w:space="0" w:color="000000"/>
            </w:tcBorders>
            <w:vAlign w:val="center"/>
          </w:tcPr>
          <w:p w14:paraId="1E0A432B" w14:textId="16304EE5" w:rsidR="001F4508" w:rsidRDefault="001F4508" w:rsidP="001F4508">
            <w:pPr>
              <w:pStyle w:val="biaogeleft"/>
              <w:wordWrap w:val="0"/>
              <w:rPr>
                <w:rFonts w:asciiTheme="minorEastAsia" w:eastAsiaTheme="minorEastAsia" w:hAnsiTheme="minorEastAsia"/>
              </w:rPr>
            </w:pPr>
            <w:r>
              <w:rPr>
                <w:rFonts w:hint="eastAsia"/>
              </w:rPr>
              <w:t>贵金属投资</w:t>
            </w:r>
          </w:p>
        </w:tc>
        <w:tc>
          <w:tcPr>
            <w:tcW w:w="2349" w:type="dxa"/>
            <w:tcBorders>
              <w:top w:val="single" w:sz="8" w:space="0" w:color="000000"/>
              <w:left w:val="single" w:sz="8" w:space="0" w:color="000000"/>
              <w:bottom w:val="single" w:sz="6" w:space="0" w:color="000000"/>
              <w:right w:val="single" w:sz="8" w:space="0" w:color="000000"/>
            </w:tcBorders>
            <w:vAlign w:val="center"/>
          </w:tcPr>
          <w:p w14:paraId="0ABF920E" w14:textId="06878CDA" w:rsidR="001F4508" w:rsidRDefault="001F4508" w:rsidP="001F4508">
            <w:pPr>
              <w:pStyle w:val="biaogeright"/>
              <w:wordWrap w:val="0"/>
              <w:rPr>
                <w:rFonts w:asciiTheme="minorEastAsia" w:eastAsiaTheme="minorEastAsia" w:hAnsiTheme="minorEastAsia"/>
              </w:rPr>
            </w:pPr>
            <w:r>
              <w:rPr>
                <w:rFonts w:hint="eastAsia"/>
              </w:rPr>
              <w:t>-</w:t>
            </w:r>
          </w:p>
        </w:tc>
        <w:tc>
          <w:tcPr>
            <w:tcW w:w="2425" w:type="dxa"/>
            <w:tcBorders>
              <w:top w:val="single" w:sz="8" w:space="0" w:color="000000"/>
              <w:left w:val="single" w:sz="8" w:space="0" w:color="000000"/>
              <w:bottom w:val="single" w:sz="6" w:space="0" w:color="000000"/>
              <w:right w:val="single" w:sz="8" w:space="0" w:color="000000"/>
            </w:tcBorders>
            <w:vAlign w:val="center"/>
          </w:tcPr>
          <w:p w14:paraId="7252D6DC" w14:textId="19334191" w:rsidR="001F4508" w:rsidRDefault="001F4508" w:rsidP="001F4508">
            <w:pPr>
              <w:pStyle w:val="biaogeright"/>
              <w:wordWrap w:val="0"/>
              <w:rPr>
                <w:rFonts w:asciiTheme="minorEastAsia" w:eastAsiaTheme="minorEastAsia" w:hAnsiTheme="minorEastAsia"/>
              </w:rPr>
            </w:pPr>
            <w:r>
              <w:rPr>
                <w:rFonts w:hint="eastAsia"/>
              </w:rPr>
              <w:t>-</w:t>
            </w:r>
          </w:p>
        </w:tc>
      </w:tr>
      <w:tr w:rsidR="001F4508" w14:paraId="59F5BB9B" w14:textId="77777777" w:rsidTr="00A73B4E">
        <w:trPr>
          <w:trHeight w:val="415"/>
        </w:trPr>
        <w:tc>
          <w:tcPr>
            <w:tcW w:w="739" w:type="dxa"/>
            <w:tcBorders>
              <w:top w:val="single" w:sz="8" w:space="0" w:color="000000"/>
              <w:left w:val="single" w:sz="8" w:space="0" w:color="000000"/>
              <w:bottom w:val="single" w:sz="6" w:space="0" w:color="000000"/>
              <w:right w:val="single" w:sz="8" w:space="0" w:color="000000"/>
            </w:tcBorders>
            <w:vAlign w:val="center"/>
          </w:tcPr>
          <w:p w14:paraId="5FD0FBA6" w14:textId="26B515BB" w:rsidR="001F4508" w:rsidRDefault="001F4508" w:rsidP="001F4508">
            <w:pPr>
              <w:pStyle w:val="biaogecenter"/>
              <w:wordWrap w:val="0"/>
              <w:rPr>
                <w:rFonts w:asciiTheme="minorEastAsia" w:eastAsiaTheme="minorEastAsia" w:hAnsiTheme="minorEastAsia"/>
              </w:rPr>
            </w:pPr>
            <w:r>
              <w:rPr>
                <w:rFonts w:hAnsi="Calibri" w:hint="eastAsia"/>
                <w:color w:val="000000"/>
              </w:rPr>
              <w:t>5</w:t>
            </w:r>
          </w:p>
        </w:tc>
        <w:tc>
          <w:tcPr>
            <w:tcW w:w="2584" w:type="dxa"/>
            <w:tcBorders>
              <w:top w:val="single" w:sz="8" w:space="0" w:color="000000"/>
              <w:left w:val="single" w:sz="8" w:space="0" w:color="000000"/>
              <w:bottom w:val="single" w:sz="6" w:space="0" w:color="000000"/>
              <w:right w:val="single" w:sz="8" w:space="0" w:color="000000"/>
            </w:tcBorders>
            <w:vAlign w:val="center"/>
          </w:tcPr>
          <w:p w14:paraId="6F52ED0A" w14:textId="0C0F7D68" w:rsidR="001F4508" w:rsidRDefault="001F4508" w:rsidP="001F4508">
            <w:pPr>
              <w:pStyle w:val="biaogeleft"/>
              <w:wordWrap w:val="0"/>
              <w:rPr>
                <w:rFonts w:asciiTheme="minorEastAsia" w:eastAsiaTheme="minorEastAsia" w:hAnsiTheme="minorEastAsia"/>
              </w:rPr>
            </w:pPr>
            <w:r>
              <w:rPr>
                <w:rFonts w:hint="eastAsia"/>
              </w:rPr>
              <w:t>金融衍生品投资</w:t>
            </w:r>
          </w:p>
        </w:tc>
        <w:tc>
          <w:tcPr>
            <w:tcW w:w="2349" w:type="dxa"/>
            <w:tcBorders>
              <w:top w:val="single" w:sz="8" w:space="0" w:color="000000"/>
              <w:left w:val="single" w:sz="8" w:space="0" w:color="000000"/>
              <w:bottom w:val="single" w:sz="6" w:space="0" w:color="000000"/>
              <w:right w:val="single" w:sz="8" w:space="0" w:color="000000"/>
            </w:tcBorders>
            <w:vAlign w:val="center"/>
          </w:tcPr>
          <w:p w14:paraId="5B5C7B63" w14:textId="5E671E42" w:rsidR="001F4508" w:rsidRDefault="001F4508" w:rsidP="001F4508">
            <w:pPr>
              <w:pStyle w:val="biaogeright"/>
              <w:wordWrap w:val="0"/>
              <w:rPr>
                <w:rFonts w:asciiTheme="minorEastAsia" w:eastAsiaTheme="minorEastAsia" w:hAnsiTheme="minorEastAsia"/>
              </w:rPr>
            </w:pPr>
            <w:r>
              <w:rPr>
                <w:rFonts w:hint="eastAsia"/>
              </w:rPr>
              <w:t>-</w:t>
            </w:r>
          </w:p>
        </w:tc>
        <w:tc>
          <w:tcPr>
            <w:tcW w:w="2425" w:type="dxa"/>
            <w:tcBorders>
              <w:top w:val="single" w:sz="8" w:space="0" w:color="000000"/>
              <w:left w:val="single" w:sz="8" w:space="0" w:color="000000"/>
              <w:bottom w:val="single" w:sz="6" w:space="0" w:color="000000"/>
              <w:right w:val="single" w:sz="8" w:space="0" w:color="000000"/>
            </w:tcBorders>
            <w:vAlign w:val="center"/>
          </w:tcPr>
          <w:p w14:paraId="05F66E65" w14:textId="3500A7DD" w:rsidR="001F4508" w:rsidRDefault="001F4508" w:rsidP="001F4508">
            <w:pPr>
              <w:pStyle w:val="biaogeright"/>
              <w:wordWrap w:val="0"/>
              <w:rPr>
                <w:rFonts w:asciiTheme="minorEastAsia" w:eastAsiaTheme="minorEastAsia" w:hAnsiTheme="minorEastAsia"/>
              </w:rPr>
            </w:pPr>
            <w:r>
              <w:rPr>
                <w:rFonts w:hint="eastAsia"/>
              </w:rPr>
              <w:t>-</w:t>
            </w:r>
          </w:p>
        </w:tc>
      </w:tr>
      <w:tr w:rsidR="001F4508" w14:paraId="57CBCA7D" w14:textId="77777777" w:rsidTr="00A73B4E">
        <w:trPr>
          <w:trHeight w:val="415"/>
        </w:trPr>
        <w:tc>
          <w:tcPr>
            <w:tcW w:w="739" w:type="dxa"/>
            <w:tcBorders>
              <w:top w:val="single" w:sz="8" w:space="0" w:color="000000"/>
              <w:left w:val="single" w:sz="8" w:space="0" w:color="000000"/>
              <w:bottom w:val="single" w:sz="6" w:space="0" w:color="000000"/>
              <w:right w:val="single" w:sz="8" w:space="0" w:color="000000"/>
            </w:tcBorders>
            <w:vAlign w:val="center"/>
          </w:tcPr>
          <w:p w14:paraId="432B1BE0" w14:textId="05DD5659" w:rsidR="001F4508" w:rsidRDefault="001F4508" w:rsidP="001F4508">
            <w:pPr>
              <w:pStyle w:val="biaogecenter"/>
              <w:wordWrap w:val="0"/>
              <w:rPr>
                <w:rFonts w:asciiTheme="minorEastAsia" w:eastAsiaTheme="minorEastAsia" w:hAnsiTheme="minorEastAsia"/>
              </w:rPr>
            </w:pPr>
            <w:r>
              <w:rPr>
                <w:rFonts w:hAnsi="Calibri" w:hint="eastAsia"/>
                <w:color w:val="000000"/>
              </w:rPr>
              <w:t>6</w:t>
            </w:r>
          </w:p>
        </w:tc>
        <w:tc>
          <w:tcPr>
            <w:tcW w:w="2584" w:type="dxa"/>
            <w:tcBorders>
              <w:top w:val="single" w:sz="8" w:space="0" w:color="000000"/>
              <w:left w:val="single" w:sz="8" w:space="0" w:color="000000"/>
              <w:bottom w:val="single" w:sz="6" w:space="0" w:color="000000"/>
              <w:right w:val="single" w:sz="8" w:space="0" w:color="000000"/>
            </w:tcBorders>
            <w:vAlign w:val="center"/>
          </w:tcPr>
          <w:p w14:paraId="67D92FCC" w14:textId="17463EBF" w:rsidR="001F4508" w:rsidRDefault="001F4508" w:rsidP="001F4508">
            <w:pPr>
              <w:pStyle w:val="biaogeleft"/>
              <w:wordWrap w:val="0"/>
              <w:rPr>
                <w:rFonts w:asciiTheme="minorEastAsia" w:eastAsiaTheme="minorEastAsia" w:hAnsiTheme="minorEastAsia"/>
              </w:rPr>
            </w:pPr>
            <w:r>
              <w:rPr>
                <w:rFonts w:hint="eastAsia"/>
              </w:rPr>
              <w:t>买入返售金融资产</w:t>
            </w:r>
          </w:p>
        </w:tc>
        <w:tc>
          <w:tcPr>
            <w:tcW w:w="2349" w:type="dxa"/>
            <w:tcBorders>
              <w:top w:val="single" w:sz="8" w:space="0" w:color="000000"/>
              <w:left w:val="single" w:sz="8" w:space="0" w:color="000000"/>
              <w:bottom w:val="single" w:sz="6" w:space="0" w:color="000000"/>
              <w:right w:val="single" w:sz="8" w:space="0" w:color="000000"/>
            </w:tcBorders>
            <w:vAlign w:val="center"/>
          </w:tcPr>
          <w:p w14:paraId="120B93A2" w14:textId="7534939C" w:rsidR="001F4508" w:rsidRDefault="001F4508" w:rsidP="001F4508">
            <w:pPr>
              <w:pStyle w:val="biaogeright"/>
              <w:wordWrap w:val="0"/>
              <w:rPr>
                <w:rFonts w:asciiTheme="minorEastAsia" w:eastAsiaTheme="minorEastAsia" w:hAnsiTheme="minorEastAsia"/>
              </w:rPr>
            </w:pPr>
            <w:r>
              <w:rPr>
                <w:rFonts w:hint="eastAsia"/>
              </w:rPr>
              <w:t>60,001,671.24</w:t>
            </w:r>
          </w:p>
        </w:tc>
        <w:tc>
          <w:tcPr>
            <w:tcW w:w="2425" w:type="dxa"/>
            <w:tcBorders>
              <w:top w:val="single" w:sz="8" w:space="0" w:color="000000"/>
              <w:left w:val="single" w:sz="8" w:space="0" w:color="000000"/>
              <w:bottom w:val="single" w:sz="6" w:space="0" w:color="000000"/>
              <w:right w:val="single" w:sz="8" w:space="0" w:color="000000"/>
            </w:tcBorders>
            <w:vAlign w:val="center"/>
          </w:tcPr>
          <w:p w14:paraId="612B5E41" w14:textId="7D0FCF10" w:rsidR="001F4508" w:rsidRDefault="001F4508" w:rsidP="001F4508">
            <w:pPr>
              <w:pStyle w:val="biaogeright"/>
              <w:wordWrap w:val="0"/>
              <w:rPr>
                <w:rFonts w:asciiTheme="minorEastAsia" w:eastAsiaTheme="minorEastAsia" w:hAnsiTheme="minorEastAsia"/>
              </w:rPr>
            </w:pPr>
            <w:r>
              <w:rPr>
                <w:rFonts w:hint="eastAsia"/>
              </w:rPr>
              <w:t>16.30</w:t>
            </w:r>
          </w:p>
        </w:tc>
      </w:tr>
      <w:tr w:rsidR="001F4508" w14:paraId="3275031E" w14:textId="77777777" w:rsidTr="00A73B4E">
        <w:trPr>
          <w:trHeight w:val="415"/>
        </w:trPr>
        <w:tc>
          <w:tcPr>
            <w:tcW w:w="739" w:type="dxa"/>
            <w:tcBorders>
              <w:top w:val="single" w:sz="8" w:space="0" w:color="000000"/>
              <w:left w:val="single" w:sz="8" w:space="0" w:color="000000"/>
              <w:bottom w:val="single" w:sz="6" w:space="0" w:color="000000"/>
              <w:right w:val="single" w:sz="8" w:space="0" w:color="000000"/>
            </w:tcBorders>
            <w:vAlign w:val="center"/>
          </w:tcPr>
          <w:p w14:paraId="4024064F" w14:textId="77777777" w:rsidR="001F4508" w:rsidRDefault="001F4508" w:rsidP="001F4508">
            <w:pPr>
              <w:pStyle w:val="biaogecenter"/>
              <w:wordWrap w:val="0"/>
              <w:rPr>
                <w:rFonts w:asciiTheme="minorEastAsia" w:eastAsiaTheme="minorEastAsia" w:hAnsiTheme="minorEastAsia"/>
              </w:rPr>
            </w:pPr>
          </w:p>
        </w:tc>
        <w:tc>
          <w:tcPr>
            <w:tcW w:w="2584" w:type="dxa"/>
            <w:tcBorders>
              <w:top w:val="single" w:sz="8" w:space="0" w:color="000000"/>
              <w:left w:val="single" w:sz="8" w:space="0" w:color="000000"/>
              <w:bottom w:val="single" w:sz="6" w:space="0" w:color="000000"/>
              <w:right w:val="single" w:sz="8" w:space="0" w:color="000000"/>
            </w:tcBorders>
            <w:vAlign w:val="center"/>
          </w:tcPr>
          <w:p w14:paraId="4112E9ED" w14:textId="0731721D" w:rsidR="001F4508" w:rsidRDefault="001F4508" w:rsidP="001F4508">
            <w:pPr>
              <w:pStyle w:val="biaogeleft"/>
              <w:wordWrap w:val="0"/>
              <w:rPr>
                <w:rFonts w:asciiTheme="minorEastAsia" w:eastAsiaTheme="minorEastAsia" w:hAnsiTheme="minorEastAsia"/>
              </w:rPr>
            </w:pPr>
            <w:r>
              <w:rPr>
                <w:rFonts w:hint="eastAsia"/>
              </w:rPr>
              <w:t>其中：买断式回购的买入返售金融资产</w:t>
            </w:r>
          </w:p>
        </w:tc>
        <w:tc>
          <w:tcPr>
            <w:tcW w:w="2349" w:type="dxa"/>
            <w:tcBorders>
              <w:top w:val="single" w:sz="8" w:space="0" w:color="000000"/>
              <w:left w:val="single" w:sz="8" w:space="0" w:color="000000"/>
              <w:bottom w:val="single" w:sz="6" w:space="0" w:color="000000"/>
              <w:right w:val="single" w:sz="8" w:space="0" w:color="000000"/>
            </w:tcBorders>
            <w:vAlign w:val="center"/>
          </w:tcPr>
          <w:p w14:paraId="0DA51227" w14:textId="6287A1B4" w:rsidR="001F4508" w:rsidRDefault="001F4508" w:rsidP="001F4508">
            <w:pPr>
              <w:pStyle w:val="biaogeright"/>
              <w:wordWrap w:val="0"/>
              <w:rPr>
                <w:rFonts w:asciiTheme="minorEastAsia" w:eastAsiaTheme="minorEastAsia" w:hAnsiTheme="minorEastAsia"/>
              </w:rPr>
            </w:pPr>
            <w:r>
              <w:rPr>
                <w:rFonts w:hint="eastAsia"/>
              </w:rPr>
              <w:t>-</w:t>
            </w:r>
          </w:p>
        </w:tc>
        <w:tc>
          <w:tcPr>
            <w:tcW w:w="2425" w:type="dxa"/>
            <w:tcBorders>
              <w:top w:val="single" w:sz="8" w:space="0" w:color="000000"/>
              <w:left w:val="single" w:sz="8" w:space="0" w:color="000000"/>
              <w:bottom w:val="single" w:sz="6" w:space="0" w:color="000000"/>
              <w:right w:val="single" w:sz="8" w:space="0" w:color="000000"/>
            </w:tcBorders>
            <w:vAlign w:val="center"/>
          </w:tcPr>
          <w:p w14:paraId="10B6089C" w14:textId="08537134" w:rsidR="001F4508" w:rsidRDefault="001F4508" w:rsidP="001F4508">
            <w:pPr>
              <w:pStyle w:val="biaogeright"/>
              <w:wordWrap w:val="0"/>
              <w:rPr>
                <w:rFonts w:asciiTheme="minorEastAsia" w:eastAsiaTheme="minorEastAsia" w:hAnsiTheme="minorEastAsia"/>
              </w:rPr>
            </w:pPr>
            <w:r>
              <w:rPr>
                <w:rFonts w:hint="eastAsia"/>
              </w:rPr>
              <w:t>-</w:t>
            </w:r>
          </w:p>
        </w:tc>
      </w:tr>
      <w:tr w:rsidR="001F4508" w14:paraId="51CF9A7C" w14:textId="77777777" w:rsidTr="00A73B4E">
        <w:trPr>
          <w:trHeight w:val="415"/>
        </w:trPr>
        <w:tc>
          <w:tcPr>
            <w:tcW w:w="739" w:type="dxa"/>
            <w:tcBorders>
              <w:top w:val="single" w:sz="8" w:space="0" w:color="000000"/>
              <w:left w:val="single" w:sz="8" w:space="0" w:color="000000"/>
              <w:bottom w:val="single" w:sz="6" w:space="0" w:color="000000"/>
              <w:right w:val="single" w:sz="8" w:space="0" w:color="000000"/>
            </w:tcBorders>
            <w:vAlign w:val="center"/>
          </w:tcPr>
          <w:p w14:paraId="4E056373" w14:textId="100AD2AA" w:rsidR="001F4508" w:rsidRDefault="001F4508" w:rsidP="001F4508">
            <w:pPr>
              <w:pStyle w:val="biaogecenter"/>
              <w:wordWrap w:val="0"/>
              <w:rPr>
                <w:rFonts w:asciiTheme="minorEastAsia" w:eastAsiaTheme="minorEastAsia" w:hAnsiTheme="minorEastAsia"/>
              </w:rPr>
            </w:pPr>
            <w:r>
              <w:rPr>
                <w:rFonts w:hAnsi="Calibri" w:hint="eastAsia"/>
                <w:color w:val="000000"/>
              </w:rPr>
              <w:t>7</w:t>
            </w:r>
          </w:p>
        </w:tc>
        <w:tc>
          <w:tcPr>
            <w:tcW w:w="2584" w:type="dxa"/>
            <w:tcBorders>
              <w:top w:val="single" w:sz="8" w:space="0" w:color="000000"/>
              <w:left w:val="single" w:sz="8" w:space="0" w:color="000000"/>
              <w:bottom w:val="single" w:sz="6" w:space="0" w:color="000000"/>
              <w:right w:val="single" w:sz="8" w:space="0" w:color="000000"/>
            </w:tcBorders>
            <w:vAlign w:val="center"/>
          </w:tcPr>
          <w:p w14:paraId="3FC50C8B" w14:textId="0A4086E6" w:rsidR="001F4508" w:rsidRDefault="001F4508" w:rsidP="001F4508">
            <w:pPr>
              <w:pStyle w:val="biaogeleft"/>
              <w:wordWrap w:val="0"/>
              <w:rPr>
                <w:rFonts w:asciiTheme="minorEastAsia" w:eastAsiaTheme="minorEastAsia" w:hAnsiTheme="minorEastAsia"/>
              </w:rPr>
            </w:pPr>
            <w:r>
              <w:rPr>
                <w:rFonts w:hint="eastAsia"/>
              </w:rPr>
              <w:t>银行存款和结算备付金合计</w:t>
            </w:r>
          </w:p>
        </w:tc>
        <w:tc>
          <w:tcPr>
            <w:tcW w:w="2349" w:type="dxa"/>
            <w:tcBorders>
              <w:top w:val="single" w:sz="8" w:space="0" w:color="000000"/>
              <w:left w:val="single" w:sz="8" w:space="0" w:color="000000"/>
              <w:bottom w:val="single" w:sz="6" w:space="0" w:color="000000"/>
              <w:right w:val="single" w:sz="8" w:space="0" w:color="000000"/>
            </w:tcBorders>
            <w:vAlign w:val="center"/>
          </w:tcPr>
          <w:p w14:paraId="057EFB34" w14:textId="042A8035" w:rsidR="001F4508" w:rsidRDefault="001F4508" w:rsidP="001F4508">
            <w:pPr>
              <w:pStyle w:val="biaogeright"/>
              <w:wordWrap w:val="0"/>
              <w:rPr>
                <w:rFonts w:asciiTheme="minorEastAsia" w:eastAsiaTheme="minorEastAsia" w:hAnsiTheme="minorEastAsia"/>
              </w:rPr>
            </w:pPr>
            <w:r>
              <w:rPr>
                <w:rFonts w:hint="eastAsia"/>
              </w:rPr>
              <w:t>111,387,065.87</w:t>
            </w:r>
          </w:p>
        </w:tc>
        <w:tc>
          <w:tcPr>
            <w:tcW w:w="2425" w:type="dxa"/>
            <w:tcBorders>
              <w:top w:val="single" w:sz="8" w:space="0" w:color="000000"/>
              <w:left w:val="single" w:sz="8" w:space="0" w:color="000000"/>
              <w:bottom w:val="single" w:sz="6" w:space="0" w:color="000000"/>
              <w:right w:val="single" w:sz="8" w:space="0" w:color="000000"/>
            </w:tcBorders>
            <w:vAlign w:val="center"/>
          </w:tcPr>
          <w:p w14:paraId="7377B109" w14:textId="6D851A16" w:rsidR="001F4508" w:rsidRDefault="001F4508" w:rsidP="001F4508">
            <w:pPr>
              <w:pStyle w:val="biaogeright"/>
              <w:wordWrap w:val="0"/>
              <w:rPr>
                <w:rFonts w:asciiTheme="minorEastAsia" w:eastAsiaTheme="minorEastAsia" w:hAnsiTheme="minorEastAsia"/>
              </w:rPr>
            </w:pPr>
            <w:r>
              <w:rPr>
                <w:rFonts w:hint="eastAsia"/>
              </w:rPr>
              <w:t>30.25</w:t>
            </w:r>
          </w:p>
        </w:tc>
      </w:tr>
      <w:tr w:rsidR="001F4508" w14:paraId="3ECEF55D" w14:textId="77777777" w:rsidTr="00A73B4E">
        <w:trPr>
          <w:trHeight w:val="415"/>
        </w:trPr>
        <w:tc>
          <w:tcPr>
            <w:tcW w:w="739" w:type="dxa"/>
            <w:tcBorders>
              <w:top w:val="single" w:sz="8" w:space="0" w:color="000000"/>
              <w:left w:val="single" w:sz="8" w:space="0" w:color="000000"/>
              <w:bottom w:val="single" w:sz="6" w:space="0" w:color="000000"/>
              <w:right w:val="single" w:sz="8" w:space="0" w:color="000000"/>
            </w:tcBorders>
            <w:vAlign w:val="center"/>
          </w:tcPr>
          <w:p w14:paraId="24665666" w14:textId="2E57EA27" w:rsidR="001F4508" w:rsidRDefault="001F4508" w:rsidP="001F4508">
            <w:pPr>
              <w:pStyle w:val="biaogecenter"/>
              <w:wordWrap w:val="0"/>
              <w:rPr>
                <w:rFonts w:asciiTheme="minorEastAsia" w:eastAsiaTheme="minorEastAsia" w:hAnsiTheme="minorEastAsia"/>
              </w:rPr>
            </w:pPr>
            <w:r>
              <w:rPr>
                <w:rFonts w:hint="eastAsia"/>
              </w:rPr>
              <w:t>8</w:t>
            </w:r>
          </w:p>
        </w:tc>
        <w:tc>
          <w:tcPr>
            <w:tcW w:w="2584" w:type="dxa"/>
            <w:tcBorders>
              <w:top w:val="single" w:sz="8" w:space="0" w:color="000000"/>
              <w:left w:val="single" w:sz="8" w:space="0" w:color="000000"/>
              <w:bottom w:val="single" w:sz="6" w:space="0" w:color="000000"/>
              <w:right w:val="single" w:sz="8" w:space="0" w:color="000000"/>
            </w:tcBorders>
            <w:vAlign w:val="center"/>
          </w:tcPr>
          <w:p w14:paraId="050D483F" w14:textId="7DBE9ECD" w:rsidR="001F4508" w:rsidRDefault="001F4508" w:rsidP="001F4508">
            <w:pPr>
              <w:pStyle w:val="biaogeleft"/>
              <w:wordWrap w:val="0"/>
              <w:rPr>
                <w:rFonts w:asciiTheme="minorEastAsia" w:eastAsiaTheme="minorEastAsia" w:hAnsiTheme="minorEastAsia"/>
              </w:rPr>
            </w:pPr>
            <w:r>
              <w:rPr>
                <w:rFonts w:hint="eastAsia"/>
              </w:rPr>
              <w:t>其他资产</w:t>
            </w:r>
          </w:p>
        </w:tc>
        <w:tc>
          <w:tcPr>
            <w:tcW w:w="2349" w:type="dxa"/>
            <w:tcBorders>
              <w:top w:val="single" w:sz="8" w:space="0" w:color="000000"/>
              <w:left w:val="single" w:sz="8" w:space="0" w:color="000000"/>
              <w:bottom w:val="single" w:sz="6" w:space="0" w:color="000000"/>
              <w:right w:val="single" w:sz="8" w:space="0" w:color="000000"/>
            </w:tcBorders>
            <w:vAlign w:val="center"/>
          </w:tcPr>
          <w:p w14:paraId="69994D69" w14:textId="2646BDF9" w:rsidR="001F4508" w:rsidRDefault="001F4508" w:rsidP="001F4508">
            <w:pPr>
              <w:pStyle w:val="biaogeright"/>
              <w:wordWrap w:val="0"/>
              <w:rPr>
                <w:rFonts w:asciiTheme="minorEastAsia" w:eastAsiaTheme="minorEastAsia" w:hAnsiTheme="minorEastAsia"/>
              </w:rPr>
            </w:pPr>
            <w:r>
              <w:rPr>
                <w:rFonts w:hint="eastAsia"/>
              </w:rPr>
              <w:t>76,086.14</w:t>
            </w:r>
          </w:p>
        </w:tc>
        <w:tc>
          <w:tcPr>
            <w:tcW w:w="2425" w:type="dxa"/>
            <w:tcBorders>
              <w:top w:val="single" w:sz="8" w:space="0" w:color="000000"/>
              <w:left w:val="single" w:sz="8" w:space="0" w:color="000000"/>
              <w:bottom w:val="single" w:sz="6" w:space="0" w:color="000000"/>
              <w:right w:val="single" w:sz="8" w:space="0" w:color="000000"/>
            </w:tcBorders>
            <w:vAlign w:val="center"/>
          </w:tcPr>
          <w:p w14:paraId="393B9BA6" w14:textId="02F2B63A" w:rsidR="001F4508" w:rsidRDefault="001F4508" w:rsidP="001F4508">
            <w:pPr>
              <w:pStyle w:val="biaogeright"/>
              <w:wordWrap w:val="0"/>
              <w:rPr>
                <w:rFonts w:asciiTheme="minorEastAsia" w:eastAsiaTheme="minorEastAsia" w:hAnsiTheme="minorEastAsia"/>
              </w:rPr>
            </w:pPr>
            <w:r>
              <w:rPr>
                <w:rFonts w:hint="eastAsia"/>
              </w:rPr>
              <w:t>0.02</w:t>
            </w:r>
          </w:p>
        </w:tc>
      </w:tr>
      <w:tr w:rsidR="001F4508" w14:paraId="006F98F6" w14:textId="77777777" w:rsidTr="00A73B4E">
        <w:trPr>
          <w:trHeight w:val="415"/>
        </w:trPr>
        <w:tc>
          <w:tcPr>
            <w:tcW w:w="739" w:type="dxa"/>
            <w:tcBorders>
              <w:top w:val="single" w:sz="8" w:space="0" w:color="000000"/>
              <w:left w:val="single" w:sz="8" w:space="0" w:color="000000"/>
              <w:bottom w:val="single" w:sz="6" w:space="0" w:color="000000"/>
              <w:right w:val="single" w:sz="8" w:space="0" w:color="000000"/>
            </w:tcBorders>
            <w:vAlign w:val="center"/>
          </w:tcPr>
          <w:p w14:paraId="24A7C442" w14:textId="17D48621" w:rsidR="001F4508" w:rsidRDefault="001F4508" w:rsidP="001F4508">
            <w:pPr>
              <w:pStyle w:val="biaogecenter"/>
              <w:wordWrap w:val="0"/>
              <w:rPr>
                <w:rFonts w:asciiTheme="minorEastAsia" w:eastAsiaTheme="minorEastAsia" w:hAnsiTheme="minorEastAsia"/>
              </w:rPr>
            </w:pPr>
            <w:r>
              <w:rPr>
                <w:rFonts w:hint="eastAsia"/>
              </w:rPr>
              <w:t>9</w:t>
            </w:r>
          </w:p>
        </w:tc>
        <w:tc>
          <w:tcPr>
            <w:tcW w:w="2584" w:type="dxa"/>
            <w:tcBorders>
              <w:top w:val="single" w:sz="8" w:space="0" w:color="000000"/>
              <w:left w:val="single" w:sz="8" w:space="0" w:color="000000"/>
              <w:bottom w:val="single" w:sz="6" w:space="0" w:color="000000"/>
              <w:right w:val="single" w:sz="8" w:space="0" w:color="000000"/>
            </w:tcBorders>
            <w:vAlign w:val="center"/>
          </w:tcPr>
          <w:p w14:paraId="5320D8CA" w14:textId="4F2A66CB" w:rsidR="001F4508" w:rsidRDefault="001F4508" w:rsidP="001F4508">
            <w:pPr>
              <w:pStyle w:val="biaogeleft"/>
              <w:wordWrap w:val="0"/>
              <w:rPr>
                <w:rFonts w:asciiTheme="minorEastAsia" w:eastAsiaTheme="minorEastAsia" w:hAnsiTheme="minorEastAsia"/>
              </w:rPr>
            </w:pPr>
            <w:r>
              <w:rPr>
                <w:rFonts w:hint="eastAsia"/>
              </w:rPr>
              <w:t>合计</w:t>
            </w:r>
          </w:p>
        </w:tc>
        <w:tc>
          <w:tcPr>
            <w:tcW w:w="2349" w:type="dxa"/>
            <w:tcBorders>
              <w:top w:val="single" w:sz="8" w:space="0" w:color="000000"/>
              <w:left w:val="single" w:sz="8" w:space="0" w:color="000000"/>
              <w:bottom w:val="single" w:sz="6" w:space="0" w:color="000000"/>
              <w:right w:val="single" w:sz="8" w:space="0" w:color="000000"/>
            </w:tcBorders>
            <w:vAlign w:val="center"/>
          </w:tcPr>
          <w:p w14:paraId="2E299BCB" w14:textId="34458E76" w:rsidR="001F4508" w:rsidRDefault="001F4508" w:rsidP="001F4508">
            <w:pPr>
              <w:pStyle w:val="biaogeright"/>
              <w:wordWrap w:val="0"/>
              <w:rPr>
                <w:rFonts w:asciiTheme="minorEastAsia" w:eastAsiaTheme="minorEastAsia" w:hAnsiTheme="minorEastAsia"/>
              </w:rPr>
            </w:pPr>
            <w:r>
              <w:rPr>
                <w:rFonts w:hint="eastAsia"/>
              </w:rPr>
              <w:t>368,201,171.20</w:t>
            </w:r>
          </w:p>
        </w:tc>
        <w:tc>
          <w:tcPr>
            <w:tcW w:w="2425" w:type="dxa"/>
            <w:tcBorders>
              <w:top w:val="single" w:sz="8" w:space="0" w:color="000000"/>
              <w:left w:val="single" w:sz="8" w:space="0" w:color="000000"/>
              <w:bottom w:val="single" w:sz="6" w:space="0" w:color="000000"/>
              <w:right w:val="single" w:sz="8" w:space="0" w:color="000000"/>
            </w:tcBorders>
            <w:vAlign w:val="center"/>
          </w:tcPr>
          <w:p w14:paraId="0D4A8F7E" w14:textId="6B7711F8" w:rsidR="001F4508" w:rsidRDefault="001F4508" w:rsidP="001F4508">
            <w:pPr>
              <w:pStyle w:val="biaogeright"/>
              <w:wordWrap w:val="0"/>
              <w:rPr>
                <w:rFonts w:asciiTheme="minorEastAsia" w:eastAsiaTheme="minorEastAsia" w:hAnsiTheme="minorEastAsia"/>
              </w:rPr>
            </w:pPr>
            <w:r>
              <w:rPr>
                <w:rFonts w:hint="eastAsia"/>
              </w:rPr>
              <w:t>100.00</w:t>
            </w:r>
          </w:p>
        </w:tc>
      </w:tr>
    </w:tbl>
    <w:p w14:paraId="544BD415" w14:textId="77777777" w:rsidR="00AC3A9B" w:rsidRDefault="00AC3A9B">
      <w:pPr>
        <w:autoSpaceDE w:val="0"/>
        <w:autoSpaceDN w:val="0"/>
        <w:spacing w:line="360" w:lineRule="auto"/>
        <w:textAlignment w:val="bottom"/>
        <w:rPr>
          <w:rFonts w:asciiTheme="minorEastAsia" w:hAnsiTheme="minorEastAsia"/>
          <w:bCs/>
          <w:sz w:val="24"/>
          <w:szCs w:val="24"/>
        </w:rPr>
      </w:pPr>
    </w:p>
    <w:p w14:paraId="7C1404BD"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bCs/>
          <w:sz w:val="24"/>
          <w:szCs w:val="24"/>
        </w:rPr>
        <w:t xml:space="preserve">2 </w:t>
      </w:r>
      <w:r>
        <w:rPr>
          <w:rFonts w:asciiTheme="minorEastAsia" w:hAnsiTheme="minorEastAsia" w:hint="eastAsia"/>
          <w:bCs/>
          <w:sz w:val="24"/>
          <w:szCs w:val="24"/>
        </w:rPr>
        <w:t>、报告期末按行业分类的股票投资组合</w:t>
      </w:r>
    </w:p>
    <w:p w14:paraId="2706CD88" w14:textId="67505E75"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1）报告期末按行业分类的境内股票投资组合</w:t>
      </w:r>
    </w:p>
    <w:tbl>
      <w:tblPr>
        <w:tblW w:w="8088" w:type="dxa"/>
        <w:tblInd w:w="108" w:type="dxa"/>
        <w:tblLayout w:type="fixed"/>
        <w:tblLook w:val="04A0" w:firstRow="1" w:lastRow="0" w:firstColumn="1" w:lastColumn="0" w:noHBand="0" w:noVBand="1"/>
      </w:tblPr>
      <w:tblGrid>
        <w:gridCol w:w="851"/>
        <w:gridCol w:w="3332"/>
        <w:gridCol w:w="1970"/>
        <w:gridCol w:w="1935"/>
      </w:tblGrid>
      <w:tr w:rsidR="001F4508" w:rsidRPr="00E16997" w14:paraId="0B4CBE57"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14DCA524"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代码</w:t>
            </w:r>
          </w:p>
        </w:tc>
        <w:tc>
          <w:tcPr>
            <w:tcW w:w="3332" w:type="dxa"/>
            <w:tcBorders>
              <w:top w:val="single" w:sz="8" w:space="0" w:color="000000"/>
              <w:left w:val="single" w:sz="8" w:space="0" w:color="000000"/>
              <w:bottom w:val="single" w:sz="8" w:space="0" w:color="000000"/>
              <w:right w:val="single" w:sz="8" w:space="0" w:color="000000"/>
            </w:tcBorders>
            <w:vAlign w:val="center"/>
          </w:tcPr>
          <w:p w14:paraId="6FB810DB"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行业类别</w:t>
            </w:r>
          </w:p>
        </w:tc>
        <w:tc>
          <w:tcPr>
            <w:tcW w:w="1970" w:type="dxa"/>
            <w:tcBorders>
              <w:top w:val="single" w:sz="8" w:space="0" w:color="000000"/>
              <w:left w:val="single" w:sz="8" w:space="0" w:color="000000"/>
              <w:bottom w:val="single" w:sz="8" w:space="0" w:color="000000"/>
              <w:right w:val="single" w:sz="8" w:space="0" w:color="000000"/>
            </w:tcBorders>
            <w:vAlign w:val="center"/>
          </w:tcPr>
          <w:p w14:paraId="036BA1A7"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公允价值(元)</w:t>
            </w:r>
          </w:p>
        </w:tc>
        <w:tc>
          <w:tcPr>
            <w:tcW w:w="1935" w:type="dxa"/>
            <w:tcBorders>
              <w:top w:val="single" w:sz="8" w:space="0" w:color="000000"/>
              <w:left w:val="single" w:sz="8" w:space="0" w:color="000000"/>
              <w:bottom w:val="single" w:sz="8" w:space="0" w:color="000000"/>
              <w:right w:val="single" w:sz="8" w:space="0" w:color="000000"/>
            </w:tcBorders>
            <w:vAlign w:val="center"/>
          </w:tcPr>
          <w:p w14:paraId="532537BE"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占基金资产净值比例（%）</w:t>
            </w:r>
          </w:p>
        </w:tc>
      </w:tr>
      <w:tr w:rsidR="001F4508" w:rsidRPr="00E16997" w14:paraId="2C8C93AF"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6791790C"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A</w:t>
            </w:r>
          </w:p>
        </w:tc>
        <w:tc>
          <w:tcPr>
            <w:tcW w:w="3332" w:type="dxa"/>
            <w:tcBorders>
              <w:top w:val="single" w:sz="8" w:space="0" w:color="000000"/>
              <w:left w:val="single" w:sz="8" w:space="0" w:color="000000"/>
              <w:bottom w:val="single" w:sz="8" w:space="0" w:color="000000"/>
              <w:right w:val="single" w:sz="8" w:space="0" w:color="000000"/>
            </w:tcBorders>
            <w:vAlign w:val="center"/>
          </w:tcPr>
          <w:p w14:paraId="52DDB8F2"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农、林、牧、渔业</w:t>
            </w:r>
          </w:p>
        </w:tc>
        <w:tc>
          <w:tcPr>
            <w:tcW w:w="1970" w:type="dxa"/>
            <w:tcBorders>
              <w:top w:val="single" w:sz="8" w:space="0" w:color="000000"/>
              <w:left w:val="single" w:sz="8" w:space="0" w:color="000000"/>
              <w:bottom w:val="single" w:sz="8" w:space="0" w:color="000000"/>
              <w:right w:val="single" w:sz="8" w:space="0" w:color="000000"/>
            </w:tcBorders>
            <w:vAlign w:val="center"/>
          </w:tcPr>
          <w:p w14:paraId="1F0CF1DC"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tcPr>
          <w:p w14:paraId="4EA74582"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w:t>
            </w:r>
          </w:p>
        </w:tc>
      </w:tr>
      <w:tr w:rsidR="001F4508" w:rsidRPr="00E16997" w14:paraId="5F4AC757"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7FFF85D2"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B</w:t>
            </w:r>
          </w:p>
        </w:tc>
        <w:tc>
          <w:tcPr>
            <w:tcW w:w="3332" w:type="dxa"/>
            <w:tcBorders>
              <w:top w:val="single" w:sz="8" w:space="0" w:color="000000"/>
              <w:left w:val="single" w:sz="8" w:space="0" w:color="000000"/>
              <w:bottom w:val="single" w:sz="8" w:space="0" w:color="000000"/>
              <w:right w:val="single" w:sz="8" w:space="0" w:color="000000"/>
            </w:tcBorders>
            <w:vAlign w:val="center"/>
          </w:tcPr>
          <w:p w14:paraId="08BDD915"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采矿业</w:t>
            </w:r>
          </w:p>
        </w:tc>
        <w:tc>
          <w:tcPr>
            <w:tcW w:w="1970" w:type="dxa"/>
            <w:tcBorders>
              <w:top w:val="single" w:sz="8" w:space="0" w:color="000000"/>
              <w:left w:val="single" w:sz="8" w:space="0" w:color="000000"/>
              <w:bottom w:val="single" w:sz="8" w:space="0" w:color="000000"/>
              <w:right w:val="single" w:sz="8" w:space="0" w:color="000000"/>
            </w:tcBorders>
            <w:vAlign w:val="center"/>
          </w:tcPr>
          <w:p w14:paraId="763DB48C"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26,122,824.00</w:t>
            </w:r>
          </w:p>
        </w:tc>
        <w:tc>
          <w:tcPr>
            <w:tcW w:w="1935" w:type="dxa"/>
            <w:tcBorders>
              <w:top w:val="single" w:sz="8" w:space="0" w:color="000000"/>
              <w:left w:val="single" w:sz="8" w:space="0" w:color="000000"/>
              <w:bottom w:val="single" w:sz="8" w:space="0" w:color="000000"/>
              <w:right w:val="single" w:sz="8" w:space="0" w:color="000000"/>
            </w:tcBorders>
            <w:vAlign w:val="center"/>
          </w:tcPr>
          <w:p w14:paraId="3844485C"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8.22</w:t>
            </w:r>
          </w:p>
        </w:tc>
      </w:tr>
      <w:tr w:rsidR="001F4508" w:rsidRPr="00E16997" w14:paraId="286FB60F"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354AAB91"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C</w:t>
            </w:r>
          </w:p>
        </w:tc>
        <w:tc>
          <w:tcPr>
            <w:tcW w:w="3332" w:type="dxa"/>
            <w:tcBorders>
              <w:top w:val="single" w:sz="8" w:space="0" w:color="000000"/>
              <w:left w:val="single" w:sz="8" w:space="0" w:color="000000"/>
              <w:bottom w:val="single" w:sz="8" w:space="0" w:color="000000"/>
              <w:right w:val="single" w:sz="8" w:space="0" w:color="000000"/>
            </w:tcBorders>
            <w:vAlign w:val="center"/>
          </w:tcPr>
          <w:p w14:paraId="0CA4A97A"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制造业</w:t>
            </w:r>
          </w:p>
        </w:tc>
        <w:tc>
          <w:tcPr>
            <w:tcW w:w="1970" w:type="dxa"/>
            <w:tcBorders>
              <w:top w:val="single" w:sz="8" w:space="0" w:color="000000"/>
              <w:left w:val="single" w:sz="8" w:space="0" w:color="000000"/>
              <w:bottom w:val="single" w:sz="8" w:space="0" w:color="000000"/>
              <w:right w:val="single" w:sz="8" w:space="0" w:color="000000"/>
            </w:tcBorders>
            <w:vAlign w:val="center"/>
          </w:tcPr>
          <w:p w14:paraId="240671F5"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122,777,017.17</w:t>
            </w:r>
          </w:p>
        </w:tc>
        <w:tc>
          <w:tcPr>
            <w:tcW w:w="1935" w:type="dxa"/>
            <w:tcBorders>
              <w:top w:val="single" w:sz="8" w:space="0" w:color="000000"/>
              <w:left w:val="single" w:sz="8" w:space="0" w:color="000000"/>
              <w:bottom w:val="single" w:sz="8" w:space="0" w:color="000000"/>
              <w:right w:val="single" w:sz="8" w:space="0" w:color="000000"/>
            </w:tcBorders>
            <w:vAlign w:val="center"/>
          </w:tcPr>
          <w:p w14:paraId="264E862B"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38.63</w:t>
            </w:r>
          </w:p>
        </w:tc>
      </w:tr>
      <w:tr w:rsidR="001F4508" w:rsidRPr="00E16997" w14:paraId="058E5B86"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51543E04"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D</w:t>
            </w:r>
          </w:p>
        </w:tc>
        <w:tc>
          <w:tcPr>
            <w:tcW w:w="3332" w:type="dxa"/>
            <w:tcBorders>
              <w:top w:val="single" w:sz="8" w:space="0" w:color="000000"/>
              <w:left w:val="single" w:sz="8" w:space="0" w:color="000000"/>
              <w:bottom w:val="single" w:sz="8" w:space="0" w:color="000000"/>
              <w:right w:val="single" w:sz="8" w:space="0" w:color="000000"/>
            </w:tcBorders>
            <w:vAlign w:val="center"/>
          </w:tcPr>
          <w:p w14:paraId="27DC10BF"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电力、热力、燃气及水生产和供应业</w:t>
            </w:r>
          </w:p>
        </w:tc>
        <w:tc>
          <w:tcPr>
            <w:tcW w:w="1970" w:type="dxa"/>
            <w:tcBorders>
              <w:top w:val="single" w:sz="8" w:space="0" w:color="000000"/>
              <w:left w:val="single" w:sz="8" w:space="0" w:color="000000"/>
              <w:bottom w:val="single" w:sz="8" w:space="0" w:color="000000"/>
              <w:right w:val="single" w:sz="8" w:space="0" w:color="000000"/>
            </w:tcBorders>
            <w:vAlign w:val="center"/>
          </w:tcPr>
          <w:p w14:paraId="407B3B70"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2,194,434.00</w:t>
            </w:r>
          </w:p>
        </w:tc>
        <w:tc>
          <w:tcPr>
            <w:tcW w:w="1935" w:type="dxa"/>
            <w:tcBorders>
              <w:top w:val="single" w:sz="8" w:space="0" w:color="000000"/>
              <w:left w:val="single" w:sz="8" w:space="0" w:color="000000"/>
              <w:bottom w:val="single" w:sz="8" w:space="0" w:color="000000"/>
              <w:right w:val="single" w:sz="8" w:space="0" w:color="000000"/>
            </w:tcBorders>
            <w:vAlign w:val="center"/>
          </w:tcPr>
          <w:p w14:paraId="52A41F8A"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0.69</w:t>
            </w:r>
          </w:p>
        </w:tc>
      </w:tr>
      <w:tr w:rsidR="001F4508" w:rsidRPr="00E16997" w14:paraId="78C30A9C"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1DBF546D"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E</w:t>
            </w:r>
          </w:p>
        </w:tc>
        <w:tc>
          <w:tcPr>
            <w:tcW w:w="3332" w:type="dxa"/>
            <w:tcBorders>
              <w:top w:val="single" w:sz="8" w:space="0" w:color="000000"/>
              <w:left w:val="single" w:sz="8" w:space="0" w:color="000000"/>
              <w:bottom w:val="single" w:sz="8" w:space="0" w:color="000000"/>
              <w:right w:val="single" w:sz="8" w:space="0" w:color="000000"/>
            </w:tcBorders>
            <w:vAlign w:val="center"/>
          </w:tcPr>
          <w:p w14:paraId="5016A127"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建筑业</w:t>
            </w:r>
          </w:p>
        </w:tc>
        <w:tc>
          <w:tcPr>
            <w:tcW w:w="1970" w:type="dxa"/>
            <w:tcBorders>
              <w:top w:val="single" w:sz="8" w:space="0" w:color="000000"/>
              <w:left w:val="single" w:sz="8" w:space="0" w:color="000000"/>
              <w:bottom w:val="single" w:sz="8" w:space="0" w:color="000000"/>
              <w:right w:val="single" w:sz="8" w:space="0" w:color="000000"/>
            </w:tcBorders>
            <w:vAlign w:val="center"/>
          </w:tcPr>
          <w:p w14:paraId="0F3140EB"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7,110.12</w:t>
            </w:r>
          </w:p>
        </w:tc>
        <w:tc>
          <w:tcPr>
            <w:tcW w:w="1935" w:type="dxa"/>
            <w:tcBorders>
              <w:top w:val="single" w:sz="8" w:space="0" w:color="000000"/>
              <w:left w:val="single" w:sz="8" w:space="0" w:color="000000"/>
              <w:bottom w:val="single" w:sz="8" w:space="0" w:color="000000"/>
              <w:right w:val="single" w:sz="8" w:space="0" w:color="000000"/>
            </w:tcBorders>
            <w:vAlign w:val="center"/>
          </w:tcPr>
          <w:p w14:paraId="6F94327D"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0.00</w:t>
            </w:r>
          </w:p>
        </w:tc>
      </w:tr>
      <w:tr w:rsidR="001F4508" w:rsidRPr="00E16997" w14:paraId="5E220C3B"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79C19719"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F</w:t>
            </w:r>
          </w:p>
        </w:tc>
        <w:tc>
          <w:tcPr>
            <w:tcW w:w="3332" w:type="dxa"/>
            <w:tcBorders>
              <w:top w:val="single" w:sz="8" w:space="0" w:color="000000"/>
              <w:left w:val="single" w:sz="8" w:space="0" w:color="000000"/>
              <w:bottom w:val="single" w:sz="8" w:space="0" w:color="000000"/>
              <w:right w:val="single" w:sz="8" w:space="0" w:color="000000"/>
            </w:tcBorders>
            <w:vAlign w:val="center"/>
          </w:tcPr>
          <w:p w14:paraId="12CE8E86"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批发和零售业</w:t>
            </w:r>
          </w:p>
        </w:tc>
        <w:tc>
          <w:tcPr>
            <w:tcW w:w="1970" w:type="dxa"/>
            <w:tcBorders>
              <w:top w:val="single" w:sz="8" w:space="0" w:color="000000"/>
              <w:left w:val="single" w:sz="8" w:space="0" w:color="000000"/>
              <w:bottom w:val="single" w:sz="8" w:space="0" w:color="000000"/>
              <w:right w:val="single" w:sz="8" w:space="0" w:color="000000"/>
            </w:tcBorders>
            <w:vAlign w:val="center"/>
          </w:tcPr>
          <w:p w14:paraId="193E68A6"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283,060.08</w:t>
            </w:r>
          </w:p>
        </w:tc>
        <w:tc>
          <w:tcPr>
            <w:tcW w:w="1935" w:type="dxa"/>
            <w:tcBorders>
              <w:top w:val="single" w:sz="8" w:space="0" w:color="000000"/>
              <w:left w:val="single" w:sz="8" w:space="0" w:color="000000"/>
              <w:bottom w:val="single" w:sz="8" w:space="0" w:color="000000"/>
              <w:right w:val="single" w:sz="8" w:space="0" w:color="000000"/>
            </w:tcBorders>
            <w:vAlign w:val="center"/>
          </w:tcPr>
          <w:p w14:paraId="0A41641A"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0.09</w:t>
            </w:r>
          </w:p>
        </w:tc>
      </w:tr>
      <w:tr w:rsidR="001F4508" w:rsidRPr="00E16997" w14:paraId="31A59861"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56A82EC5"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G</w:t>
            </w:r>
          </w:p>
        </w:tc>
        <w:tc>
          <w:tcPr>
            <w:tcW w:w="3332" w:type="dxa"/>
            <w:tcBorders>
              <w:top w:val="single" w:sz="8" w:space="0" w:color="000000"/>
              <w:left w:val="single" w:sz="8" w:space="0" w:color="000000"/>
              <w:bottom w:val="single" w:sz="8" w:space="0" w:color="000000"/>
              <w:right w:val="single" w:sz="8" w:space="0" w:color="000000"/>
            </w:tcBorders>
            <w:vAlign w:val="center"/>
          </w:tcPr>
          <w:p w14:paraId="0D170D04"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交通运输、仓储和邮政业</w:t>
            </w:r>
          </w:p>
        </w:tc>
        <w:tc>
          <w:tcPr>
            <w:tcW w:w="1970" w:type="dxa"/>
            <w:tcBorders>
              <w:top w:val="single" w:sz="8" w:space="0" w:color="000000"/>
              <w:left w:val="single" w:sz="8" w:space="0" w:color="000000"/>
              <w:bottom w:val="single" w:sz="8" w:space="0" w:color="000000"/>
              <w:right w:val="single" w:sz="8" w:space="0" w:color="000000"/>
            </w:tcBorders>
            <w:vAlign w:val="center"/>
          </w:tcPr>
          <w:p w14:paraId="485B16F0"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tcPr>
          <w:p w14:paraId="698BCFC6"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w:t>
            </w:r>
          </w:p>
        </w:tc>
      </w:tr>
      <w:tr w:rsidR="001F4508" w:rsidRPr="00E16997" w14:paraId="5CD472EB"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546B6747"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lastRenderedPageBreak/>
              <w:t>H</w:t>
            </w:r>
          </w:p>
        </w:tc>
        <w:tc>
          <w:tcPr>
            <w:tcW w:w="3332" w:type="dxa"/>
            <w:tcBorders>
              <w:top w:val="single" w:sz="8" w:space="0" w:color="000000"/>
              <w:left w:val="single" w:sz="8" w:space="0" w:color="000000"/>
              <w:bottom w:val="single" w:sz="8" w:space="0" w:color="000000"/>
              <w:right w:val="single" w:sz="8" w:space="0" w:color="000000"/>
            </w:tcBorders>
            <w:vAlign w:val="center"/>
          </w:tcPr>
          <w:p w14:paraId="3765E0C4"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住宿和餐饮业</w:t>
            </w:r>
          </w:p>
        </w:tc>
        <w:tc>
          <w:tcPr>
            <w:tcW w:w="1970" w:type="dxa"/>
            <w:tcBorders>
              <w:top w:val="single" w:sz="8" w:space="0" w:color="000000"/>
              <w:left w:val="single" w:sz="8" w:space="0" w:color="000000"/>
              <w:bottom w:val="single" w:sz="8" w:space="0" w:color="000000"/>
              <w:right w:val="single" w:sz="8" w:space="0" w:color="000000"/>
            </w:tcBorders>
            <w:vAlign w:val="center"/>
          </w:tcPr>
          <w:p w14:paraId="5A6C8E1A"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tcPr>
          <w:p w14:paraId="11945F8D"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w:t>
            </w:r>
          </w:p>
        </w:tc>
      </w:tr>
      <w:tr w:rsidR="001F4508" w:rsidRPr="00E16997" w14:paraId="23C3CA6C"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38681336"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I</w:t>
            </w:r>
          </w:p>
        </w:tc>
        <w:tc>
          <w:tcPr>
            <w:tcW w:w="3332" w:type="dxa"/>
            <w:tcBorders>
              <w:top w:val="single" w:sz="8" w:space="0" w:color="000000"/>
              <w:left w:val="single" w:sz="8" w:space="0" w:color="000000"/>
              <w:bottom w:val="single" w:sz="8" w:space="0" w:color="000000"/>
              <w:right w:val="single" w:sz="8" w:space="0" w:color="000000"/>
            </w:tcBorders>
            <w:vAlign w:val="center"/>
          </w:tcPr>
          <w:p w14:paraId="0BB5D9CF"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信息传输、软件和信息技术服务业</w:t>
            </w:r>
          </w:p>
        </w:tc>
        <w:tc>
          <w:tcPr>
            <w:tcW w:w="1970" w:type="dxa"/>
            <w:tcBorders>
              <w:top w:val="single" w:sz="8" w:space="0" w:color="000000"/>
              <w:left w:val="single" w:sz="8" w:space="0" w:color="000000"/>
              <w:bottom w:val="single" w:sz="8" w:space="0" w:color="000000"/>
              <w:right w:val="single" w:sz="8" w:space="0" w:color="000000"/>
            </w:tcBorders>
            <w:vAlign w:val="center"/>
          </w:tcPr>
          <w:p w14:paraId="5A718FD9"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3,463,498.16</w:t>
            </w:r>
          </w:p>
        </w:tc>
        <w:tc>
          <w:tcPr>
            <w:tcW w:w="1935" w:type="dxa"/>
            <w:tcBorders>
              <w:top w:val="single" w:sz="8" w:space="0" w:color="000000"/>
              <w:left w:val="single" w:sz="8" w:space="0" w:color="000000"/>
              <w:bottom w:val="single" w:sz="8" w:space="0" w:color="000000"/>
              <w:right w:val="single" w:sz="8" w:space="0" w:color="000000"/>
            </w:tcBorders>
            <w:vAlign w:val="center"/>
          </w:tcPr>
          <w:p w14:paraId="51A853C5"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1.09</w:t>
            </w:r>
          </w:p>
        </w:tc>
      </w:tr>
      <w:tr w:rsidR="001F4508" w:rsidRPr="00E16997" w14:paraId="1BC4A9C2"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12503DDD"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J</w:t>
            </w:r>
          </w:p>
        </w:tc>
        <w:tc>
          <w:tcPr>
            <w:tcW w:w="3332" w:type="dxa"/>
            <w:tcBorders>
              <w:top w:val="single" w:sz="8" w:space="0" w:color="000000"/>
              <w:left w:val="single" w:sz="8" w:space="0" w:color="000000"/>
              <w:bottom w:val="single" w:sz="8" w:space="0" w:color="000000"/>
              <w:right w:val="single" w:sz="8" w:space="0" w:color="000000"/>
            </w:tcBorders>
            <w:vAlign w:val="center"/>
          </w:tcPr>
          <w:p w14:paraId="2B61F9A3"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金融业</w:t>
            </w:r>
          </w:p>
        </w:tc>
        <w:tc>
          <w:tcPr>
            <w:tcW w:w="1970" w:type="dxa"/>
            <w:tcBorders>
              <w:top w:val="single" w:sz="8" w:space="0" w:color="000000"/>
              <w:left w:val="single" w:sz="8" w:space="0" w:color="000000"/>
              <w:bottom w:val="single" w:sz="8" w:space="0" w:color="000000"/>
              <w:right w:val="single" w:sz="8" w:space="0" w:color="000000"/>
            </w:tcBorders>
            <w:vAlign w:val="center"/>
          </w:tcPr>
          <w:p w14:paraId="68B2BE73"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15,021,504.96</w:t>
            </w:r>
          </w:p>
        </w:tc>
        <w:tc>
          <w:tcPr>
            <w:tcW w:w="1935" w:type="dxa"/>
            <w:tcBorders>
              <w:top w:val="single" w:sz="8" w:space="0" w:color="000000"/>
              <w:left w:val="single" w:sz="8" w:space="0" w:color="000000"/>
              <w:bottom w:val="single" w:sz="8" w:space="0" w:color="000000"/>
              <w:right w:val="single" w:sz="8" w:space="0" w:color="000000"/>
            </w:tcBorders>
            <w:vAlign w:val="center"/>
          </w:tcPr>
          <w:p w14:paraId="2C41329F"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4.73</w:t>
            </w:r>
          </w:p>
        </w:tc>
      </w:tr>
      <w:tr w:rsidR="001F4508" w:rsidRPr="00E16997" w14:paraId="25C13B62"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15A9DE5D"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K</w:t>
            </w:r>
          </w:p>
        </w:tc>
        <w:tc>
          <w:tcPr>
            <w:tcW w:w="3332" w:type="dxa"/>
            <w:tcBorders>
              <w:top w:val="single" w:sz="8" w:space="0" w:color="000000"/>
              <w:left w:val="single" w:sz="8" w:space="0" w:color="000000"/>
              <w:bottom w:val="single" w:sz="8" w:space="0" w:color="000000"/>
              <w:right w:val="single" w:sz="8" w:space="0" w:color="000000"/>
            </w:tcBorders>
            <w:vAlign w:val="center"/>
          </w:tcPr>
          <w:p w14:paraId="30C463F0"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房地产业</w:t>
            </w:r>
          </w:p>
        </w:tc>
        <w:tc>
          <w:tcPr>
            <w:tcW w:w="1970" w:type="dxa"/>
            <w:tcBorders>
              <w:top w:val="single" w:sz="8" w:space="0" w:color="000000"/>
              <w:left w:val="single" w:sz="8" w:space="0" w:color="000000"/>
              <w:bottom w:val="single" w:sz="8" w:space="0" w:color="000000"/>
              <w:right w:val="single" w:sz="8" w:space="0" w:color="000000"/>
            </w:tcBorders>
            <w:vAlign w:val="center"/>
          </w:tcPr>
          <w:p w14:paraId="793AB2F8"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6,583,145.40</w:t>
            </w:r>
          </w:p>
        </w:tc>
        <w:tc>
          <w:tcPr>
            <w:tcW w:w="1935" w:type="dxa"/>
            <w:tcBorders>
              <w:top w:val="single" w:sz="8" w:space="0" w:color="000000"/>
              <w:left w:val="single" w:sz="8" w:space="0" w:color="000000"/>
              <w:bottom w:val="single" w:sz="8" w:space="0" w:color="000000"/>
              <w:right w:val="single" w:sz="8" w:space="0" w:color="000000"/>
            </w:tcBorders>
            <w:vAlign w:val="center"/>
          </w:tcPr>
          <w:p w14:paraId="5BF0CA8E"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2.07</w:t>
            </w:r>
          </w:p>
        </w:tc>
      </w:tr>
      <w:tr w:rsidR="001F4508" w:rsidRPr="00E16997" w14:paraId="43943792"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339C72A2"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L</w:t>
            </w:r>
          </w:p>
        </w:tc>
        <w:tc>
          <w:tcPr>
            <w:tcW w:w="3332" w:type="dxa"/>
            <w:tcBorders>
              <w:top w:val="single" w:sz="8" w:space="0" w:color="000000"/>
              <w:left w:val="single" w:sz="8" w:space="0" w:color="000000"/>
              <w:bottom w:val="single" w:sz="8" w:space="0" w:color="000000"/>
              <w:right w:val="single" w:sz="8" w:space="0" w:color="000000"/>
            </w:tcBorders>
            <w:vAlign w:val="center"/>
          </w:tcPr>
          <w:p w14:paraId="13E6709E"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租赁和商务服务业</w:t>
            </w:r>
          </w:p>
        </w:tc>
        <w:tc>
          <w:tcPr>
            <w:tcW w:w="1970" w:type="dxa"/>
            <w:tcBorders>
              <w:top w:val="single" w:sz="8" w:space="0" w:color="000000"/>
              <w:left w:val="single" w:sz="8" w:space="0" w:color="000000"/>
              <w:bottom w:val="single" w:sz="8" w:space="0" w:color="000000"/>
              <w:right w:val="single" w:sz="8" w:space="0" w:color="000000"/>
            </w:tcBorders>
            <w:vAlign w:val="center"/>
          </w:tcPr>
          <w:p w14:paraId="0A7B26FB"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10,774,233.43</w:t>
            </w:r>
          </w:p>
        </w:tc>
        <w:tc>
          <w:tcPr>
            <w:tcW w:w="1935" w:type="dxa"/>
            <w:tcBorders>
              <w:top w:val="single" w:sz="8" w:space="0" w:color="000000"/>
              <w:left w:val="single" w:sz="8" w:space="0" w:color="000000"/>
              <w:bottom w:val="single" w:sz="8" w:space="0" w:color="000000"/>
              <w:right w:val="single" w:sz="8" w:space="0" w:color="000000"/>
            </w:tcBorders>
            <w:vAlign w:val="center"/>
          </w:tcPr>
          <w:p w14:paraId="31932CE6"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3.39</w:t>
            </w:r>
          </w:p>
        </w:tc>
      </w:tr>
      <w:tr w:rsidR="001F4508" w:rsidRPr="00E16997" w14:paraId="1CE0FD63"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6553FBCA"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M</w:t>
            </w:r>
          </w:p>
        </w:tc>
        <w:tc>
          <w:tcPr>
            <w:tcW w:w="3332" w:type="dxa"/>
            <w:tcBorders>
              <w:top w:val="single" w:sz="8" w:space="0" w:color="000000"/>
              <w:left w:val="single" w:sz="8" w:space="0" w:color="000000"/>
              <w:bottom w:val="single" w:sz="8" w:space="0" w:color="000000"/>
              <w:right w:val="single" w:sz="8" w:space="0" w:color="000000"/>
            </w:tcBorders>
            <w:vAlign w:val="center"/>
          </w:tcPr>
          <w:p w14:paraId="61EF6380"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科学研究和技术服务业</w:t>
            </w:r>
          </w:p>
        </w:tc>
        <w:tc>
          <w:tcPr>
            <w:tcW w:w="1970" w:type="dxa"/>
            <w:tcBorders>
              <w:top w:val="single" w:sz="8" w:space="0" w:color="000000"/>
              <w:left w:val="single" w:sz="8" w:space="0" w:color="000000"/>
              <w:bottom w:val="single" w:sz="8" w:space="0" w:color="000000"/>
              <w:right w:val="single" w:sz="8" w:space="0" w:color="000000"/>
            </w:tcBorders>
            <w:vAlign w:val="center"/>
          </w:tcPr>
          <w:p w14:paraId="37C90DA7"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99,523.63</w:t>
            </w:r>
          </w:p>
        </w:tc>
        <w:tc>
          <w:tcPr>
            <w:tcW w:w="1935" w:type="dxa"/>
            <w:tcBorders>
              <w:top w:val="single" w:sz="8" w:space="0" w:color="000000"/>
              <w:left w:val="single" w:sz="8" w:space="0" w:color="000000"/>
              <w:bottom w:val="single" w:sz="8" w:space="0" w:color="000000"/>
              <w:right w:val="single" w:sz="8" w:space="0" w:color="000000"/>
            </w:tcBorders>
            <w:vAlign w:val="center"/>
          </w:tcPr>
          <w:p w14:paraId="371D8594"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0.03</w:t>
            </w:r>
          </w:p>
        </w:tc>
      </w:tr>
      <w:tr w:rsidR="001F4508" w:rsidRPr="00E16997" w14:paraId="18D93D5E"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733B0706"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N</w:t>
            </w:r>
          </w:p>
        </w:tc>
        <w:tc>
          <w:tcPr>
            <w:tcW w:w="3332" w:type="dxa"/>
            <w:tcBorders>
              <w:top w:val="single" w:sz="8" w:space="0" w:color="000000"/>
              <w:left w:val="single" w:sz="8" w:space="0" w:color="000000"/>
              <w:bottom w:val="single" w:sz="8" w:space="0" w:color="000000"/>
              <w:right w:val="single" w:sz="8" w:space="0" w:color="000000"/>
            </w:tcBorders>
            <w:vAlign w:val="center"/>
          </w:tcPr>
          <w:p w14:paraId="3A897535"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水利、环境和公共设施管理业</w:t>
            </w:r>
          </w:p>
        </w:tc>
        <w:tc>
          <w:tcPr>
            <w:tcW w:w="1970" w:type="dxa"/>
            <w:tcBorders>
              <w:top w:val="single" w:sz="8" w:space="0" w:color="000000"/>
              <w:left w:val="single" w:sz="8" w:space="0" w:color="000000"/>
              <w:bottom w:val="single" w:sz="8" w:space="0" w:color="000000"/>
              <w:right w:val="single" w:sz="8" w:space="0" w:color="000000"/>
            </w:tcBorders>
            <w:vAlign w:val="center"/>
          </w:tcPr>
          <w:p w14:paraId="46623EC1"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17,726.94</w:t>
            </w:r>
          </w:p>
        </w:tc>
        <w:tc>
          <w:tcPr>
            <w:tcW w:w="1935" w:type="dxa"/>
            <w:tcBorders>
              <w:top w:val="single" w:sz="8" w:space="0" w:color="000000"/>
              <w:left w:val="single" w:sz="8" w:space="0" w:color="000000"/>
              <w:bottom w:val="single" w:sz="8" w:space="0" w:color="000000"/>
              <w:right w:val="single" w:sz="8" w:space="0" w:color="000000"/>
            </w:tcBorders>
            <w:vAlign w:val="center"/>
          </w:tcPr>
          <w:p w14:paraId="420E5D69"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0.01</w:t>
            </w:r>
          </w:p>
        </w:tc>
      </w:tr>
      <w:tr w:rsidR="001F4508" w:rsidRPr="00E16997" w14:paraId="3B833DB6"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0E43B3FB"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O</w:t>
            </w:r>
          </w:p>
        </w:tc>
        <w:tc>
          <w:tcPr>
            <w:tcW w:w="3332" w:type="dxa"/>
            <w:tcBorders>
              <w:top w:val="single" w:sz="8" w:space="0" w:color="000000"/>
              <w:left w:val="single" w:sz="8" w:space="0" w:color="000000"/>
              <w:bottom w:val="single" w:sz="8" w:space="0" w:color="000000"/>
              <w:right w:val="single" w:sz="8" w:space="0" w:color="000000"/>
            </w:tcBorders>
            <w:vAlign w:val="center"/>
          </w:tcPr>
          <w:p w14:paraId="565C569C"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居民服务、修理和其他服务业</w:t>
            </w:r>
          </w:p>
        </w:tc>
        <w:tc>
          <w:tcPr>
            <w:tcW w:w="1970" w:type="dxa"/>
            <w:tcBorders>
              <w:top w:val="single" w:sz="8" w:space="0" w:color="000000"/>
              <w:left w:val="single" w:sz="8" w:space="0" w:color="000000"/>
              <w:bottom w:val="single" w:sz="8" w:space="0" w:color="000000"/>
              <w:right w:val="single" w:sz="8" w:space="0" w:color="000000"/>
            </w:tcBorders>
            <w:vAlign w:val="center"/>
          </w:tcPr>
          <w:p w14:paraId="2F7381E1"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tcPr>
          <w:p w14:paraId="7D4A5B18"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w:t>
            </w:r>
          </w:p>
        </w:tc>
      </w:tr>
      <w:tr w:rsidR="001F4508" w:rsidRPr="00E16997" w14:paraId="2C660B6D"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0DD117A8"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P</w:t>
            </w:r>
          </w:p>
        </w:tc>
        <w:tc>
          <w:tcPr>
            <w:tcW w:w="3332" w:type="dxa"/>
            <w:tcBorders>
              <w:top w:val="single" w:sz="8" w:space="0" w:color="000000"/>
              <w:left w:val="single" w:sz="8" w:space="0" w:color="000000"/>
              <w:bottom w:val="single" w:sz="8" w:space="0" w:color="000000"/>
              <w:right w:val="single" w:sz="8" w:space="0" w:color="000000"/>
            </w:tcBorders>
            <w:vAlign w:val="center"/>
          </w:tcPr>
          <w:p w14:paraId="29854F84"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教育</w:t>
            </w:r>
          </w:p>
        </w:tc>
        <w:tc>
          <w:tcPr>
            <w:tcW w:w="1970" w:type="dxa"/>
            <w:tcBorders>
              <w:top w:val="single" w:sz="8" w:space="0" w:color="000000"/>
              <w:left w:val="single" w:sz="8" w:space="0" w:color="000000"/>
              <w:bottom w:val="single" w:sz="8" w:space="0" w:color="000000"/>
              <w:right w:val="single" w:sz="8" w:space="0" w:color="000000"/>
            </w:tcBorders>
            <w:vAlign w:val="center"/>
          </w:tcPr>
          <w:p w14:paraId="7A48395D"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tcPr>
          <w:p w14:paraId="3FCDB0C0"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w:t>
            </w:r>
          </w:p>
        </w:tc>
      </w:tr>
      <w:tr w:rsidR="001F4508" w:rsidRPr="00E16997" w14:paraId="6351D27A"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6C0BD15A"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Q</w:t>
            </w:r>
          </w:p>
        </w:tc>
        <w:tc>
          <w:tcPr>
            <w:tcW w:w="3332" w:type="dxa"/>
            <w:tcBorders>
              <w:top w:val="single" w:sz="8" w:space="0" w:color="000000"/>
              <w:left w:val="single" w:sz="8" w:space="0" w:color="000000"/>
              <w:bottom w:val="single" w:sz="8" w:space="0" w:color="000000"/>
              <w:right w:val="single" w:sz="8" w:space="0" w:color="000000"/>
            </w:tcBorders>
            <w:vAlign w:val="center"/>
          </w:tcPr>
          <w:p w14:paraId="1C6B4C61"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卫生和社会工作</w:t>
            </w:r>
          </w:p>
        </w:tc>
        <w:tc>
          <w:tcPr>
            <w:tcW w:w="1970" w:type="dxa"/>
            <w:tcBorders>
              <w:top w:val="single" w:sz="8" w:space="0" w:color="000000"/>
              <w:left w:val="single" w:sz="8" w:space="0" w:color="000000"/>
              <w:bottom w:val="single" w:sz="8" w:space="0" w:color="000000"/>
              <w:right w:val="single" w:sz="8" w:space="0" w:color="000000"/>
            </w:tcBorders>
            <w:vAlign w:val="center"/>
          </w:tcPr>
          <w:p w14:paraId="5B5DE141"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9,392,270.06</w:t>
            </w:r>
          </w:p>
        </w:tc>
        <w:tc>
          <w:tcPr>
            <w:tcW w:w="1935" w:type="dxa"/>
            <w:tcBorders>
              <w:top w:val="single" w:sz="8" w:space="0" w:color="000000"/>
              <w:left w:val="single" w:sz="8" w:space="0" w:color="000000"/>
              <w:bottom w:val="single" w:sz="8" w:space="0" w:color="000000"/>
              <w:right w:val="single" w:sz="8" w:space="0" w:color="000000"/>
            </w:tcBorders>
            <w:vAlign w:val="center"/>
          </w:tcPr>
          <w:p w14:paraId="3B976769"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2.96</w:t>
            </w:r>
          </w:p>
        </w:tc>
      </w:tr>
      <w:tr w:rsidR="001F4508" w:rsidRPr="00E16997" w14:paraId="7CFF0BB4"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1B22264B"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R</w:t>
            </w:r>
          </w:p>
        </w:tc>
        <w:tc>
          <w:tcPr>
            <w:tcW w:w="3332" w:type="dxa"/>
            <w:tcBorders>
              <w:top w:val="single" w:sz="8" w:space="0" w:color="000000"/>
              <w:left w:val="single" w:sz="8" w:space="0" w:color="000000"/>
              <w:bottom w:val="single" w:sz="8" w:space="0" w:color="000000"/>
              <w:right w:val="single" w:sz="8" w:space="0" w:color="000000"/>
            </w:tcBorders>
            <w:vAlign w:val="center"/>
          </w:tcPr>
          <w:p w14:paraId="0823C52B"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文化、体育和娱乐业</w:t>
            </w:r>
          </w:p>
        </w:tc>
        <w:tc>
          <w:tcPr>
            <w:tcW w:w="1970" w:type="dxa"/>
            <w:tcBorders>
              <w:top w:val="single" w:sz="8" w:space="0" w:color="000000"/>
              <w:left w:val="single" w:sz="8" w:space="0" w:color="000000"/>
              <w:bottom w:val="single" w:sz="8" w:space="0" w:color="000000"/>
              <w:right w:val="single" w:sz="8" w:space="0" w:color="000000"/>
            </w:tcBorders>
            <w:vAlign w:val="center"/>
          </w:tcPr>
          <w:p w14:paraId="5F4FC5C1"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tcPr>
          <w:p w14:paraId="126273BA"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w:t>
            </w:r>
          </w:p>
        </w:tc>
      </w:tr>
      <w:tr w:rsidR="001F4508" w:rsidRPr="00E16997" w14:paraId="0271D4BB"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6CE7CC77"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S</w:t>
            </w:r>
          </w:p>
        </w:tc>
        <w:tc>
          <w:tcPr>
            <w:tcW w:w="3332" w:type="dxa"/>
            <w:tcBorders>
              <w:top w:val="single" w:sz="8" w:space="0" w:color="000000"/>
              <w:left w:val="single" w:sz="8" w:space="0" w:color="000000"/>
              <w:bottom w:val="single" w:sz="8" w:space="0" w:color="000000"/>
              <w:right w:val="single" w:sz="8" w:space="0" w:color="000000"/>
            </w:tcBorders>
            <w:vAlign w:val="center"/>
          </w:tcPr>
          <w:p w14:paraId="139BDC3B"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综合</w:t>
            </w:r>
          </w:p>
        </w:tc>
        <w:tc>
          <w:tcPr>
            <w:tcW w:w="1970" w:type="dxa"/>
            <w:tcBorders>
              <w:top w:val="single" w:sz="8" w:space="0" w:color="000000"/>
              <w:left w:val="single" w:sz="8" w:space="0" w:color="000000"/>
              <w:bottom w:val="single" w:sz="8" w:space="0" w:color="000000"/>
              <w:right w:val="single" w:sz="8" w:space="0" w:color="000000"/>
            </w:tcBorders>
            <w:vAlign w:val="center"/>
          </w:tcPr>
          <w:p w14:paraId="5D5C8598"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w:t>
            </w:r>
          </w:p>
        </w:tc>
        <w:tc>
          <w:tcPr>
            <w:tcW w:w="1935" w:type="dxa"/>
            <w:tcBorders>
              <w:top w:val="single" w:sz="8" w:space="0" w:color="000000"/>
              <w:left w:val="single" w:sz="8" w:space="0" w:color="000000"/>
              <w:bottom w:val="single" w:sz="8" w:space="0" w:color="000000"/>
              <w:right w:val="single" w:sz="8" w:space="0" w:color="000000"/>
            </w:tcBorders>
            <w:vAlign w:val="center"/>
          </w:tcPr>
          <w:p w14:paraId="417E00F8"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w:t>
            </w:r>
          </w:p>
        </w:tc>
      </w:tr>
      <w:tr w:rsidR="001F4508" w:rsidRPr="00E16997" w14:paraId="48B83A72" w14:textId="77777777" w:rsidTr="001F4508">
        <w:trPr>
          <w:trHeight w:val="765"/>
        </w:trPr>
        <w:tc>
          <w:tcPr>
            <w:tcW w:w="851" w:type="dxa"/>
            <w:tcBorders>
              <w:top w:val="single" w:sz="8" w:space="0" w:color="000000"/>
              <w:left w:val="single" w:sz="8" w:space="0" w:color="000000"/>
              <w:bottom w:val="single" w:sz="8" w:space="0" w:color="000000"/>
              <w:right w:val="single" w:sz="8" w:space="0" w:color="000000"/>
            </w:tcBorders>
            <w:vAlign w:val="center"/>
          </w:tcPr>
          <w:p w14:paraId="5A59FDE4" w14:textId="77777777" w:rsidR="001F4508" w:rsidRPr="001F4508" w:rsidRDefault="001F4508" w:rsidP="001F4508">
            <w:pPr>
              <w:autoSpaceDE w:val="0"/>
              <w:autoSpaceDN w:val="0"/>
              <w:spacing w:line="360" w:lineRule="auto"/>
              <w:textAlignment w:val="bottom"/>
              <w:rPr>
                <w:rFonts w:asciiTheme="minorEastAsia" w:hAnsiTheme="minorEastAsia"/>
              </w:rPr>
            </w:pPr>
          </w:p>
        </w:tc>
        <w:tc>
          <w:tcPr>
            <w:tcW w:w="3332" w:type="dxa"/>
            <w:tcBorders>
              <w:top w:val="single" w:sz="8" w:space="0" w:color="000000"/>
              <w:left w:val="single" w:sz="8" w:space="0" w:color="000000"/>
              <w:bottom w:val="single" w:sz="8" w:space="0" w:color="000000"/>
              <w:right w:val="single" w:sz="8" w:space="0" w:color="000000"/>
            </w:tcBorders>
            <w:vAlign w:val="center"/>
          </w:tcPr>
          <w:p w14:paraId="496E063E"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合计</w:t>
            </w:r>
          </w:p>
        </w:tc>
        <w:tc>
          <w:tcPr>
            <w:tcW w:w="1970" w:type="dxa"/>
            <w:tcBorders>
              <w:top w:val="single" w:sz="8" w:space="0" w:color="000000"/>
              <w:left w:val="single" w:sz="8" w:space="0" w:color="000000"/>
              <w:bottom w:val="single" w:sz="8" w:space="0" w:color="000000"/>
              <w:right w:val="single" w:sz="8" w:space="0" w:color="000000"/>
            </w:tcBorders>
            <w:vAlign w:val="center"/>
          </w:tcPr>
          <w:p w14:paraId="1CF26060"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196,736,347.95</w:t>
            </w:r>
          </w:p>
        </w:tc>
        <w:tc>
          <w:tcPr>
            <w:tcW w:w="1935" w:type="dxa"/>
            <w:tcBorders>
              <w:top w:val="single" w:sz="8" w:space="0" w:color="000000"/>
              <w:left w:val="single" w:sz="8" w:space="0" w:color="000000"/>
              <w:bottom w:val="single" w:sz="8" w:space="0" w:color="000000"/>
              <w:right w:val="single" w:sz="8" w:space="0" w:color="000000"/>
            </w:tcBorders>
            <w:vAlign w:val="center"/>
          </w:tcPr>
          <w:p w14:paraId="19681347" w14:textId="77777777" w:rsidR="001F4508" w:rsidRPr="001F4508" w:rsidRDefault="001F4508" w:rsidP="001F4508">
            <w:pPr>
              <w:spacing w:line="360" w:lineRule="auto"/>
              <w:textAlignment w:val="bottom"/>
              <w:rPr>
                <w:rFonts w:asciiTheme="minorEastAsia" w:hAnsiTheme="minorEastAsia"/>
              </w:rPr>
            </w:pPr>
            <w:r w:rsidRPr="001F4508">
              <w:rPr>
                <w:rFonts w:asciiTheme="minorEastAsia" w:hAnsiTheme="minorEastAsia" w:hint="eastAsia"/>
              </w:rPr>
              <w:t>61.90</w:t>
            </w:r>
          </w:p>
        </w:tc>
      </w:tr>
    </w:tbl>
    <w:p w14:paraId="3F499B15" w14:textId="77777777" w:rsidR="00AC3A9B" w:rsidRDefault="002C3C29">
      <w:pPr>
        <w:autoSpaceDE w:val="0"/>
        <w:autoSpaceDN w:val="0"/>
        <w:spacing w:line="360" w:lineRule="auto"/>
        <w:textAlignment w:val="bottom"/>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2）</w:t>
      </w:r>
      <w:r>
        <w:rPr>
          <w:rFonts w:asciiTheme="minorEastAsia" w:hAnsiTheme="minorEastAsia" w:hint="eastAsia"/>
          <w:bCs/>
          <w:sz w:val="24"/>
          <w:szCs w:val="24"/>
        </w:rPr>
        <w:t>报告期末按行业分类的港股通投资股票投资组合</w:t>
      </w:r>
    </w:p>
    <w:p w14:paraId="05CF57C3" w14:textId="77777777" w:rsidR="00AC3A9B" w:rsidRDefault="002C3C29">
      <w:pPr>
        <w:pStyle w:val="biaogecenter"/>
        <w:wordWrap w:val="0"/>
        <w:ind w:left="0" w:firstLineChars="200" w:firstLine="480"/>
        <w:jc w:val="both"/>
        <w:rPr>
          <w:rFonts w:asciiTheme="minorEastAsia" w:eastAsiaTheme="minorEastAsia" w:hAnsiTheme="minorEastAsia"/>
          <w:bCs/>
        </w:rPr>
      </w:pPr>
      <w:r>
        <w:rPr>
          <w:rFonts w:asciiTheme="minorEastAsia" w:eastAsiaTheme="minorEastAsia" w:hAnsiTheme="minorEastAsia" w:hint="eastAsia"/>
          <w:bCs/>
        </w:rPr>
        <w:t>本基金本报告期末未持有港股通股票。</w:t>
      </w:r>
    </w:p>
    <w:p w14:paraId="7E66933A" w14:textId="77777777" w:rsidR="00AC3A9B" w:rsidRDefault="00AC3A9B">
      <w:pPr>
        <w:pStyle w:val="biaogecenter"/>
        <w:wordWrap w:val="0"/>
        <w:ind w:leftChars="7"/>
        <w:jc w:val="both"/>
        <w:rPr>
          <w:rFonts w:asciiTheme="minorEastAsia" w:eastAsiaTheme="minorEastAsia" w:hAnsiTheme="minorEastAsia"/>
          <w:bCs/>
        </w:rPr>
      </w:pPr>
    </w:p>
    <w:p w14:paraId="402B0B89"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bCs/>
          <w:sz w:val="24"/>
          <w:szCs w:val="24"/>
        </w:rPr>
        <w:t>3、</w:t>
      </w:r>
      <w:r>
        <w:rPr>
          <w:rFonts w:asciiTheme="minorEastAsia" w:hAnsiTheme="minorEastAsia" w:hint="eastAsia"/>
          <w:bCs/>
          <w:sz w:val="24"/>
          <w:szCs w:val="24"/>
        </w:rPr>
        <w:t>报告期末按公允价值占基金资产净值比例大小排序的前十名股票投资明细</w:t>
      </w:r>
    </w:p>
    <w:tbl>
      <w:tblPr>
        <w:tblW w:w="8260" w:type="dxa"/>
        <w:tblInd w:w="108" w:type="dxa"/>
        <w:tblLayout w:type="fixed"/>
        <w:tblLook w:val="04A0" w:firstRow="1" w:lastRow="0" w:firstColumn="1" w:lastColumn="0" w:noHBand="0" w:noVBand="1"/>
      </w:tblPr>
      <w:tblGrid>
        <w:gridCol w:w="717"/>
        <w:gridCol w:w="1354"/>
        <w:gridCol w:w="1354"/>
        <w:gridCol w:w="1458"/>
        <w:gridCol w:w="1971"/>
        <w:gridCol w:w="1406"/>
      </w:tblGrid>
      <w:tr w:rsidR="00AC3A9B" w14:paraId="65A2B05F" w14:textId="77777777">
        <w:trPr>
          <w:trHeight w:val="396"/>
        </w:trPr>
        <w:tc>
          <w:tcPr>
            <w:tcW w:w="717" w:type="dxa"/>
            <w:tcBorders>
              <w:top w:val="single" w:sz="8" w:space="0" w:color="000000"/>
              <w:left w:val="single" w:sz="8" w:space="0" w:color="000000"/>
              <w:bottom w:val="single" w:sz="4" w:space="0" w:color="000000"/>
              <w:right w:val="single" w:sz="8" w:space="0" w:color="000000"/>
            </w:tcBorders>
            <w:vAlign w:val="center"/>
          </w:tcPr>
          <w:p w14:paraId="4E665D29" w14:textId="77777777" w:rsidR="00AC3A9B" w:rsidRDefault="002C3C29">
            <w:pPr>
              <w:pStyle w:val="biaogecenter"/>
              <w:wordWrap w:val="0"/>
              <w:rPr>
                <w:rFonts w:asciiTheme="minorEastAsia" w:eastAsiaTheme="minorEastAsia" w:hAnsiTheme="minorEastAsia"/>
                <w:color w:val="000000"/>
              </w:rPr>
            </w:pPr>
            <w:r>
              <w:rPr>
                <w:rFonts w:asciiTheme="minorEastAsia" w:eastAsiaTheme="minorEastAsia" w:hAnsiTheme="minorEastAsia" w:hint="eastAsia"/>
                <w:color w:val="000000"/>
              </w:rPr>
              <w:t>序号</w:t>
            </w:r>
          </w:p>
        </w:tc>
        <w:tc>
          <w:tcPr>
            <w:tcW w:w="1354" w:type="dxa"/>
            <w:tcBorders>
              <w:top w:val="single" w:sz="8" w:space="0" w:color="000000"/>
              <w:left w:val="single" w:sz="8" w:space="0" w:color="000000"/>
              <w:bottom w:val="single" w:sz="4" w:space="0" w:color="000000"/>
              <w:right w:val="single" w:sz="8" w:space="0" w:color="000000"/>
            </w:tcBorders>
            <w:vAlign w:val="center"/>
          </w:tcPr>
          <w:p w14:paraId="4810D84B" w14:textId="77777777" w:rsidR="00AC3A9B" w:rsidRDefault="002C3C29">
            <w:pPr>
              <w:pStyle w:val="biaogeleft"/>
              <w:rPr>
                <w:rFonts w:asciiTheme="minorEastAsia" w:eastAsiaTheme="minorEastAsia" w:hAnsiTheme="minorEastAsia"/>
                <w:color w:val="000000"/>
              </w:rPr>
            </w:pPr>
            <w:r>
              <w:rPr>
                <w:rFonts w:asciiTheme="minorEastAsia" w:eastAsiaTheme="minorEastAsia" w:hAnsiTheme="minorEastAsia" w:hint="eastAsia"/>
                <w:color w:val="000000"/>
              </w:rPr>
              <w:t>股票代码</w:t>
            </w:r>
          </w:p>
        </w:tc>
        <w:tc>
          <w:tcPr>
            <w:tcW w:w="1354" w:type="dxa"/>
            <w:tcBorders>
              <w:top w:val="single" w:sz="8" w:space="0" w:color="000000"/>
              <w:left w:val="single" w:sz="8" w:space="0" w:color="000000"/>
              <w:bottom w:val="single" w:sz="4" w:space="0" w:color="000000"/>
              <w:right w:val="single" w:sz="8" w:space="0" w:color="000000"/>
            </w:tcBorders>
            <w:vAlign w:val="center"/>
          </w:tcPr>
          <w:p w14:paraId="49468C63" w14:textId="77777777" w:rsidR="00AC3A9B" w:rsidRDefault="002C3C29">
            <w:pPr>
              <w:pStyle w:val="biaogeleft"/>
              <w:rPr>
                <w:rFonts w:asciiTheme="minorEastAsia" w:eastAsiaTheme="minorEastAsia" w:hAnsiTheme="minorEastAsia"/>
                <w:color w:val="000000"/>
              </w:rPr>
            </w:pPr>
            <w:r>
              <w:rPr>
                <w:rFonts w:asciiTheme="minorEastAsia" w:eastAsiaTheme="minorEastAsia" w:hAnsiTheme="minorEastAsia" w:hint="eastAsia"/>
                <w:color w:val="000000"/>
              </w:rPr>
              <w:t>股票名称</w:t>
            </w:r>
          </w:p>
        </w:tc>
        <w:tc>
          <w:tcPr>
            <w:tcW w:w="1458" w:type="dxa"/>
            <w:tcBorders>
              <w:top w:val="single" w:sz="8" w:space="0" w:color="000000"/>
              <w:left w:val="single" w:sz="8" w:space="0" w:color="000000"/>
              <w:bottom w:val="single" w:sz="4" w:space="0" w:color="000000"/>
              <w:right w:val="single" w:sz="8" w:space="0" w:color="000000"/>
            </w:tcBorders>
            <w:vAlign w:val="center"/>
          </w:tcPr>
          <w:p w14:paraId="32849552" w14:textId="77777777" w:rsidR="00AC3A9B" w:rsidRDefault="002C3C29">
            <w:pPr>
              <w:pStyle w:val="biaogeright"/>
              <w:rPr>
                <w:rFonts w:asciiTheme="minorEastAsia" w:eastAsiaTheme="minorEastAsia" w:hAnsiTheme="minorEastAsia"/>
                <w:color w:val="000000"/>
              </w:rPr>
            </w:pPr>
            <w:r>
              <w:rPr>
                <w:rFonts w:asciiTheme="minorEastAsia" w:eastAsiaTheme="minorEastAsia" w:hAnsiTheme="minorEastAsia" w:hint="eastAsia"/>
                <w:color w:val="000000"/>
              </w:rPr>
              <w:t>数量(股)</w:t>
            </w:r>
          </w:p>
        </w:tc>
        <w:tc>
          <w:tcPr>
            <w:tcW w:w="1971" w:type="dxa"/>
            <w:tcBorders>
              <w:top w:val="single" w:sz="8" w:space="0" w:color="000000"/>
              <w:left w:val="single" w:sz="8" w:space="0" w:color="000000"/>
              <w:bottom w:val="single" w:sz="4" w:space="0" w:color="000000"/>
              <w:right w:val="single" w:sz="8" w:space="0" w:color="000000"/>
            </w:tcBorders>
            <w:vAlign w:val="center"/>
          </w:tcPr>
          <w:p w14:paraId="23613F16" w14:textId="77777777" w:rsidR="00AC3A9B" w:rsidRDefault="002C3C29">
            <w:pPr>
              <w:pStyle w:val="biaogeright"/>
              <w:rPr>
                <w:rFonts w:asciiTheme="minorEastAsia" w:eastAsiaTheme="minorEastAsia" w:hAnsiTheme="minorEastAsia"/>
                <w:color w:val="000000"/>
              </w:rPr>
            </w:pPr>
            <w:r>
              <w:rPr>
                <w:rFonts w:asciiTheme="minorEastAsia" w:eastAsiaTheme="minorEastAsia" w:hAnsiTheme="minorEastAsia" w:hint="eastAsia"/>
                <w:color w:val="000000"/>
              </w:rPr>
              <w:t>公允价值(元)</w:t>
            </w:r>
          </w:p>
        </w:tc>
        <w:tc>
          <w:tcPr>
            <w:tcW w:w="1406" w:type="dxa"/>
            <w:tcBorders>
              <w:top w:val="single" w:sz="8" w:space="0" w:color="000000"/>
              <w:left w:val="single" w:sz="8" w:space="0" w:color="000000"/>
              <w:bottom w:val="single" w:sz="4" w:space="0" w:color="000000"/>
              <w:right w:val="single" w:sz="8" w:space="0" w:color="000000"/>
            </w:tcBorders>
            <w:vAlign w:val="center"/>
          </w:tcPr>
          <w:p w14:paraId="64BDEFBA" w14:textId="77777777" w:rsidR="00AC3A9B" w:rsidRDefault="002C3C29">
            <w:pPr>
              <w:pStyle w:val="biaogeright"/>
              <w:rPr>
                <w:rFonts w:asciiTheme="minorEastAsia" w:eastAsiaTheme="minorEastAsia" w:hAnsiTheme="minorEastAsia"/>
                <w:color w:val="000000"/>
              </w:rPr>
            </w:pPr>
            <w:r>
              <w:rPr>
                <w:rFonts w:asciiTheme="minorEastAsia" w:eastAsiaTheme="minorEastAsia" w:hAnsiTheme="minorEastAsia" w:hint="eastAsia"/>
                <w:color w:val="000000"/>
              </w:rPr>
              <w:t>占基金资产净值比例(%)</w:t>
            </w:r>
          </w:p>
        </w:tc>
      </w:tr>
      <w:tr w:rsidR="001F4508" w14:paraId="1C7E541C" w14:textId="77777777" w:rsidTr="00A73B4E">
        <w:trPr>
          <w:trHeight w:val="396"/>
        </w:trPr>
        <w:tc>
          <w:tcPr>
            <w:tcW w:w="717" w:type="dxa"/>
            <w:tcBorders>
              <w:top w:val="single" w:sz="8" w:space="0" w:color="000000"/>
              <w:left w:val="single" w:sz="8" w:space="0" w:color="000000"/>
              <w:bottom w:val="single" w:sz="6" w:space="0" w:color="000000"/>
              <w:right w:val="single" w:sz="8" w:space="0" w:color="000000"/>
            </w:tcBorders>
            <w:vAlign w:val="center"/>
          </w:tcPr>
          <w:p w14:paraId="2D552BBE" w14:textId="691715C4" w:rsidR="001F4508" w:rsidRDefault="001F4508" w:rsidP="001F4508">
            <w:pPr>
              <w:pStyle w:val="biaogecenter"/>
              <w:wordWrap w:val="0"/>
              <w:rPr>
                <w:rFonts w:asciiTheme="minorEastAsia" w:eastAsiaTheme="minorEastAsia" w:hAnsiTheme="minorEastAsia"/>
                <w:color w:val="000000"/>
              </w:rPr>
            </w:pPr>
            <w:r>
              <w:rPr>
                <w:rFonts w:hAnsi="Calibri" w:hint="eastAsia"/>
                <w:color w:val="000000"/>
              </w:rPr>
              <w:lastRenderedPageBreak/>
              <w:t>1</w:t>
            </w:r>
          </w:p>
        </w:tc>
        <w:tc>
          <w:tcPr>
            <w:tcW w:w="1354" w:type="dxa"/>
            <w:tcBorders>
              <w:top w:val="single" w:sz="8" w:space="0" w:color="000000"/>
              <w:left w:val="single" w:sz="8" w:space="0" w:color="000000"/>
              <w:bottom w:val="single" w:sz="6" w:space="0" w:color="000000"/>
              <w:right w:val="single" w:sz="8" w:space="0" w:color="000000"/>
            </w:tcBorders>
            <w:vAlign w:val="center"/>
          </w:tcPr>
          <w:p w14:paraId="377BDBD6" w14:textId="51F9446A"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601899</w:t>
            </w:r>
          </w:p>
        </w:tc>
        <w:tc>
          <w:tcPr>
            <w:tcW w:w="1354" w:type="dxa"/>
            <w:tcBorders>
              <w:top w:val="single" w:sz="8" w:space="0" w:color="000000"/>
              <w:left w:val="single" w:sz="8" w:space="0" w:color="000000"/>
              <w:bottom w:val="single" w:sz="6" w:space="0" w:color="000000"/>
              <w:right w:val="single" w:sz="8" w:space="0" w:color="000000"/>
            </w:tcBorders>
            <w:vAlign w:val="center"/>
          </w:tcPr>
          <w:p w14:paraId="25AD62FB" w14:textId="62C270F2"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紫金矿业</w:t>
            </w:r>
          </w:p>
        </w:tc>
        <w:tc>
          <w:tcPr>
            <w:tcW w:w="1458" w:type="dxa"/>
            <w:tcBorders>
              <w:top w:val="single" w:sz="8" w:space="0" w:color="000000"/>
              <w:left w:val="single" w:sz="8" w:space="0" w:color="000000"/>
              <w:bottom w:val="single" w:sz="6" w:space="0" w:color="000000"/>
              <w:right w:val="single" w:sz="8" w:space="0" w:color="000000"/>
            </w:tcBorders>
            <w:vAlign w:val="center"/>
          </w:tcPr>
          <w:p w14:paraId="07BB008B" w14:textId="5873D6F8"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2,303,600</w:t>
            </w:r>
          </w:p>
        </w:tc>
        <w:tc>
          <w:tcPr>
            <w:tcW w:w="1971" w:type="dxa"/>
            <w:tcBorders>
              <w:top w:val="single" w:sz="8" w:space="0" w:color="000000"/>
              <w:left w:val="single" w:sz="8" w:space="0" w:color="000000"/>
              <w:bottom w:val="single" w:sz="6" w:space="0" w:color="000000"/>
              <w:right w:val="single" w:sz="8" w:space="0" w:color="000000"/>
            </w:tcBorders>
            <w:vAlign w:val="center"/>
          </w:tcPr>
          <w:p w14:paraId="2C10814E" w14:textId="6F0AC6E0"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26,122,824.00</w:t>
            </w:r>
          </w:p>
        </w:tc>
        <w:tc>
          <w:tcPr>
            <w:tcW w:w="1406" w:type="dxa"/>
            <w:tcBorders>
              <w:top w:val="single" w:sz="8" w:space="0" w:color="000000"/>
              <w:left w:val="single" w:sz="8" w:space="0" w:color="000000"/>
              <w:bottom w:val="single" w:sz="6" w:space="0" w:color="000000"/>
              <w:right w:val="single" w:sz="8" w:space="0" w:color="000000"/>
            </w:tcBorders>
            <w:vAlign w:val="center"/>
          </w:tcPr>
          <w:p w14:paraId="103D58A4" w14:textId="0B7C76F7"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8.22</w:t>
            </w:r>
          </w:p>
        </w:tc>
      </w:tr>
      <w:tr w:rsidR="001F4508" w14:paraId="4EF57AF2" w14:textId="77777777" w:rsidTr="00A73B4E">
        <w:trPr>
          <w:trHeight w:val="396"/>
        </w:trPr>
        <w:tc>
          <w:tcPr>
            <w:tcW w:w="717" w:type="dxa"/>
            <w:tcBorders>
              <w:top w:val="single" w:sz="8" w:space="0" w:color="000000"/>
              <w:left w:val="single" w:sz="8" w:space="0" w:color="000000"/>
              <w:bottom w:val="single" w:sz="6" w:space="0" w:color="000000"/>
              <w:right w:val="single" w:sz="8" w:space="0" w:color="000000"/>
            </w:tcBorders>
            <w:vAlign w:val="center"/>
          </w:tcPr>
          <w:p w14:paraId="356D896B" w14:textId="3930F3A8" w:rsidR="001F4508" w:rsidRDefault="001F4508" w:rsidP="001F4508">
            <w:pPr>
              <w:pStyle w:val="biaogecenter"/>
              <w:wordWrap w:val="0"/>
              <w:rPr>
                <w:rFonts w:asciiTheme="minorEastAsia" w:eastAsiaTheme="minorEastAsia" w:hAnsiTheme="minorEastAsia"/>
                <w:color w:val="000000"/>
              </w:rPr>
            </w:pPr>
            <w:r>
              <w:rPr>
                <w:rFonts w:hAnsi="Calibri" w:hint="eastAsia"/>
                <w:color w:val="000000"/>
              </w:rPr>
              <w:t>2</w:t>
            </w:r>
          </w:p>
        </w:tc>
        <w:tc>
          <w:tcPr>
            <w:tcW w:w="1354" w:type="dxa"/>
            <w:tcBorders>
              <w:top w:val="single" w:sz="8" w:space="0" w:color="000000"/>
              <w:left w:val="single" w:sz="8" w:space="0" w:color="000000"/>
              <w:bottom w:val="single" w:sz="6" w:space="0" w:color="000000"/>
              <w:right w:val="single" w:sz="8" w:space="0" w:color="000000"/>
            </w:tcBorders>
            <w:vAlign w:val="center"/>
          </w:tcPr>
          <w:p w14:paraId="463DA024" w14:textId="40EC914F"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603606</w:t>
            </w:r>
          </w:p>
        </w:tc>
        <w:tc>
          <w:tcPr>
            <w:tcW w:w="1354" w:type="dxa"/>
            <w:tcBorders>
              <w:top w:val="single" w:sz="8" w:space="0" w:color="000000"/>
              <w:left w:val="single" w:sz="8" w:space="0" w:color="000000"/>
              <w:bottom w:val="single" w:sz="6" w:space="0" w:color="000000"/>
              <w:right w:val="single" w:sz="8" w:space="0" w:color="000000"/>
            </w:tcBorders>
            <w:vAlign w:val="center"/>
          </w:tcPr>
          <w:p w14:paraId="45356FDA" w14:textId="4E8F6AA6"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东方电缆</w:t>
            </w:r>
          </w:p>
        </w:tc>
        <w:tc>
          <w:tcPr>
            <w:tcW w:w="1458" w:type="dxa"/>
            <w:tcBorders>
              <w:top w:val="single" w:sz="8" w:space="0" w:color="000000"/>
              <w:left w:val="single" w:sz="8" w:space="0" w:color="000000"/>
              <w:bottom w:val="single" w:sz="6" w:space="0" w:color="000000"/>
              <w:right w:val="single" w:sz="8" w:space="0" w:color="000000"/>
            </w:tcBorders>
            <w:vAlign w:val="center"/>
          </w:tcPr>
          <w:p w14:paraId="2E10D1D1" w14:textId="6EFB522C"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307,000</w:t>
            </w:r>
          </w:p>
        </w:tc>
        <w:tc>
          <w:tcPr>
            <w:tcW w:w="1971" w:type="dxa"/>
            <w:tcBorders>
              <w:top w:val="single" w:sz="8" w:space="0" w:color="000000"/>
              <w:left w:val="single" w:sz="8" w:space="0" w:color="000000"/>
              <w:bottom w:val="single" w:sz="6" w:space="0" w:color="000000"/>
              <w:right w:val="single" w:sz="8" w:space="0" w:color="000000"/>
            </w:tcBorders>
            <w:vAlign w:val="center"/>
          </w:tcPr>
          <w:p w14:paraId="564E0DAD" w14:textId="3A8C4318"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15,825,850.00</w:t>
            </w:r>
          </w:p>
        </w:tc>
        <w:tc>
          <w:tcPr>
            <w:tcW w:w="1406" w:type="dxa"/>
            <w:tcBorders>
              <w:top w:val="single" w:sz="8" w:space="0" w:color="000000"/>
              <w:left w:val="single" w:sz="8" w:space="0" w:color="000000"/>
              <w:bottom w:val="single" w:sz="6" w:space="0" w:color="000000"/>
              <w:right w:val="single" w:sz="8" w:space="0" w:color="000000"/>
            </w:tcBorders>
            <w:vAlign w:val="center"/>
          </w:tcPr>
          <w:p w14:paraId="0B6F7C05" w14:textId="31F6B2C8"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4.98</w:t>
            </w:r>
          </w:p>
        </w:tc>
      </w:tr>
      <w:tr w:rsidR="001F4508" w14:paraId="3D4E9605" w14:textId="77777777" w:rsidTr="00A73B4E">
        <w:trPr>
          <w:trHeight w:val="396"/>
        </w:trPr>
        <w:tc>
          <w:tcPr>
            <w:tcW w:w="717" w:type="dxa"/>
            <w:tcBorders>
              <w:top w:val="single" w:sz="8" w:space="0" w:color="000000"/>
              <w:left w:val="single" w:sz="8" w:space="0" w:color="000000"/>
              <w:bottom w:val="single" w:sz="6" w:space="0" w:color="000000"/>
              <w:right w:val="single" w:sz="8" w:space="0" w:color="000000"/>
            </w:tcBorders>
            <w:vAlign w:val="center"/>
          </w:tcPr>
          <w:p w14:paraId="3A7A796B" w14:textId="1FFA4462" w:rsidR="001F4508" w:rsidRDefault="001F4508" w:rsidP="001F4508">
            <w:pPr>
              <w:pStyle w:val="biaogecenter"/>
              <w:wordWrap w:val="0"/>
              <w:rPr>
                <w:rFonts w:asciiTheme="minorEastAsia" w:eastAsiaTheme="minorEastAsia" w:hAnsiTheme="minorEastAsia"/>
                <w:color w:val="000000"/>
              </w:rPr>
            </w:pPr>
            <w:r>
              <w:rPr>
                <w:rFonts w:hAnsi="Calibri" w:hint="eastAsia"/>
                <w:color w:val="000000"/>
              </w:rPr>
              <w:t>3</w:t>
            </w:r>
          </w:p>
        </w:tc>
        <w:tc>
          <w:tcPr>
            <w:tcW w:w="1354" w:type="dxa"/>
            <w:tcBorders>
              <w:top w:val="single" w:sz="8" w:space="0" w:color="000000"/>
              <w:left w:val="single" w:sz="8" w:space="0" w:color="000000"/>
              <w:bottom w:val="single" w:sz="6" w:space="0" w:color="000000"/>
              <w:right w:val="single" w:sz="8" w:space="0" w:color="000000"/>
            </w:tcBorders>
            <w:vAlign w:val="center"/>
          </w:tcPr>
          <w:p w14:paraId="0790E01B" w14:textId="60356BEF"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300059</w:t>
            </w:r>
          </w:p>
        </w:tc>
        <w:tc>
          <w:tcPr>
            <w:tcW w:w="1354" w:type="dxa"/>
            <w:tcBorders>
              <w:top w:val="single" w:sz="8" w:space="0" w:color="000000"/>
              <w:left w:val="single" w:sz="8" w:space="0" w:color="000000"/>
              <w:bottom w:val="single" w:sz="6" w:space="0" w:color="000000"/>
              <w:right w:val="single" w:sz="8" w:space="0" w:color="000000"/>
            </w:tcBorders>
            <w:vAlign w:val="center"/>
          </w:tcPr>
          <w:p w14:paraId="5BF2244E" w14:textId="7C7AA263"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东方财富</w:t>
            </w:r>
          </w:p>
        </w:tc>
        <w:tc>
          <w:tcPr>
            <w:tcW w:w="1458" w:type="dxa"/>
            <w:tcBorders>
              <w:top w:val="single" w:sz="8" w:space="0" w:color="000000"/>
              <w:left w:val="single" w:sz="8" w:space="0" w:color="000000"/>
              <w:bottom w:val="single" w:sz="6" w:space="0" w:color="000000"/>
              <w:right w:val="single" w:sz="8" w:space="0" w:color="000000"/>
            </w:tcBorders>
            <w:vAlign w:val="center"/>
          </w:tcPr>
          <w:p w14:paraId="73679C86" w14:textId="07B4A5C2"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588,864</w:t>
            </w:r>
          </w:p>
        </w:tc>
        <w:tc>
          <w:tcPr>
            <w:tcW w:w="1971" w:type="dxa"/>
            <w:tcBorders>
              <w:top w:val="single" w:sz="8" w:space="0" w:color="000000"/>
              <w:left w:val="single" w:sz="8" w:space="0" w:color="000000"/>
              <w:bottom w:val="single" w:sz="6" w:space="0" w:color="000000"/>
              <w:right w:val="single" w:sz="8" w:space="0" w:color="000000"/>
            </w:tcBorders>
            <w:vAlign w:val="center"/>
          </w:tcPr>
          <w:p w14:paraId="68ECB8DD" w14:textId="3847A545"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14,921,813.76</w:t>
            </w:r>
          </w:p>
        </w:tc>
        <w:tc>
          <w:tcPr>
            <w:tcW w:w="1406" w:type="dxa"/>
            <w:tcBorders>
              <w:top w:val="single" w:sz="8" w:space="0" w:color="000000"/>
              <w:left w:val="single" w:sz="8" w:space="0" w:color="000000"/>
              <w:bottom w:val="single" w:sz="6" w:space="0" w:color="000000"/>
              <w:right w:val="single" w:sz="8" w:space="0" w:color="000000"/>
            </w:tcBorders>
            <w:vAlign w:val="center"/>
          </w:tcPr>
          <w:p w14:paraId="5C7CDD9C" w14:textId="2F9C1ED6"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4.70</w:t>
            </w:r>
          </w:p>
        </w:tc>
      </w:tr>
      <w:tr w:rsidR="001F4508" w14:paraId="03073899" w14:textId="77777777" w:rsidTr="00A73B4E">
        <w:trPr>
          <w:trHeight w:val="396"/>
        </w:trPr>
        <w:tc>
          <w:tcPr>
            <w:tcW w:w="717" w:type="dxa"/>
            <w:tcBorders>
              <w:top w:val="single" w:sz="8" w:space="0" w:color="000000"/>
              <w:left w:val="single" w:sz="8" w:space="0" w:color="000000"/>
              <w:bottom w:val="single" w:sz="6" w:space="0" w:color="000000"/>
              <w:right w:val="single" w:sz="8" w:space="0" w:color="000000"/>
            </w:tcBorders>
            <w:vAlign w:val="center"/>
          </w:tcPr>
          <w:p w14:paraId="0ADE0A52" w14:textId="03094761" w:rsidR="001F4508" w:rsidRDefault="001F4508" w:rsidP="001F4508">
            <w:pPr>
              <w:pStyle w:val="biaogecenter"/>
              <w:wordWrap w:val="0"/>
              <w:rPr>
                <w:rFonts w:asciiTheme="minorEastAsia" w:eastAsiaTheme="minorEastAsia" w:hAnsiTheme="minorEastAsia"/>
                <w:color w:val="000000"/>
              </w:rPr>
            </w:pPr>
            <w:r>
              <w:rPr>
                <w:rFonts w:hAnsi="Calibri" w:hint="eastAsia"/>
                <w:color w:val="000000"/>
              </w:rPr>
              <w:t>4</w:t>
            </w:r>
          </w:p>
        </w:tc>
        <w:tc>
          <w:tcPr>
            <w:tcW w:w="1354" w:type="dxa"/>
            <w:tcBorders>
              <w:top w:val="single" w:sz="8" w:space="0" w:color="000000"/>
              <w:left w:val="single" w:sz="8" w:space="0" w:color="000000"/>
              <w:bottom w:val="single" w:sz="6" w:space="0" w:color="000000"/>
              <w:right w:val="single" w:sz="8" w:space="0" w:color="000000"/>
            </w:tcBorders>
            <w:vAlign w:val="center"/>
          </w:tcPr>
          <w:p w14:paraId="033EB0BA" w14:textId="1357B842"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600809</w:t>
            </w:r>
          </w:p>
        </w:tc>
        <w:tc>
          <w:tcPr>
            <w:tcW w:w="1354" w:type="dxa"/>
            <w:tcBorders>
              <w:top w:val="single" w:sz="8" w:space="0" w:color="000000"/>
              <w:left w:val="single" w:sz="8" w:space="0" w:color="000000"/>
              <w:bottom w:val="single" w:sz="6" w:space="0" w:color="000000"/>
              <w:right w:val="single" w:sz="8" w:space="0" w:color="000000"/>
            </w:tcBorders>
            <w:vAlign w:val="center"/>
          </w:tcPr>
          <w:p w14:paraId="170E873F" w14:textId="27447E84"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山西汾酒</w:t>
            </w:r>
          </w:p>
        </w:tc>
        <w:tc>
          <w:tcPr>
            <w:tcW w:w="1458" w:type="dxa"/>
            <w:tcBorders>
              <w:top w:val="single" w:sz="8" w:space="0" w:color="000000"/>
              <w:left w:val="single" w:sz="8" w:space="0" w:color="000000"/>
              <w:bottom w:val="single" w:sz="6" w:space="0" w:color="000000"/>
              <w:right w:val="single" w:sz="8" w:space="0" w:color="000000"/>
            </w:tcBorders>
            <w:vAlign w:val="center"/>
          </w:tcPr>
          <w:p w14:paraId="23672DCB" w14:textId="09B64CD2"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55,200</w:t>
            </w:r>
          </w:p>
        </w:tc>
        <w:tc>
          <w:tcPr>
            <w:tcW w:w="1971" w:type="dxa"/>
            <w:tcBorders>
              <w:top w:val="single" w:sz="8" w:space="0" w:color="000000"/>
              <w:left w:val="single" w:sz="8" w:space="0" w:color="000000"/>
              <w:bottom w:val="single" w:sz="6" w:space="0" w:color="000000"/>
              <w:right w:val="single" w:sz="8" w:space="0" w:color="000000"/>
            </w:tcBorders>
            <w:vAlign w:val="center"/>
          </w:tcPr>
          <w:p w14:paraId="48548E2D" w14:textId="31ADD6FA"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14,070,480.00</w:t>
            </w:r>
          </w:p>
        </w:tc>
        <w:tc>
          <w:tcPr>
            <w:tcW w:w="1406" w:type="dxa"/>
            <w:tcBorders>
              <w:top w:val="single" w:sz="8" w:space="0" w:color="000000"/>
              <w:left w:val="single" w:sz="8" w:space="0" w:color="000000"/>
              <w:bottom w:val="single" w:sz="6" w:space="0" w:color="000000"/>
              <w:right w:val="single" w:sz="8" w:space="0" w:color="000000"/>
            </w:tcBorders>
            <w:vAlign w:val="center"/>
          </w:tcPr>
          <w:p w14:paraId="6EDF2E7C" w14:textId="751D019E"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4.43</w:t>
            </w:r>
          </w:p>
        </w:tc>
      </w:tr>
      <w:tr w:rsidR="001F4508" w14:paraId="208EAE65" w14:textId="77777777" w:rsidTr="00A73B4E">
        <w:trPr>
          <w:trHeight w:val="396"/>
        </w:trPr>
        <w:tc>
          <w:tcPr>
            <w:tcW w:w="717" w:type="dxa"/>
            <w:tcBorders>
              <w:top w:val="single" w:sz="8" w:space="0" w:color="000000"/>
              <w:left w:val="single" w:sz="8" w:space="0" w:color="000000"/>
              <w:bottom w:val="single" w:sz="6" w:space="0" w:color="000000"/>
              <w:right w:val="single" w:sz="8" w:space="0" w:color="000000"/>
            </w:tcBorders>
            <w:vAlign w:val="center"/>
          </w:tcPr>
          <w:p w14:paraId="4712E846" w14:textId="25E0CB9A" w:rsidR="001F4508" w:rsidRDefault="001F4508" w:rsidP="001F4508">
            <w:pPr>
              <w:pStyle w:val="biaogecenter"/>
              <w:wordWrap w:val="0"/>
              <w:rPr>
                <w:rFonts w:asciiTheme="minorEastAsia" w:eastAsiaTheme="minorEastAsia" w:hAnsiTheme="minorEastAsia"/>
                <w:color w:val="000000"/>
              </w:rPr>
            </w:pPr>
            <w:r>
              <w:rPr>
                <w:rFonts w:hAnsi="Calibri" w:hint="eastAsia"/>
                <w:color w:val="000000"/>
              </w:rPr>
              <w:t>5</w:t>
            </w:r>
          </w:p>
        </w:tc>
        <w:tc>
          <w:tcPr>
            <w:tcW w:w="1354" w:type="dxa"/>
            <w:tcBorders>
              <w:top w:val="single" w:sz="8" w:space="0" w:color="000000"/>
              <w:left w:val="single" w:sz="8" w:space="0" w:color="000000"/>
              <w:bottom w:val="single" w:sz="6" w:space="0" w:color="000000"/>
              <w:right w:val="single" w:sz="8" w:space="0" w:color="000000"/>
            </w:tcBorders>
            <w:vAlign w:val="center"/>
          </w:tcPr>
          <w:p w14:paraId="3B65A318" w14:textId="74D41191"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600438</w:t>
            </w:r>
          </w:p>
        </w:tc>
        <w:tc>
          <w:tcPr>
            <w:tcW w:w="1354" w:type="dxa"/>
            <w:tcBorders>
              <w:top w:val="single" w:sz="8" w:space="0" w:color="000000"/>
              <w:left w:val="single" w:sz="8" w:space="0" w:color="000000"/>
              <w:bottom w:val="single" w:sz="6" w:space="0" w:color="000000"/>
              <w:right w:val="single" w:sz="8" w:space="0" w:color="000000"/>
            </w:tcBorders>
            <w:vAlign w:val="center"/>
          </w:tcPr>
          <w:p w14:paraId="452E9C25" w14:textId="06B2DB98"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通威股份</w:t>
            </w:r>
          </w:p>
        </w:tc>
        <w:tc>
          <w:tcPr>
            <w:tcW w:w="1458" w:type="dxa"/>
            <w:tcBorders>
              <w:top w:val="single" w:sz="8" w:space="0" w:color="000000"/>
              <w:left w:val="single" w:sz="8" w:space="0" w:color="000000"/>
              <w:bottom w:val="single" w:sz="6" w:space="0" w:color="000000"/>
              <w:right w:val="single" w:sz="8" w:space="0" w:color="000000"/>
            </w:tcBorders>
            <w:vAlign w:val="center"/>
          </w:tcPr>
          <w:p w14:paraId="28291BC6" w14:textId="169F09B3"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315,100</w:t>
            </w:r>
          </w:p>
        </w:tc>
        <w:tc>
          <w:tcPr>
            <w:tcW w:w="1971" w:type="dxa"/>
            <w:tcBorders>
              <w:top w:val="single" w:sz="8" w:space="0" w:color="000000"/>
              <w:left w:val="single" w:sz="8" w:space="0" w:color="000000"/>
              <w:bottom w:val="single" w:sz="6" w:space="0" w:color="000000"/>
              <w:right w:val="single" w:sz="8" w:space="0" w:color="000000"/>
            </w:tcBorders>
            <w:vAlign w:val="center"/>
          </w:tcPr>
          <w:p w14:paraId="4C1B36B9" w14:textId="6E43C355"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13,451,619.00</w:t>
            </w:r>
          </w:p>
        </w:tc>
        <w:tc>
          <w:tcPr>
            <w:tcW w:w="1406" w:type="dxa"/>
            <w:tcBorders>
              <w:top w:val="single" w:sz="8" w:space="0" w:color="000000"/>
              <w:left w:val="single" w:sz="8" w:space="0" w:color="000000"/>
              <w:bottom w:val="single" w:sz="6" w:space="0" w:color="000000"/>
              <w:right w:val="single" w:sz="8" w:space="0" w:color="000000"/>
            </w:tcBorders>
            <w:vAlign w:val="center"/>
          </w:tcPr>
          <w:p w14:paraId="4B0F2F19" w14:textId="38A993A2"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4.23</w:t>
            </w:r>
          </w:p>
        </w:tc>
      </w:tr>
      <w:tr w:rsidR="001F4508" w14:paraId="7BB76639" w14:textId="77777777" w:rsidTr="00A73B4E">
        <w:trPr>
          <w:trHeight w:val="396"/>
        </w:trPr>
        <w:tc>
          <w:tcPr>
            <w:tcW w:w="717" w:type="dxa"/>
            <w:tcBorders>
              <w:top w:val="single" w:sz="8" w:space="0" w:color="000000"/>
              <w:left w:val="single" w:sz="8" w:space="0" w:color="000000"/>
              <w:bottom w:val="single" w:sz="6" w:space="0" w:color="000000"/>
              <w:right w:val="single" w:sz="8" w:space="0" w:color="000000"/>
            </w:tcBorders>
            <w:vAlign w:val="center"/>
          </w:tcPr>
          <w:p w14:paraId="1CC52A24" w14:textId="4046E596" w:rsidR="001F4508" w:rsidRDefault="001F4508" w:rsidP="001F4508">
            <w:pPr>
              <w:pStyle w:val="biaogecenter"/>
              <w:wordWrap w:val="0"/>
              <w:rPr>
                <w:rFonts w:asciiTheme="minorEastAsia" w:eastAsiaTheme="minorEastAsia" w:hAnsiTheme="minorEastAsia"/>
                <w:color w:val="000000"/>
              </w:rPr>
            </w:pPr>
            <w:r>
              <w:rPr>
                <w:rFonts w:hAnsi="Calibri" w:hint="eastAsia"/>
                <w:color w:val="000000"/>
              </w:rPr>
              <w:t>6</w:t>
            </w:r>
          </w:p>
        </w:tc>
        <w:tc>
          <w:tcPr>
            <w:tcW w:w="1354" w:type="dxa"/>
            <w:tcBorders>
              <w:top w:val="single" w:sz="8" w:space="0" w:color="000000"/>
              <w:left w:val="single" w:sz="8" w:space="0" w:color="000000"/>
              <w:bottom w:val="single" w:sz="6" w:space="0" w:color="000000"/>
              <w:right w:val="single" w:sz="8" w:space="0" w:color="000000"/>
            </w:tcBorders>
            <w:vAlign w:val="center"/>
          </w:tcPr>
          <w:p w14:paraId="52EE6B90" w14:textId="5C917C26"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600519</w:t>
            </w:r>
          </w:p>
        </w:tc>
        <w:tc>
          <w:tcPr>
            <w:tcW w:w="1354" w:type="dxa"/>
            <w:tcBorders>
              <w:top w:val="single" w:sz="8" w:space="0" w:color="000000"/>
              <w:left w:val="single" w:sz="8" w:space="0" w:color="000000"/>
              <w:bottom w:val="single" w:sz="6" w:space="0" w:color="000000"/>
              <w:right w:val="single" w:sz="8" w:space="0" w:color="000000"/>
            </w:tcBorders>
            <w:vAlign w:val="center"/>
          </w:tcPr>
          <w:p w14:paraId="1FA14DE7" w14:textId="0D86505B"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贵州茅台</w:t>
            </w:r>
          </w:p>
        </w:tc>
        <w:tc>
          <w:tcPr>
            <w:tcW w:w="1458" w:type="dxa"/>
            <w:tcBorders>
              <w:top w:val="single" w:sz="8" w:space="0" w:color="000000"/>
              <w:left w:val="single" w:sz="8" w:space="0" w:color="000000"/>
              <w:bottom w:val="single" w:sz="6" w:space="0" w:color="000000"/>
              <w:right w:val="single" w:sz="8" w:space="0" w:color="000000"/>
            </w:tcBorders>
            <w:vAlign w:val="center"/>
          </w:tcPr>
          <w:p w14:paraId="0A36618D" w14:textId="74C5609D"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7,276</w:t>
            </w:r>
          </w:p>
        </w:tc>
        <w:tc>
          <w:tcPr>
            <w:tcW w:w="1971" w:type="dxa"/>
            <w:tcBorders>
              <w:top w:val="single" w:sz="8" w:space="0" w:color="000000"/>
              <w:left w:val="single" w:sz="8" w:space="0" w:color="000000"/>
              <w:bottom w:val="single" w:sz="6" w:space="0" w:color="000000"/>
              <w:right w:val="single" w:sz="8" w:space="0" w:color="000000"/>
            </w:tcBorders>
            <w:vAlign w:val="center"/>
          </w:tcPr>
          <w:p w14:paraId="63490E66" w14:textId="531851A8"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12,507,444.00</w:t>
            </w:r>
          </w:p>
        </w:tc>
        <w:tc>
          <w:tcPr>
            <w:tcW w:w="1406" w:type="dxa"/>
            <w:tcBorders>
              <w:top w:val="single" w:sz="8" w:space="0" w:color="000000"/>
              <w:left w:val="single" w:sz="8" w:space="0" w:color="000000"/>
              <w:bottom w:val="single" w:sz="6" w:space="0" w:color="000000"/>
              <w:right w:val="single" w:sz="8" w:space="0" w:color="000000"/>
            </w:tcBorders>
            <w:vAlign w:val="center"/>
          </w:tcPr>
          <w:p w14:paraId="04BA5765" w14:textId="67018627"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3.94</w:t>
            </w:r>
          </w:p>
        </w:tc>
      </w:tr>
      <w:tr w:rsidR="001F4508" w14:paraId="33C165EC" w14:textId="77777777" w:rsidTr="00A73B4E">
        <w:trPr>
          <w:trHeight w:val="396"/>
        </w:trPr>
        <w:tc>
          <w:tcPr>
            <w:tcW w:w="717" w:type="dxa"/>
            <w:tcBorders>
              <w:top w:val="single" w:sz="8" w:space="0" w:color="000000"/>
              <w:left w:val="single" w:sz="8" w:space="0" w:color="000000"/>
              <w:bottom w:val="single" w:sz="6" w:space="0" w:color="000000"/>
              <w:right w:val="single" w:sz="8" w:space="0" w:color="000000"/>
            </w:tcBorders>
            <w:vAlign w:val="center"/>
          </w:tcPr>
          <w:p w14:paraId="45D9A32D" w14:textId="39A2B753" w:rsidR="001F4508" w:rsidRDefault="001F4508" w:rsidP="001F4508">
            <w:pPr>
              <w:pStyle w:val="biaogecenter"/>
              <w:wordWrap w:val="0"/>
              <w:rPr>
                <w:rFonts w:asciiTheme="minorEastAsia" w:eastAsiaTheme="minorEastAsia" w:hAnsiTheme="minorEastAsia"/>
                <w:color w:val="000000"/>
              </w:rPr>
            </w:pPr>
            <w:r>
              <w:rPr>
                <w:rFonts w:hAnsi="Calibri" w:hint="eastAsia"/>
                <w:color w:val="000000"/>
              </w:rPr>
              <w:t>7</w:t>
            </w:r>
          </w:p>
        </w:tc>
        <w:tc>
          <w:tcPr>
            <w:tcW w:w="1354" w:type="dxa"/>
            <w:tcBorders>
              <w:top w:val="single" w:sz="8" w:space="0" w:color="000000"/>
              <w:left w:val="single" w:sz="8" w:space="0" w:color="000000"/>
              <w:bottom w:val="single" w:sz="6" w:space="0" w:color="000000"/>
              <w:right w:val="single" w:sz="8" w:space="0" w:color="000000"/>
            </w:tcBorders>
            <w:vAlign w:val="center"/>
          </w:tcPr>
          <w:p w14:paraId="4955C299" w14:textId="40846421"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300146</w:t>
            </w:r>
          </w:p>
        </w:tc>
        <w:tc>
          <w:tcPr>
            <w:tcW w:w="1354" w:type="dxa"/>
            <w:tcBorders>
              <w:top w:val="single" w:sz="8" w:space="0" w:color="000000"/>
              <w:left w:val="single" w:sz="8" w:space="0" w:color="000000"/>
              <w:bottom w:val="single" w:sz="6" w:space="0" w:color="000000"/>
              <w:right w:val="single" w:sz="8" w:space="0" w:color="000000"/>
            </w:tcBorders>
            <w:vAlign w:val="center"/>
          </w:tcPr>
          <w:p w14:paraId="7A174BD5" w14:textId="32021749"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汤臣倍健</w:t>
            </w:r>
          </w:p>
        </w:tc>
        <w:tc>
          <w:tcPr>
            <w:tcW w:w="1458" w:type="dxa"/>
            <w:tcBorders>
              <w:top w:val="single" w:sz="8" w:space="0" w:color="000000"/>
              <w:left w:val="single" w:sz="8" w:space="0" w:color="000000"/>
              <w:bottom w:val="single" w:sz="6" w:space="0" w:color="000000"/>
              <w:right w:val="single" w:sz="8" w:space="0" w:color="000000"/>
            </w:tcBorders>
            <w:vAlign w:val="center"/>
          </w:tcPr>
          <w:p w14:paraId="6AC52BED" w14:textId="1544286F"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580,762</w:t>
            </w:r>
          </w:p>
        </w:tc>
        <w:tc>
          <w:tcPr>
            <w:tcW w:w="1971" w:type="dxa"/>
            <w:tcBorders>
              <w:top w:val="single" w:sz="8" w:space="0" w:color="000000"/>
              <w:left w:val="single" w:sz="8" w:space="0" w:color="000000"/>
              <w:bottom w:val="single" w:sz="6" w:space="0" w:color="000000"/>
              <w:right w:val="single" w:sz="8" w:space="0" w:color="000000"/>
            </w:tcBorders>
            <w:vAlign w:val="center"/>
          </w:tcPr>
          <w:p w14:paraId="2933258D" w14:textId="72CFE6CA"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12,364,422.98</w:t>
            </w:r>
          </w:p>
        </w:tc>
        <w:tc>
          <w:tcPr>
            <w:tcW w:w="1406" w:type="dxa"/>
            <w:tcBorders>
              <w:top w:val="single" w:sz="8" w:space="0" w:color="000000"/>
              <w:left w:val="single" w:sz="8" w:space="0" w:color="000000"/>
              <w:bottom w:val="single" w:sz="6" w:space="0" w:color="000000"/>
              <w:right w:val="single" w:sz="8" w:space="0" w:color="000000"/>
            </w:tcBorders>
            <w:vAlign w:val="center"/>
          </w:tcPr>
          <w:p w14:paraId="2A344ED7" w14:textId="2CD5C3A0"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3.89</w:t>
            </w:r>
          </w:p>
        </w:tc>
      </w:tr>
      <w:tr w:rsidR="001F4508" w14:paraId="183A2556" w14:textId="77777777" w:rsidTr="00A73B4E">
        <w:trPr>
          <w:trHeight w:val="396"/>
        </w:trPr>
        <w:tc>
          <w:tcPr>
            <w:tcW w:w="717" w:type="dxa"/>
            <w:tcBorders>
              <w:top w:val="single" w:sz="8" w:space="0" w:color="000000"/>
              <w:left w:val="single" w:sz="8" w:space="0" w:color="000000"/>
              <w:bottom w:val="single" w:sz="6" w:space="0" w:color="000000"/>
              <w:right w:val="single" w:sz="8" w:space="0" w:color="000000"/>
            </w:tcBorders>
            <w:vAlign w:val="center"/>
          </w:tcPr>
          <w:p w14:paraId="1D6FE415" w14:textId="25CDCE03" w:rsidR="001F4508" w:rsidRDefault="001F4508" w:rsidP="001F4508">
            <w:pPr>
              <w:pStyle w:val="biaogecenter"/>
              <w:wordWrap w:val="0"/>
              <w:rPr>
                <w:rFonts w:asciiTheme="minorEastAsia" w:eastAsiaTheme="minorEastAsia" w:hAnsiTheme="minorEastAsia"/>
                <w:color w:val="000000"/>
              </w:rPr>
            </w:pPr>
            <w:r>
              <w:rPr>
                <w:rFonts w:hAnsi="Calibri" w:hint="eastAsia"/>
                <w:color w:val="000000"/>
              </w:rPr>
              <w:t>8</w:t>
            </w:r>
          </w:p>
        </w:tc>
        <w:tc>
          <w:tcPr>
            <w:tcW w:w="1354" w:type="dxa"/>
            <w:tcBorders>
              <w:top w:val="single" w:sz="8" w:space="0" w:color="000000"/>
              <w:left w:val="single" w:sz="8" w:space="0" w:color="000000"/>
              <w:bottom w:val="single" w:sz="6" w:space="0" w:color="000000"/>
              <w:right w:val="single" w:sz="8" w:space="0" w:color="000000"/>
            </w:tcBorders>
            <w:vAlign w:val="center"/>
          </w:tcPr>
          <w:p w14:paraId="688DA8D5" w14:textId="1FBEAEDD"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300015</w:t>
            </w:r>
          </w:p>
        </w:tc>
        <w:tc>
          <w:tcPr>
            <w:tcW w:w="1354" w:type="dxa"/>
            <w:tcBorders>
              <w:top w:val="single" w:sz="8" w:space="0" w:color="000000"/>
              <w:left w:val="single" w:sz="8" w:space="0" w:color="000000"/>
              <w:bottom w:val="single" w:sz="6" w:space="0" w:color="000000"/>
              <w:right w:val="single" w:sz="8" w:space="0" w:color="000000"/>
            </w:tcBorders>
            <w:vAlign w:val="center"/>
          </w:tcPr>
          <w:p w14:paraId="1D92DDDB" w14:textId="714710AD"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爱尔眼科</w:t>
            </w:r>
          </w:p>
        </w:tc>
        <w:tc>
          <w:tcPr>
            <w:tcW w:w="1458" w:type="dxa"/>
            <w:tcBorders>
              <w:top w:val="single" w:sz="8" w:space="0" w:color="000000"/>
              <w:left w:val="single" w:sz="8" w:space="0" w:color="000000"/>
              <w:bottom w:val="single" w:sz="6" w:space="0" w:color="000000"/>
              <w:right w:val="single" w:sz="8" w:space="0" w:color="000000"/>
            </w:tcBorders>
            <w:vAlign w:val="center"/>
          </w:tcPr>
          <w:p w14:paraId="2655D24F" w14:textId="4E57A61F"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297,344</w:t>
            </w:r>
          </w:p>
        </w:tc>
        <w:tc>
          <w:tcPr>
            <w:tcW w:w="1971" w:type="dxa"/>
            <w:tcBorders>
              <w:top w:val="single" w:sz="8" w:space="0" w:color="000000"/>
              <w:left w:val="single" w:sz="8" w:space="0" w:color="000000"/>
              <w:bottom w:val="single" w:sz="6" w:space="0" w:color="000000"/>
              <w:right w:val="single" w:sz="8" w:space="0" w:color="000000"/>
            </w:tcBorders>
            <w:vAlign w:val="center"/>
          </w:tcPr>
          <w:p w14:paraId="4571D992" w14:textId="138CD50C"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9,381,203.20</w:t>
            </w:r>
          </w:p>
        </w:tc>
        <w:tc>
          <w:tcPr>
            <w:tcW w:w="1406" w:type="dxa"/>
            <w:tcBorders>
              <w:top w:val="single" w:sz="8" w:space="0" w:color="000000"/>
              <w:left w:val="single" w:sz="8" w:space="0" w:color="000000"/>
              <w:bottom w:val="single" w:sz="6" w:space="0" w:color="000000"/>
              <w:right w:val="single" w:sz="8" w:space="0" w:color="000000"/>
            </w:tcBorders>
            <w:vAlign w:val="center"/>
          </w:tcPr>
          <w:p w14:paraId="3BB48AB5" w14:textId="1CD5E269"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2.95</w:t>
            </w:r>
          </w:p>
        </w:tc>
      </w:tr>
      <w:tr w:rsidR="001F4508" w14:paraId="072E28E2" w14:textId="77777777" w:rsidTr="00A73B4E">
        <w:trPr>
          <w:trHeight w:val="396"/>
        </w:trPr>
        <w:tc>
          <w:tcPr>
            <w:tcW w:w="717" w:type="dxa"/>
            <w:tcBorders>
              <w:top w:val="single" w:sz="8" w:space="0" w:color="000000"/>
              <w:left w:val="single" w:sz="8" w:space="0" w:color="000000"/>
              <w:bottom w:val="single" w:sz="6" w:space="0" w:color="000000"/>
              <w:right w:val="single" w:sz="8" w:space="0" w:color="000000"/>
            </w:tcBorders>
            <w:vAlign w:val="center"/>
          </w:tcPr>
          <w:p w14:paraId="09B71715" w14:textId="677CDF5F" w:rsidR="001F4508" w:rsidRDefault="001F4508" w:rsidP="001F4508">
            <w:pPr>
              <w:pStyle w:val="biaogecenter"/>
              <w:wordWrap w:val="0"/>
              <w:rPr>
                <w:rFonts w:asciiTheme="minorEastAsia" w:eastAsiaTheme="minorEastAsia" w:hAnsiTheme="minorEastAsia"/>
                <w:color w:val="000000"/>
              </w:rPr>
            </w:pPr>
            <w:r>
              <w:rPr>
                <w:rFonts w:hAnsi="Calibri" w:hint="eastAsia"/>
                <w:color w:val="000000"/>
              </w:rPr>
              <w:t>9</w:t>
            </w:r>
          </w:p>
        </w:tc>
        <w:tc>
          <w:tcPr>
            <w:tcW w:w="1354" w:type="dxa"/>
            <w:tcBorders>
              <w:top w:val="single" w:sz="8" w:space="0" w:color="000000"/>
              <w:left w:val="single" w:sz="8" w:space="0" w:color="000000"/>
              <w:bottom w:val="single" w:sz="6" w:space="0" w:color="000000"/>
              <w:right w:val="single" w:sz="8" w:space="0" w:color="000000"/>
            </w:tcBorders>
            <w:vAlign w:val="center"/>
          </w:tcPr>
          <w:p w14:paraId="4FFD3501" w14:textId="545BA0B3"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601888</w:t>
            </w:r>
          </w:p>
        </w:tc>
        <w:tc>
          <w:tcPr>
            <w:tcW w:w="1354" w:type="dxa"/>
            <w:tcBorders>
              <w:top w:val="single" w:sz="8" w:space="0" w:color="000000"/>
              <w:left w:val="single" w:sz="8" w:space="0" w:color="000000"/>
              <w:bottom w:val="single" w:sz="6" w:space="0" w:color="000000"/>
              <w:right w:val="single" w:sz="8" w:space="0" w:color="000000"/>
            </w:tcBorders>
            <w:vAlign w:val="center"/>
          </w:tcPr>
          <w:p w14:paraId="3FE73FEE" w14:textId="5A30C29A"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中国中免</w:t>
            </w:r>
          </w:p>
        </w:tc>
        <w:tc>
          <w:tcPr>
            <w:tcW w:w="1458" w:type="dxa"/>
            <w:tcBorders>
              <w:top w:val="single" w:sz="8" w:space="0" w:color="000000"/>
              <w:left w:val="single" w:sz="8" w:space="0" w:color="000000"/>
              <w:bottom w:val="single" w:sz="6" w:space="0" w:color="000000"/>
              <w:right w:val="single" w:sz="8" w:space="0" w:color="000000"/>
            </w:tcBorders>
            <w:vAlign w:val="center"/>
          </w:tcPr>
          <w:p w14:paraId="258C5BC3" w14:textId="1BA6640A"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56,800</w:t>
            </w:r>
          </w:p>
        </w:tc>
        <w:tc>
          <w:tcPr>
            <w:tcW w:w="1971" w:type="dxa"/>
            <w:tcBorders>
              <w:top w:val="single" w:sz="8" w:space="0" w:color="000000"/>
              <w:left w:val="single" w:sz="8" w:space="0" w:color="000000"/>
              <w:bottom w:val="single" w:sz="6" w:space="0" w:color="000000"/>
              <w:right w:val="single" w:sz="8" w:space="0" w:color="000000"/>
            </w:tcBorders>
            <w:vAlign w:val="center"/>
          </w:tcPr>
          <w:p w14:paraId="14A91A90" w14:textId="5958A228"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9,336,216.00</w:t>
            </w:r>
          </w:p>
        </w:tc>
        <w:tc>
          <w:tcPr>
            <w:tcW w:w="1406" w:type="dxa"/>
            <w:tcBorders>
              <w:top w:val="single" w:sz="8" w:space="0" w:color="000000"/>
              <w:left w:val="single" w:sz="8" w:space="0" w:color="000000"/>
              <w:bottom w:val="single" w:sz="6" w:space="0" w:color="000000"/>
              <w:right w:val="single" w:sz="8" w:space="0" w:color="000000"/>
            </w:tcBorders>
            <w:vAlign w:val="center"/>
          </w:tcPr>
          <w:p w14:paraId="366CCE2B" w14:textId="3851C028"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2.94</w:t>
            </w:r>
          </w:p>
        </w:tc>
      </w:tr>
      <w:tr w:rsidR="001F4508" w14:paraId="586885AD" w14:textId="77777777" w:rsidTr="00A73B4E">
        <w:trPr>
          <w:trHeight w:val="396"/>
        </w:trPr>
        <w:tc>
          <w:tcPr>
            <w:tcW w:w="717" w:type="dxa"/>
            <w:tcBorders>
              <w:top w:val="single" w:sz="8" w:space="0" w:color="000000"/>
              <w:left w:val="single" w:sz="8" w:space="0" w:color="000000"/>
              <w:bottom w:val="single" w:sz="6" w:space="0" w:color="000000"/>
              <w:right w:val="single" w:sz="8" w:space="0" w:color="000000"/>
            </w:tcBorders>
            <w:vAlign w:val="center"/>
          </w:tcPr>
          <w:p w14:paraId="10E310BD" w14:textId="402A843C" w:rsidR="001F4508" w:rsidRDefault="001F4508" w:rsidP="001F4508">
            <w:pPr>
              <w:pStyle w:val="biaogecenter"/>
              <w:wordWrap w:val="0"/>
              <w:rPr>
                <w:rFonts w:asciiTheme="minorEastAsia" w:eastAsiaTheme="minorEastAsia" w:hAnsiTheme="minorEastAsia"/>
                <w:color w:val="000000"/>
              </w:rPr>
            </w:pPr>
            <w:r>
              <w:rPr>
                <w:rFonts w:hAnsi="Calibri" w:hint="eastAsia"/>
                <w:color w:val="000000"/>
              </w:rPr>
              <w:t>10</w:t>
            </w:r>
          </w:p>
        </w:tc>
        <w:tc>
          <w:tcPr>
            <w:tcW w:w="1354" w:type="dxa"/>
            <w:tcBorders>
              <w:top w:val="single" w:sz="8" w:space="0" w:color="000000"/>
              <w:left w:val="single" w:sz="8" w:space="0" w:color="000000"/>
              <w:bottom w:val="single" w:sz="6" w:space="0" w:color="000000"/>
              <w:right w:val="single" w:sz="8" w:space="0" w:color="000000"/>
            </w:tcBorders>
            <w:vAlign w:val="center"/>
          </w:tcPr>
          <w:p w14:paraId="7205E3B2" w14:textId="3345A064"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600426</w:t>
            </w:r>
          </w:p>
        </w:tc>
        <w:tc>
          <w:tcPr>
            <w:tcW w:w="1354" w:type="dxa"/>
            <w:tcBorders>
              <w:top w:val="single" w:sz="8" w:space="0" w:color="000000"/>
              <w:left w:val="single" w:sz="8" w:space="0" w:color="000000"/>
              <w:bottom w:val="single" w:sz="6" w:space="0" w:color="000000"/>
              <w:right w:val="single" w:sz="8" w:space="0" w:color="000000"/>
            </w:tcBorders>
            <w:vAlign w:val="center"/>
          </w:tcPr>
          <w:p w14:paraId="66FD16FA" w14:textId="62FFBFF1" w:rsidR="001F4508" w:rsidRDefault="001F4508" w:rsidP="001F4508">
            <w:pPr>
              <w:pStyle w:val="biaogeleft"/>
              <w:wordWrap w:val="0"/>
              <w:rPr>
                <w:rFonts w:asciiTheme="minorEastAsia" w:eastAsiaTheme="minorEastAsia" w:hAnsiTheme="minorEastAsia"/>
                <w:color w:val="000000"/>
              </w:rPr>
            </w:pPr>
            <w:r w:rsidRPr="00E16997">
              <w:rPr>
                <w:rFonts w:hAnsi="等线" w:hint="eastAsia"/>
                <w:color w:val="000000"/>
              </w:rPr>
              <w:t>华鲁恒升</w:t>
            </w:r>
          </w:p>
        </w:tc>
        <w:tc>
          <w:tcPr>
            <w:tcW w:w="1458" w:type="dxa"/>
            <w:tcBorders>
              <w:top w:val="single" w:sz="8" w:space="0" w:color="000000"/>
              <w:left w:val="single" w:sz="8" w:space="0" w:color="000000"/>
              <w:bottom w:val="single" w:sz="6" w:space="0" w:color="000000"/>
              <w:right w:val="single" w:sz="8" w:space="0" w:color="000000"/>
            </w:tcBorders>
            <w:vAlign w:val="center"/>
          </w:tcPr>
          <w:p w14:paraId="166763A4" w14:textId="08736A0E"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277,116</w:t>
            </w:r>
          </w:p>
        </w:tc>
        <w:tc>
          <w:tcPr>
            <w:tcW w:w="1971" w:type="dxa"/>
            <w:tcBorders>
              <w:top w:val="single" w:sz="8" w:space="0" w:color="000000"/>
              <w:left w:val="single" w:sz="8" w:space="0" w:color="000000"/>
              <w:bottom w:val="single" w:sz="6" w:space="0" w:color="000000"/>
              <w:right w:val="single" w:sz="8" w:space="0" w:color="000000"/>
            </w:tcBorders>
            <w:vAlign w:val="center"/>
          </w:tcPr>
          <w:p w14:paraId="176656DC" w14:textId="4EB844F8"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9,025,668.12</w:t>
            </w:r>
          </w:p>
        </w:tc>
        <w:tc>
          <w:tcPr>
            <w:tcW w:w="1406" w:type="dxa"/>
            <w:tcBorders>
              <w:top w:val="single" w:sz="8" w:space="0" w:color="000000"/>
              <w:left w:val="single" w:sz="8" w:space="0" w:color="000000"/>
              <w:bottom w:val="single" w:sz="6" w:space="0" w:color="000000"/>
              <w:right w:val="single" w:sz="8" w:space="0" w:color="000000"/>
            </w:tcBorders>
            <w:vAlign w:val="center"/>
          </w:tcPr>
          <w:p w14:paraId="4C1EE5F3" w14:textId="0E3ACC8B" w:rsidR="001F4508" w:rsidRDefault="001F4508" w:rsidP="001F4508">
            <w:pPr>
              <w:pStyle w:val="biaogeright"/>
              <w:wordWrap w:val="0"/>
              <w:rPr>
                <w:rFonts w:asciiTheme="minorEastAsia" w:eastAsiaTheme="minorEastAsia" w:hAnsiTheme="minorEastAsia"/>
                <w:color w:val="000000"/>
              </w:rPr>
            </w:pPr>
            <w:r w:rsidRPr="00E16997">
              <w:rPr>
                <w:rFonts w:hAnsi="等线" w:hint="eastAsia"/>
                <w:color w:val="000000"/>
              </w:rPr>
              <w:t>2.84</w:t>
            </w:r>
          </w:p>
        </w:tc>
      </w:tr>
    </w:tbl>
    <w:p w14:paraId="3CDD14FD"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bCs/>
          <w:sz w:val="24"/>
          <w:szCs w:val="24"/>
        </w:rPr>
        <w:t>、</w:t>
      </w:r>
      <w:r>
        <w:rPr>
          <w:rFonts w:asciiTheme="minorEastAsia" w:hAnsiTheme="minorEastAsia" w:hint="eastAsia"/>
          <w:bCs/>
          <w:sz w:val="24"/>
          <w:szCs w:val="24"/>
        </w:rPr>
        <w:t>报告期末按债券品种分类的债券投资组合</w:t>
      </w:r>
    </w:p>
    <w:p w14:paraId="087B1145"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本基金本报告期末未持有债券。</w:t>
      </w:r>
    </w:p>
    <w:p w14:paraId="745231FF"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5</w:t>
      </w:r>
      <w:r>
        <w:rPr>
          <w:rFonts w:asciiTheme="minorEastAsia" w:hAnsiTheme="minorEastAsia"/>
          <w:bCs/>
          <w:sz w:val="24"/>
          <w:szCs w:val="24"/>
        </w:rPr>
        <w:t>、</w:t>
      </w:r>
      <w:r>
        <w:rPr>
          <w:rFonts w:asciiTheme="minorEastAsia" w:hAnsiTheme="minorEastAsia" w:hint="eastAsia"/>
          <w:bCs/>
          <w:sz w:val="24"/>
          <w:szCs w:val="24"/>
        </w:rPr>
        <w:t>报告期末按公允价值占基金资产净值比例大小排序的前五名债券投资明细</w:t>
      </w:r>
    </w:p>
    <w:p w14:paraId="1054EABE"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本基金本报告期末未持有债券。</w:t>
      </w:r>
    </w:p>
    <w:p w14:paraId="24BE2C1A"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6</w:t>
      </w:r>
      <w:r>
        <w:rPr>
          <w:rFonts w:asciiTheme="minorEastAsia" w:hAnsiTheme="minorEastAsia"/>
          <w:bCs/>
          <w:sz w:val="24"/>
          <w:szCs w:val="24"/>
        </w:rPr>
        <w:t>、</w:t>
      </w:r>
      <w:r>
        <w:rPr>
          <w:rFonts w:asciiTheme="minorEastAsia" w:hAnsiTheme="minorEastAsia" w:hint="eastAsia"/>
          <w:bCs/>
          <w:sz w:val="24"/>
          <w:szCs w:val="24"/>
        </w:rPr>
        <w:t>报告期末按公允价值占基金资产净值比例大小排序的前十名资产支持证券投资明细</w:t>
      </w:r>
    </w:p>
    <w:p w14:paraId="2EAEBA50"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本基金本报告期末未持有资产支持证券。</w:t>
      </w:r>
    </w:p>
    <w:p w14:paraId="002E52E0"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7</w:t>
      </w:r>
      <w:r>
        <w:rPr>
          <w:rFonts w:asciiTheme="minorEastAsia" w:hAnsiTheme="minorEastAsia"/>
          <w:bCs/>
          <w:sz w:val="24"/>
          <w:szCs w:val="24"/>
        </w:rPr>
        <w:t>、报告期末按公允价值占基金资产净值比例大小排序的前五名贵金属投资明细</w:t>
      </w:r>
    </w:p>
    <w:p w14:paraId="0C2E1D9D"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本基金本报告期末未持有贵金属。</w:t>
      </w:r>
    </w:p>
    <w:p w14:paraId="6032D964"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8</w:t>
      </w:r>
      <w:r>
        <w:rPr>
          <w:rFonts w:asciiTheme="minorEastAsia" w:hAnsiTheme="minorEastAsia"/>
          <w:bCs/>
          <w:sz w:val="24"/>
          <w:szCs w:val="24"/>
        </w:rPr>
        <w:t>、</w:t>
      </w:r>
      <w:r>
        <w:rPr>
          <w:rFonts w:asciiTheme="minorEastAsia" w:hAnsiTheme="minorEastAsia" w:hint="eastAsia"/>
          <w:bCs/>
          <w:sz w:val="24"/>
          <w:szCs w:val="24"/>
        </w:rPr>
        <w:t>报告期末按公允价值占基金资产净值比例大小排序的前五名权证投资明细</w:t>
      </w:r>
    </w:p>
    <w:p w14:paraId="19CAB2E1"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本基金本报告期末未持有权证。</w:t>
      </w:r>
    </w:p>
    <w:p w14:paraId="103D18F7"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9</w:t>
      </w:r>
      <w:r>
        <w:rPr>
          <w:rFonts w:asciiTheme="minorEastAsia" w:hAnsiTheme="minorEastAsia"/>
          <w:bCs/>
          <w:sz w:val="24"/>
          <w:szCs w:val="24"/>
        </w:rPr>
        <w:t>、报告期末本基金投资的股指期货交易情况说明</w:t>
      </w:r>
    </w:p>
    <w:p w14:paraId="12F36A30"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本基金本报告期末未投资股指期货。</w:t>
      </w:r>
    </w:p>
    <w:p w14:paraId="1F3D7E98"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10</w:t>
      </w:r>
      <w:r>
        <w:rPr>
          <w:rFonts w:asciiTheme="minorEastAsia" w:hAnsiTheme="minorEastAsia"/>
          <w:bCs/>
          <w:sz w:val="24"/>
          <w:szCs w:val="24"/>
        </w:rPr>
        <w:t>、</w:t>
      </w:r>
      <w:r>
        <w:rPr>
          <w:rFonts w:asciiTheme="minorEastAsia" w:hAnsiTheme="minorEastAsia" w:hint="eastAsia"/>
          <w:bCs/>
          <w:sz w:val="24"/>
          <w:szCs w:val="24"/>
        </w:rPr>
        <w:t>报告期末本基金投资的国债期货交易情况说明</w:t>
      </w:r>
    </w:p>
    <w:p w14:paraId="152E47D1"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本基金本报告期末未投资国债期货。</w:t>
      </w:r>
    </w:p>
    <w:p w14:paraId="2B85D20D"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bCs/>
          <w:sz w:val="24"/>
          <w:szCs w:val="24"/>
        </w:rPr>
        <w:t>1</w:t>
      </w:r>
      <w:r>
        <w:rPr>
          <w:rFonts w:asciiTheme="minorEastAsia" w:hAnsiTheme="minorEastAsia" w:hint="eastAsia"/>
          <w:bCs/>
          <w:sz w:val="24"/>
          <w:szCs w:val="24"/>
        </w:rPr>
        <w:t>1</w:t>
      </w:r>
      <w:r>
        <w:rPr>
          <w:rFonts w:asciiTheme="minorEastAsia" w:hAnsiTheme="minorEastAsia"/>
          <w:bCs/>
          <w:sz w:val="24"/>
          <w:szCs w:val="24"/>
        </w:rPr>
        <w:t>、投资组合报告附注</w:t>
      </w:r>
    </w:p>
    <w:p w14:paraId="2F3F6D61" w14:textId="77777777" w:rsidR="001F4508" w:rsidRDefault="002C3C29" w:rsidP="001F4508">
      <w:pPr>
        <w:pStyle w:val="zhangjiep2"/>
        <w:ind w:firstLineChars="200" w:firstLine="480"/>
        <w:rPr>
          <w:b/>
          <w:bCs/>
        </w:rPr>
      </w:pPr>
      <w:r>
        <w:rPr>
          <w:rFonts w:asciiTheme="minorEastAsia" w:hAnsiTheme="minorEastAsia" w:hint="eastAsia"/>
          <w:bCs/>
        </w:rPr>
        <w:t>（</w:t>
      </w:r>
      <w:r>
        <w:rPr>
          <w:rFonts w:asciiTheme="minorEastAsia" w:hAnsiTheme="minorEastAsia"/>
          <w:bCs/>
        </w:rPr>
        <w:t>1）</w:t>
      </w:r>
      <w:r w:rsidR="001F4508">
        <w:rPr>
          <w:rFonts w:hint="eastAsia"/>
          <w:b/>
          <w:bCs/>
        </w:rPr>
        <w:t>本基金投资的前十名证券的发行主体中，汤臣倍健在报告编制日前一年内曾因未及时披露公司重大事项、未依法履行其他职责问题受到深圳证券</w:t>
      </w:r>
      <w:r w:rsidR="001F4508">
        <w:rPr>
          <w:rFonts w:hint="eastAsia"/>
          <w:b/>
          <w:bCs/>
        </w:rPr>
        <w:lastRenderedPageBreak/>
        <w:t>交易所的公开批评，以及因未及时披露公司重大事项问题受到中国证券监督管理委员会广东监管局的出具警示函处罚；</w:t>
      </w:r>
    </w:p>
    <w:p w14:paraId="2F53FE7A" w14:textId="77777777" w:rsidR="001F4508" w:rsidRDefault="001F4508" w:rsidP="001F4508">
      <w:pPr>
        <w:pStyle w:val="biaogeleft"/>
        <w:ind w:firstLine="480"/>
        <w:rPr>
          <w:b/>
          <w:bCs/>
        </w:rPr>
      </w:pPr>
      <w:r>
        <w:rPr>
          <w:rFonts w:hint="eastAsia"/>
          <w:b/>
          <w:bCs/>
        </w:rPr>
        <w:t>本基金对上述主体发行的相关证券的投资决策程序符合相关法律法规及基金合同的要求。</w:t>
      </w:r>
    </w:p>
    <w:p w14:paraId="445658CD" w14:textId="77777777" w:rsidR="001F4508" w:rsidRDefault="001F4508" w:rsidP="001F4508">
      <w:pPr>
        <w:pStyle w:val="biaogeleft"/>
        <w:ind w:firstLine="480"/>
      </w:pPr>
      <w:r>
        <w:rPr>
          <w:rFonts w:hint="eastAsia"/>
          <w:b/>
          <w:bCs/>
        </w:rPr>
        <w:t>除上述主体外，本基金投资的其他前十名证券的发行主体本期没有出现被监管部门立案调查，或在报告编制日前一年内受到公开谴责、处罚的情形。</w:t>
      </w:r>
    </w:p>
    <w:p w14:paraId="46A75257"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2）</w:t>
      </w:r>
      <w:r>
        <w:rPr>
          <w:rFonts w:asciiTheme="minorEastAsia" w:hAnsiTheme="minorEastAsia" w:hint="eastAsia"/>
          <w:bCs/>
          <w:sz w:val="24"/>
          <w:szCs w:val="24"/>
        </w:rPr>
        <w:t>本基金投资的前十名股票没有超出基金合同规定的备选股票库。</w:t>
      </w:r>
    </w:p>
    <w:p w14:paraId="1C0EAA13"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3）</w:t>
      </w:r>
      <w:r>
        <w:rPr>
          <w:rFonts w:asciiTheme="minorEastAsia" w:hAnsiTheme="minorEastAsia" w:hint="eastAsia"/>
          <w:bCs/>
          <w:sz w:val="24"/>
          <w:szCs w:val="24"/>
        </w:rPr>
        <w:t>其他资产构成</w:t>
      </w:r>
    </w:p>
    <w:tbl>
      <w:tblPr>
        <w:tblW w:w="8108" w:type="dxa"/>
        <w:tblInd w:w="108" w:type="dxa"/>
        <w:tblLayout w:type="fixed"/>
        <w:tblLook w:val="04A0" w:firstRow="1" w:lastRow="0" w:firstColumn="1" w:lastColumn="0" w:noHBand="0" w:noVBand="1"/>
      </w:tblPr>
      <w:tblGrid>
        <w:gridCol w:w="1163"/>
        <w:gridCol w:w="3308"/>
        <w:gridCol w:w="3637"/>
      </w:tblGrid>
      <w:tr w:rsidR="00AC3A9B" w14:paraId="5D12EB3D" w14:textId="77777777">
        <w:trPr>
          <w:trHeight w:val="400"/>
        </w:trPr>
        <w:tc>
          <w:tcPr>
            <w:tcW w:w="1163" w:type="dxa"/>
            <w:tcBorders>
              <w:top w:val="single" w:sz="8" w:space="0" w:color="000000"/>
              <w:left w:val="single" w:sz="8" w:space="0" w:color="000000"/>
              <w:bottom w:val="single" w:sz="4" w:space="0" w:color="000000"/>
              <w:right w:val="single" w:sz="8" w:space="0" w:color="000000"/>
            </w:tcBorders>
            <w:vAlign w:val="center"/>
          </w:tcPr>
          <w:p w14:paraId="799F65E7" w14:textId="77777777" w:rsidR="00AC3A9B" w:rsidRDefault="002C3C29">
            <w:pPr>
              <w:pStyle w:val="biaogecenter"/>
              <w:wordWrap w:val="0"/>
              <w:rPr>
                <w:rFonts w:asciiTheme="minorEastAsia" w:eastAsiaTheme="minorEastAsia" w:hAnsiTheme="minorEastAsia"/>
                <w:color w:val="000000"/>
              </w:rPr>
            </w:pPr>
            <w:r>
              <w:rPr>
                <w:rFonts w:asciiTheme="minorEastAsia" w:eastAsiaTheme="minorEastAsia" w:hAnsiTheme="minorEastAsia" w:hint="eastAsia"/>
                <w:color w:val="000000"/>
              </w:rPr>
              <w:t>序号</w:t>
            </w:r>
          </w:p>
        </w:tc>
        <w:tc>
          <w:tcPr>
            <w:tcW w:w="3308" w:type="dxa"/>
            <w:tcBorders>
              <w:top w:val="single" w:sz="8" w:space="0" w:color="000000"/>
              <w:left w:val="single" w:sz="8" w:space="0" w:color="000000"/>
              <w:bottom w:val="single" w:sz="4" w:space="0" w:color="000000"/>
              <w:right w:val="single" w:sz="8" w:space="0" w:color="000000"/>
            </w:tcBorders>
            <w:vAlign w:val="center"/>
          </w:tcPr>
          <w:p w14:paraId="7315484D" w14:textId="77777777" w:rsidR="00AC3A9B" w:rsidRDefault="002C3C29">
            <w:pPr>
              <w:pStyle w:val="biaogeleft"/>
              <w:rPr>
                <w:rFonts w:asciiTheme="minorEastAsia" w:eastAsiaTheme="minorEastAsia" w:hAnsiTheme="minorEastAsia"/>
              </w:rPr>
            </w:pPr>
            <w:r>
              <w:rPr>
                <w:rFonts w:asciiTheme="minorEastAsia" w:eastAsiaTheme="minorEastAsia" w:hAnsiTheme="minorEastAsia" w:hint="eastAsia"/>
              </w:rPr>
              <w:t>名称</w:t>
            </w:r>
          </w:p>
        </w:tc>
        <w:tc>
          <w:tcPr>
            <w:tcW w:w="3637" w:type="dxa"/>
            <w:tcBorders>
              <w:top w:val="single" w:sz="8" w:space="0" w:color="000000"/>
              <w:left w:val="single" w:sz="8" w:space="0" w:color="000000"/>
              <w:bottom w:val="single" w:sz="4" w:space="0" w:color="000000"/>
              <w:right w:val="single" w:sz="8" w:space="0" w:color="000000"/>
            </w:tcBorders>
            <w:vAlign w:val="center"/>
          </w:tcPr>
          <w:p w14:paraId="128395B5" w14:textId="77777777" w:rsidR="00AC3A9B" w:rsidRDefault="002C3C29">
            <w:pPr>
              <w:pStyle w:val="biaogeright"/>
              <w:rPr>
                <w:rFonts w:asciiTheme="minorEastAsia" w:eastAsiaTheme="minorEastAsia" w:hAnsiTheme="minorEastAsia"/>
              </w:rPr>
            </w:pPr>
            <w:r>
              <w:rPr>
                <w:rFonts w:asciiTheme="minorEastAsia" w:eastAsiaTheme="minorEastAsia" w:hAnsiTheme="minorEastAsia" w:hint="eastAsia"/>
              </w:rPr>
              <w:t>金额(元)</w:t>
            </w:r>
          </w:p>
        </w:tc>
      </w:tr>
      <w:tr w:rsidR="001F4508" w14:paraId="4E8C7B96" w14:textId="77777777" w:rsidTr="00A73B4E">
        <w:trPr>
          <w:trHeight w:val="400"/>
        </w:trPr>
        <w:tc>
          <w:tcPr>
            <w:tcW w:w="1163" w:type="dxa"/>
            <w:tcBorders>
              <w:top w:val="single" w:sz="8" w:space="0" w:color="000000"/>
              <w:left w:val="single" w:sz="8" w:space="0" w:color="000000"/>
              <w:bottom w:val="single" w:sz="6" w:space="0" w:color="000000"/>
              <w:right w:val="single" w:sz="8" w:space="0" w:color="000000"/>
            </w:tcBorders>
            <w:vAlign w:val="center"/>
          </w:tcPr>
          <w:p w14:paraId="39D75CA0" w14:textId="0B5F0F1D" w:rsidR="001F4508" w:rsidRDefault="001F4508" w:rsidP="001F4508">
            <w:pPr>
              <w:pStyle w:val="biaogecenter"/>
              <w:wordWrap w:val="0"/>
              <w:rPr>
                <w:rFonts w:asciiTheme="minorEastAsia" w:eastAsiaTheme="minorEastAsia" w:hAnsiTheme="minorEastAsia"/>
                <w:color w:val="000000"/>
              </w:rPr>
            </w:pPr>
            <w:r>
              <w:rPr>
                <w:rFonts w:hAnsi="Calibri" w:hint="eastAsia"/>
                <w:color w:val="000000"/>
              </w:rPr>
              <w:t>1</w:t>
            </w:r>
          </w:p>
        </w:tc>
        <w:tc>
          <w:tcPr>
            <w:tcW w:w="3308" w:type="dxa"/>
            <w:tcBorders>
              <w:top w:val="single" w:sz="8" w:space="0" w:color="000000"/>
              <w:left w:val="single" w:sz="8" w:space="0" w:color="000000"/>
              <w:bottom w:val="single" w:sz="6" w:space="0" w:color="000000"/>
              <w:right w:val="single" w:sz="8" w:space="0" w:color="000000"/>
            </w:tcBorders>
            <w:vAlign w:val="center"/>
          </w:tcPr>
          <w:p w14:paraId="16093B52" w14:textId="58D38F58" w:rsidR="001F4508" w:rsidRDefault="001F4508" w:rsidP="001F4508">
            <w:pPr>
              <w:pStyle w:val="biaogeleft"/>
              <w:wordWrap w:val="0"/>
              <w:rPr>
                <w:rFonts w:asciiTheme="minorEastAsia" w:eastAsiaTheme="minorEastAsia" w:hAnsiTheme="minorEastAsia"/>
              </w:rPr>
            </w:pPr>
            <w:r>
              <w:rPr>
                <w:rFonts w:hint="eastAsia"/>
              </w:rPr>
              <w:t>存出保证金</w:t>
            </w:r>
          </w:p>
        </w:tc>
        <w:tc>
          <w:tcPr>
            <w:tcW w:w="3637" w:type="dxa"/>
            <w:tcBorders>
              <w:top w:val="single" w:sz="8" w:space="0" w:color="000000"/>
              <w:left w:val="single" w:sz="8" w:space="0" w:color="000000"/>
              <w:bottom w:val="single" w:sz="6" w:space="0" w:color="000000"/>
              <w:right w:val="single" w:sz="8" w:space="0" w:color="000000"/>
            </w:tcBorders>
            <w:vAlign w:val="center"/>
          </w:tcPr>
          <w:p w14:paraId="7B35806B" w14:textId="37AF2A76" w:rsidR="001F4508" w:rsidRDefault="001F4508" w:rsidP="001F4508">
            <w:pPr>
              <w:pStyle w:val="biaogeright"/>
              <w:wordWrap w:val="0"/>
              <w:rPr>
                <w:rFonts w:asciiTheme="minorEastAsia" w:eastAsiaTheme="minorEastAsia" w:hAnsiTheme="minorEastAsia"/>
              </w:rPr>
            </w:pPr>
            <w:r>
              <w:rPr>
                <w:rFonts w:hint="eastAsia"/>
              </w:rPr>
              <w:t>24,222.92</w:t>
            </w:r>
          </w:p>
        </w:tc>
      </w:tr>
      <w:tr w:rsidR="001F4508" w14:paraId="1A517DBD" w14:textId="77777777" w:rsidTr="00A73B4E">
        <w:trPr>
          <w:trHeight w:val="400"/>
        </w:trPr>
        <w:tc>
          <w:tcPr>
            <w:tcW w:w="1163" w:type="dxa"/>
            <w:tcBorders>
              <w:top w:val="single" w:sz="8" w:space="0" w:color="000000"/>
              <w:left w:val="single" w:sz="8" w:space="0" w:color="000000"/>
              <w:bottom w:val="single" w:sz="6" w:space="0" w:color="000000"/>
              <w:right w:val="single" w:sz="8" w:space="0" w:color="000000"/>
            </w:tcBorders>
            <w:vAlign w:val="center"/>
          </w:tcPr>
          <w:p w14:paraId="7E6E06ED" w14:textId="72DBA964" w:rsidR="001F4508" w:rsidRDefault="001F4508" w:rsidP="001F4508">
            <w:pPr>
              <w:pStyle w:val="biaogecenter"/>
              <w:wordWrap w:val="0"/>
              <w:rPr>
                <w:rFonts w:asciiTheme="minorEastAsia" w:eastAsiaTheme="minorEastAsia" w:hAnsiTheme="minorEastAsia"/>
                <w:color w:val="000000"/>
              </w:rPr>
            </w:pPr>
            <w:r>
              <w:rPr>
                <w:rFonts w:hAnsi="Calibri" w:hint="eastAsia"/>
                <w:color w:val="000000"/>
              </w:rPr>
              <w:t>2</w:t>
            </w:r>
          </w:p>
        </w:tc>
        <w:tc>
          <w:tcPr>
            <w:tcW w:w="3308" w:type="dxa"/>
            <w:tcBorders>
              <w:top w:val="single" w:sz="8" w:space="0" w:color="000000"/>
              <w:left w:val="single" w:sz="8" w:space="0" w:color="000000"/>
              <w:bottom w:val="single" w:sz="6" w:space="0" w:color="000000"/>
              <w:right w:val="single" w:sz="8" w:space="0" w:color="000000"/>
            </w:tcBorders>
            <w:vAlign w:val="center"/>
          </w:tcPr>
          <w:p w14:paraId="5E0C9F57" w14:textId="6FFE5ADC" w:rsidR="001F4508" w:rsidRDefault="001F4508" w:rsidP="001F4508">
            <w:pPr>
              <w:pStyle w:val="biaogeleft"/>
              <w:wordWrap w:val="0"/>
              <w:rPr>
                <w:rFonts w:asciiTheme="minorEastAsia" w:eastAsiaTheme="minorEastAsia" w:hAnsiTheme="minorEastAsia"/>
              </w:rPr>
            </w:pPr>
            <w:r>
              <w:rPr>
                <w:rFonts w:hint="eastAsia"/>
              </w:rPr>
              <w:t>应收证券清算款</w:t>
            </w:r>
          </w:p>
        </w:tc>
        <w:tc>
          <w:tcPr>
            <w:tcW w:w="3637" w:type="dxa"/>
            <w:tcBorders>
              <w:top w:val="single" w:sz="8" w:space="0" w:color="000000"/>
              <w:left w:val="single" w:sz="8" w:space="0" w:color="000000"/>
              <w:bottom w:val="single" w:sz="6" w:space="0" w:color="000000"/>
              <w:right w:val="single" w:sz="8" w:space="0" w:color="000000"/>
            </w:tcBorders>
            <w:vAlign w:val="center"/>
          </w:tcPr>
          <w:p w14:paraId="2549C684" w14:textId="55FCB307" w:rsidR="001F4508" w:rsidRDefault="001F4508" w:rsidP="001F4508">
            <w:pPr>
              <w:pStyle w:val="biaogeright"/>
              <w:wordWrap w:val="0"/>
              <w:rPr>
                <w:rFonts w:asciiTheme="minorEastAsia" w:eastAsiaTheme="minorEastAsia" w:hAnsiTheme="minorEastAsia"/>
              </w:rPr>
            </w:pPr>
            <w:r>
              <w:rPr>
                <w:rFonts w:hint="eastAsia"/>
              </w:rPr>
              <w:t>-</w:t>
            </w:r>
          </w:p>
        </w:tc>
      </w:tr>
      <w:tr w:rsidR="001F4508" w14:paraId="173AA081" w14:textId="77777777" w:rsidTr="00A73B4E">
        <w:trPr>
          <w:trHeight w:val="400"/>
        </w:trPr>
        <w:tc>
          <w:tcPr>
            <w:tcW w:w="1163" w:type="dxa"/>
            <w:tcBorders>
              <w:top w:val="single" w:sz="8" w:space="0" w:color="000000"/>
              <w:left w:val="single" w:sz="8" w:space="0" w:color="000000"/>
              <w:bottom w:val="single" w:sz="6" w:space="0" w:color="000000"/>
              <w:right w:val="single" w:sz="8" w:space="0" w:color="000000"/>
            </w:tcBorders>
            <w:vAlign w:val="center"/>
          </w:tcPr>
          <w:p w14:paraId="43516F96" w14:textId="28937834" w:rsidR="001F4508" w:rsidRDefault="001F4508" w:rsidP="001F4508">
            <w:pPr>
              <w:pStyle w:val="biaogecenter"/>
              <w:wordWrap w:val="0"/>
              <w:rPr>
                <w:rFonts w:asciiTheme="minorEastAsia" w:eastAsiaTheme="minorEastAsia" w:hAnsiTheme="minorEastAsia"/>
                <w:color w:val="000000"/>
              </w:rPr>
            </w:pPr>
            <w:r>
              <w:rPr>
                <w:rFonts w:hAnsi="Calibri" w:hint="eastAsia"/>
                <w:color w:val="000000"/>
              </w:rPr>
              <w:t>3</w:t>
            </w:r>
          </w:p>
        </w:tc>
        <w:tc>
          <w:tcPr>
            <w:tcW w:w="3308" w:type="dxa"/>
            <w:tcBorders>
              <w:top w:val="single" w:sz="8" w:space="0" w:color="000000"/>
              <w:left w:val="single" w:sz="8" w:space="0" w:color="000000"/>
              <w:bottom w:val="single" w:sz="6" w:space="0" w:color="000000"/>
              <w:right w:val="single" w:sz="8" w:space="0" w:color="000000"/>
            </w:tcBorders>
            <w:vAlign w:val="center"/>
          </w:tcPr>
          <w:p w14:paraId="2632A29D" w14:textId="3C7734DD" w:rsidR="001F4508" w:rsidRDefault="001F4508" w:rsidP="001F4508">
            <w:pPr>
              <w:pStyle w:val="biaogeleft"/>
              <w:wordWrap w:val="0"/>
              <w:rPr>
                <w:rFonts w:asciiTheme="minorEastAsia" w:eastAsiaTheme="minorEastAsia" w:hAnsiTheme="minorEastAsia"/>
              </w:rPr>
            </w:pPr>
            <w:r>
              <w:rPr>
                <w:rFonts w:hint="eastAsia"/>
              </w:rPr>
              <w:t>应收股利</w:t>
            </w:r>
          </w:p>
        </w:tc>
        <w:tc>
          <w:tcPr>
            <w:tcW w:w="3637" w:type="dxa"/>
            <w:tcBorders>
              <w:top w:val="single" w:sz="8" w:space="0" w:color="000000"/>
              <w:left w:val="single" w:sz="8" w:space="0" w:color="000000"/>
              <w:bottom w:val="single" w:sz="6" w:space="0" w:color="000000"/>
              <w:right w:val="single" w:sz="8" w:space="0" w:color="000000"/>
            </w:tcBorders>
            <w:vAlign w:val="center"/>
          </w:tcPr>
          <w:p w14:paraId="7F9521B2" w14:textId="5A6D07C1" w:rsidR="001F4508" w:rsidRDefault="001F4508" w:rsidP="001F4508">
            <w:pPr>
              <w:pStyle w:val="biaogeright"/>
              <w:wordWrap w:val="0"/>
              <w:rPr>
                <w:rFonts w:asciiTheme="minorEastAsia" w:eastAsiaTheme="minorEastAsia" w:hAnsiTheme="minorEastAsia"/>
              </w:rPr>
            </w:pPr>
            <w:r>
              <w:rPr>
                <w:rFonts w:hint="eastAsia"/>
              </w:rPr>
              <w:t>-</w:t>
            </w:r>
          </w:p>
        </w:tc>
      </w:tr>
      <w:tr w:rsidR="001F4508" w14:paraId="7660C638" w14:textId="77777777" w:rsidTr="00A73B4E">
        <w:trPr>
          <w:trHeight w:val="400"/>
        </w:trPr>
        <w:tc>
          <w:tcPr>
            <w:tcW w:w="1163" w:type="dxa"/>
            <w:tcBorders>
              <w:top w:val="single" w:sz="8" w:space="0" w:color="000000"/>
              <w:left w:val="single" w:sz="8" w:space="0" w:color="000000"/>
              <w:bottom w:val="single" w:sz="6" w:space="0" w:color="000000"/>
              <w:right w:val="single" w:sz="8" w:space="0" w:color="000000"/>
            </w:tcBorders>
            <w:vAlign w:val="center"/>
          </w:tcPr>
          <w:p w14:paraId="3F2C2BA3" w14:textId="12ECDC2E" w:rsidR="001F4508" w:rsidRDefault="001F4508" w:rsidP="001F4508">
            <w:pPr>
              <w:pStyle w:val="biaogecenter"/>
              <w:wordWrap w:val="0"/>
              <w:rPr>
                <w:rFonts w:asciiTheme="minorEastAsia" w:eastAsiaTheme="minorEastAsia" w:hAnsiTheme="minorEastAsia"/>
                <w:color w:val="000000"/>
              </w:rPr>
            </w:pPr>
            <w:r>
              <w:rPr>
                <w:rFonts w:hAnsi="Calibri" w:hint="eastAsia"/>
                <w:color w:val="000000"/>
              </w:rPr>
              <w:t>4</w:t>
            </w:r>
          </w:p>
        </w:tc>
        <w:tc>
          <w:tcPr>
            <w:tcW w:w="3308" w:type="dxa"/>
            <w:tcBorders>
              <w:top w:val="single" w:sz="8" w:space="0" w:color="000000"/>
              <w:left w:val="single" w:sz="8" w:space="0" w:color="000000"/>
              <w:bottom w:val="single" w:sz="6" w:space="0" w:color="000000"/>
              <w:right w:val="single" w:sz="8" w:space="0" w:color="000000"/>
            </w:tcBorders>
            <w:vAlign w:val="center"/>
          </w:tcPr>
          <w:p w14:paraId="1C92DD97" w14:textId="23C79DF7" w:rsidR="001F4508" w:rsidRDefault="001F4508" w:rsidP="001F4508">
            <w:pPr>
              <w:pStyle w:val="biaogeleft"/>
              <w:wordWrap w:val="0"/>
              <w:rPr>
                <w:rFonts w:asciiTheme="minorEastAsia" w:eastAsiaTheme="minorEastAsia" w:hAnsiTheme="minorEastAsia"/>
              </w:rPr>
            </w:pPr>
            <w:r>
              <w:rPr>
                <w:rFonts w:hint="eastAsia"/>
              </w:rPr>
              <w:t>应收利息</w:t>
            </w:r>
          </w:p>
        </w:tc>
        <w:tc>
          <w:tcPr>
            <w:tcW w:w="3637" w:type="dxa"/>
            <w:tcBorders>
              <w:top w:val="single" w:sz="8" w:space="0" w:color="000000"/>
              <w:left w:val="single" w:sz="8" w:space="0" w:color="000000"/>
              <w:bottom w:val="single" w:sz="6" w:space="0" w:color="000000"/>
              <w:right w:val="single" w:sz="8" w:space="0" w:color="000000"/>
            </w:tcBorders>
            <w:vAlign w:val="center"/>
          </w:tcPr>
          <w:p w14:paraId="494BA75F" w14:textId="23CF6CC1" w:rsidR="001F4508" w:rsidRDefault="001F4508" w:rsidP="001F4508">
            <w:pPr>
              <w:pStyle w:val="biaogeright"/>
              <w:wordWrap w:val="0"/>
              <w:rPr>
                <w:rFonts w:asciiTheme="minorEastAsia" w:eastAsiaTheme="minorEastAsia" w:hAnsiTheme="minorEastAsia"/>
              </w:rPr>
            </w:pPr>
            <w:r>
              <w:rPr>
                <w:rFonts w:hint="eastAsia"/>
              </w:rPr>
              <w:t>-</w:t>
            </w:r>
          </w:p>
        </w:tc>
      </w:tr>
      <w:tr w:rsidR="001F4508" w14:paraId="187D57EC" w14:textId="77777777" w:rsidTr="00A73B4E">
        <w:trPr>
          <w:trHeight w:val="400"/>
        </w:trPr>
        <w:tc>
          <w:tcPr>
            <w:tcW w:w="1163" w:type="dxa"/>
            <w:tcBorders>
              <w:top w:val="single" w:sz="8" w:space="0" w:color="000000"/>
              <w:left w:val="single" w:sz="8" w:space="0" w:color="000000"/>
              <w:bottom w:val="single" w:sz="6" w:space="0" w:color="000000"/>
              <w:right w:val="single" w:sz="8" w:space="0" w:color="000000"/>
            </w:tcBorders>
            <w:vAlign w:val="center"/>
          </w:tcPr>
          <w:p w14:paraId="79A142F5" w14:textId="788110F2" w:rsidR="001F4508" w:rsidRDefault="001F4508" w:rsidP="001F4508">
            <w:pPr>
              <w:pStyle w:val="biaogecenter"/>
              <w:wordWrap w:val="0"/>
              <w:rPr>
                <w:rFonts w:asciiTheme="minorEastAsia" w:eastAsiaTheme="minorEastAsia" w:hAnsiTheme="minorEastAsia"/>
                <w:color w:val="000000"/>
              </w:rPr>
            </w:pPr>
            <w:r>
              <w:rPr>
                <w:rFonts w:hAnsi="Calibri" w:hint="eastAsia"/>
                <w:color w:val="000000"/>
              </w:rPr>
              <w:t>5</w:t>
            </w:r>
          </w:p>
        </w:tc>
        <w:tc>
          <w:tcPr>
            <w:tcW w:w="3308" w:type="dxa"/>
            <w:tcBorders>
              <w:top w:val="single" w:sz="8" w:space="0" w:color="000000"/>
              <w:left w:val="single" w:sz="8" w:space="0" w:color="000000"/>
              <w:bottom w:val="single" w:sz="6" w:space="0" w:color="000000"/>
              <w:right w:val="single" w:sz="8" w:space="0" w:color="000000"/>
            </w:tcBorders>
            <w:vAlign w:val="center"/>
          </w:tcPr>
          <w:p w14:paraId="3A92B182" w14:textId="0A74164B" w:rsidR="001F4508" w:rsidRDefault="001F4508" w:rsidP="001F4508">
            <w:pPr>
              <w:pStyle w:val="biaogeleft"/>
              <w:wordWrap w:val="0"/>
              <w:rPr>
                <w:rFonts w:asciiTheme="minorEastAsia" w:eastAsiaTheme="minorEastAsia" w:hAnsiTheme="minorEastAsia"/>
              </w:rPr>
            </w:pPr>
            <w:r>
              <w:rPr>
                <w:rFonts w:hint="eastAsia"/>
              </w:rPr>
              <w:t>应收申购款</w:t>
            </w:r>
          </w:p>
        </w:tc>
        <w:tc>
          <w:tcPr>
            <w:tcW w:w="3637" w:type="dxa"/>
            <w:tcBorders>
              <w:top w:val="single" w:sz="8" w:space="0" w:color="000000"/>
              <w:left w:val="single" w:sz="8" w:space="0" w:color="000000"/>
              <w:bottom w:val="single" w:sz="6" w:space="0" w:color="000000"/>
              <w:right w:val="single" w:sz="8" w:space="0" w:color="000000"/>
            </w:tcBorders>
            <w:vAlign w:val="center"/>
          </w:tcPr>
          <w:p w14:paraId="28B08F7C" w14:textId="678BE255" w:rsidR="001F4508" w:rsidRDefault="001F4508" w:rsidP="001F4508">
            <w:pPr>
              <w:pStyle w:val="biaogeright"/>
              <w:wordWrap w:val="0"/>
              <w:rPr>
                <w:rFonts w:asciiTheme="minorEastAsia" w:eastAsiaTheme="minorEastAsia" w:hAnsiTheme="minorEastAsia"/>
              </w:rPr>
            </w:pPr>
            <w:r>
              <w:rPr>
                <w:rFonts w:hint="eastAsia"/>
              </w:rPr>
              <w:t>51,863.22</w:t>
            </w:r>
          </w:p>
        </w:tc>
      </w:tr>
      <w:tr w:rsidR="001F4508" w14:paraId="1563A9F3" w14:textId="77777777" w:rsidTr="00A73B4E">
        <w:trPr>
          <w:trHeight w:val="400"/>
        </w:trPr>
        <w:tc>
          <w:tcPr>
            <w:tcW w:w="1163" w:type="dxa"/>
            <w:tcBorders>
              <w:top w:val="single" w:sz="8" w:space="0" w:color="000000"/>
              <w:left w:val="single" w:sz="8" w:space="0" w:color="000000"/>
              <w:bottom w:val="single" w:sz="6" w:space="0" w:color="000000"/>
              <w:right w:val="single" w:sz="8" w:space="0" w:color="000000"/>
            </w:tcBorders>
            <w:vAlign w:val="center"/>
          </w:tcPr>
          <w:p w14:paraId="1BA2C457" w14:textId="542E7D42" w:rsidR="001F4508" w:rsidRDefault="001F4508" w:rsidP="001F4508">
            <w:pPr>
              <w:pStyle w:val="biaogecenter"/>
              <w:wordWrap w:val="0"/>
              <w:rPr>
                <w:rFonts w:asciiTheme="minorEastAsia" w:eastAsiaTheme="minorEastAsia" w:hAnsiTheme="minorEastAsia"/>
                <w:color w:val="000000"/>
              </w:rPr>
            </w:pPr>
            <w:r>
              <w:rPr>
                <w:rFonts w:hAnsi="Calibri" w:hint="eastAsia"/>
                <w:color w:val="000000"/>
              </w:rPr>
              <w:t>6</w:t>
            </w:r>
          </w:p>
        </w:tc>
        <w:tc>
          <w:tcPr>
            <w:tcW w:w="3308" w:type="dxa"/>
            <w:tcBorders>
              <w:top w:val="single" w:sz="8" w:space="0" w:color="000000"/>
              <w:left w:val="single" w:sz="8" w:space="0" w:color="000000"/>
              <w:bottom w:val="single" w:sz="6" w:space="0" w:color="000000"/>
              <w:right w:val="single" w:sz="8" w:space="0" w:color="000000"/>
            </w:tcBorders>
            <w:vAlign w:val="center"/>
          </w:tcPr>
          <w:p w14:paraId="4E52FBA5" w14:textId="16882612" w:rsidR="001F4508" w:rsidRDefault="001F4508" w:rsidP="001F4508">
            <w:pPr>
              <w:pStyle w:val="biaogeleft"/>
              <w:wordWrap w:val="0"/>
              <w:rPr>
                <w:rFonts w:asciiTheme="minorEastAsia" w:eastAsiaTheme="minorEastAsia" w:hAnsiTheme="minorEastAsia"/>
              </w:rPr>
            </w:pPr>
            <w:r>
              <w:rPr>
                <w:rFonts w:hint="eastAsia"/>
              </w:rPr>
              <w:t>其他应收款</w:t>
            </w:r>
          </w:p>
        </w:tc>
        <w:tc>
          <w:tcPr>
            <w:tcW w:w="3637" w:type="dxa"/>
            <w:tcBorders>
              <w:top w:val="single" w:sz="8" w:space="0" w:color="000000"/>
              <w:left w:val="single" w:sz="8" w:space="0" w:color="000000"/>
              <w:bottom w:val="single" w:sz="6" w:space="0" w:color="000000"/>
              <w:right w:val="single" w:sz="8" w:space="0" w:color="000000"/>
            </w:tcBorders>
            <w:vAlign w:val="center"/>
          </w:tcPr>
          <w:p w14:paraId="608CD210" w14:textId="7C76B5E2" w:rsidR="001F4508" w:rsidRDefault="001F4508" w:rsidP="001F4508">
            <w:pPr>
              <w:pStyle w:val="biaogeright"/>
              <w:wordWrap w:val="0"/>
              <w:rPr>
                <w:rFonts w:asciiTheme="minorEastAsia" w:eastAsiaTheme="minorEastAsia" w:hAnsiTheme="minorEastAsia"/>
              </w:rPr>
            </w:pPr>
            <w:r>
              <w:rPr>
                <w:rFonts w:hint="eastAsia"/>
              </w:rPr>
              <w:t>-</w:t>
            </w:r>
          </w:p>
        </w:tc>
      </w:tr>
      <w:tr w:rsidR="001F4508" w14:paraId="7C247912" w14:textId="77777777" w:rsidTr="00A73B4E">
        <w:trPr>
          <w:trHeight w:val="400"/>
        </w:trPr>
        <w:tc>
          <w:tcPr>
            <w:tcW w:w="1163" w:type="dxa"/>
            <w:tcBorders>
              <w:top w:val="single" w:sz="8" w:space="0" w:color="000000"/>
              <w:left w:val="single" w:sz="8" w:space="0" w:color="000000"/>
              <w:bottom w:val="single" w:sz="6" w:space="0" w:color="000000"/>
              <w:right w:val="single" w:sz="8" w:space="0" w:color="000000"/>
            </w:tcBorders>
            <w:vAlign w:val="center"/>
          </w:tcPr>
          <w:p w14:paraId="2B7B859A" w14:textId="47923111" w:rsidR="001F4508" w:rsidRDefault="001F4508" w:rsidP="001F4508">
            <w:pPr>
              <w:pStyle w:val="biaogecenter"/>
              <w:wordWrap w:val="0"/>
              <w:rPr>
                <w:rFonts w:asciiTheme="minorEastAsia" w:eastAsiaTheme="minorEastAsia" w:hAnsiTheme="minorEastAsia"/>
                <w:color w:val="000000"/>
              </w:rPr>
            </w:pPr>
            <w:r>
              <w:rPr>
                <w:rFonts w:hAnsi="Calibri" w:hint="eastAsia"/>
                <w:color w:val="000000"/>
              </w:rPr>
              <w:t>7</w:t>
            </w:r>
          </w:p>
        </w:tc>
        <w:tc>
          <w:tcPr>
            <w:tcW w:w="3308" w:type="dxa"/>
            <w:tcBorders>
              <w:top w:val="single" w:sz="8" w:space="0" w:color="000000"/>
              <w:left w:val="single" w:sz="8" w:space="0" w:color="000000"/>
              <w:bottom w:val="single" w:sz="6" w:space="0" w:color="000000"/>
              <w:right w:val="single" w:sz="8" w:space="0" w:color="000000"/>
            </w:tcBorders>
            <w:vAlign w:val="center"/>
          </w:tcPr>
          <w:p w14:paraId="3CC132DF" w14:textId="4E7123A8" w:rsidR="001F4508" w:rsidRDefault="001F4508" w:rsidP="001F4508">
            <w:pPr>
              <w:pStyle w:val="biaogeleft"/>
              <w:wordWrap w:val="0"/>
              <w:rPr>
                <w:rFonts w:asciiTheme="minorEastAsia" w:eastAsiaTheme="minorEastAsia" w:hAnsiTheme="minorEastAsia"/>
              </w:rPr>
            </w:pPr>
            <w:r>
              <w:rPr>
                <w:rFonts w:hint="eastAsia"/>
              </w:rPr>
              <w:t>其他</w:t>
            </w:r>
          </w:p>
        </w:tc>
        <w:tc>
          <w:tcPr>
            <w:tcW w:w="3637" w:type="dxa"/>
            <w:tcBorders>
              <w:top w:val="single" w:sz="8" w:space="0" w:color="000000"/>
              <w:left w:val="single" w:sz="8" w:space="0" w:color="000000"/>
              <w:bottom w:val="single" w:sz="6" w:space="0" w:color="000000"/>
              <w:right w:val="single" w:sz="8" w:space="0" w:color="000000"/>
            </w:tcBorders>
            <w:vAlign w:val="center"/>
          </w:tcPr>
          <w:p w14:paraId="5AC96B41" w14:textId="712CAB97" w:rsidR="001F4508" w:rsidRDefault="001F4508" w:rsidP="001F4508">
            <w:pPr>
              <w:pStyle w:val="biaogeright"/>
              <w:wordWrap w:val="0"/>
              <w:rPr>
                <w:rFonts w:asciiTheme="minorEastAsia" w:eastAsiaTheme="minorEastAsia" w:hAnsiTheme="minorEastAsia"/>
              </w:rPr>
            </w:pPr>
            <w:r>
              <w:rPr>
                <w:rFonts w:hint="eastAsia"/>
              </w:rPr>
              <w:t>-</w:t>
            </w:r>
          </w:p>
        </w:tc>
      </w:tr>
      <w:tr w:rsidR="001F4508" w14:paraId="64858B34" w14:textId="77777777" w:rsidTr="00A73B4E">
        <w:trPr>
          <w:trHeight w:val="400"/>
        </w:trPr>
        <w:tc>
          <w:tcPr>
            <w:tcW w:w="1163" w:type="dxa"/>
            <w:tcBorders>
              <w:top w:val="single" w:sz="8" w:space="0" w:color="000000"/>
              <w:left w:val="single" w:sz="8" w:space="0" w:color="000000"/>
              <w:bottom w:val="single" w:sz="6" w:space="0" w:color="000000"/>
              <w:right w:val="single" w:sz="8" w:space="0" w:color="000000"/>
            </w:tcBorders>
            <w:vAlign w:val="center"/>
          </w:tcPr>
          <w:p w14:paraId="1E45AD4A" w14:textId="5720AA99" w:rsidR="001F4508" w:rsidRDefault="001F4508" w:rsidP="001F4508">
            <w:pPr>
              <w:pStyle w:val="biaogecenter"/>
              <w:wordWrap w:val="0"/>
              <w:rPr>
                <w:rFonts w:asciiTheme="minorEastAsia" w:eastAsiaTheme="minorEastAsia" w:hAnsiTheme="minorEastAsia"/>
                <w:color w:val="000000"/>
              </w:rPr>
            </w:pPr>
            <w:r>
              <w:rPr>
                <w:rFonts w:hAnsi="Calibri" w:hint="eastAsia"/>
                <w:color w:val="000000"/>
              </w:rPr>
              <w:t>8</w:t>
            </w:r>
          </w:p>
        </w:tc>
        <w:tc>
          <w:tcPr>
            <w:tcW w:w="3308" w:type="dxa"/>
            <w:tcBorders>
              <w:top w:val="single" w:sz="8" w:space="0" w:color="000000"/>
              <w:left w:val="single" w:sz="8" w:space="0" w:color="000000"/>
              <w:bottom w:val="single" w:sz="6" w:space="0" w:color="000000"/>
              <w:right w:val="single" w:sz="8" w:space="0" w:color="000000"/>
            </w:tcBorders>
            <w:vAlign w:val="center"/>
          </w:tcPr>
          <w:p w14:paraId="7215AC33" w14:textId="1B3D8C1F" w:rsidR="001F4508" w:rsidRDefault="001F4508" w:rsidP="001F4508">
            <w:pPr>
              <w:pStyle w:val="biaogeleft"/>
              <w:wordWrap w:val="0"/>
              <w:rPr>
                <w:rFonts w:asciiTheme="minorEastAsia" w:eastAsiaTheme="minorEastAsia" w:hAnsiTheme="minorEastAsia"/>
              </w:rPr>
            </w:pPr>
            <w:r>
              <w:rPr>
                <w:rFonts w:hint="eastAsia"/>
              </w:rPr>
              <w:t>合计</w:t>
            </w:r>
          </w:p>
        </w:tc>
        <w:tc>
          <w:tcPr>
            <w:tcW w:w="3637" w:type="dxa"/>
            <w:tcBorders>
              <w:top w:val="single" w:sz="8" w:space="0" w:color="000000"/>
              <w:left w:val="single" w:sz="8" w:space="0" w:color="000000"/>
              <w:bottom w:val="single" w:sz="6" w:space="0" w:color="000000"/>
              <w:right w:val="single" w:sz="8" w:space="0" w:color="000000"/>
            </w:tcBorders>
            <w:vAlign w:val="center"/>
          </w:tcPr>
          <w:p w14:paraId="447C02D5" w14:textId="59BFAFDF" w:rsidR="001F4508" w:rsidRDefault="001F4508" w:rsidP="001F4508">
            <w:pPr>
              <w:pStyle w:val="biaogeright"/>
              <w:wordWrap w:val="0"/>
              <w:rPr>
                <w:rFonts w:asciiTheme="minorEastAsia" w:eastAsiaTheme="minorEastAsia" w:hAnsiTheme="minorEastAsia"/>
              </w:rPr>
            </w:pPr>
            <w:r>
              <w:rPr>
                <w:rFonts w:hint="eastAsia"/>
              </w:rPr>
              <w:t>76,086.14</w:t>
            </w:r>
          </w:p>
        </w:tc>
      </w:tr>
    </w:tbl>
    <w:p w14:paraId="723A4452" w14:textId="77777777" w:rsidR="00AC3A9B" w:rsidRDefault="00AC3A9B">
      <w:pPr>
        <w:widowControl/>
        <w:jc w:val="left"/>
        <w:rPr>
          <w:rFonts w:asciiTheme="minorEastAsia" w:hAnsiTheme="minorEastAsia" w:cs="宋体"/>
          <w:kern w:val="0"/>
          <w:sz w:val="24"/>
          <w:szCs w:val="24"/>
        </w:rPr>
      </w:pPr>
    </w:p>
    <w:p w14:paraId="405BF659"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4）</w:t>
      </w:r>
      <w:r>
        <w:rPr>
          <w:rFonts w:asciiTheme="minorEastAsia" w:hAnsiTheme="minorEastAsia" w:hint="eastAsia"/>
          <w:bCs/>
          <w:sz w:val="24"/>
          <w:szCs w:val="24"/>
        </w:rPr>
        <w:t>报告期末持有的处于转股期的可转换债券明细</w:t>
      </w:r>
    </w:p>
    <w:p w14:paraId="23069837"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本基金本报告期末未持有处于转股的可转换债券。</w:t>
      </w:r>
    </w:p>
    <w:p w14:paraId="4F0A2E53"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5）</w:t>
      </w:r>
      <w:r>
        <w:rPr>
          <w:rFonts w:asciiTheme="minorEastAsia" w:hAnsiTheme="minorEastAsia" w:hint="eastAsia"/>
          <w:bCs/>
          <w:sz w:val="24"/>
          <w:szCs w:val="24"/>
        </w:rPr>
        <w:t>报告期末前十名股票中存在流通受限情况的说明</w:t>
      </w:r>
    </w:p>
    <w:p w14:paraId="54A016C5"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本基金本报告期末前十名股票中不存在流通受限股票。</w:t>
      </w:r>
    </w:p>
    <w:p w14:paraId="1C965DA2"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6）</w:t>
      </w:r>
      <w:r>
        <w:rPr>
          <w:rFonts w:asciiTheme="minorEastAsia" w:hAnsiTheme="minorEastAsia" w:hint="eastAsia"/>
          <w:bCs/>
          <w:sz w:val="24"/>
          <w:szCs w:val="24"/>
        </w:rPr>
        <w:t>投资组合报告附注的其他文字描述部分</w:t>
      </w:r>
    </w:p>
    <w:p w14:paraId="4F92D011"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由于四舍五入原因，分项之和与合计可能有尾差。</w:t>
      </w:r>
    </w:p>
    <w:p w14:paraId="4E44E934"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九、基金净值表现</w:t>
      </w:r>
    </w:p>
    <w:p w14:paraId="44B33F3D"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bCs/>
          <w:sz w:val="24"/>
          <w:szCs w:val="24"/>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2B8DEEB6"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富荣福锦混合</w:t>
      </w:r>
      <w:r>
        <w:rPr>
          <w:rFonts w:asciiTheme="minorEastAsia" w:hAnsiTheme="minorEastAsia"/>
          <w:bCs/>
          <w:sz w:val="24"/>
          <w:szCs w:val="24"/>
        </w:rPr>
        <w:t>A</w:t>
      </w:r>
    </w:p>
    <w:tbl>
      <w:tblPr>
        <w:tblW w:w="9913" w:type="dxa"/>
        <w:jc w:val="center"/>
        <w:tblLayout w:type="fixed"/>
        <w:tblLook w:val="04A0" w:firstRow="1" w:lastRow="0" w:firstColumn="1" w:lastColumn="0" w:noHBand="0" w:noVBand="1"/>
      </w:tblPr>
      <w:tblGrid>
        <w:gridCol w:w="1230"/>
        <w:gridCol w:w="1394"/>
        <w:gridCol w:w="1271"/>
        <w:gridCol w:w="1539"/>
        <w:gridCol w:w="1589"/>
        <w:gridCol w:w="1438"/>
        <w:gridCol w:w="1452"/>
      </w:tblGrid>
      <w:tr w:rsidR="00AC3A9B" w14:paraId="322661CD" w14:textId="77777777" w:rsidTr="00C07F89">
        <w:trPr>
          <w:trHeight w:val="1060"/>
          <w:jc w:val="center"/>
        </w:trPr>
        <w:tc>
          <w:tcPr>
            <w:tcW w:w="1230" w:type="dxa"/>
            <w:tcBorders>
              <w:top w:val="single" w:sz="8" w:space="0" w:color="000000"/>
              <w:left w:val="single" w:sz="8" w:space="0" w:color="000000"/>
              <w:bottom w:val="single" w:sz="8" w:space="0" w:color="000000"/>
              <w:right w:val="single" w:sz="8" w:space="0" w:color="000000"/>
            </w:tcBorders>
            <w:vAlign w:val="center"/>
          </w:tcPr>
          <w:p w14:paraId="7F0B9700" w14:textId="77777777" w:rsidR="00AC3A9B" w:rsidRDefault="002C3C29">
            <w:pPr>
              <w:pStyle w:val="biaogecenter"/>
              <w:jc w:val="left"/>
              <w:rPr>
                <w:rFonts w:asciiTheme="minorEastAsia" w:eastAsiaTheme="minorEastAsia" w:hAnsiTheme="minorEastAsia"/>
              </w:rPr>
            </w:pPr>
            <w:r>
              <w:rPr>
                <w:rFonts w:asciiTheme="minorEastAsia" w:eastAsiaTheme="minorEastAsia" w:hAnsiTheme="minorEastAsia" w:hint="eastAsia"/>
                <w:color w:val="000000"/>
              </w:rPr>
              <w:lastRenderedPageBreak/>
              <w:t>阶段</w:t>
            </w:r>
          </w:p>
        </w:tc>
        <w:tc>
          <w:tcPr>
            <w:tcW w:w="1394" w:type="dxa"/>
            <w:tcBorders>
              <w:top w:val="single" w:sz="8" w:space="0" w:color="000000"/>
              <w:left w:val="single" w:sz="8" w:space="0" w:color="000000"/>
              <w:bottom w:val="single" w:sz="8" w:space="0" w:color="000000"/>
              <w:right w:val="single" w:sz="8" w:space="0" w:color="000000"/>
            </w:tcBorders>
            <w:vAlign w:val="center"/>
          </w:tcPr>
          <w:p w14:paraId="7AACE7DD" w14:textId="77777777" w:rsidR="00AC3A9B" w:rsidRDefault="002C3C29">
            <w:pPr>
              <w:pStyle w:val="biaogecenter"/>
              <w:wordWrap w:val="0"/>
              <w:rPr>
                <w:rFonts w:asciiTheme="minorEastAsia" w:eastAsiaTheme="minorEastAsia" w:hAnsiTheme="minorEastAsia"/>
              </w:rPr>
            </w:pPr>
            <w:r>
              <w:rPr>
                <w:rFonts w:asciiTheme="minorEastAsia" w:eastAsiaTheme="minorEastAsia" w:hAnsiTheme="minorEastAsia" w:hint="eastAsia"/>
                <w:color w:val="000000"/>
              </w:rPr>
              <w:t>份额净值增长率①</w:t>
            </w:r>
          </w:p>
        </w:tc>
        <w:tc>
          <w:tcPr>
            <w:tcW w:w="1271" w:type="dxa"/>
            <w:tcBorders>
              <w:top w:val="single" w:sz="8" w:space="0" w:color="000000"/>
              <w:left w:val="single" w:sz="8" w:space="0" w:color="000000"/>
              <w:bottom w:val="single" w:sz="8" w:space="0" w:color="000000"/>
              <w:right w:val="single" w:sz="8" w:space="0" w:color="000000"/>
            </w:tcBorders>
            <w:vAlign w:val="center"/>
          </w:tcPr>
          <w:p w14:paraId="5647F5B5" w14:textId="77777777" w:rsidR="00AC3A9B" w:rsidRDefault="002C3C29">
            <w:pPr>
              <w:pStyle w:val="biaogecenter"/>
              <w:wordWrap w:val="0"/>
              <w:rPr>
                <w:rFonts w:asciiTheme="minorEastAsia" w:eastAsiaTheme="minorEastAsia" w:hAnsiTheme="minorEastAsia"/>
              </w:rPr>
            </w:pPr>
            <w:r>
              <w:rPr>
                <w:rFonts w:asciiTheme="minorEastAsia" w:eastAsiaTheme="minorEastAsia" w:hAnsiTheme="minorEastAsia" w:hint="eastAsia"/>
                <w:color w:val="000000"/>
              </w:rPr>
              <w:t>份额净值增长率标准差②</w:t>
            </w:r>
          </w:p>
        </w:tc>
        <w:tc>
          <w:tcPr>
            <w:tcW w:w="1539" w:type="dxa"/>
            <w:tcBorders>
              <w:top w:val="single" w:sz="8" w:space="0" w:color="000000"/>
              <w:left w:val="single" w:sz="8" w:space="0" w:color="000000"/>
              <w:bottom w:val="single" w:sz="8" w:space="0" w:color="000000"/>
              <w:right w:val="single" w:sz="8" w:space="0" w:color="000000"/>
            </w:tcBorders>
            <w:vAlign w:val="center"/>
          </w:tcPr>
          <w:p w14:paraId="21A9F44D" w14:textId="77777777" w:rsidR="00AC3A9B" w:rsidRDefault="002C3C29">
            <w:pPr>
              <w:pStyle w:val="biaogecenter"/>
              <w:wordWrap w:val="0"/>
              <w:rPr>
                <w:rFonts w:asciiTheme="minorEastAsia" w:eastAsiaTheme="minorEastAsia" w:hAnsiTheme="minorEastAsia"/>
              </w:rPr>
            </w:pPr>
            <w:r>
              <w:rPr>
                <w:rFonts w:asciiTheme="minorEastAsia" w:eastAsiaTheme="minorEastAsia" w:hAnsiTheme="minorEastAsia" w:hint="eastAsia"/>
                <w:color w:val="000000"/>
              </w:rPr>
              <w:t>业绩比较基准收益率③</w:t>
            </w:r>
          </w:p>
        </w:tc>
        <w:tc>
          <w:tcPr>
            <w:tcW w:w="1589" w:type="dxa"/>
            <w:tcBorders>
              <w:top w:val="single" w:sz="8" w:space="0" w:color="000000"/>
              <w:left w:val="single" w:sz="8" w:space="0" w:color="000000"/>
              <w:bottom w:val="single" w:sz="8" w:space="0" w:color="000000"/>
              <w:right w:val="single" w:sz="8" w:space="0" w:color="000000"/>
            </w:tcBorders>
            <w:vAlign w:val="center"/>
          </w:tcPr>
          <w:p w14:paraId="100DF5C2" w14:textId="77777777" w:rsidR="00AC3A9B" w:rsidRDefault="002C3C29">
            <w:pPr>
              <w:pStyle w:val="biaogecenter"/>
              <w:wordWrap w:val="0"/>
              <w:rPr>
                <w:rFonts w:asciiTheme="minorEastAsia" w:eastAsiaTheme="minorEastAsia" w:hAnsiTheme="minorEastAsia"/>
              </w:rPr>
            </w:pPr>
            <w:r>
              <w:rPr>
                <w:rFonts w:asciiTheme="minorEastAsia" w:eastAsiaTheme="minorEastAsia" w:hAnsiTheme="minorEastAsia" w:hint="eastAsia"/>
                <w:color w:val="000000"/>
              </w:rPr>
              <w:t>业绩比较基准收益率标准差④</w:t>
            </w:r>
          </w:p>
        </w:tc>
        <w:tc>
          <w:tcPr>
            <w:tcW w:w="1438" w:type="dxa"/>
            <w:tcBorders>
              <w:top w:val="single" w:sz="8" w:space="0" w:color="000000"/>
              <w:left w:val="single" w:sz="8" w:space="0" w:color="000000"/>
              <w:bottom w:val="single" w:sz="8" w:space="0" w:color="000000"/>
              <w:right w:val="single" w:sz="8" w:space="0" w:color="000000"/>
            </w:tcBorders>
            <w:vAlign w:val="center"/>
          </w:tcPr>
          <w:p w14:paraId="0299C768" w14:textId="77777777" w:rsidR="00AC3A9B" w:rsidRDefault="002C3C29">
            <w:pPr>
              <w:pStyle w:val="biaogecenter"/>
              <w:wordWrap w:val="0"/>
              <w:rPr>
                <w:rFonts w:asciiTheme="minorEastAsia" w:eastAsiaTheme="minorEastAsia" w:hAnsiTheme="minorEastAsia"/>
              </w:rPr>
            </w:pPr>
            <w:r>
              <w:rPr>
                <w:rFonts w:asciiTheme="minorEastAsia" w:eastAsiaTheme="minorEastAsia" w:hAnsiTheme="minorEastAsia" w:hint="eastAsia"/>
                <w:color w:val="000000"/>
              </w:rPr>
              <w:t>①</w:t>
            </w:r>
            <w:r>
              <w:rPr>
                <w:rFonts w:asciiTheme="minorEastAsia" w:eastAsiaTheme="minorEastAsia" w:hAnsiTheme="minorEastAsia"/>
                <w:color w:val="000000"/>
              </w:rPr>
              <w:t>-③</w:t>
            </w:r>
          </w:p>
        </w:tc>
        <w:tc>
          <w:tcPr>
            <w:tcW w:w="1452" w:type="dxa"/>
            <w:tcBorders>
              <w:top w:val="single" w:sz="8" w:space="0" w:color="000000"/>
              <w:left w:val="single" w:sz="8" w:space="0" w:color="000000"/>
              <w:bottom w:val="single" w:sz="8" w:space="0" w:color="000000"/>
              <w:right w:val="single" w:sz="8" w:space="0" w:color="000000"/>
            </w:tcBorders>
            <w:vAlign w:val="center"/>
          </w:tcPr>
          <w:p w14:paraId="60838F89" w14:textId="77777777" w:rsidR="00AC3A9B" w:rsidRDefault="002C3C29">
            <w:pPr>
              <w:pStyle w:val="biaogecenter"/>
              <w:wordWrap w:val="0"/>
              <w:rPr>
                <w:rFonts w:asciiTheme="minorEastAsia" w:eastAsiaTheme="minorEastAsia" w:hAnsiTheme="minorEastAsia"/>
              </w:rPr>
            </w:pPr>
            <w:r>
              <w:rPr>
                <w:rFonts w:asciiTheme="minorEastAsia" w:eastAsiaTheme="minorEastAsia" w:hAnsiTheme="minorEastAsia" w:hint="eastAsia"/>
                <w:color w:val="000000"/>
              </w:rPr>
              <w:t>②</w:t>
            </w:r>
            <w:r>
              <w:rPr>
                <w:rFonts w:asciiTheme="minorEastAsia" w:eastAsiaTheme="minorEastAsia" w:hAnsiTheme="minorEastAsia"/>
                <w:color w:val="000000"/>
              </w:rPr>
              <w:t>-④</w:t>
            </w:r>
          </w:p>
        </w:tc>
      </w:tr>
      <w:tr w:rsidR="00AC3A9B" w14:paraId="59669CF7" w14:textId="77777777" w:rsidTr="00C07F89">
        <w:trPr>
          <w:trHeight w:val="892"/>
          <w:jc w:val="center"/>
        </w:trPr>
        <w:tc>
          <w:tcPr>
            <w:tcW w:w="1230" w:type="dxa"/>
            <w:tcBorders>
              <w:top w:val="single" w:sz="8" w:space="0" w:color="000000"/>
              <w:left w:val="single" w:sz="8" w:space="0" w:color="000000"/>
              <w:bottom w:val="single" w:sz="8" w:space="0" w:color="000000"/>
              <w:right w:val="single" w:sz="8" w:space="0" w:color="000000"/>
            </w:tcBorders>
            <w:vAlign w:val="center"/>
          </w:tcPr>
          <w:p w14:paraId="0582B697" w14:textId="77777777" w:rsidR="00AC3A9B" w:rsidRDefault="002C3C29">
            <w:pPr>
              <w:pStyle w:val="biaogeleft"/>
              <w:wordWrap w:val="0"/>
              <w:spacing w:line="360" w:lineRule="auto"/>
              <w:rPr>
                <w:rFonts w:asciiTheme="minorEastAsia" w:eastAsiaTheme="minorEastAsia" w:hAnsiTheme="minorEastAsia"/>
                <w:color w:val="000000"/>
              </w:rPr>
            </w:pPr>
            <w:r>
              <w:rPr>
                <w:rFonts w:asciiTheme="minorEastAsia" w:eastAsiaTheme="minorEastAsia" w:hAnsiTheme="minorEastAsia" w:hint="eastAsia"/>
                <w:color w:val="000000"/>
              </w:rPr>
              <w:t>2018.03.16~2018.12.31</w:t>
            </w:r>
          </w:p>
        </w:tc>
        <w:tc>
          <w:tcPr>
            <w:tcW w:w="1394" w:type="dxa"/>
            <w:tcBorders>
              <w:top w:val="single" w:sz="8" w:space="0" w:color="000000"/>
              <w:left w:val="single" w:sz="8" w:space="0" w:color="000000"/>
              <w:bottom w:val="single" w:sz="8" w:space="0" w:color="000000"/>
              <w:right w:val="single" w:sz="8" w:space="0" w:color="000000"/>
            </w:tcBorders>
            <w:vAlign w:val="center"/>
          </w:tcPr>
          <w:p w14:paraId="02A36C6A" w14:textId="77777777" w:rsidR="00AC3A9B" w:rsidRDefault="002C3C29">
            <w:pPr>
              <w:pStyle w:val="biaogecenter"/>
              <w:wordWrap w:val="0"/>
              <w:rPr>
                <w:rFonts w:asciiTheme="minorEastAsia" w:eastAsiaTheme="minorEastAsia" w:hAnsiTheme="minorEastAsia"/>
              </w:rPr>
            </w:pPr>
            <w:r>
              <w:rPr>
                <w:rFonts w:hint="eastAsia"/>
              </w:rPr>
              <w:t>-18.35%</w:t>
            </w:r>
          </w:p>
        </w:tc>
        <w:tc>
          <w:tcPr>
            <w:tcW w:w="1271" w:type="dxa"/>
            <w:tcBorders>
              <w:top w:val="single" w:sz="8" w:space="0" w:color="000000"/>
              <w:left w:val="single" w:sz="8" w:space="0" w:color="000000"/>
              <w:bottom w:val="single" w:sz="8" w:space="0" w:color="000000"/>
              <w:right w:val="single" w:sz="8" w:space="0" w:color="000000"/>
            </w:tcBorders>
            <w:vAlign w:val="center"/>
          </w:tcPr>
          <w:p w14:paraId="5282E2C4" w14:textId="77777777" w:rsidR="00AC3A9B" w:rsidRDefault="002C3C29">
            <w:pPr>
              <w:pStyle w:val="biaogecenter"/>
              <w:wordWrap w:val="0"/>
              <w:rPr>
                <w:rFonts w:asciiTheme="minorEastAsia" w:eastAsiaTheme="minorEastAsia" w:hAnsiTheme="minorEastAsia"/>
              </w:rPr>
            </w:pPr>
            <w:r>
              <w:rPr>
                <w:rFonts w:hint="eastAsia"/>
              </w:rPr>
              <w:t>0.88%</w:t>
            </w:r>
          </w:p>
        </w:tc>
        <w:tc>
          <w:tcPr>
            <w:tcW w:w="1539" w:type="dxa"/>
            <w:tcBorders>
              <w:top w:val="single" w:sz="8" w:space="0" w:color="000000"/>
              <w:left w:val="single" w:sz="8" w:space="0" w:color="000000"/>
              <w:bottom w:val="single" w:sz="8" w:space="0" w:color="000000"/>
              <w:right w:val="single" w:sz="8" w:space="0" w:color="000000"/>
            </w:tcBorders>
            <w:vAlign w:val="center"/>
          </w:tcPr>
          <w:p w14:paraId="02426542" w14:textId="77777777" w:rsidR="00AC3A9B" w:rsidRDefault="002C3C29">
            <w:pPr>
              <w:pStyle w:val="biaogecenter"/>
              <w:wordWrap w:val="0"/>
              <w:rPr>
                <w:rFonts w:asciiTheme="minorEastAsia" w:eastAsiaTheme="minorEastAsia" w:hAnsiTheme="minorEastAsia"/>
              </w:rPr>
            </w:pPr>
            <w:r>
              <w:rPr>
                <w:rFonts w:hint="eastAsia"/>
              </w:rPr>
              <w:t>-17.32%</w:t>
            </w:r>
          </w:p>
        </w:tc>
        <w:tc>
          <w:tcPr>
            <w:tcW w:w="1589" w:type="dxa"/>
            <w:tcBorders>
              <w:top w:val="single" w:sz="8" w:space="0" w:color="000000"/>
              <w:left w:val="single" w:sz="8" w:space="0" w:color="000000"/>
              <w:bottom w:val="single" w:sz="8" w:space="0" w:color="000000"/>
              <w:right w:val="single" w:sz="8" w:space="0" w:color="000000"/>
            </w:tcBorders>
            <w:vAlign w:val="center"/>
          </w:tcPr>
          <w:p w14:paraId="4833363F" w14:textId="77777777" w:rsidR="00AC3A9B" w:rsidRDefault="002C3C29">
            <w:pPr>
              <w:pStyle w:val="biaogecenter"/>
              <w:wordWrap w:val="0"/>
              <w:rPr>
                <w:rFonts w:asciiTheme="minorEastAsia" w:eastAsiaTheme="minorEastAsia" w:hAnsiTheme="minorEastAsia"/>
              </w:rPr>
            </w:pPr>
            <w:r>
              <w:rPr>
                <w:rFonts w:hint="eastAsia"/>
              </w:rPr>
              <w:t>0.96%</w:t>
            </w:r>
          </w:p>
        </w:tc>
        <w:tc>
          <w:tcPr>
            <w:tcW w:w="1438" w:type="dxa"/>
            <w:tcBorders>
              <w:top w:val="single" w:sz="8" w:space="0" w:color="000000"/>
              <w:left w:val="single" w:sz="8" w:space="0" w:color="000000"/>
              <w:bottom w:val="single" w:sz="8" w:space="0" w:color="000000"/>
              <w:right w:val="single" w:sz="8" w:space="0" w:color="000000"/>
            </w:tcBorders>
            <w:vAlign w:val="center"/>
          </w:tcPr>
          <w:p w14:paraId="6FB4DB3D" w14:textId="77777777" w:rsidR="00AC3A9B" w:rsidRDefault="002C3C29">
            <w:pPr>
              <w:pStyle w:val="biaogecenter"/>
              <w:wordWrap w:val="0"/>
              <w:rPr>
                <w:rFonts w:asciiTheme="minorEastAsia" w:eastAsiaTheme="minorEastAsia" w:hAnsiTheme="minorEastAsia"/>
              </w:rPr>
            </w:pPr>
            <w:r>
              <w:rPr>
                <w:rFonts w:hint="eastAsia"/>
              </w:rPr>
              <w:t>-1.03%</w:t>
            </w:r>
          </w:p>
        </w:tc>
        <w:tc>
          <w:tcPr>
            <w:tcW w:w="1452" w:type="dxa"/>
            <w:tcBorders>
              <w:top w:val="single" w:sz="8" w:space="0" w:color="000000"/>
              <w:left w:val="single" w:sz="8" w:space="0" w:color="000000"/>
              <w:bottom w:val="single" w:sz="8" w:space="0" w:color="000000"/>
              <w:right w:val="single" w:sz="8" w:space="0" w:color="000000"/>
            </w:tcBorders>
            <w:vAlign w:val="center"/>
          </w:tcPr>
          <w:p w14:paraId="084BA787" w14:textId="77777777" w:rsidR="00AC3A9B" w:rsidRDefault="002C3C29">
            <w:pPr>
              <w:pStyle w:val="biaogecenter"/>
              <w:wordWrap w:val="0"/>
              <w:rPr>
                <w:rFonts w:asciiTheme="minorEastAsia" w:eastAsiaTheme="minorEastAsia" w:hAnsiTheme="minorEastAsia"/>
              </w:rPr>
            </w:pPr>
            <w:r>
              <w:rPr>
                <w:rFonts w:hint="eastAsia"/>
              </w:rPr>
              <w:t>-0.08%</w:t>
            </w:r>
          </w:p>
        </w:tc>
      </w:tr>
      <w:tr w:rsidR="00AC3A9B" w14:paraId="15C10FEC" w14:textId="77777777" w:rsidTr="00C07F89">
        <w:trPr>
          <w:trHeight w:val="1026"/>
          <w:jc w:val="center"/>
        </w:trPr>
        <w:tc>
          <w:tcPr>
            <w:tcW w:w="1230" w:type="dxa"/>
            <w:tcBorders>
              <w:top w:val="single" w:sz="8" w:space="0" w:color="000000"/>
              <w:left w:val="single" w:sz="8" w:space="0" w:color="000000"/>
              <w:bottom w:val="single" w:sz="8" w:space="0" w:color="000000"/>
              <w:right w:val="single" w:sz="8" w:space="0" w:color="000000"/>
            </w:tcBorders>
          </w:tcPr>
          <w:p w14:paraId="50A08F0A" w14:textId="77777777" w:rsidR="00AC3A9B" w:rsidRDefault="002C3C29">
            <w:pPr>
              <w:pStyle w:val="biaogeleft"/>
              <w:wordWrap w:val="0"/>
              <w:spacing w:line="360" w:lineRule="auto"/>
              <w:rPr>
                <w:rFonts w:asciiTheme="minorEastAsia" w:eastAsiaTheme="minorEastAsia" w:hAnsiTheme="minorEastAsia"/>
                <w:color w:val="000000"/>
              </w:rPr>
            </w:pPr>
            <w:r>
              <w:rPr>
                <w:rFonts w:asciiTheme="minorEastAsia" w:eastAsiaTheme="minorEastAsia" w:hAnsiTheme="minorEastAsia" w:hint="eastAsia"/>
                <w:color w:val="000000"/>
              </w:rPr>
              <w:t>2019.01.01~2019.12.31</w:t>
            </w:r>
          </w:p>
        </w:tc>
        <w:tc>
          <w:tcPr>
            <w:tcW w:w="1394" w:type="dxa"/>
            <w:tcBorders>
              <w:top w:val="single" w:sz="8" w:space="0" w:color="000000"/>
              <w:left w:val="single" w:sz="8" w:space="0" w:color="000000"/>
              <w:bottom w:val="single" w:sz="8" w:space="0" w:color="000000"/>
              <w:right w:val="single" w:sz="8" w:space="0" w:color="000000"/>
            </w:tcBorders>
            <w:vAlign w:val="center"/>
          </w:tcPr>
          <w:p w14:paraId="3A9C4E45" w14:textId="77777777" w:rsidR="00AC3A9B" w:rsidRDefault="002C3C29">
            <w:pPr>
              <w:pStyle w:val="biaogecenter"/>
              <w:wordWrap w:val="0"/>
              <w:rPr>
                <w:rFonts w:asciiTheme="minorEastAsia" w:eastAsiaTheme="minorEastAsia" w:hAnsiTheme="minorEastAsia"/>
              </w:rPr>
            </w:pPr>
            <w:r>
              <w:rPr>
                <w:rFonts w:asciiTheme="minorEastAsia" w:eastAsiaTheme="minorEastAsia" w:hAnsiTheme="minorEastAsia" w:hint="eastAsia"/>
              </w:rPr>
              <w:t>34.43%</w:t>
            </w:r>
          </w:p>
        </w:tc>
        <w:tc>
          <w:tcPr>
            <w:tcW w:w="1271" w:type="dxa"/>
            <w:tcBorders>
              <w:top w:val="single" w:sz="8" w:space="0" w:color="000000"/>
              <w:left w:val="single" w:sz="8" w:space="0" w:color="000000"/>
              <w:bottom w:val="single" w:sz="8" w:space="0" w:color="000000"/>
              <w:right w:val="single" w:sz="8" w:space="0" w:color="000000"/>
            </w:tcBorders>
            <w:vAlign w:val="center"/>
          </w:tcPr>
          <w:p w14:paraId="19738C87" w14:textId="77777777" w:rsidR="00AC3A9B" w:rsidRDefault="002C3C29">
            <w:pPr>
              <w:pStyle w:val="biaogecenter"/>
              <w:wordWrap w:val="0"/>
              <w:rPr>
                <w:rFonts w:asciiTheme="minorEastAsia" w:eastAsiaTheme="minorEastAsia" w:hAnsiTheme="minorEastAsia"/>
              </w:rPr>
            </w:pPr>
            <w:r>
              <w:rPr>
                <w:rFonts w:asciiTheme="minorEastAsia" w:eastAsiaTheme="minorEastAsia" w:hAnsiTheme="minorEastAsia" w:hint="eastAsia"/>
              </w:rPr>
              <w:t>1.32%</w:t>
            </w:r>
          </w:p>
        </w:tc>
        <w:tc>
          <w:tcPr>
            <w:tcW w:w="1539" w:type="dxa"/>
            <w:tcBorders>
              <w:top w:val="single" w:sz="8" w:space="0" w:color="000000"/>
              <w:left w:val="single" w:sz="8" w:space="0" w:color="000000"/>
              <w:bottom w:val="single" w:sz="8" w:space="0" w:color="000000"/>
              <w:right w:val="single" w:sz="8" w:space="0" w:color="000000"/>
            </w:tcBorders>
            <w:vAlign w:val="center"/>
          </w:tcPr>
          <w:p w14:paraId="00E2DA42" w14:textId="77777777" w:rsidR="00AC3A9B" w:rsidRDefault="002C3C29">
            <w:pPr>
              <w:pStyle w:val="biaogecenter"/>
              <w:wordWrap w:val="0"/>
              <w:ind w:firstLine="480"/>
              <w:rPr>
                <w:rFonts w:asciiTheme="minorEastAsia" w:eastAsiaTheme="minorEastAsia" w:hAnsiTheme="minorEastAsia"/>
              </w:rPr>
            </w:pPr>
            <w:r>
              <w:rPr>
                <w:rFonts w:asciiTheme="minorEastAsia" w:eastAsiaTheme="minorEastAsia" w:hAnsiTheme="minorEastAsia" w:hint="eastAsia"/>
              </w:rPr>
              <w:t>26.39%</w:t>
            </w:r>
          </w:p>
        </w:tc>
        <w:tc>
          <w:tcPr>
            <w:tcW w:w="1589" w:type="dxa"/>
            <w:tcBorders>
              <w:top w:val="single" w:sz="8" w:space="0" w:color="000000"/>
              <w:left w:val="single" w:sz="8" w:space="0" w:color="000000"/>
              <w:bottom w:val="single" w:sz="8" w:space="0" w:color="000000"/>
              <w:right w:val="single" w:sz="8" w:space="0" w:color="000000"/>
            </w:tcBorders>
            <w:vAlign w:val="center"/>
          </w:tcPr>
          <w:p w14:paraId="19DBC6D5" w14:textId="77777777" w:rsidR="00AC3A9B" w:rsidRDefault="002C3C29">
            <w:pPr>
              <w:pStyle w:val="biaogecenter"/>
              <w:wordWrap w:val="0"/>
              <w:ind w:firstLine="480"/>
              <w:rPr>
                <w:rFonts w:asciiTheme="minorEastAsia" w:eastAsiaTheme="minorEastAsia" w:hAnsiTheme="minorEastAsia"/>
              </w:rPr>
            </w:pPr>
            <w:r>
              <w:rPr>
                <w:rFonts w:asciiTheme="minorEastAsia" w:eastAsiaTheme="minorEastAsia" w:hAnsiTheme="minorEastAsia" w:hint="eastAsia"/>
              </w:rPr>
              <w:t>0.87%</w:t>
            </w:r>
          </w:p>
        </w:tc>
        <w:tc>
          <w:tcPr>
            <w:tcW w:w="1438" w:type="dxa"/>
            <w:tcBorders>
              <w:top w:val="single" w:sz="8" w:space="0" w:color="000000"/>
              <w:left w:val="single" w:sz="8" w:space="0" w:color="000000"/>
              <w:bottom w:val="single" w:sz="8" w:space="0" w:color="000000"/>
              <w:right w:val="single" w:sz="8" w:space="0" w:color="000000"/>
            </w:tcBorders>
            <w:vAlign w:val="center"/>
          </w:tcPr>
          <w:p w14:paraId="1F679D58" w14:textId="77777777" w:rsidR="00AC3A9B" w:rsidRDefault="002C3C29">
            <w:pPr>
              <w:pStyle w:val="biaogecenter"/>
              <w:wordWrap w:val="0"/>
              <w:ind w:firstLine="480"/>
              <w:rPr>
                <w:rFonts w:asciiTheme="minorEastAsia" w:eastAsiaTheme="minorEastAsia" w:hAnsiTheme="minorEastAsia"/>
              </w:rPr>
            </w:pPr>
            <w:r>
              <w:rPr>
                <w:rFonts w:asciiTheme="minorEastAsia" w:eastAsiaTheme="minorEastAsia" w:hAnsiTheme="minorEastAsia" w:hint="eastAsia"/>
              </w:rPr>
              <w:t>8.04%</w:t>
            </w:r>
          </w:p>
        </w:tc>
        <w:tc>
          <w:tcPr>
            <w:tcW w:w="1452" w:type="dxa"/>
            <w:tcBorders>
              <w:top w:val="single" w:sz="8" w:space="0" w:color="000000"/>
              <w:left w:val="single" w:sz="8" w:space="0" w:color="000000"/>
              <w:bottom w:val="single" w:sz="8" w:space="0" w:color="000000"/>
              <w:right w:val="single" w:sz="8" w:space="0" w:color="000000"/>
            </w:tcBorders>
            <w:vAlign w:val="center"/>
          </w:tcPr>
          <w:p w14:paraId="650BEE47" w14:textId="77777777" w:rsidR="00AC3A9B" w:rsidRDefault="002C3C29">
            <w:pPr>
              <w:pStyle w:val="biaogecenter"/>
              <w:wordWrap w:val="0"/>
              <w:ind w:firstLine="480"/>
              <w:rPr>
                <w:rFonts w:asciiTheme="minorEastAsia" w:eastAsiaTheme="minorEastAsia" w:hAnsiTheme="minorEastAsia"/>
              </w:rPr>
            </w:pPr>
            <w:r>
              <w:rPr>
                <w:rFonts w:asciiTheme="minorEastAsia" w:eastAsiaTheme="minorEastAsia" w:hAnsiTheme="minorEastAsia" w:hint="eastAsia"/>
              </w:rPr>
              <w:t>0.45%</w:t>
            </w:r>
          </w:p>
        </w:tc>
      </w:tr>
      <w:tr w:rsidR="00AD2934" w14:paraId="6E0D30DB" w14:textId="77777777" w:rsidTr="00C07F89">
        <w:trPr>
          <w:trHeight w:val="1026"/>
          <w:jc w:val="center"/>
        </w:trPr>
        <w:tc>
          <w:tcPr>
            <w:tcW w:w="1230" w:type="dxa"/>
            <w:tcBorders>
              <w:top w:val="single" w:sz="8" w:space="0" w:color="000000"/>
              <w:left w:val="single" w:sz="8" w:space="0" w:color="000000"/>
              <w:bottom w:val="single" w:sz="8" w:space="0" w:color="000000"/>
              <w:right w:val="single" w:sz="8" w:space="0" w:color="000000"/>
            </w:tcBorders>
            <w:vAlign w:val="center"/>
          </w:tcPr>
          <w:p w14:paraId="1704EFC3" w14:textId="4AD50BA9" w:rsidR="00AD2934" w:rsidRDefault="00AD2934" w:rsidP="00AD2934">
            <w:pPr>
              <w:pStyle w:val="biaogeleft"/>
              <w:wordWrap w:val="0"/>
              <w:spacing w:line="360" w:lineRule="auto"/>
              <w:rPr>
                <w:rFonts w:asciiTheme="minorEastAsia" w:eastAsiaTheme="minorEastAsia" w:hAnsiTheme="minorEastAsia"/>
                <w:color w:val="000000"/>
              </w:rPr>
            </w:pPr>
            <w:r>
              <w:rPr>
                <w:rFonts w:asciiTheme="minorEastAsia" w:eastAsiaTheme="minorEastAsia" w:hAnsiTheme="minorEastAsia" w:hint="eastAsia"/>
                <w:color w:val="000000"/>
              </w:rPr>
              <w:t>2020.01.01~2020.12.31</w:t>
            </w:r>
          </w:p>
        </w:tc>
        <w:tc>
          <w:tcPr>
            <w:tcW w:w="1394" w:type="dxa"/>
            <w:tcBorders>
              <w:top w:val="single" w:sz="8" w:space="0" w:color="000000"/>
              <w:left w:val="single" w:sz="8" w:space="0" w:color="000000"/>
              <w:bottom w:val="single" w:sz="8" w:space="0" w:color="000000"/>
              <w:right w:val="single" w:sz="8" w:space="0" w:color="000000"/>
            </w:tcBorders>
            <w:vAlign w:val="center"/>
          </w:tcPr>
          <w:p w14:paraId="336ED38C" w14:textId="6A2D422F" w:rsidR="00AD2934" w:rsidRDefault="00AD2934" w:rsidP="00AD2934">
            <w:pPr>
              <w:pStyle w:val="biaogecenter"/>
              <w:wordWrap w:val="0"/>
              <w:rPr>
                <w:rFonts w:asciiTheme="minorEastAsia" w:eastAsiaTheme="minorEastAsia" w:hAnsiTheme="minorEastAsia"/>
              </w:rPr>
            </w:pPr>
            <w:r>
              <w:rPr>
                <w:rFonts w:hint="eastAsia"/>
              </w:rPr>
              <w:t>87.80%</w:t>
            </w:r>
          </w:p>
        </w:tc>
        <w:tc>
          <w:tcPr>
            <w:tcW w:w="1271" w:type="dxa"/>
            <w:tcBorders>
              <w:top w:val="single" w:sz="8" w:space="0" w:color="000000"/>
              <w:left w:val="single" w:sz="8" w:space="0" w:color="000000"/>
              <w:bottom w:val="single" w:sz="8" w:space="0" w:color="000000"/>
              <w:right w:val="single" w:sz="8" w:space="0" w:color="000000"/>
            </w:tcBorders>
            <w:vAlign w:val="center"/>
          </w:tcPr>
          <w:p w14:paraId="3DB6752E" w14:textId="65510593" w:rsidR="00AD2934" w:rsidRDefault="00AD2934" w:rsidP="00AD2934">
            <w:pPr>
              <w:pStyle w:val="biaogecenter"/>
              <w:wordWrap w:val="0"/>
              <w:rPr>
                <w:rFonts w:asciiTheme="minorEastAsia" w:eastAsiaTheme="minorEastAsia" w:hAnsiTheme="minorEastAsia"/>
              </w:rPr>
            </w:pPr>
            <w:r>
              <w:rPr>
                <w:rFonts w:hint="eastAsia"/>
              </w:rPr>
              <w:t>1.48%</w:t>
            </w:r>
          </w:p>
        </w:tc>
        <w:tc>
          <w:tcPr>
            <w:tcW w:w="1539" w:type="dxa"/>
            <w:tcBorders>
              <w:top w:val="single" w:sz="8" w:space="0" w:color="000000"/>
              <w:left w:val="single" w:sz="8" w:space="0" w:color="000000"/>
              <w:bottom w:val="single" w:sz="8" w:space="0" w:color="000000"/>
              <w:right w:val="single" w:sz="8" w:space="0" w:color="000000"/>
            </w:tcBorders>
            <w:vAlign w:val="center"/>
          </w:tcPr>
          <w:p w14:paraId="1BBA3EF4" w14:textId="704FC5F2" w:rsidR="00AD2934" w:rsidRDefault="00AD2934" w:rsidP="00AD2934">
            <w:pPr>
              <w:pStyle w:val="biaogecenter"/>
              <w:wordWrap w:val="0"/>
              <w:ind w:firstLine="480"/>
              <w:rPr>
                <w:rFonts w:asciiTheme="minorEastAsia" w:eastAsiaTheme="minorEastAsia" w:hAnsiTheme="minorEastAsia"/>
              </w:rPr>
            </w:pPr>
            <w:r>
              <w:rPr>
                <w:rFonts w:hint="eastAsia"/>
              </w:rPr>
              <w:t>20.09%</w:t>
            </w:r>
          </w:p>
        </w:tc>
        <w:tc>
          <w:tcPr>
            <w:tcW w:w="1589" w:type="dxa"/>
            <w:tcBorders>
              <w:top w:val="single" w:sz="8" w:space="0" w:color="000000"/>
              <w:left w:val="single" w:sz="8" w:space="0" w:color="000000"/>
              <w:bottom w:val="single" w:sz="8" w:space="0" w:color="000000"/>
              <w:right w:val="single" w:sz="8" w:space="0" w:color="000000"/>
            </w:tcBorders>
            <w:vAlign w:val="center"/>
          </w:tcPr>
          <w:p w14:paraId="530DD6EE" w14:textId="3F69C42F" w:rsidR="00AD2934" w:rsidRDefault="00AD2934" w:rsidP="00AD2934">
            <w:pPr>
              <w:pStyle w:val="biaogecenter"/>
              <w:wordWrap w:val="0"/>
              <w:ind w:firstLine="480"/>
              <w:rPr>
                <w:rFonts w:asciiTheme="minorEastAsia" w:eastAsiaTheme="minorEastAsia" w:hAnsiTheme="minorEastAsia"/>
              </w:rPr>
            </w:pPr>
            <w:r>
              <w:rPr>
                <w:rFonts w:hint="eastAsia"/>
              </w:rPr>
              <w:t>1.00%</w:t>
            </w:r>
          </w:p>
        </w:tc>
        <w:tc>
          <w:tcPr>
            <w:tcW w:w="1438" w:type="dxa"/>
            <w:tcBorders>
              <w:top w:val="single" w:sz="8" w:space="0" w:color="000000"/>
              <w:left w:val="single" w:sz="8" w:space="0" w:color="000000"/>
              <w:bottom w:val="single" w:sz="8" w:space="0" w:color="000000"/>
              <w:right w:val="single" w:sz="8" w:space="0" w:color="000000"/>
            </w:tcBorders>
            <w:vAlign w:val="center"/>
          </w:tcPr>
          <w:p w14:paraId="54FB3C74" w14:textId="57980EDF" w:rsidR="00AD2934" w:rsidRDefault="00AD2934" w:rsidP="00AD2934">
            <w:pPr>
              <w:pStyle w:val="biaogecenter"/>
              <w:wordWrap w:val="0"/>
              <w:ind w:firstLine="480"/>
              <w:rPr>
                <w:rFonts w:asciiTheme="minorEastAsia" w:eastAsiaTheme="minorEastAsia" w:hAnsiTheme="minorEastAsia"/>
              </w:rPr>
            </w:pPr>
            <w:r>
              <w:rPr>
                <w:rFonts w:hint="eastAsia"/>
              </w:rPr>
              <w:t>67.71%</w:t>
            </w:r>
          </w:p>
        </w:tc>
        <w:tc>
          <w:tcPr>
            <w:tcW w:w="1452" w:type="dxa"/>
            <w:tcBorders>
              <w:top w:val="single" w:sz="8" w:space="0" w:color="000000"/>
              <w:left w:val="single" w:sz="8" w:space="0" w:color="000000"/>
              <w:bottom w:val="single" w:sz="8" w:space="0" w:color="000000"/>
              <w:right w:val="single" w:sz="8" w:space="0" w:color="000000"/>
            </w:tcBorders>
            <w:vAlign w:val="center"/>
          </w:tcPr>
          <w:p w14:paraId="454B1FBB" w14:textId="7F7F6C01" w:rsidR="00AD2934" w:rsidRDefault="00AD2934" w:rsidP="00AD2934">
            <w:pPr>
              <w:pStyle w:val="biaogecenter"/>
              <w:wordWrap w:val="0"/>
              <w:ind w:firstLine="480"/>
              <w:rPr>
                <w:rFonts w:asciiTheme="minorEastAsia" w:eastAsiaTheme="minorEastAsia" w:hAnsiTheme="minorEastAsia"/>
              </w:rPr>
            </w:pPr>
            <w:r>
              <w:rPr>
                <w:rFonts w:hint="eastAsia"/>
              </w:rPr>
              <w:t>0.48%</w:t>
            </w:r>
          </w:p>
        </w:tc>
      </w:tr>
      <w:tr w:rsidR="004E4409" w14:paraId="67CF9BAD" w14:textId="77777777" w:rsidTr="00C07F89">
        <w:trPr>
          <w:trHeight w:val="1026"/>
          <w:jc w:val="center"/>
        </w:trPr>
        <w:tc>
          <w:tcPr>
            <w:tcW w:w="1230" w:type="dxa"/>
            <w:tcBorders>
              <w:top w:val="single" w:sz="8" w:space="0" w:color="000000"/>
              <w:left w:val="single" w:sz="8" w:space="0" w:color="000000"/>
              <w:bottom w:val="single" w:sz="8" w:space="0" w:color="000000"/>
              <w:right w:val="single" w:sz="8" w:space="0" w:color="000000"/>
            </w:tcBorders>
            <w:vAlign w:val="center"/>
          </w:tcPr>
          <w:p w14:paraId="775AEFD1" w14:textId="4EB6A449" w:rsidR="006F7E1A" w:rsidRDefault="006F7E1A" w:rsidP="006F7E1A">
            <w:pPr>
              <w:pStyle w:val="biaogeleft"/>
              <w:wordWrap w:val="0"/>
              <w:spacing w:line="360" w:lineRule="auto"/>
              <w:rPr>
                <w:rFonts w:asciiTheme="minorEastAsia" w:eastAsiaTheme="minorEastAsia" w:hAnsiTheme="minorEastAsia"/>
                <w:color w:val="000000"/>
              </w:rPr>
            </w:pPr>
            <w:r>
              <w:rPr>
                <w:rFonts w:asciiTheme="minorEastAsia" w:eastAsiaTheme="minorEastAsia" w:hAnsiTheme="minorEastAsia" w:hint="eastAsia"/>
                <w:color w:val="000000"/>
              </w:rPr>
              <w:t>2021.01.01~2021.12.31</w:t>
            </w:r>
          </w:p>
        </w:tc>
        <w:tc>
          <w:tcPr>
            <w:tcW w:w="1394" w:type="dxa"/>
            <w:tcBorders>
              <w:top w:val="single" w:sz="8" w:space="0" w:color="000000"/>
              <w:left w:val="single" w:sz="8" w:space="0" w:color="000000"/>
              <w:bottom w:val="single" w:sz="8" w:space="0" w:color="000000"/>
              <w:right w:val="single" w:sz="8" w:space="0" w:color="000000"/>
            </w:tcBorders>
            <w:vAlign w:val="center"/>
          </w:tcPr>
          <w:p w14:paraId="76AF13E4" w14:textId="4FC96088" w:rsidR="006F7E1A" w:rsidRDefault="006F7E1A" w:rsidP="006F7E1A">
            <w:pPr>
              <w:pStyle w:val="biaogecenter"/>
              <w:wordWrap w:val="0"/>
            </w:pPr>
            <w:r>
              <w:rPr>
                <w:rFonts w:hint="eastAsia"/>
              </w:rPr>
              <w:t>8.45%</w:t>
            </w:r>
          </w:p>
        </w:tc>
        <w:tc>
          <w:tcPr>
            <w:tcW w:w="1271" w:type="dxa"/>
            <w:tcBorders>
              <w:top w:val="single" w:sz="8" w:space="0" w:color="000000"/>
              <w:left w:val="single" w:sz="8" w:space="0" w:color="000000"/>
              <w:bottom w:val="single" w:sz="8" w:space="0" w:color="000000"/>
              <w:right w:val="single" w:sz="8" w:space="0" w:color="000000"/>
            </w:tcBorders>
            <w:vAlign w:val="center"/>
          </w:tcPr>
          <w:p w14:paraId="359B127B" w14:textId="7B891D57" w:rsidR="006F7E1A" w:rsidRDefault="006F7E1A" w:rsidP="006F7E1A">
            <w:pPr>
              <w:pStyle w:val="biaogecenter"/>
              <w:wordWrap w:val="0"/>
            </w:pPr>
            <w:r>
              <w:rPr>
                <w:rFonts w:hint="eastAsia"/>
              </w:rPr>
              <w:t>1.28%</w:t>
            </w:r>
          </w:p>
        </w:tc>
        <w:tc>
          <w:tcPr>
            <w:tcW w:w="1539" w:type="dxa"/>
            <w:tcBorders>
              <w:top w:val="single" w:sz="8" w:space="0" w:color="000000"/>
              <w:left w:val="single" w:sz="8" w:space="0" w:color="000000"/>
              <w:bottom w:val="single" w:sz="8" w:space="0" w:color="000000"/>
              <w:right w:val="single" w:sz="8" w:space="0" w:color="000000"/>
            </w:tcBorders>
            <w:vAlign w:val="center"/>
          </w:tcPr>
          <w:p w14:paraId="1920CDE1" w14:textId="56378DF0" w:rsidR="006F7E1A" w:rsidRDefault="006F7E1A" w:rsidP="006F7E1A">
            <w:pPr>
              <w:pStyle w:val="biaogecenter"/>
              <w:wordWrap w:val="0"/>
              <w:ind w:firstLine="480"/>
            </w:pPr>
            <w:r>
              <w:rPr>
                <w:rFonts w:hint="eastAsia"/>
              </w:rPr>
              <w:t>-1.72%</w:t>
            </w:r>
          </w:p>
        </w:tc>
        <w:tc>
          <w:tcPr>
            <w:tcW w:w="1589" w:type="dxa"/>
            <w:tcBorders>
              <w:top w:val="single" w:sz="8" w:space="0" w:color="000000"/>
              <w:left w:val="single" w:sz="8" w:space="0" w:color="000000"/>
              <w:bottom w:val="single" w:sz="8" w:space="0" w:color="000000"/>
              <w:right w:val="single" w:sz="8" w:space="0" w:color="000000"/>
            </w:tcBorders>
            <w:vAlign w:val="center"/>
          </w:tcPr>
          <w:p w14:paraId="1A86F85F" w14:textId="2C4D096E" w:rsidR="006F7E1A" w:rsidRDefault="006F7E1A" w:rsidP="006F7E1A">
            <w:pPr>
              <w:pStyle w:val="biaogecenter"/>
              <w:wordWrap w:val="0"/>
              <w:ind w:firstLine="480"/>
            </w:pPr>
            <w:r>
              <w:rPr>
                <w:rFonts w:hint="eastAsia"/>
              </w:rPr>
              <w:t>0.82%</w:t>
            </w:r>
          </w:p>
        </w:tc>
        <w:tc>
          <w:tcPr>
            <w:tcW w:w="1438" w:type="dxa"/>
            <w:tcBorders>
              <w:top w:val="single" w:sz="8" w:space="0" w:color="000000"/>
              <w:left w:val="single" w:sz="8" w:space="0" w:color="000000"/>
              <w:bottom w:val="single" w:sz="8" w:space="0" w:color="000000"/>
              <w:right w:val="single" w:sz="8" w:space="0" w:color="000000"/>
            </w:tcBorders>
            <w:vAlign w:val="center"/>
          </w:tcPr>
          <w:p w14:paraId="46F320DD" w14:textId="226F8140" w:rsidR="006F7E1A" w:rsidRDefault="006F7E1A" w:rsidP="006F7E1A">
            <w:pPr>
              <w:pStyle w:val="biaogecenter"/>
              <w:wordWrap w:val="0"/>
              <w:ind w:firstLine="480"/>
            </w:pPr>
            <w:r>
              <w:rPr>
                <w:rFonts w:hint="eastAsia"/>
              </w:rPr>
              <w:t>10.17%</w:t>
            </w:r>
          </w:p>
        </w:tc>
        <w:tc>
          <w:tcPr>
            <w:tcW w:w="1452" w:type="dxa"/>
            <w:tcBorders>
              <w:top w:val="single" w:sz="8" w:space="0" w:color="000000"/>
              <w:left w:val="single" w:sz="8" w:space="0" w:color="000000"/>
              <w:bottom w:val="single" w:sz="8" w:space="0" w:color="000000"/>
              <w:right w:val="single" w:sz="8" w:space="0" w:color="000000"/>
            </w:tcBorders>
            <w:vAlign w:val="center"/>
          </w:tcPr>
          <w:p w14:paraId="78409BA5" w14:textId="2ABE483F" w:rsidR="006F7E1A" w:rsidRDefault="006F7E1A" w:rsidP="006F7E1A">
            <w:pPr>
              <w:pStyle w:val="biaogecenter"/>
              <w:wordWrap w:val="0"/>
              <w:ind w:firstLine="480"/>
            </w:pPr>
            <w:r>
              <w:rPr>
                <w:rFonts w:hint="eastAsia"/>
              </w:rPr>
              <w:t>0.46%</w:t>
            </w:r>
          </w:p>
        </w:tc>
      </w:tr>
      <w:tr w:rsidR="004E4409" w14:paraId="55DEC132" w14:textId="77777777" w:rsidTr="00C07F89">
        <w:trPr>
          <w:trHeight w:val="466"/>
          <w:jc w:val="center"/>
        </w:trPr>
        <w:tc>
          <w:tcPr>
            <w:tcW w:w="1230" w:type="dxa"/>
            <w:tcBorders>
              <w:top w:val="single" w:sz="8" w:space="0" w:color="000000"/>
              <w:left w:val="single" w:sz="8" w:space="0" w:color="000000"/>
              <w:bottom w:val="single" w:sz="8" w:space="0" w:color="000000"/>
              <w:right w:val="single" w:sz="8" w:space="0" w:color="000000"/>
            </w:tcBorders>
            <w:vAlign w:val="center"/>
          </w:tcPr>
          <w:p w14:paraId="2A8C7EBE" w14:textId="29CAED22" w:rsidR="006F7E1A" w:rsidRDefault="006F7E1A" w:rsidP="006F7E1A">
            <w:pPr>
              <w:pStyle w:val="biaogeleft"/>
              <w:wordWrap w:val="0"/>
              <w:spacing w:line="360" w:lineRule="auto"/>
              <w:rPr>
                <w:rFonts w:asciiTheme="minorEastAsia" w:eastAsiaTheme="minorEastAsia" w:hAnsiTheme="minorEastAsia"/>
              </w:rPr>
            </w:pPr>
            <w:r>
              <w:rPr>
                <w:rFonts w:asciiTheme="minorEastAsia" w:eastAsiaTheme="minorEastAsia" w:hAnsiTheme="minorEastAsia" w:hint="eastAsia"/>
                <w:color w:val="000000"/>
              </w:rPr>
              <w:t>自基金合同生效起至今</w:t>
            </w:r>
          </w:p>
        </w:tc>
        <w:tc>
          <w:tcPr>
            <w:tcW w:w="1394" w:type="dxa"/>
            <w:tcBorders>
              <w:top w:val="single" w:sz="8" w:space="0" w:color="000000"/>
              <w:left w:val="single" w:sz="8" w:space="0" w:color="000000"/>
              <w:bottom w:val="single" w:sz="8" w:space="0" w:color="000000"/>
              <w:right w:val="single" w:sz="8" w:space="0" w:color="000000"/>
            </w:tcBorders>
            <w:vAlign w:val="center"/>
          </w:tcPr>
          <w:p w14:paraId="6AE706BA" w14:textId="68F7F323" w:rsidR="006F7E1A" w:rsidRDefault="006F7E1A" w:rsidP="006F7E1A">
            <w:pPr>
              <w:pStyle w:val="biaogecenter"/>
              <w:wordWrap w:val="0"/>
              <w:rPr>
                <w:rFonts w:asciiTheme="minorEastAsia" w:eastAsiaTheme="minorEastAsia" w:hAnsiTheme="minorEastAsia"/>
              </w:rPr>
            </w:pPr>
            <w:r>
              <w:rPr>
                <w:rFonts w:hint="eastAsia"/>
              </w:rPr>
              <w:t>101.57%</w:t>
            </w:r>
          </w:p>
        </w:tc>
        <w:tc>
          <w:tcPr>
            <w:tcW w:w="1271" w:type="dxa"/>
            <w:tcBorders>
              <w:top w:val="single" w:sz="8" w:space="0" w:color="000000"/>
              <w:left w:val="single" w:sz="8" w:space="0" w:color="000000"/>
              <w:bottom w:val="single" w:sz="8" w:space="0" w:color="000000"/>
              <w:right w:val="single" w:sz="8" w:space="0" w:color="000000"/>
            </w:tcBorders>
            <w:vAlign w:val="center"/>
          </w:tcPr>
          <w:p w14:paraId="3BFA0741" w14:textId="0B3771FD" w:rsidR="006F7E1A" w:rsidRDefault="006F7E1A" w:rsidP="006F7E1A">
            <w:pPr>
              <w:pStyle w:val="biaogecenter"/>
              <w:wordWrap w:val="0"/>
              <w:rPr>
                <w:rFonts w:asciiTheme="minorEastAsia" w:eastAsiaTheme="minorEastAsia" w:hAnsiTheme="minorEastAsia"/>
              </w:rPr>
            </w:pPr>
            <w:r>
              <w:rPr>
                <w:rFonts w:hint="eastAsia"/>
              </w:rPr>
              <w:t>1.26%</w:t>
            </w:r>
          </w:p>
        </w:tc>
        <w:tc>
          <w:tcPr>
            <w:tcW w:w="1539" w:type="dxa"/>
            <w:tcBorders>
              <w:top w:val="single" w:sz="8" w:space="0" w:color="000000"/>
              <w:left w:val="single" w:sz="8" w:space="0" w:color="000000"/>
              <w:bottom w:val="single" w:sz="8" w:space="0" w:color="000000"/>
              <w:right w:val="single" w:sz="8" w:space="0" w:color="000000"/>
            </w:tcBorders>
            <w:vAlign w:val="center"/>
          </w:tcPr>
          <w:p w14:paraId="01F521DB" w14:textId="691CBC71" w:rsidR="006F7E1A" w:rsidRDefault="006F7E1A" w:rsidP="006F7E1A">
            <w:pPr>
              <w:pStyle w:val="biaogecenter"/>
              <w:wordWrap w:val="0"/>
              <w:ind w:firstLine="480"/>
              <w:rPr>
                <w:rFonts w:asciiTheme="minorEastAsia" w:eastAsiaTheme="minorEastAsia" w:hAnsiTheme="minorEastAsia"/>
              </w:rPr>
            </w:pPr>
            <w:r>
              <w:rPr>
                <w:rFonts w:hint="eastAsia"/>
              </w:rPr>
              <w:t>10.90%</w:t>
            </w:r>
          </w:p>
        </w:tc>
        <w:tc>
          <w:tcPr>
            <w:tcW w:w="1589" w:type="dxa"/>
            <w:tcBorders>
              <w:top w:val="single" w:sz="8" w:space="0" w:color="000000"/>
              <w:left w:val="single" w:sz="8" w:space="0" w:color="000000"/>
              <w:bottom w:val="single" w:sz="8" w:space="0" w:color="000000"/>
              <w:right w:val="single" w:sz="8" w:space="0" w:color="000000"/>
            </w:tcBorders>
            <w:vAlign w:val="center"/>
          </w:tcPr>
          <w:p w14:paraId="34208ED9" w14:textId="0E762A79" w:rsidR="006F7E1A" w:rsidRDefault="006F7E1A" w:rsidP="006F7E1A">
            <w:pPr>
              <w:pStyle w:val="biaogecenter"/>
              <w:wordWrap w:val="0"/>
              <w:ind w:firstLine="480"/>
              <w:rPr>
                <w:rFonts w:asciiTheme="minorEastAsia" w:eastAsiaTheme="minorEastAsia" w:hAnsiTheme="minorEastAsia"/>
              </w:rPr>
            </w:pPr>
            <w:r>
              <w:rPr>
                <w:rFonts w:hint="eastAsia"/>
              </w:rPr>
              <w:t>0.92%</w:t>
            </w:r>
          </w:p>
        </w:tc>
        <w:tc>
          <w:tcPr>
            <w:tcW w:w="1438" w:type="dxa"/>
            <w:tcBorders>
              <w:top w:val="single" w:sz="8" w:space="0" w:color="000000"/>
              <w:left w:val="single" w:sz="8" w:space="0" w:color="000000"/>
              <w:bottom w:val="single" w:sz="8" w:space="0" w:color="000000"/>
              <w:right w:val="single" w:sz="8" w:space="0" w:color="000000"/>
            </w:tcBorders>
            <w:vAlign w:val="center"/>
          </w:tcPr>
          <w:p w14:paraId="6014EED4" w14:textId="66481B41" w:rsidR="006F7E1A" w:rsidRDefault="006F7E1A" w:rsidP="006F7E1A">
            <w:pPr>
              <w:pStyle w:val="biaogecenter"/>
              <w:wordWrap w:val="0"/>
              <w:ind w:firstLine="480"/>
              <w:rPr>
                <w:rFonts w:asciiTheme="minorEastAsia" w:eastAsiaTheme="minorEastAsia" w:hAnsiTheme="minorEastAsia"/>
              </w:rPr>
            </w:pPr>
            <w:r>
              <w:rPr>
                <w:rFonts w:hint="eastAsia"/>
              </w:rPr>
              <w:t>90.67%</w:t>
            </w:r>
          </w:p>
        </w:tc>
        <w:tc>
          <w:tcPr>
            <w:tcW w:w="1452" w:type="dxa"/>
            <w:tcBorders>
              <w:top w:val="single" w:sz="8" w:space="0" w:color="000000"/>
              <w:left w:val="single" w:sz="8" w:space="0" w:color="000000"/>
              <w:bottom w:val="single" w:sz="8" w:space="0" w:color="000000"/>
              <w:right w:val="single" w:sz="8" w:space="0" w:color="000000"/>
            </w:tcBorders>
            <w:vAlign w:val="center"/>
          </w:tcPr>
          <w:p w14:paraId="1E1B1D40" w14:textId="774A6866" w:rsidR="006F7E1A" w:rsidRDefault="006F7E1A" w:rsidP="006F7E1A">
            <w:pPr>
              <w:pStyle w:val="biaogecenter"/>
              <w:wordWrap w:val="0"/>
              <w:ind w:firstLine="480"/>
              <w:rPr>
                <w:rFonts w:asciiTheme="minorEastAsia" w:eastAsiaTheme="minorEastAsia" w:hAnsiTheme="minorEastAsia"/>
              </w:rPr>
            </w:pPr>
            <w:r>
              <w:rPr>
                <w:rFonts w:hint="eastAsia"/>
              </w:rPr>
              <w:t>0.34%</w:t>
            </w:r>
          </w:p>
        </w:tc>
      </w:tr>
    </w:tbl>
    <w:p w14:paraId="0CB0EF95"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富荣福锦混合</w:t>
      </w:r>
      <w:r>
        <w:rPr>
          <w:rFonts w:asciiTheme="minorEastAsia" w:hAnsiTheme="minorEastAsia"/>
          <w:bCs/>
          <w:sz w:val="24"/>
          <w:szCs w:val="24"/>
        </w:rPr>
        <w:t>C</w:t>
      </w:r>
    </w:p>
    <w:tbl>
      <w:tblPr>
        <w:tblW w:w="10055" w:type="dxa"/>
        <w:jc w:val="center"/>
        <w:tblLayout w:type="fixed"/>
        <w:tblLook w:val="04A0" w:firstRow="1" w:lastRow="0" w:firstColumn="1" w:lastColumn="0" w:noHBand="0" w:noVBand="1"/>
      </w:tblPr>
      <w:tblGrid>
        <w:gridCol w:w="1281"/>
        <w:gridCol w:w="1156"/>
        <w:gridCol w:w="1356"/>
        <w:gridCol w:w="1638"/>
        <w:gridCol w:w="1516"/>
        <w:gridCol w:w="1592"/>
        <w:gridCol w:w="1465"/>
        <w:gridCol w:w="51"/>
      </w:tblGrid>
      <w:tr w:rsidR="00AC3A9B" w14:paraId="486FED41" w14:textId="77777777" w:rsidTr="00C07F89">
        <w:trPr>
          <w:gridAfter w:val="1"/>
          <w:wAfter w:w="51" w:type="dxa"/>
          <w:trHeight w:val="964"/>
          <w:jc w:val="center"/>
        </w:trPr>
        <w:tc>
          <w:tcPr>
            <w:tcW w:w="1281" w:type="dxa"/>
            <w:tcBorders>
              <w:top w:val="single" w:sz="8" w:space="0" w:color="000000"/>
              <w:left w:val="single" w:sz="8" w:space="0" w:color="000000"/>
              <w:bottom w:val="single" w:sz="8" w:space="0" w:color="000000"/>
              <w:right w:val="single" w:sz="8" w:space="0" w:color="000000"/>
            </w:tcBorders>
            <w:vAlign w:val="center"/>
          </w:tcPr>
          <w:p w14:paraId="7AE3D296" w14:textId="77777777" w:rsidR="00AC3A9B" w:rsidRDefault="002C3C29">
            <w:pPr>
              <w:pStyle w:val="biaogecenter"/>
              <w:rPr>
                <w:rFonts w:asciiTheme="minorEastAsia" w:eastAsiaTheme="minorEastAsia" w:hAnsiTheme="minorEastAsia"/>
              </w:rPr>
            </w:pPr>
            <w:r>
              <w:rPr>
                <w:rFonts w:asciiTheme="minorEastAsia" w:eastAsiaTheme="minorEastAsia" w:hAnsiTheme="minorEastAsia" w:hint="eastAsia"/>
                <w:color w:val="000000"/>
              </w:rPr>
              <w:t>阶段</w:t>
            </w:r>
          </w:p>
        </w:tc>
        <w:tc>
          <w:tcPr>
            <w:tcW w:w="1156" w:type="dxa"/>
            <w:tcBorders>
              <w:top w:val="single" w:sz="8" w:space="0" w:color="000000"/>
              <w:left w:val="single" w:sz="8" w:space="0" w:color="000000"/>
              <w:bottom w:val="single" w:sz="8" w:space="0" w:color="000000"/>
              <w:right w:val="single" w:sz="8" w:space="0" w:color="000000"/>
            </w:tcBorders>
            <w:vAlign w:val="center"/>
          </w:tcPr>
          <w:p w14:paraId="1112ABD2" w14:textId="77777777" w:rsidR="00AC3A9B" w:rsidRDefault="002C3C29">
            <w:pPr>
              <w:pStyle w:val="biaogecenter"/>
              <w:wordWrap w:val="0"/>
              <w:rPr>
                <w:rFonts w:asciiTheme="minorEastAsia" w:eastAsiaTheme="minorEastAsia" w:hAnsiTheme="minorEastAsia"/>
              </w:rPr>
            </w:pPr>
            <w:r>
              <w:rPr>
                <w:rFonts w:asciiTheme="minorEastAsia" w:eastAsiaTheme="minorEastAsia" w:hAnsiTheme="minorEastAsia" w:hint="eastAsia"/>
                <w:color w:val="000000"/>
              </w:rPr>
              <w:t>份额净值增长率①</w:t>
            </w:r>
          </w:p>
        </w:tc>
        <w:tc>
          <w:tcPr>
            <w:tcW w:w="1356" w:type="dxa"/>
            <w:tcBorders>
              <w:top w:val="single" w:sz="8" w:space="0" w:color="000000"/>
              <w:left w:val="single" w:sz="8" w:space="0" w:color="000000"/>
              <w:bottom w:val="single" w:sz="8" w:space="0" w:color="000000"/>
              <w:right w:val="single" w:sz="8" w:space="0" w:color="000000"/>
            </w:tcBorders>
            <w:vAlign w:val="center"/>
          </w:tcPr>
          <w:p w14:paraId="14565D5A" w14:textId="77777777" w:rsidR="00AC3A9B" w:rsidRDefault="002C3C29">
            <w:pPr>
              <w:pStyle w:val="biaogecenter"/>
              <w:wordWrap w:val="0"/>
              <w:rPr>
                <w:rFonts w:asciiTheme="minorEastAsia" w:eastAsiaTheme="minorEastAsia" w:hAnsiTheme="minorEastAsia"/>
              </w:rPr>
            </w:pPr>
            <w:r>
              <w:rPr>
                <w:rFonts w:asciiTheme="minorEastAsia" w:eastAsiaTheme="minorEastAsia" w:hAnsiTheme="minorEastAsia" w:hint="eastAsia"/>
                <w:color w:val="000000"/>
              </w:rPr>
              <w:t>份额净值增长率标准差②</w:t>
            </w:r>
          </w:p>
        </w:tc>
        <w:tc>
          <w:tcPr>
            <w:tcW w:w="1638" w:type="dxa"/>
            <w:tcBorders>
              <w:top w:val="single" w:sz="8" w:space="0" w:color="000000"/>
              <w:left w:val="single" w:sz="8" w:space="0" w:color="000000"/>
              <w:bottom w:val="single" w:sz="8" w:space="0" w:color="000000"/>
              <w:right w:val="single" w:sz="8" w:space="0" w:color="000000"/>
            </w:tcBorders>
            <w:vAlign w:val="center"/>
          </w:tcPr>
          <w:p w14:paraId="5047F2CD" w14:textId="77777777" w:rsidR="00AC3A9B" w:rsidRDefault="002C3C29">
            <w:pPr>
              <w:pStyle w:val="biaogecenter"/>
              <w:wordWrap w:val="0"/>
              <w:rPr>
                <w:rFonts w:asciiTheme="minorEastAsia" w:eastAsiaTheme="minorEastAsia" w:hAnsiTheme="minorEastAsia"/>
              </w:rPr>
            </w:pPr>
            <w:r>
              <w:rPr>
                <w:rFonts w:asciiTheme="minorEastAsia" w:eastAsiaTheme="minorEastAsia" w:hAnsiTheme="minorEastAsia" w:hint="eastAsia"/>
                <w:color w:val="000000"/>
              </w:rPr>
              <w:t>业绩比较基准收益率③</w:t>
            </w:r>
          </w:p>
        </w:tc>
        <w:tc>
          <w:tcPr>
            <w:tcW w:w="1516" w:type="dxa"/>
            <w:tcBorders>
              <w:top w:val="single" w:sz="8" w:space="0" w:color="000000"/>
              <w:left w:val="single" w:sz="8" w:space="0" w:color="000000"/>
              <w:bottom w:val="single" w:sz="8" w:space="0" w:color="000000"/>
              <w:right w:val="single" w:sz="8" w:space="0" w:color="000000"/>
            </w:tcBorders>
            <w:vAlign w:val="center"/>
          </w:tcPr>
          <w:p w14:paraId="733A89A5" w14:textId="77777777" w:rsidR="00AC3A9B" w:rsidRDefault="002C3C29">
            <w:pPr>
              <w:pStyle w:val="biaogecenter"/>
              <w:wordWrap w:val="0"/>
              <w:rPr>
                <w:rFonts w:asciiTheme="minorEastAsia" w:eastAsiaTheme="minorEastAsia" w:hAnsiTheme="minorEastAsia"/>
              </w:rPr>
            </w:pPr>
            <w:r>
              <w:rPr>
                <w:rFonts w:asciiTheme="minorEastAsia" w:eastAsiaTheme="minorEastAsia" w:hAnsiTheme="minorEastAsia" w:hint="eastAsia"/>
                <w:color w:val="000000"/>
              </w:rPr>
              <w:t>业绩比较基准收益率标准差④</w:t>
            </w:r>
          </w:p>
        </w:tc>
        <w:tc>
          <w:tcPr>
            <w:tcW w:w="1592" w:type="dxa"/>
            <w:tcBorders>
              <w:top w:val="single" w:sz="8" w:space="0" w:color="000000"/>
              <w:left w:val="single" w:sz="8" w:space="0" w:color="000000"/>
              <w:bottom w:val="single" w:sz="8" w:space="0" w:color="000000"/>
              <w:right w:val="single" w:sz="8" w:space="0" w:color="000000"/>
            </w:tcBorders>
            <w:vAlign w:val="center"/>
          </w:tcPr>
          <w:p w14:paraId="27BF83B7" w14:textId="77777777" w:rsidR="00AC3A9B" w:rsidRDefault="002C3C29">
            <w:pPr>
              <w:pStyle w:val="biaogecenter"/>
              <w:wordWrap w:val="0"/>
              <w:rPr>
                <w:rFonts w:asciiTheme="minorEastAsia" w:eastAsiaTheme="minorEastAsia" w:hAnsiTheme="minorEastAsia"/>
              </w:rPr>
            </w:pPr>
            <w:r>
              <w:rPr>
                <w:rFonts w:asciiTheme="minorEastAsia" w:eastAsiaTheme="minorEastAsia" w:hAnsiTheme="minorEastAsia" w:hint="eastAsia"/>
                <w:color w:val="000000"/>
              </w:rPr>
              <w:t>①</w:t>
            </w:r>
            <w:r>
              <w:rPr>
                <w:rFonts w:asciiTheme="minorEastAsia" w:eastAsiaTheme="minorEastAsia" w:hAnsiTheme="minorEastAsia"/>
                <w:color w:val="000000"/>
              </w:rPr>
              <w:t>-③</w:t>
            </w:r>
          </w:p>
        </w:tc>
        <w:tc>
          <w:tcPr>
            <w:tcW w:w="1465" w:type="dxa"/>
            <w:tcBorders>
              <w:top w:val="single" w:sz="8" w:space="0" w:color="000000"/>
              <w:left w:val="single" w:sz="8" w:space="0" w:color="000000"/>
              <w:bottom w:val="single" w:sz="8" w:space="0" w:color="000000"/>
              <w:right w:val="single" w:sz="8" w:space="0" w:color="000000"/>
            </w:tcBorders>
            <w:vAlign w:val="center"/>
          </w:tcPr>
          <w:p w14:paraId="792CD839" w14:textId="77777777" w:rsidR="00AC3A9B" w:rsidRDefault="002C3C29">
            <w:pPr>
              <w:pStyle w:val="biaogecenter"/>
              <w:wordWrap w:val="0"/>
              <w:rPr>
                <w:rFonts w:asciiTheme="minorEastAsia" w:eastAsiaTheme="minorEastAsia" w:hAnsiTheme="minorEastAsia"/>
              </w:rPr>
            </w:pPr>
            <w:r>
              <w:rPr>
                <w:rFonts w:asciiTheme="minorEastAsia" w:eastAsiaTheme="minorEastAsia" w:hAnsiTheme="minorEastAsia" w:hint="eastAsia"/>
                <w:color w:val="000000"/>
              </w:rPr>
              <w:t>②</w:t>
            </w:r>
            <w:r>
              <w:rPr>
                <w:rFonts w:asciiTheme="minorEastAsia" w:eastAsiaTheme="minorEastAsia" w:hAnsiTheme="minorEastAsia"/>
                <w:color w:val="000000"/>
              </w:rPr>
              <w:t>-④</w:t>
            </w:r>
          </w:p>
        </w:tc>
      </w:tr>
      <w:tr w:rsidR="00AC3A9B" w14:paraId="4E321F3C" w14:textId="77777777" w:rsidTr="00C07F89">
        <w:trPr>
          <w:gridAfter w:val="1"/>
          <w:wAfter w:w="51" w:type="dxa"/>
          <w:trHeight w:val="1196"/>
          <w:jc w:val="center"/>
        </w:trPr>
        <w:tc>
          <w:tcPr>
            <w:tcW w:w="1281" w:type="dxa"/>
            <w:tcBorders>
              <w:top w:val="single" w:sz="8" w:space="0" w:color="000000"/>
              <w:left w:val="single" w:sz="8" w:space="0" w:color="000000"/>
              <w:bottom w:val="single" w:sz="8" w:space="0" w:color="000000"/>
              <w:right w:val="single" w:sz="8" w:space="0" w:color="000000"/>
            </w:tcBorders>
            <w:vAlign w:val="center"/>
          </w:tcPr>
          <w:p w14:paraId="08EDBBD8" w14:textId="77777777" w:rsidR="00AC3A9B" w:rsidRDefault="002C3C29">
            <w:pPr>
              <w:pStyle w:val="biaogeleft"/>
              <w:wordWrap w:val="0"/>
              <w:spacing w:line="360" w:lineRule="auto"/>
              <w:rPr>
                <w:rFonts w:asciiTheme="minorEastAsia" w:eastAsiaTheme="minorEastAsia" w:hAnsiTheme="minorEastAsia"/>
                <w:color w:val="000000"/>
              </w:rPr>
            </w:pPr>
            <w:r>
              <w:rPr>
                <w:rFonts w:asciiTheme="minorEastAsia" w:eastAsiaTheme="minorEastAsia" w:hAnsiTheme="minorEastAsia" w:hint="eastAsia"/>
                <w:color w:val="000000"/>
              </w:rPr>
              <w:t>2018.03.16~2018.12.31</w:t>
            </w:r>
          </w:p>
        </w:tc>
        <w:tc>
          <w:tcPr>
            <w:tcW w:w="1156" w:type="dxa"/>
            <w:tcBorders>
              <w:top w:val="single" w:sz="8" w:space="0" w:color="000000"/>
              <w:left w:val="single" w:sz="8" w:space="0" w:color="000000"/>
              <w:bottom w:val="single" w:sz="8" w:space="0" w:color="000000"/>
              <w:right w:val="single" w:sz="8" w:space="0" w:color="000000"/>
            </w:tcBorders>
            <w:vAlign w:val="center"/>
          </w:tcPr>
          <w:p w14:paraId="234C1028" w14:textId="77777777" w:rsidR="00AC3A9B" w:rsidRDefault="002C3C29">
            <w:pPr>
              <w:pStyle w:val="biaogecenter"/>
              <w:wordWrap w:val="0"/>
              <w:rPr>
                <w:rFonts w:asciiTheme="minorEastAsia" w:eastAsiaTheme="minorEastAsia" w:hAnsiTheme="minorEastAsia"/>
              </w:rPr>
            </w:pPr>
            <w:r>
              <w:rPr>
                <w:rFonts w:hint="eastAsia"/>
              </w:rPr>
              <w:t>-19.10%</w:t>
            </w:r>
          </w:p>
        </w:tc>
        <w:tc>
          <w:tcPr>
            <w:tcW w:w="1356" w:type="dxa"/>
            <w:tcBorders>
              <w:top w:val="single" w:sz="8" w:space="0" w:color="000000"/>
              <w:left w:val="single" w:sz="8" w:space="0" w:color="000000"/>
              <w:bottom w:val="single" w:sz="8" w:space="0" w:color="000000"/>
              <w:right w:val="single" w:sz="8" w:space="0" w:color="000000"/>
            </w:tcBorders>
            <w:vAlign w:val="center"/>
          </w:tcPr>
          <w:p w14:paraId="38149B55" w14:textId="77777777" w:rsidR="00AC3A9B" w:rsidRDefault="002C3C29">
            <w:pPr>
              <w:pStyle w:val="biaogecenter"/>
              <w:wordWrap w:val="0"/>
              <w:rPr>
                <w:rFonts w:asciiTheme="minorEastAsia" w:eastAsiaTheme="minorEastAsia" w:hAnsiTheme="minorEastAsia"/>
              </w:rPr>
            </w:pPr>
            <w:r>
              <w:rPr>
                <w:rFonts w:hint="eastAsia"/>
              </w:rPr>
              <w:t>0.88%</w:t>
            </w:r>
          </w:p>
        </w:tc>
        <w:tc>
          <w:tcPr>
            <w:tcW w:w="1638" w:type="dxa"/>
            <w:tcBorders>
              <w:top w:val="single" w:sz="8" w:space="0" w:color="000000"/>
              <w:left w:val="single" w:sz="8" w:space="0" w:color="000000"/>
              <w:bottom w:val="single" w:sz="8" w:space="0" w:color="000000"/>
              <w:right w:val="single" w:sz="8" w:space="0" w:color="000000"/>
            </w:tcBorders>
            <w:vAlign w:val="center"/>
          </w:tcPr>
          <w:p w14:paraId="0997ECB1" w14:textId="77777777" w:rsidR="00AC3A9B" w:rsidRDefault="002C3C29">
            <w:pPr>
              <w:pStyle w:val="biaogecenter"/>
              <w:wordWrap w:val="0"/>
              <w:ind w:firstLine="480"/>
              <w:rPr>
                <w:rFonts w:asciiTheme="minorEastAsia" w:eastAsiaTheme="minorEastAsia" w:hAnsiTheme="minorEastAsia"/>
              </w:rPr>
            </w:pPr>
            <w:r>
              <w:rPr>
                <w:rFonts w:hint="eastAsia"/>
              </w:rPr>
              <w:t>-17.32%</w:t>
            </w:r>
          </w:p>
        </w:tc>
        <w:tc>
          <w:tcPr>
            <w:tcW w:w="1516" w:type="dxa"/>
            <w:tcBorders>
              <w:top w:val="single" w:sz="8" w:space="0" w:color="000000"/>
              <w:left w:val="single" w:sz="8" w:space="0" w:color="000000"/>
              <w:bottom w:val="single" w:sz="8" w:space="0" w:color="000000"/>
              <w:right w:val="single" w:sz="8" w:space="0" w:color="000000"/>
            </w:tcBorders>
            <w:vAlign w:val="center"/>
          </w:tcPr>
          <w:p w14:paraId="245FE97E" w14:textId="77777777" w:rsidR="00AC3A9B" w:rsidRDefault="002C3C29">
            <w:pPr>
              <w:pStyle w:val="biaogecenter"/>
              <w:wordWrap w:val="0"/>
              <w:ind w:firstLine="480"/>
              <w:rPr>
                <w:rFonts w:asciiTheme="minorEastAsia" w:eastAsiaTheme="minorEastAsia" w:hAnsiTheme="minorEastAsia"/>
              </w:rPr>
            </w:pPr>
            <w:r>
              <w:rPr>
                <w:rFonts w:hint="eastAsia"/>
              </w:rPr>
              <w:t>0.96%</w:t>
            </w:r>
          </w:p>
        </w:tc>
        <w:tc>
          <w:tcPr>
            <w:tcW w:w="1592" w:type="dxa"/>
            <w:tcBorders>
              <w:top w:val="single" w:sz="8" w:space="0" w:color="000000"/>
              <w:left w:val="single" w:sz="8" w:space="0" w:color="000000"/>
              <w:bottom w:val="single" w:sz="8" w:space="0" w:color="000000"/>
              <w:right w:val="single" w:sz="8" w:space="0" w:color="000000"/>
            </w:tcBorders>
            <w:vAlign w:val="center"/>
          </w:tcPr>
          <w:p w14:paraId="0E8D3A2D" w14:textId="77777777" w:rsidR="00AC3A9B" w:rsidRDefault="002C3C29">
            <w:pPr>
              <w:pStyle w:val="biaogecenter"/>
              <w:wordWrap w:val="0"/>
              <w:ind w:firstLine="480"/>
              <w:rPr>
                <w:rFonts w:asciiTheme="minorEastAsia" w:eastAsiaTheme="minorEastAsia" w:hAnsiTheme="minorEastAsia"/>
              </w:rPr>
            </w:pPr>
            <w:r>
              <w:rPr>
                <w:rFonts w:hint="eastAsia"/>
              </w:rPr>
              <w:t>-1.78%</w:t>
            </w:r>
          </w:p>
        </w:tc>
        <w:tc>
          <w:tcPr>
            <w:tcW w:w="1465" w:type="dxa"/>
            <w:tcBorders>
              <w:top w:val="single" w:sz="8" w:space="0" w:color="000000"/>
              <w:left w:val="single" w:sz="8" w:space="0" w:color="000000"/>
              <w:bottom w:val="single" w:sz="8" w:space="0" w:color="000000"/>
              <w:right w:val="single" w:sz="8" w:space="0" w:color="000000"/>
            </w:tcBorders>
            <w:vAlign w:val="center"/>
          </w:tcPr>
          <w:p w14:paraId="5AFD9B0D" w14:textId="77777777" w:rsidR="00AC3A9B" w:rsidRDefault="002C3C29">
            <w:pPr>
              <w:pStyle w:val="biaogecenter"/>
              <w:wordWrap w:val="0"/>
              <w:ind w:firstLine="480"/>
              <w:rPr>
                <w:rFonts w:asciiTheme="minorEastAsia" w:eastAsiaTheme="minorEastAsia" w:hAnsiTheme="minorEastAsia"/>
              </w:rPr>
            </w:pPr>
            <w:r>
              <w:rPr>
                <w:rFonts w:hint="eastAsia"/>
              </w:rPr>
              <w:t>-0.08%</w:t>
            </w:r>
          </w:p>
        </w:tc>
      </w:tr>
      <w:tr w:rsidR="00AC3A9B" w14:paraId="22741BE5" w14:textId="77777777" w:rsidTr="00C07F89">
        <w:trPr>
          <w:gridAfter w:val="1"/>
          <w:wAfter w:w="51" w:type="dxa"/>
          <w:trHeight w:val="1207"/>
          <w:jc w:val="center"/>
        </w:trPr>
        <w:tc>
          <w:tcPr>
            <w:tcW w:w="1281" w:type="dxa"/>
            <w:tcBorders>
              <w:top w:val="single" w:sz="8" w:space="0" w:color="000000"/>
              <w:left w:val="single" w:sz="8" w:space="0" w:color="000000"/>
              <w:bottom w:val="single" w:sz="8" w:space="0" w:color="000000"/>
              <w:right w:val="single" w:sz="8" w:space="0" w:color="000000"/>
            </w:tcBorders>
          </w:tcPr>
          <w:p w14:paraId="73E50EA5" w14:textId="77777777" w:rsidR="00AC3A9B" w:rsidRDefault="002C3C29">
            <w:pPr>
              <w:pStyle w:val="biaogeleft"/>
              <w:wordWrap w:val="0"/>
              <w:spacing w:line="360" w:lineRule="auto"/>
              <w:rPr>
                <w:rFonts w:asciiTheme="minorEastAsia" w:eastAsiaTheme="minorEastAsia" w:hAnsiTheme="minorEastAsia"/>
              </w:rPr>
            </w:pPr>
            <w:r>
              <w:rPr>
                <w:rFonts w:asciiTheme="minorEastAsia" w:eastAsiaTheme="minorEastAsia" w:hAnsiTheme="minorEastAsia" w:hint="eastAsia"/>
                <w:color w:val="000000"/>
              </w:rPr>
              <w:t>2019.01.01~2019.12.31</w:t>
            </w:r>
          </w:p>
        </w:tc>
        <w:tc>
          <w:tcPr>
            <w:tcW w:w="1156" w:type="dxa"/>
            <w:tcBorders>
              <w:top w:val="single" w:sz="8" w:space="0" w:color="000000"/>
              <w:left w:val="single" w:sz="8" w:space="0" w:color="000000"/>
              <w:bottom w:val="single" w:sz="8" w:space="0" w:color="000000"/>
              <w:right w:val="single" w:sz="8" w:space="0" w:color="000000"/>
            </w:tcBorders>
            <w:vAlign w:val="center"/>
          </w:tcPr>
          <w:p w14:paraId="356FC594" w14:textId="77777777" w:rsidR="00AC3A9B" w:rsidRDefault="002C3C29">
            <w:pPr>
              <w:pStyle w:val="biaogecenter"/>
              <w:wordWrap w:val="0"/>
              <w:rPr>
                <w:rFonts w:asciiTheme="minorEastAsia" w:eastAsiaTheme="minorEastAsia" w:hAnsiTheme="minorEastAsia"/>
              </w:rPr>
            </w:pPr>
            <w:r>
              <w:rPr>
                <w:rFonts w:asciiTheme="minorEastAsia" w:eastAsiaTheme="minorEastAsia" w:hAnsiTheme="minorEastAsia" w:hint="eastAsia"/>
              </w:rPr>
              <w:t>34.05%</w:t>
            </w:r>
          </w:p>
        </w:tc>
        <w:tc>
          <w:tcPr>
            <w:tcW w:w="1356" w:type="dxa"/>
            <w:tcBorders>
              <w:top w:val="single" w:sz="8" w:space="0" w:color="000000"/>
              <w:left w:val="single" w:sz="8" w:space="0" w:color="000000"/>
              <w:bottom w:val="single" w:sz="8" w:space="0" w:color="000000"/>
              <w:right w:val="single" w:sz="8" w:space="0" w:color="000000"/>
            </w:tcBorders>
            <w:vAlign w:val="center"/>
          </w:tcPr>
          <w:p w14:paraId="1BFB9F80" w14:textId="77777777" w:rsidR="00AC3A9B" w:rsidRDefault="002C3C29">
            <w:pPr>
              <w:pStyle w:val="biaogecenter"/>
              <w:wordWrap w:val="0"/>
              <w:rPr>
                <w:rFonts w:asciiTheme="minorEastAsia" w:eastAsiaTheme="minorEastAsia" w:hAnsiTheme="minorEastAsia"/>
              </w:rPr>
            </w:pPr>
            <w:r>
              <w:rPr>
                <w:rFonts w:asciiTheme="minorEastAsia" w:eastAsiaTheme="minorEastAsia" w:hAnsiTheme="minorEastAsia" w:hint="eastAsia"/>
              </w:rPr>
              <w:t>1.32%</w:t>
            </w:r>
          </w:p>
        </w:tc>
        <w:tc>
          <w:tcPr>
            <w:tcW w:w="1638" w:type="dxa"/>
            <w:tcBorders>
              <w:top w:val="single" w:sz="8" w:space="0" w:color="000000"/>
              <w:left w:val="single" w:sz="8" w:space="0" w:color="000000"/>
              <w:bottom w:val="single" w:sz="8" w:space="0" w:color="000000"/>
              <w:right w:val="single" w:sz="8" w:space="0" w:color="000000"/>
            </w:tcBorders>
            <w:vAlign w:val="center"/>
          </w:tcPr>
          <w:p w14:paraId="1F22B816" w14:textId="77777777" w:rsidR="00AC3A9B" w:rsidRDefault="002C3C29">
            <w:pPr>
              <w:pStyle w:val="biaogecenter"/>
              <w:wordWrap w:val="0"/>
              <w:ind w:firstLine="480"/>
              <w:rPr>
                <w:rFonts w:asciiTheme="minorEastAsia" w:eastAsiaTheme="minorEastAsia" w:hAnsiTheme="minorEastAsia"/>
              </w:rPr>
            </w:pPr>
            <w:r>
              <w:rPr>
                <w:rFonts w:asciiTheme="minorEastAsia" w:eastAsiaTheme="minorEastAsia" w:hAnsiTheme="minorEastAsia" w:hint="eastAsia"/>
              </w:rPr>
              <w:t>26.39%</w:t>
            </w:r>
          </w:p>
        </w:tc>
        <w:tc>
          <w:tcPr>
            <w:tcW w:w="1516" w:type="dxa"/>
            <w:tcBorders>
              <w:top w:val="single" w:sz="8" w:space="0" w:color="000000"/>
              <w:left w:val="single" w:sz="8" w:space="0" w:color="000000"/>
              <w:bottom w:val="single" w:sz="8" w:space="0" w:color="000000"/>
              <w:right w:val="single" w:sz="8" w:space="0" w:color="000000"/>
            </w:tcBorders>
            <w:vAlign w:val="center"/>
          </w:tcPr>
          <w:p w14:paraId="11FCDB84" w14:textId="77777777" w:rsidR="00AC3A9B" w:rsidRDefault="002C3C29">
            <w:pPr>
              <w:pStyle w:val="biaogecenter"/>
              <w:wordWrap w:val="0"/>
              <w:ind w:firstLine="480"/>
              <w:rPr>
                <w:rFonts w:asciiTheme="minorEastAsia" w:eastAsiaTheme="minorEastAsia" w:hAnsiTheme="minorEastAsia"/>
              </w:rPr>
            </w:pPr>
            <w:r>
              <w:rPr>
                <w:rFonts w:asciiTheme="minorEastAsia" w:eastAsiaTheme="minorEastAsia" w:hAnsiTheme="minorEastAsia" w:hint="eastAsia"/>
              </w:rPr>
              <w:t>0.87%</w:t>
            </w:r>
          </w:p>
        </w:tc>
        <w:tc>
          <w:tcPr>
            <w:tcW w:w="1592" w:type="dxa"/>
            <w:tcBorders>
              <w:top w:val="single" w:sz="8" w:space="0" w:color="000000"/>
              <w:left w:val="single" w:sz="8" w:space="0" w:color="000000"/>
              <w:bottom w:val="single" w:sz="8" w:space="0" w:color="000000"/>
              <w:right w:val="single" w:sz="8" w:space="0" w:color="000000"/>
            </w:tcBorders>
            <w:vAlign w:val="center"/>
          </w:tcPr>
          <w:p w14:paraId="2C7E2149" w14:textId="77777777" w:rsidR="00AC3A9B" w:rsidRDefault="002C3C29">
            <w:pPr>
              <w:pStyle w:val="biaogecenter"/>
              <w:wordWrap w:val="0"/>
              <w:ind w:firstLine="480"/>
              <w:rPr>
                <w:rFonts w:asciiTheme="minorEastAsia" w:eastAsiaTheme="minorEastAsia" w:hAnsiTheme="minorEastAsia"/>
              </w:rPr>
            </w:pPr>
            <w:r>
              <w:rPr>
                <w:rFonts w:asciiTheme="minorEastAsia" w:eastAsiaTheme="minorEastAsia" w:hAnsiTheme="minorEastAsia" w:hint="eastAsia"/>
              </w:rPr>
              <w:t>7.66%</w:t>
            </w:r>
          </w:p>
        </w:tc>
        <w:tc>
          <w:tcPr>
            <w:tcW w:w="1465" w:type="dxa"/>
            <w:tcBorders>
              <w:top w:val="single" w:sz="8" w:space="0" w:color="000000"/>
              <w:left w:val="single" w:sz="8" w:space="0" w:color="000000"/>
              <w:bottom w:val="single" w:sz="8" w:space="0" w:color="000000"/>
              <w:right w:val="single" w:sz="8" w:space="0" w:color="000000"/>
            </w:tcBorders>
            <w:vAlign w:val="center"/>
          </w:tcPr>
          <w:p w14:paraId="7DCFA82F" w14:textId="77777777" w:rsidR="00AC3A9B" w:rsidRDefault="002C3C29">
            <w:pPr>
              <w:pStyle w:val="biaogecenter"/>
              <w:wordWrap w:val="0"/>
              <w:ind w:firstLine="480"/>
              <w:rPr>
                <w:rFonts w:asciiTheme="minorEastAsia" w:eastAsiaTheme="minorEastAsia" w:hAnsiTheme="minorEastAsia"/>
              </w:rPr>
            </w:pPr>
            <w:r>
              <w:rPr>
                <w:rFonts w:asciiTheme="minorEastAsia" w:eastAsiaTheme="minorEastAsia" w:hAnsiTheme="minorEastAsia" w:hint="eastAsia"/>
              </w:rPr>
              <w:t>0.45%</w:t>
            </w:r>
          </w:p>
        </w:tc>
      </w:tr>
      <w:tr w:rsidR="00AD2934" w14:paraId="6BDE3EAE" w14:textId="77777777" w:rsidTr="00C07F89">
        <w:trPr>
          <w:gridAfter w:val="1"/>
          <w:wAfter w:w="51" w:type="dxa"/>
          <w:trHeight w:val="1207"/>
          <w:jc w:val="center"/>
        </w:trPr>
        <w:tc>
          <w:tcPr>
            <w:tcW w:w="1281" w:type="dxa"/>
            <w:tcBorders>
              <w:top w:val="single" w:sz="8" w:space="0" w:color="000000"/>
              <w:left w:val="single" w:sz="8" w:space="0" w:color="000000"/>
              <w:bottom w:val="single" w:sz="8" w:space="0" w:color="000000"/>
              <w:right w:val="single" w:sz="8" w:space="0" w:color="000000"/>
            </w:tcBorders>
          </w:tcPr>
          <w:p w14:paraId="7C02F4DE" w14:textId="140DE893" w:rsidR="00AD2934" w:rsidRDefault="00AD2934" w:rsidP="00AD2934">
            <w:pPr>
              <w:pStyle w:val="biaogeleft"/>
              <w:wordWrap w:val="0"/>
              <w:spacing w:line="360" w:lineRule="auto"/>
              <w:rPr>
                <w:rFonts w:asciiTheme="minorEastAsia" w:eastAsiaTheme="minorEastAsia" w:hAnsiTheme="minorEastAsia"/>
                <w:color w:val="000000"/>
              </w:rPr>
            </w:pPr>
            <w:r>
              <w:rPr>
                <w:rFonts w:asciiTheme="minorEastAsia" w:eastAsiaTheme="minorEastAsia" w:hAnsiTheme="minorEastAsia" w:hint="eastAsia"/>
                <w:color w:val="000000"/>
              </w:rPr>
              <w:lastRenderedPageBreak/>
              <w:t>2020.01.01~2020.12.31</w:t>
            </w:r>
          </w:p>
        </w:tc>
        <w:tc>
          <w:tcPr>
            <w:tcW w:w="1156" w:type="dxa"/>
            <w:tcBorders>
              <w:top w:val="single" w:sz="8" w:space="0" w:color="000000"/>
              <w:left w:val="single" w:sz="8" w:space="0" w:color="000000"/>
              <w:bottom w:val="single" w:sz="8" w:space="0" w:color="000000"/>
              <w:right w:val="single" w:sz="8" w:space="0" w:color="000000"/>
            </w:tcBorders>
            <w:vAlign w:val="center"/>
          </w:tcPr>
          <w:p w14:paraId="1878E555" w14:textId="74A00C9E" w:rsidR="00AD2934" w:rsidRDefault="00AD2934" w:rsidP="00AD2934">
            <w:pPr>
              <w:pStyle w:val="biaogecenter"/>
              <w:wordWrap w:val="0"/>
              <w:rPr>
                <w:rFonts w:asciiTheme="minorEastAsia" w:eastAsiaTheme="minorEastAsia" w:hAnsiTheme="minorEastAsia"/>
              </w:rPr>
            </w:pPr>
            <w:r>
              <w:rPr>
                <w:rFonts w:hint="eastAsia"/>
              </w:rPr>
              <w:t>87.60%</w:t>
            </w:r>
          </w:p>
        </w:tc>
        <w:tc>
          <w:tcPr>
            <w:tcW w:w="1356" w:type="dxa"/>
            <w:tcBorders>
              <w:top w:val="single" w:sz="8" w:space="0" w:color="000000"/>
              <w:left w:val="single" w:sz="8" w:space="0" w:color="000000"/>
              <w:bottom w:val="single" w:sz="8" w:space="0" w:color="000000"/>
              <w:right w:val="single" w:sz="8" w:space="0" w:color="000000"/>
            </w:tcBorders>
            <w:vAlign w:val="center"/>
          </w:tcPr>
          <w:p w14:paraId="7102AAF1" w14:textId="3B10F299" w:rsidR="00AD2934" w:rsidRDefault="00AD2934" w:rsidP="00AD2934">
            <w:pPr>
              <w:pStyle w:val="biaogecenter"/>
              <w:wordWrap w:val="0"/>
              <w:rPr>
                <w:rFonts w:asciiTheme="minorEastAsia" w:eastAsiaTheme="minorEastAsia" w:hAnsiTheme="minorEastAsia"/>
              </w:rPr>
            </w:pPr>
            <w:r>
              <w:rPr>
                <w:rFonts w:hint="eastAsia"/>
              </w:rPr>
              <w:t>1.48%</w:t>
            </w:r>
          </w:p>
        </w:tc>
        <w:tc>
          <w:tcPr>
            <w:tcW w:w="1638" w:type="dxa"/>
            <w:tcBorders>
              <w:top w:val="single" w:sz="8" w:space="0" w:color="000000"/>
              <w:left w:val="single" w:sz="8" w:space="0" w:color="000000"/>
              <w:bottom w:val="single" w:sz="8" w:space="0" w:color="000000"/>
              <w:right w:val="single" w:sz="8" w:space="0" w:color="000000"/>
            </w:tcBorders>
            <w:vAlign w:val="center"/>
          </w:tcPr>
          <w:p w14:paraId="0E64E12E" w14:textId="1437B253" w:rsidR="00AD2934" w:rsidRDefault="00AD2934" w:rsidP="00AD2934">
            <w:pPr>
              <w:pStyle w:val="biaogecenter"/>
              <w:wordWrap w:val="0"/>
              <w:ind w:firstLine="480"/>
              <w:rPr>
                <w:rFonts w:asciiTheme="minorEastAsia" w:eastAsiaTheme="minorEastAsia" w:hAnsiTheme="minorEastAsia"/>
              </w:rPr>
            </w:pPr>
            <w:r>
              <w:rPr>
                <w:rFonts w:hint="eastAsia"/>
              </w:rPr>
              <w:t>20.09%</w:t>
            </w:r>
          </w:p>
        </w:tc>
        <w:tc>
          <w:tcPr>
            <w:tcW w:w="1516" w:type="dxa"/>
            <w:tcBorders>
              <w:top w:val="single" w:sz="8" w:space="0" w:color="000000"/>
              <w:left w:val="single" w:sz="8" w:space="0" w:color="000000"/>
              <w:bottom w:val="single" w:sz="8" w:space="0" w:color="000000"/>
              <w:right w:val="single" w:sz="8" w:space="0" w:color="000000"/>
            </w:tcBorders>
            <w:vAlign w:val="center"/>
          </w:tcPr>
          <w:p w14:paraId="4F1F5E7A" w14:textId="37C0CC5B" w:rsidR="00AD2934" w:rsidRDefault="00AD2934" w:rsidP="00AD2934">
            <w:pPr>
              <w:pStyle w:val="biaogecenter"/>
              <w:wordWrap w:val="0"/>
              <w:ind w:firstLine="480"/>
              <w:rPr>
                <w:rFonts w:asciiTheme="minorEastAsia" w:eastAsiaTheme="minorEastAsia" w:hAnsiTheme="minorEastAsia"/>
              </w:rPr>
            </w:pPr>
            <w:r>
              <w:rPr>
                <w:rFonts w:hint="eastAsia"/>
              </w:rPr>
              <w:t>1.00%</w:t>
            </w:r>
          </w:p>
        </w:tc>
        <w:tc>
          <w:tcPr>
            <w:tcW w:w="1592" w:type="dxa"/>
            <w:tcBorders>
              <w:top w:val="single" w:sz="8" w:space="0" w:color="000000"/>
              <w:left w:val="single" w:sz="8" w:space="0" w:color="000000"/>
              <w:bottom w:val="single" w:sz="8" w:space="0" w:color="000000"/>
              <w:right w:val="single" w:sz="8" w:space="0" w:color="000000"/>
            </w:tcBorders>
            <w:vAlign w:val="center"/>
          </w:tcPr>
          <w:p w14:paraId="01785414" w14:textId="7A6C8D5B" w:rsidR="00AD2934" w:rsidRDefault="00AD2934" w:rsidP="00AD2934">
            <w:pPr>
              <w:pStyle w:val="biaogecenter"/>
              <w:wordWrap w:val="0"/>
              <w:ind w:firstLine="480"/>
              <w:rPr>
                <w:rFonts w:asciiTheme="minorEastAsia" w:eastAsiaTheme="minorEastAsia" w:hAnsiTheme="minorEastAsia"/>
              </w:rPr>
            </w:pPr>
            <w:r>
              <w:rPr>
                <w:rFonts w:hint="eastAsia"/>
              </w:rPr>
              <w:t>67.51%</w:t>
            </w:r>
          </w:p>
        </w:tc>
        <w:tc>
          <w:tcPr>
            <w:tcW w:w="1465" w:type="dxa"/>
            <w:tcBorders>
              <w:top w:val="single" w:sz="8" w:space="0" w:color="000000"/>
              <w:left w:val="single" w:sz="8" w:space="0" w:color="000000"/>
              <w:bottom w:val="single" w:sz="8" w:space="0" w:color="000000"/>
              <w:right w:val="single" w:sz="8" w:space="0" w:color="000000"/>
            </w:tcBorders>
            <w:vAlign w:val="center"/>
          </w:tcPr>
          <w:p w14:paraId="003E2A02" w14:textId="3177D525" w:rsidR="00AD2934" w:rsidRDefault="00AD2934" w:rsidP="00AD2934">
            <w:pPr>
              <w:pStyle w:val="biaogecenter"/>
              <w:wordWrap w:val="0"/>
              <w:ind w:firstLine="480"/>
              <w:rPr>
                <w:rFonts w:asciiTheme="minorEastAsia" w:eastAsiaTheme="minorEastAsia" w:hAnsiTheme="minorEastAsia"/>
              </w:rPr>
            </w:pPr>
            <w:r>
              <w:rPr>
                <w:rFonts w:hint="eastAsia"/>
              </w:rPr>
              <w:t>0.48%</w:t>
            </w:r>
          </w:p>
        </w:tc>
      </w:tr>
      <w:tr w:rsidR="004E4409" w14:paraId="267BDF46" w14:textId="77777777" w:rsidTr="00C07F89">
        <w:trPr>
          <w:trHeight w:val="1207"/>
          <w:jc w:val="center"/>
        </w:trPr>
        <w:tc>
          <w:tcPr>
            <w:tcW w:w="1281" w:type="dxa"/>
            <w:tcBorders>
              <w:top w:val="single" w:sz="8" w:space="0" w:color="000000"/>
              <w:left w:val="single" w:sz="8" w:space="0" w:color="000000"/>
              <w:bottom w:val="single" w:sz="8" w:space="0" w:color="000000"/>
              <w:right w:val="single" w:sz="8" w:space="0" w:color="000000"/>
            </w:tcBorders>
          </w:tcPr>
          <w:p w14:paraId="0EFA7260" w14:textId="4A378ECD" w:rsidR="006F7E1A" w:rsidRDefault="006F7E1A" w:rsidP="006F7E1A">
            <w:pPr>
              <w:pStyle w:val="biaogeleft"/>
              <w:wordWrap w:val="0"/>
              <w:spacing w:line="360" w:lineRule="auto"/>
              <w:rPr>
                <w:rFonts w:asciiTheme="minorEastAsia" w:eastAsiaTheme="minorEastAsia" w:hAnsiTheme="minorEastAsia"/>
                <w:color w:val="000000"/>
              </w:rPr>
            </w:pPr>
            <w:r>
              <w:rPr>
                <w:rFonts w:asciiTheme="minorEastAsia" w:eastAsiaTheme="minorEastAsia" w:hAnsiTheme="minorEastAsia" w:hint="eastAsia"/>
                <w:color w:val="000000"/>
              </w:rPr>
              <w:t>2021.01.01~2021.12.31</w:t>
            </w:r>
          </w:p>
        </w:tc>
        <w:tc>
          <w:tcPr>
            <w:tcW w:w="1156" w:type="dxa"/>
            <w:tcBorders>
              <w:top w:val="single" w:sz="8" w:space="0" w:color="000000"/>
              <w:left w:val="single" w:sz="8" w:space="0" w:color="000000"/>
              <w:bottom w:val="single" w:sz="8" w:space="0" w:color="000000"/>
              <w:right w:val="single" w:sz="8" w:space="0" w:color="000000"/>
            </w:tcBorders>
            <w:vAlign w:val="center"/>
          </w:tcPr>
          <w:p w14:paraId="390298D1" w14:textId="506E27F0" w:rsidR="006F7E1A" w:rsidRDefault="006F7E1A" w:rsidP="006F7E1A">
            <w:pPr>
              <w:pStyle w:val="biaogecenter"/>
              <w:wordWrap w:val="0"/>
            </w:pPr>
            <w:r>
              <w:rPr>
                <w:rFonts w:hint="eastAsia"/>
              </w:rPr>
              <w:t>8.34%</w:t>
            </w:r>
          </w:p>
        </w:tc>
        <w:tc>
          <w:tcPr>
            <w:tcW w:w="1356" w:type="dxa"/>
            <w:tcBorders>
              <w:top w:val="single" w:sz="8" w:space="0" w:color="000000"/>
              <w:left w:val="single" w:sz="8" w:space="0" w:color="000000"/>
              <w:bottom w:val="single" w:sz="8" w:space="0" w:color="000000"/>
              <w:right w:val="single" w:sz="8" w:space="0" w:color="000000"/>
            </w:tcBorders>
            <w:vAlign w:val="center"/>
          </w:tcPr>
          <w:p w14:paraId="33AD5425" w14:textId="2CFEF762" w:rsidR="006F7E1A" w:rsidRDefault="006F7E1A" w:rsidP="006F7E1A">
            <w:pPr>
              <w:pStyle w:val="biaogecenter"/>
              <w:wordWrap w:val="0"/>
            </w:pPr>
            <w:r>
              <w:rPr>
                <w:rFonts w:hint="eastAsia"/>
              </w:rPr>
              <w:t>1.28%</w:t>
            </w:r>
          </w:p>
        </w:tc>
        <w:tc>
          <w:tcPr>
            <w:tcW w:w="1638" w:type="dxa"/>
            <w:tcBorders>
              <w:top w:val="single" w:sz="8" w:space="0" w:color="000000"/>
              <w:left w:val="single" w:sz="8" w:space="0" w:color="000000"/>
              <w:bottom w:val="single" w:sz="8" w:space="0" w:color="000000"/>
              <w:right w:val="single" w:sz="8" w:space="0" w:color="000000"/>
            </w:tcBorders>
            <w:vAlign w:val="center"/>
          </w:tcPr>
          <w:p w14:paraId="1B81D2E1" w14:textId="4C65323C" w:rsidR="006F7E1A" w:rsidRDefault="006F7E1A" w:rsidP="006F7E1A">
            <w:pPr>
              <w:pStyle w:val="biaogecenter"/>
              <w:wordWrap w:val="0"/>
              <w:ind w:firstLine="480"/>
            </w:pPr>
            <w:r>
              <w:rPr>
                <w:rFonts w:hint="eastAsia"/>
              </w:rPr>
              <w:t>-1.72%</w:t>
            </w:r>
          </w:p>
        </w:tc>
        <w:tc>
          <w:tcPr>
            <w:tcW w:w="1516" w:type="dxa"/>
            <w:tcBorders>
              <w:top w:val="single" w:sz="8" w:space="0" w:color="000000"/>
              <w:left w:val="single" w:sz="8" w:space="0" w:color="000000"/>
              <w:bottom w:val="single" w:sz="8" w:space="0" w:color="000000"/>
              <w:right w:val="single" w:sz="8" w:space="0" w:color="000000"/>
            </w:tcBorders>
            <w:vAlign w:val="center"/>
          </w:tcPr>
          <w:p w14:paraId="5E83C77F" w14:textId="6144F426" w:rsidR="006F7E1A" w:rsidRDefault="006F7E1A" w:rsidP="006F7E1A">
            <w:pPr>
              <w:pStyle w:val="biaogecenter"/>
              <w:wordWrap w:val="0"/>
              <w:ind w:firstLine="480"/>
            </w:pPr>
            <w:r>
              <w:rPr>
                <w:rFonts w:hint="eastAsia"/>
              </w:rPr>
              <w:t>0.82%</w:t>
            </w:r>
          </w:p>
        </w:tc>
        <w:tc>
          <w:tcPr>
            <w:tcW w:w="1592" w:type="dxa"/>
            <w:tcBorders>
              <w:top w:val="single" w:sz="8" w:space="0" w:color="000000"/>
              <w:left w:val="single" w:sz="8" w:space="0" w:color="000000"/>
              <w:bottom w:val="single" w:sz="8" w:space="0" w:color="000000"/>
              <w:right w:val="single" w:sz="8" w:space="0" w:color="000000"/>
            </w:tcBorders>
            <w:vAlign w:val="center"/>
          </w:tcPr>
          <w:p w14:paraId="0089311A" w14:textId="2D57332B" w:rsidR="006F7E1A" w:rsidRDefault="006F7E1A" w:rsidP="006F7E1A">
            <w:pPr>
              <w:pStyle w:val="biaogecenter"/>
              <w:wordWrap w:val="0"/>
              <w:ind w:firstLine="480"/>
            </w:pPr>
            <w:r>
              <w:rPr>
                <w:rFonts w:hint="eastAsia"/>
              </w:rPr>
              <w:t>10.06%</w:t>
            </w:r>
          </w:p>
        </w:tc>
        <w:tc>
          <w:tcPr>
            <w:tcW w:w="1516" w:type="dxa"/>
            <w:gridSpan w:val="2"/>
            <w:tcBorders>
              <w:top w:val="single" w:sz="8" w:space="0" w:color="000000"/>
              <w:left w:val="single" w:sz="8" w:space="0" w:color="000000"/>
              <w:bottom w:val="single" w:sz="8" w:space="0" w:color="000000"/>
              <w:right w:val="single" w:sz="8" w:space="0" w:color="000000"/>
            </w:tcBorders>
            <w:vAlign w:val="center"/>
          </w:tcPr>
          <w:p w14:paraId="2A2D5D62" w14:textId="0552B88A" w:rsidR="006F7E1A" w:rsidRDefault="006F7E1A" w:rsidP="006F7E1A">
            <w:pPr>
              <w:pStyle w:val="biaogecenter"/>
              <w:wordWrap w:val="0"/>
              <w:ind w:firstLine="480"/>
            </w:pPr>
            <w:r>
              <w:rPr>
                <w:rFonts w:hint="eastAsia"/>
              </w:rPr>
              <w:t>0.46%</w:t>
            </w:r>
          </w:p>
        </w:tc>
      </w:tr>
      <w:tr w:rsidR="004E4409" w14:paraId="14B6B624" w14:textId="77777777" w:rsidTr="00C07F89">
        <w:trPr>
          <w:trHeight w:val="1207"/>
          <w:jc w:val="center"/>
        </w:trPr>
        <w:tc>
          <w:tcPr>
            <w:tcW w:w="1281" w:type="dxa"/>
            <w:tcBorders>
              <w:top w:val="single" w:sz="8" w:space="0" w:color="000000"/>
              <w:left w:val="single" w:sz="8" w:space="0" w:color="000000"/>
              <w:bottom w:val="single" w:sz="8" w:space="0" w:color="000000"/>
              <w:right w:val="single" w:sz="8" w:space="0" w:color="000000"/>
            </w:tcBorders>
          </w:tcPr>
          <w:p w14:paraId="5B5EEDBE" w14:textId="7C93FE72" w:rsidR="006F7E1A" w:rsidRDefault="006F7E1A" w:rsidP="006F7E1A">
            <w:pPr>
              <w:pStyle w:val="biaogeleft"/>
              <w:wordWrap w:val="0"/>
              <w:spacing w:line="360" w:lineRule="auto"/>
              <w:rPr>
                <w:rFonts w:asciiTheme="minorEastAsia" w:eastAsiaTheme="minorEastAsia" w:hAnsiTheme="minorEastAsia"/>
              </w:rPr>
            </w:pPr>
            <w:r>
              <w:rPr>
                <w:rFonts w:asciiTheme="minorEastAsia" w:eastAsiaTheme="minorEastAsia" w:hAnsiTheme="minorEastAsia" w:hint="eastAsia"/>
              </w:rPr>
              <w:t>自基金合同生效起至今</w:t>
            </w:r>
          </w:p>
        </w:tc>
        <w:tc>
          <w:tcPr>
            <w:tcW w:w="1156" w:type="dxa"/>
            <w:tcBorders>
              <w:top w:val="single" w:sz="8" w:space="0" w:color="000000"/>
              <w:left w:val="single" w:sz="8" w:space="0" w:color="000000"/>
              <w:bottom w:val="single" w:sz="8" w:space="0" w:color="000000"/>
              <w:right w:val="single" w:sz="8" w:space="0" w:color="000000"/>
            </w:tcBorders>
            <w:vAlign w:val="center"/>
          </w:tcPr>
          <w:p w14:paraId="63D36BC9" w14:textId="5495631C" w:rsidR="006F7E1A" w:rsidRDefault="006F7E1A" w:rsidP="006F7E1A">
            <w:pPr>
              <w:pStyle w:val="biaogecenter"/>
              <w:wordWrap w:val="0"/>
              <w:rPr>
                <w:rFonts w:asciiTheme="minorEastAsia" w:eastAsiaTheme="minorEastAsia" w:hAnsiTheme="minorEastAsia"/>
              </w:rPr>
            </w:pPr>
            <w:r>
              <w:rPr>
                <w:rFonts w:hint="eastAsia"/>
              </w:rPr>
              <w:t>98.70%</w:t>
            </w:r>
          </w:p>
        </w:tc>
        <w:tc>
          <w:tcPr>
            <w:tcW w:w="1356" w:type="dxa"/>
            <w:tcBorders>
              <w:top w:val="single" w:sz="8" w:space="0" w:color="000000"/>
              <w:left w:val="single" w:sz="8" w:space="0" w:color="000000"/>
              <w:bottom w:val="single" w:sz="8" w:space="0" w:color="000000"/>
              <w:right w:val="single" w:sz="8" w:space="0" w:color="000000"/>
            </w:tcBorders>
            <w:vAlign w:val="center"/>
          </w:tcPr>
          <w:p w14:paraId="40DAEF16" w14:textId="02080137" w:rsidR="006F7E1A" w:rsidRDefault="006F7E1A" w:rsidP="006F7E1A">
            <w:pPr>
              <w:pStyle w:val="biaogecenter"/>
              <w:wordWrap w:val="0"/>
              <w:rPr>
                <w:rFonts w:asciiTheme="minorEastAsia" w:eastAsiaTheme="minorEastAsia" w:hAnsiTheme="minorEastAsia"/>
              </w:rPr>
            </w:pPr>
            <w:r>
              <w:rPr>
                <w:rFonts w:hint="eastAsia"/>
              </w:rPr>
              <w:t>1.26%</w:t>
            </w:r>
          </w:p>
        </w:tc>
        <w:tc>
          <w:tcPr>
            <w:tcW w:w="1638" w:type="dxa"/>
            <w:tcBorders>
              <w:top w:val="single" w:sz="8" w:space="0" w:color="000000"/>
              <w:left w:val="single" w:sz="8" w:space="0" w:color="000000"/>
              <w:bottom w:val="single" w:sz="8" w:space="0" w:color="000000"/>
              <w:right w:val="single" w:sz="8" w:space="0" w:color="000000"/>
            </w:tcBorders>
            <w:vAlign w:val="center"/>
          </w:tcPr>
          <w:p w14:paraId="2A12FC81" w14:textId="08235EDF" w:rsidR="006F7E1A" w:rsidRDefault="006F7E1A" w:rsidP="006F7E1A">
            <w:pPr>
              <w:pStyle w:val="biaogecenter"/>
              <w:wordWrap w:val="0"/>
              <w:ind w:firstLine="480"/>
              <w:rPr>
                <w:rFonts w:asciiTheme="minorEastAsia" w:eastAsiaTheme="minorEastAsia" w:hAnsiTheme="minorEastAsia"/>
              </w:rPr>
            </w:pPr>
            <w:r>
              <w:rPr>
                <w:rFonts w:hint="eastAsia"/>
              </w:rPr>
              <w:t>10.90%</w:t>
            </w:r>
          </w:p>
        </w:tc>
        <w:tc>
          <w:tcPr>
            <w:tcW w:w="1516" w:type="dxa"/>
            <w:tcBorders>
              <w:top w:val="single" w:sz="8" w:space="0" w:color="000000"/>
              <w:left w:val="single" w:sz="8" w:space="0" w:color="000000"/>
              <w:bottom w:val="single" w:sz="8" w:space="0" w:color="000000"/>
              <w:right w:val="single" w:sz="8" w:space="0" w:color="000000"/>
            </w:tcBorders>
            <w:vAlign w:val="center"/>
          </w:tcPr>
          <w:p w14:paraId="356DAEB7" w14:textId="4FFB33DB" w:rsidR="006F7E1A" w:rsidRDefault="006F7E1A" w:rsidP="006F7E1A">
            <w:pPr>
              <w:pStyle w:val="biaogecenter"/>
              <w:wordWrap w:val="0"/>
              <w:ind w:firstLine="480"/>
              <w:rPr>
                <w:rFonts w:asciiTheme="minorEastAsia" w:eastAsiaTheme="minorEastAsia" w:hAnsiTheme="minorEastAsia"/>
              </w:rPr>
            </w:pPr>
            <w:r>
              <w:rPr>
                <w:rFonts w:hint="eastAsia"/>
              </w:rPr>
              <w:t>0.92%</w:t>
            </w:r>
          </w:p>
        </w:tc>
        <w:tc>
          <w:tcPr>
            <w:tcW w:w="1592" w:type="dxa"/>
            <w:tcBorders>
              <w:top w:val="single" w:sz="8" w:space="0" w:color="000000"/>
              <w:left w:val="single" w:sz="8" w:space="0" w:color="000000"/>
              <w:bottom w:val="single" w:sz="8" w:space="0" w:color="000000"/>
              <w:right w:val="single" w:sz="8" w:space="0" w:color="000000"/>
            </w:tcBorders>
            <w:vAlign w:val="center"/>
          </w:tcPr>
          <w:p w14:paraId="4BD471C1" w14:textId="730134C8" w:rsidR="006F7E1A" w:rsidRDefault="006F7E1A" w:rsidP="006F7E1A">
            <w:pPr>
              <w:pStyle w:val="biaogecenter"/>
              <w:wordWrap w:val="0"/>
              <w:ind w:firstLine="480"/>
              <w:rPr>
                <w:rFonts w:asciiTheme="minorEastAsia" w:eastAsiaTheme="minorEastAsia" w:hAnsiTheme="minorEastAsia"/>
              </w:rPr>
            </w:pPr>
            <w:r>
              <w:rPr>
                <w:rFonts w:hint="eastAsia"/>
              </w:rPr>
              <w:t>87.80%</w:t>
            </w:r>
          </w:p>
        </w:tc>
        <w:tc>
          <w:tcPr>
            <w:tcW w:w="1516" w:type="dxa"/>
            <w:gridSpan w:val="2"/>
            <w:tcBorders>
              <w:top w:val="single" w:sz="8" w:space="0" w:color="000000"/>
              <w:left w:val="single" w:sz="8" w:space="0" w:color="000000"/>
              <w:bottom w:val="single" w:sz="8" w:space="0" w:color="000000"/>
              <w:right w:val="single" w:sz="8" w:space="0" w:color="000000"/>
            </w:tcBorders>
            <w:vAlign w:val="center"/>
          </w:tcPr>
          <w:p w14:paraId="301CD9B2" w14:textId="1052E494" w:rsidR="006F7E1A" w:rsidRDefault="006F7E1A" w:rsidP="006F7E1A">
            <w:pPr>
              <w:pStyle w:val="biaogecenter"/>
              <w:wordWrap w:val="0"/>
              <w:ind w:firstLine="480"/>
              <w:rPr>
                <w:rFonts w:asciiTheme="minorEastAsia" w:eastAsiaTheme="minorEastAsia" w:hAnsiTheme="minorEastAsia"/>
              </w:rPr>
            </w:pPr>
            <w:r>
              <w:rPr>
                <w:rFonts w:hint="eastAsia"/>
              </w:rPr>
              <w:t>0.34%</w:t>
            </w:r>
          </w:p>
        </w:tc>
      </w:tr>
    </w:tbl>
    <w:p w14:paraId="51018C9C"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hint="eastAsia"/>
          <w:bCs/>
          <w:sz w:val="24"/>
          <w:szCs w:val="24"/>
        </w:rPr>
        <w:t>注：本基金的业绩比较基准为：中证全债指数收益率×</w:t>
      </w:r>
      <w:r>
        <w:rPr>
          <w:rFonts w:asciiTheme="minorEastAsia" w:hAnsiTheme="minorEastAsia"/>
          <w:bCs/>
          <w:sz w:val="24"/>
          <w:szCs w:val="24"/>
        </w:rPr>
        <w:t xml:space="preserve">30%+沪深300指数收益率×70%。 </w:t>
      </w:r>
    </w:p>
    <w:p w14:paraId="437C2C9D"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bCs/>
          <w:sz w:val="24"/>
          <w:szCs w:val="24"/>
        </w:rPr>
        <w:t xml:space="preserve">2、 </w:t>
      </w:r>
      <w:r>
        <w:rPr>
          <w:rFonts w:asciiTheme="minorEastAsia" w:hAnsiTheme="minorEastAsia" w:hint="eastAsia"/>
          <w:bCs/>
          <w:sz w:val="24"/>
          <w:szCs w:val="24"/>
        </w:rPr>
        <w:t>自基金合同生效以来基金份额累计净值增长率变动及其与同期业绩比较基准收益率变动的比较</w:t>
      </w:r>
    </w:p>
    <w:p w14:paraId="0DC86B1D" w14:textId="5717C86C" w:rsidR="00AC3A9B" w:rsidRDefault="006F7E1A">
      <w:pPr>
        <w:autoSpaceDE w:val="0"/>
        <w:autoSpaceDN w:val="0"/>
        <w:spacing w:line="360" w:lineRule="auto"/>
        <w:ind w:firstLineChars="200" w:firstLine="420"/>
        <w:textAlignment w:val="bottom"/>
        <w:rPr>
          <w:rFonts w:asciiTheme="minorEastAsia" w:hAnsiTheme="minorEastAsia"/>
          <w:bCs/>
          <w:sz w:val="24"/>
          <w:szCs w:val="24"/>
        </w:rPr>
      </w:pPr>
      <w:r>
        <w:rPr>
          <w:rFonts w:hAnsi="等线"/>
          <w:noProof/>
          <w:color w:val="000000"/>
        </w:rPr>
        <w:drawing>
          <wp:inline distT="0" distB="0" distL="0" distR="0" wp14:anchorId="3724F6C9" wp14:editId="06497F30">
            <wp:extent cx="5274310" cy="34290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4310" cy="3429000"/>
                    </a:xfrm>
                    <a:prstGeom prst="rect">
                      <a:avLst/>
                    </a:prstGeom>
                    <a:noFill/>
                    <a:ln>
                      <a:noFill/>
                    </a:ln>
                  </pic:spPr>
                </pic:pic>
              </a:graphicData>
            </a:graphic>
          </wp:inline>
        </w:drawing>
      </w:r>
    </w:p>
    <w:p w14:paraId="5CC1F679" w14:textId="6F254257" w:rsidR="00AC3A9B" w:rsidRDefault="00AC3A9B">
      <w:pPr>
        <w:pStyle w:val="biaogeleft"/>
        <w:rPr>
          <w:rFonts w:asciiTheme="minorEastAsia" w:eastAsiaTheme="minorEastAsia" w:hAnsiTheme="minorEastAsia"/>
        </w:rPr>
      </w:pPr>
    </w:p>
    <w:p w14:paraId="22E99281" w14:textId="4670BC16" w:rsidR="00AC3A9B" w:rsidRDefault="006F7E1A">
      <w:pPr>
        <w:pStyle w:val="biaogeleft"/>
        <w:rPr>
          <w:rFonts w:asciiTheme="minorEastAsia" w:eastAsiaTheme="minorEastAsia" w:hAnsiTheme="minorEastAsia"/>
        </w:rPr>
      </w:pPr>
      <w:r>
        <w:rPr>
          <w:rFonts w:hAnsi="等线"/>
          <w:noProof/>
          <w:color w:val="000000"/>
        </w:rPr>
        <w:lastRenderedPageBreak/>
        <w:drawing>
          <wp:inline distT="0" distB="0" distL="0" distR="0" wp14:anchorId="34736258" wp14:editId="6DD8E7AA">
            <wp:extent cx="5274310" cy="342900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4310" cy="3429000"/>
                    </a:xfrm>
                    <a:prstGeom prst="rect">
                      <a:avLst/>
                    </a:prstGeom>
                    <a:noFill/>
                    <a:ln>
                      <a:noFill/>
                    </a:ln>
                  </pic:spPr>
                </pic:pic>
              </a:graphicData>
            </a:graphic>
          </wp:inline>
        </w:drawing>
      </w:r>
    </w:p>
    <w:p w14:paraId="75A619AE"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宋体" w:hAnsi="宋体" w:cs="宋体" w:hint="eastAsia"/>
          <w:kern w:val="0"/>
          <w:sz w:val="24"/>
          <w:szCs w:val="24"/>
        </w:rPr>
        <w:t>注：本基金建仓期为6个月，建仓期结束时各项资产配置比例符合合同约定。</w:t>
      </w:r>
    </w:p>
    <w:p w14:paraId="0034189C" w14:textId="77777777" w:rsidR="00AC3A9B" w:rsidRDefault="00AC3A9B">
      <w:pPr>
        <w:autoSpaceDE w:val="0"/>
        <w:autoSpaceDN w:val="0"/>
        <w:spacing w:line="360" w:lineRule="auto"/>
        <w:ind w:firstLineChars="200" w:firstLine="480"/>
        <w:textAlignment w:val="bottom"/>
        <w:rPr>
          <w:rFonts w:asciiTheme="minorEastAsia" w:hAnsiTheme="minorEastAsia"/>
          <w:bCs/>
          <w:sz w:val="24"/>
          <w:szCs w:val="24"/>
        </w:rPr>
      </w:pPr>
    </w:p>
    <w:p w14:paraId="69A0B777" w14:textId="77777777" w:rsidR="00AC3A9B" w:rsidRDefault="002C3C29">
      <w:pPr>
        <w:autoSpaceDE w:val="0"/>
        <w:autoSpaceDN w:val="0"/>
        <w:spacing w:line="360" w:lineRule="auto"/>
        <w:ind w:firstLineChars="200" w:firstLine="480"/>
        <w:textAlignment w:val="bottom"/>
        <w:rPr>
          <w:rFonts w:asciiTheme="minorEastAsia" w:hAnsiTheme="minorEastAsia"/>
          <w:bCs/>
          <w:sz w:val="24"/>
          <w:szCs w:val="24"/>
        </w:rPr>
      </w:pPr>
      <w:r>
        <w:rPr>
          <w:rFonts w:asciiTheme="minorEastAsia" w:hAnsiTheme="minorEastAsia"/>
          <w:bCs/>
          <w:sz w:val="24"/>
          <w:szCs w:val="24"/>
        </w:rPr>
        <w:br w:type="page"/>
      </w:r>
    </w:p>
    <w:p w14:paraId="55AB432C" w14:textId="77777777" w:rsidR="00AC3A9B" w:rsidRDefault="002C3C29">
      <w:pPr>
        <w:pStyle w:val="1"/>
        <w:jc w:val="center"/>
        <w:rPr>
          <w:sz w:val="30"/>
          <w:szCs w:val="30"/>
        </w:rPr>
      </w:pPr>
      <w:bookmarkStart w:id="207" w:name="_Toc37770213"/>
      <w:bookmarkStart w:id="208" w:name="_Toc416264546"/>
      <w:bookmarkStart w:id="209" w:name="_Toc31469"/>
      <w:bookmarkStart w:id="210" w:name="_Toc123102458"/>
      <w:bookmarkStart w:id="211" w:name="_Toc14725"/>
      <w:bookmarkStart w:id="212" w:name="_Toc26152"/>
      <w:bookmarkStart w:id="213" w:name="_Toc139991741"/>
      <w:bookmarkStart w:id="214" w:name="_Toc123112239"/>
      <w:bookmarkStart w:id="215" w:name="_Toc79392624"/>
      <w:bookmarkStart w:id="216" w:name="_Toc19520"/>
      <w:bookmarkStart w:id="217" w:name="_Toc141703891"/>
      <w:bookmarkStart w:id="218" w:name="_Toc48649710"/>
      <w:bookmarkStart w:id="219" w:name="_Toc123051457"/>
      <w:bookmarkStart w:id="220" w:name="_Toc22674"/>
      <w:bookmarkStart w:id="221" w:name="_Toc21886"/>
      <w:bookmarkStart w:id="222" w:name="_Toc16789"/>
      <w:bookmarkStart w:id="223" w:name="_Toc352229757"/>
      <w:bookmarkStart w:id="224" w:name="_Toc98560357"/>
      <w:bookmarkStart w:id="225" w:name="_Toc26383"/>
      <w:bookmarkStart w:id="226" w:name="_Toc26084"/>
      <w:bookmarkStart w:id="227" w:name="_Toc2255"/>
      <w:bookmarkStart w:id="228" w:name="_Toc324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hint="eastAsia"/>
          <w:sz w:val="30"/>
          <w:szCs w:val="30"/>
        </w:rPr>
        <w:lastRenderedPageBreak/>
        <w:t>第十部分</w:t>
      </w:r>
      <w:r>
        <w:rPr>
          <w:sz w:val="30"/>
          <w:szCs w:val="30"/>
        </w:rPr>
        <w:t xml:space="preserve">  </w:t>
      </w:r>
      <w:r>
        <w:rPr>
          <w:rFonts w:hint="eastAsia"/>
          <w:sz w:val="30"/>
          <w:szCs w:val="30"/>
        </w:rPr>
        <w:t>基金的财产</w:t>
      </w:r>
      <w:bookmarkEnd w:id="207"/>
      <w:bookmarkEnd w:id="208"/>
    </w:p>
    <w:p w14:paraId="263CC946" w14:textId="77777777" w:rsidR="00AC3A9B" w:rsidRDefault="002C3C29">
      <w:pPr>
        <w:autoSpaceDE w:val="0"/>
        <w:autoSpaceDN w:val="0"/>
        <w:spacing w:line="360" w:lineRule="auto"/>
        <w:ind w:firstLineChars="200" w:firstLine="480"/>
        <w:textAlignment w:val="bottom"/>
        <w:rPr>
          <w:bCs/>
          <w:sz w:val="24"/>
        </w:rPr>
      </w:pPr>
      <w:bookmarkStart w:id="229" w:name="_Toc214873600"/>
      <w:bookmarkStart w:id="230" w:name="_Toc263092319"/>
      <w:bookmarkStart w:id="231" w:name="_Toc416264547"/>
      <w:bookmarkStart w:id="232" w:name="_Toc2981"/>
      <w:bookmarkStart w:id="233" w:name="_Toc801"/>
      <w:bookmarkStart w:id="234" w:name="_Toc22538"/>
      <w:bookmarkStart w:id="235" w:name="_Toc11351"/>
      <w:bookmarkStart w:id="236" w:name="_Toc3872"/>
      <w:bookmarkStart w:id="237" w:name="_Toc578"/>
      <w:bookmarkStart w:id="238" w:name="_Toc13343"/>
      <w:bookmarkStart w:id="239" w:name="_Toc16437"/>
      <w:bookmarkStart w:id="240" w:name="_Toc21917"/>
      <w:bookmarkStart w:id="241" w:name="_Toc11395"/>
      <w:bookmarkStart w:id="242" w:name="_Toc5477"/>
      <w:bookmarkStart w:id="243" w:name="_Toc35222975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bCs/>
          <w:sz w:val="24"/>
        </w:rPr>
        <w:t>一、基金资产总值</w:t>
      </w:r>
    </w:p>
    <w:p w14:paraId="0502578D" w14:textId="77777777" w:rsidR="00AC3A9B" w:rsidRDefault="002C3C29">
      <w:pPr>
        <w:autoSpaceDE w:val="0"/>
        <w:autoSpaceDN w:val="0"/>
        <w:spacing w:line="360" w:lineRule="auto"/>
        <w:ind w:firstLineChars="200" w:firstLine="480"/>
        <w:textAlignment w:val="bottom"/>
        <w:rPr>
          <w:bCs/>
          <w:sz w:val="24"/>
        </w:rPr>
      </w:pPr>
      <w:r>
        <w:rPr>
          <w:bCs/>
          <w:sz w:val="24"/>
        </w:rPr>
        <w:t>基金资产总值是指购买的各类证券及票据价值、银行存款本息和基金应收的申购基金款以及其他投资所形成的价值总和。</w:t>
      </w:r>
    </w:p>
    <w:p w14:paraId="45E57CE3" w14:textId="77777777" w:rsidR="00AC3A9B" w:rsidRDefault="002C3C29">
      <w:pPr>
        <w:autoSpaceDE w:val="0"/>
        <w:autoSpaceDN w:val="0"/>
        <w:spacing w:line="360" w:lineRule="auto"/>
        <w:ind w:firstLineChars="200" w:firstLine="480"/>
        <w:textAlignment w:val="bottom"/>
        <w:rPr>
          <w:bCs/>
          <w:sz w:val="24"/>
        </w:rPr>
      </w:pPr>
      <w:r>
        <w:rPr>
          <w:bCs/>
          <w:sz w:val="24"/>
        </w:rPr>
        <w:t>二、基金资产净值</w:t>
      </w:r>
    </w:p>
    <w:p w14:paraId="0FF4E0F1" w14:textId="77777777" w:rsidR="00AC3A9B" w:rsidRDefault="002C3C29">
      <w:pPr>
        <w:autoSpaceDE w:val="0"/>
        <w:autoSpaceDN w:val="0"/>
        <w:spacing w:line="360" w:lineRule="auto"/>
        <w:ind w:firstLineChars="200" w:firstLine="480"/>
        <w:textAlignment w:val="bottom"/>
        <w:rPr>
          <w:bCs/>
          <w:sz w:val="24"/>
        </w:rPr>
      </w:pPr>
      <w:r>
        <w:rPr>
          <w:bCs/>
          <w:sz w:val="24"/>
        </w:rPr>
        <w:t>基金资产净值是指基金资产总值减去基金负债后的价值。</w:t>
      </w:r>
    </w:p>
    <w:p w14:paraId="4066342C" w14:textId="77777777" w:rsidR="00AC3A9B" w:rsidRDefault="002C3C29">
      <w:pPr>
        <w:autoSpaceDE w:val="0"/>
        <w:autoSpaceDN w:val="0"/>
        <w:spacing w:line="360" w:lineRule="auto"/>
        <w:ind w:firstLineChars="200" w:firstLine="480"/>
        <w:textAlignment w:val="bottom"/>
        <w:rPr>
          <w:bCs/>
          <w:sz w:val="24"/>
        </w:rPr>
      </w:pPr>
      <w:r>
        <w:rPr>
          <w:bCs/>
          <w:sz w:val="24"/>
        </w:rPr>
        <w:t>三、基金财产的账户</w:t>
      </w:r>
    </w:p>
    <w:p w14:paraId="2BEC65C9" w14:textId="77777777" w:rsidR="00AC3A9B" w:rsidRDefault="002C3C29">
      <w:pPr>
        <w:autoSpaceDE w:val="0"/>
        <w:autoSpaceDN w:val="0"/>
        <w:spacing w:line="360" w:lineRule="auto"/>
        <w:ind w:firstLineChars="200" w:firstLine="480"/>
        <w:textAlignment w:val="bottom"/>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账户、期货账户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44" w:name="_Hlt88841837"/>
      <w:bookmarkEnd w:id="244"/>
    </w:p>
    <w:p w14:paraId="270995C8" w14:textId="77777777" w:rsidR="00AC3A9B" w:rsidRDefault="002C3C29">
      <w:pPr>
        <w:autoSpaceDE w:val="0"/>
        <w:autoSpaceDN w:val="0"/>
        <w:spacing w:line="360" w:lineRule="auto"/>
        <w:ind w:firstLineChars="200" w:firstLine="480"/>
        <w:textAlignment w:val="bottom"/>
        <w:rPr>
          <w:bCs/>
          <w:sz w:val="24"/>
        </w:rPr>
      </w:pPr>
      <w:r>
        <w:rPr>
          <w:bCs/>
          <w:sz w:val="24"/>
        </w:rPr>
        <w:t>四、基金财产的保管和处分</w:t>
      </w:r>
      <w:bookmarkStart w:id="245" w:name="_Hlt88900062"/>
      <w:bookmarkEnd w:id="245"/>
    </w:p>
    <w:p w14:paraId="35C3D141" w14:textId="77777777" w:rsidR="00AC3A9B" w:rsidRDefault="002C3C29">
      <w:pPr>
        <w:autoSpaceDE w:val="0"/>
        <w:autoSpaceDN w:val="0"/>
        <w:spacing w:line="360" w:lineRule="auto"/>
        <w:ind w:firstLineChars="200" w:firstLine="480"/>
        <w:textAlignment w:val="bottom"/>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43F7BE9" w14:textId="77777777" w:rsidR="00AC3A9B" w:rsidRDefault="002C3C29">
      <w:pPr>
        <w:adjustRightInd w:val="0"/>
        <w:snapToGrid w:val="0"/>
        <w:spacing w:line="360" w:lineRule="auto"/>
        <w:ind w:firstLineChars="200" w:firstLine="480"/>
        <w:rPr>
          <w:rFonts w:ascii="宋体" w:eastAsia="宋体" w:hAnsi="宋体" w:cs="Arial"/>
          <w:sz w:val="24"/>
          <w:szCs w:val="24"/>
        </w:rPr>
        <w:sectPr w:rsidR="00AC3A9B">
          <w:footerReference w:type="default" r:id="rId34"/>
          <w:pgSz w:w="11906" w:h="16838"/>
          <w:pgMar w:top="1440" w:right="1800" w:bottom="1440" w:left="1800" w:header="851" w:footer="992" w:gutter="0"/>
          <w:pgNumType w:chapStyle="1"/>
          <w:cols w:space="720"/>
          <w:docGrid w:type="lines" w:linePitch="312"/>
        </w:sect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0281768F" w14:textId="77777777" w:rsidR="00AC3A9B" w:rsidRDefault="002C3C29">
      <w:pPr>
        <w:pStyle w:val="1"/>
        <w:jc w:val="center"/>
        <w:rPr>
          <w:sz w:val="30"/>
          <w:szCs w:val="30"/>
        </w:rPr>
      </w:pPr>
      <w:bookmarkStart w:id="246" w:name="_Toc37770214"/>
      <w:r>
        <w:rPr>
          <w:rFonts w:hint="eastAsia"/>
          <w:sz w:val="30"/>
          <w:szCs w:val="30"/>
        </w:rPr>
        <w:lastRenderedPageBreak/>
        <w:t>第十一部分</w:t>
      </w:r>
      <w:r>
        <w:rPr>
          <w:sz w:val="30"/>
          <w:szCs w:val="30"/>
        </w:rPr>
        <w:t xml:space="preserve">  </w:t>
      </w:r>
      <w:r>
        <w:rPr>
          <w:rFonts w:hint="eastAsia"/>
          <w:sz w:val="30"/>
          <w:szCs w:val="30"/>
        </w:rPr>
        <w:t>基金资产的估值</w:t>
      </w:r>
      <w:bookmarkEnd w:id="229"/>
      <w:bookmarkEnd w:id="230"/>
      <w:bookmarkEnd w:id="231"/>
      <w:bookmarkEnd w:id="246"/>
    </w:p>
    <w:p w14:paraId="3BAE086B" w14:textId="77777777" w:rsidR="00AC3A9B" w:rsidRDefault="002C3C29">
      <w:pPr>
        <w:autoSpaceDE w:val="0"/>
        <w:autoSpaceDN w:val="0"/>
        <w:spacing w:line="360" w:lineRule="auto"/>
        <w:ind w:firstLineChars="200" w:firstLine="480"/>
        <w:textAlignment w:val="bottom"/>
        <w:rPr>
          <w:bCs/>
          <w:sz w:val="24"/>
        </w:rPr>
      </w:pPr>
      <w:r>
        <w:rPr>
          <w:bCs/>
          <w:sz w:val="24"/>
        </w:rPr>
        <w:t>一、估值日</w:t>
      </w:r>
    </w:p>
    <w:p w14:paraId="1E85BAC1" w14:textId="77777777" w:rsidR="00AC3A9B" w:rsidRDefault="002C3C29">
      <w:pPr>
        <w:autoSpaceDE w:val="0"/>
        <w:autoSpaceDN w:val="0"/>
        <w:spacing w:line="360" w:lineRule="auto"/>
        <w:ind w:firstLineChars="200" w:firstLine="480"/>
        <w:textAlignment w:val="bottom"/>
        <w:rPr>
          <w:bCs/>
          <w:sz w:val="24"/>
        </w:rPr>
      </w:pPr>
      <w:r>
        <w:rPr>
          <w:bCs/>
          <w:sz w:val="24"/>
        </w:rPr>
        <w:t>本基金的估值日为本基金相关的证券交易场所的交易日以及国家法律法规规定需要对外披露基金净值的非交易日。</w:t>
      </w:r>
    </w:p>
    <w:p w14:paraId="0B5A4C58" w14:textId="77777777" w:rsidR="00AC3A9B" w:rsidRDefault="002C3C29">
      <w:pPr>
        <w:autoSpaceDE w:val="0"/>
        <w:autoSpaceDN w:val="0"/>
        <w:spacing w:line="360" w:lineRule="auto"/>
        <w:ind w:firstLineChars="200" w:firstLine="480"/>
        <w:textAlignment w:val="bottom"/>
        <w:rPr>
          <w:bCs/>
          <w:sz w:val="24"/>
        </w:rPr>
      </w:pPr>
      <w:r>
        <w:rPr>
          <w:bCs/>
          <w:sz w:val="24"/>
        </w:rPr>
        <w:t>二、估值对象</w:t>
      </w:r>
    </w:p>
    <w:p w14:paraId="222F715C" w14:textId="77777777" w:rsidR="00AC3A9B" w:rsidRDefault="002C3C29">
      <w:pPr>
        <w:autoSpaceDE w:val="0"/>
        <w:autoSpaceDN w:val="0"/>
        <w:spacing w:line="360" w:lineRule="auto"/>
        <w:ind w:firstLineChars="200" w:firstLine="480"/>
        <w:textAlignment w:val="bottom"/>
        <w:rPr>
          <w:bCs/>
          <w:sz w:val="24"/>
        </w:rPr>
      </w:pPr>
      <w:r>
        <w:rPr>
          <w:bCs/>
          <w:sz w:val="24"/>
        </w:rPr>
        <w:t>基金所拥有的股票、</w:t>
      </w:r>
      <w:r>
        <w:rPr>
          <w:rFonts w:asciiTheme="minorEastAsia" w:hAnsiTheme="minorEastAsia" w:cs="Times New Roman" w:hint="eastAsia"/>
          <w:bCs/>
          <w:sz w:val="24"/>
          <w:szCs w:val="24"/>
        </w:rPr>
        <w:t>存托凭证、</w:t>
      </w:r>
      <w:r>
        <w:rPr>
          <w:rFonts w:hint="eastAsia"/>
          <w:bCs/>
          <w:sz w:val="24"/>
        </w:rPr>
        <w:t>股指期货合约、国债期货合约、股票期权合约、</w:t>
      </w:r>
      <w:r>
        <w:rPr>
          <w:bCs/>
          <w:sz w:val="24"/>
        </w:rPr>
        <w:t>权证、债券和银行存款本息、应收款项</w:t>
      </w:r>
      <w:r>
        <w:rPr>
          <w:rFonts w:hint="eastAsia"/>
          <w:bCs/>
          <w:sz w:val="24"/>
        </w:rPr>
        <w:t>、</w:t>
      </w:r>
      <w:r>
        <w:rPr>
          <w:bCs/>
          <w:sz w:val="24"/>
        </w:rPr>
        <w:t>其它投资等资产及负债。</w:t>
      </w:r>
    </w:p>
    <w:p w14:paraId="111CA267" w14:textId="77777777" w:rsidR="00AC3A9B" w:rsidRDefault="002C3C29">
      <w:pPr>
        <w:autoSpaceDE w:val="0"/>
        <w:autoSpaceDN w:val="0"/>
        <w:spacing w:line="360" w:lineRule="auto"/>
        <w:ind w:firstLineChars="200" w:firstLine="480"/>
        <w:textAlignment w:val="bottom"/>
        <w:rPr>
          <w:bCs/>
          <w:sz w:val="24"/>
        </w:rPr>
      </w:pPr>
      <w:r>
        <w:rPr>
          <w:bCs/>
          <w:sz w:val="24"/>
        </w:rPr>
        <w:t>三、估值方法</w:t>
      </w:r>
    </w:p>
    <w:p w14:paraId="128F03F1" w14:textId="77777777" w:rsidR="00AC3A9B" w:rsidRDefault="002C3C29">
      <w:pPr>
        <w:autoSpaceDE w:val="0"/>
        <w:autoSpaceDN w:val="0"/>
        <w:spacing w:line="360" w:lineRule="auto"/>
        <w:ind w:firstLineChars="200" w:firstLine="480"/>
        <w:textAlignment w:val="bottom"/>
        <w:rPr>
          <w:bCs/>
          <w:sz w:val="24"/>
          <w:szCs w:val="24"/>
        </w:rPr>
      </w:pPr>
      <w:r>
        <w:rPr>
          <w:bCs/>
          <w:sz w:val="24"/>
        </w:rPr>
        <w:t>1</w:t>
      </w:r>
      <w:r>
        <w:rPr>
          <w:bCs/>
          <w:sz w:val="24"/>
        </w:rPr>
        <w:t>、</w:t>
      </w:r>
      <w:r>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396E2B6" w14:textId="77777777" w:rsidR="00AC3A9B" w:rsidRDefault="002C3C29">
      <w:pPr>
        <w:autoSpaceDE w:val="0"/>
        <w:autoSpaceDN w:val="0"/>
        <w:spacing w:line="360" w:lineRule="auto"/>
        <w:ind w:firstLineChars="200" w:firstLine="480"/>
        <w:textAlignment w:val="bottom"/>
        <w:rPr>
          <w:bCs/>
          <w:sz w:val="24"/>
          <w:szCs w:val="24"/>
        </w:rPr>
      </w:pPr>
      <w:r>
        <w:rPr>
          <w:rFonts w:hint="eastAsia"/>
          <w:bCs/>
          <w:sz w:val="24"/>
          <w:szCs w:val="24"/>
        </w:rPr>
        <w:t>2</w:t>
      </w:r>
      <w:r>
        <w:rPr>
          <w:rFonts w:hint="eastAsia"/>
          <w:bCs/>
          <w:sz w:val="24"/>
          <w:szCs w:val="24"/>
        </w:rPr>
        <w:t>、交易所市场交易的固定收益品种的估值</w:t>
      </w:r>
    </w:p>
    <w:p w14:paraId="1E840F66" w14:textId="77777777" w:rsidR="00AC3A9B" w:rsidRDefault="002C3C2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）对在交易所市场上市交易或挂牌转让的固定收益品种，选取第三方估值机构提供的相应品种当日的估值净价进行估值；</w:t>
      </w:r>
    </w:p>
    <w:p w14:paraId="4B4F8722" w14:textId="77777777" w:rsidR="00AC3A9B" w:rsidRDefault="002C3C2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）对在交易所市场上市交易的可转换债券，按估值日收盘价减去可转换债券收盘价中所含债券应收利息后得到的净价进行估值；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44FFFD57" w14:textId="77777777" w:rsidR="00AC3A9B" w:rsidRDefault="002C3C2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3</w:t>
      </w:r>
      <w:r>
        <w:rPr>
          <w:rFonts w:hint="eastAsia"/>
          <w:bCs/>
          <w:sz w:val="24"/>
          <w:szCs w:val="24"/>
        </w:rPr>
        <w:t>）对在交易所市场挂牌转让的资产支持证券，采用估值技术确定公允价值，在估值技术难以可靠计量公允价值的情况下，按成本估值；</w:t>
      </w:r>
    </w:p>
    <w:p w14:paraId="2BA6D237" w14:textId="77777777" w:rsidR="00AC3A9B" w:rsidRDefault="002C3C2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4</w:t>
      </w:r>
      <w:r>
        <w:rPr>
          <w:rFonts w:hint="eastAsia"/>
          <w:bCs/>
          <w:sz w:val="24"/>
          <w:szCs w:val="24"/>
        </w:rPr>
        <w:t>）对在交易所市场发行未上市或未挂牌转让的固定收益品种，采用估值技术确定公允价值，在估值技术难以可靠计量公允价值的情况下，按成本估值。</w:t>
      </w:r>
    </w:p>
    <w:p w14:paraId="39DB5921" w14:textId="77777777" w:rsidR="00AC3A9B" w:rsidRDefault="002C3C29">
      <w:pPr>
        <w:autoSpaceDE w:val="0"/>
        <w:autoSpaceDN w:val="0"/>
        <w:spacing w:line="360" w:lineRule="auto"/>
        <w:ind w:firstLineChars="200" w:firstLine="480"/>
        <w:textAlignment w:val="bottom"/>
        <w:rPr>
          <w:bCs/>
          <w:sz w:val="24"/>
          <w:szCs w:val="24"/>
        </w:rPr>
      </w:pPr>
      <w:r>
        <w:rPr>
          <w:rFonts w:hint="eastAsia"/>
          <w:bCs/>
          <w:sz w:val="24"/>
          <w:szCs w:val="24"/>
        </w:rPr>
        <w:t>3</w:t>
      </w:r>
      <w:r>
        <w:rPr>
          <w:rFonts w:hint="eastAsia"/>
          <w:bCs/>
          <w:sz w:val="24"/>
          <w:szCs w:val="24"/>
        </w:rPr>
        <w:t>、银行间市场交易的固定收益品种的估值</w:t>
      </w:r>
    </w:p>
    <w:p w14:paraId="2EF715F7" w14:textId="77777777" w:rsidR="00AC3A9B" w:rsidRDefault="002C3C2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）银行间市场交易的固定收益品种，选取第三方估值机构提供的相应品</w:t>
      </w:r>
      <w:r>
        <w:rPr>
          <w:rFonts w:hint="eastAsia"/>
          <w:bCs/>
          <w:sz w:val="24"/>
          <w:szCs w:val="24"/>
        </w:rPr>
        <w:lastRenderedPageBreak/>
        <w:t>种当日的估值净价进行估值。</w:t>
      </w:r>
    </w:p>
    <w:p w14:paraId="58126970" w14:textId="77777777" w:rsidR="00AC3A9B" w:rsidRDefault="002C3C2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）对银行间市场未上市，且第三方估值机构未提供估值价格的固定收益品种，按成本估值。</w:t>
      </w:r>
    </w:p>
    <w:p w14:paraId="5563DD2E" w14:textId="77777777" w:rsidR="00AC3A9B" w:rsidRDefault="002C3C29">
      <w:pPr>
        <w:autoSpaceDE w:val="0"/>
        <w:autoSpaceDN w:val="0"/>
        <w:spacing w:line="360" w:lineRule="auto"/>
        <w:ind w:firstLineChars="200" w:firstLine="480"/>
        <w:textAlignment w:val="bottom"/>
        <w:rPr>
          <w:bCs/>
          <w:sz w:val="24"/>
        </w:rPr>
      </w:pPr>
      <w:r>
        <w:rPr>
          <w:rFonts w:hint="eastAsia"/>
          <w:bCs/>
          <w:sz w:val="24"/>
        </w:rPr>
        <w:t>4</w:t>
      </w:r>
      <w:r>
        <w:rPr>
          <w:bCs/>
          <w:sz w:val="24"/>
        </w:rPr>
        <w:t>、处于未上市期间的有价证券应区分如下情况处理：</w:t>
      </w:r>
    </w:p>
    <w:p w14:paraId="73291256"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09B16B46"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Pr>
          <w:rFonts w:hint="eastAsia"/>
          <w:bCs/>
          <w:sz w:val="24"/>
        </w:rPr>
        <w:t>；</w:t>
      </w:r>
    </w:p>
    <w:p w14:paraId="766D23FC"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3</w:t>
      </w:r>
      <w:r>
        <w:rPr>
          <w:bCs/>
          <w:sz w:val="24"/>
        </w:rPr>
        <w:t>）首次公开发行有明确锁定期的股票，同一股票在交易所上市后，按交易所上市的同一股票的估值方法估值；非公开发行有明确锁定期的股票，按监管机构或行业协会有关规定确定公允价值。</w:t>
      </w:r>
    </w:p>
    <w:p w14:paraId="540A664B" w14:textId="77777777" w:rsidR="00AC3A9B" w:rsidRDefault="002C3C29">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、同一债券同时在两个或两个以上市场交易的，按债券所处的市场分别估值。</w:t>
      </w:r>
    </w:p>
    <w:p w14:paraId="2E032CE1" w14:textId="77777777" w:rsidR="00AC3A9B" w:rsidRDefault="002C3C29">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、本基金投资股指期货、国债期货合约，一般以估值当日结算价进行估值，估值当日无结算价的，且最近交易日后经济环境未发生重大变化的，采用最近交易日结算价估值。</w:t>
      </w:r>
    </w:p>
    <w:p w14:paraId="4ADD8137" w14:textId="77777777" w:rsidR="00AC3A9B" w:rsidRDefault="002C3C29">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、中小企业私募债券，采用估值技术确定公允价值。在估值技术难以可靠计量公允价值的情况下，按成本估值。</w:t>
      </w:r>
    </w:p>
    <w:p w14:paraId="2EB2EDC7" w14:textId="77777777" w:rsidR="00AC3A9B" w:rsidRDefault="002C3C29">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、本基金投资股票期权，根据相关法律法规以及监管部门的规定估值。</w:t>
      </w:r>
    </w:p>
    <w:p w14:paraId="2158BA1F" w14:textId="77777777" w:rsidR="00AC3A9B" w:rsidRDefault="002C3C29">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、当本基金发生大额申购或赎回情形时，基金管理人可以对本基金采用摆动定价机制，以确保基金估值的公平性。</w:t>
      </w:r>
    </w:p>
    <w:p w14:paraId="63E8EE08" w14:textId="77777777" w:rsidR="00AC3A9B" w:rsidRDefault="002C3C29">
      <w:pPr>
        <w:autoSpaceDE w:val="0"/>
        <w:autoSpaceDN w:val="0"/>
        <w:spacing w:line="360" w:lineRule="auto"/>
        <w:ind w:firstLineChars="200" w:firstLine="480"/>
        <w:textAlignment w:val="bottom"/>
        <w:rPr>
          <w:bCs/>
          <w:sz w:val="24"/>
        </w:rPr>
      </w:pPr>
      <w:r>
        <w:rPr>
          <w:bCs/>
          <w:sz w:val="24"/>
        </w:rPr>
        <w:t>10</w:t>
      </w:r>
      <w:r>
        <w:rPr>
          <w:bCs/>
          <w:sz w:val="24"/>
        </w:rPr>
        <w:t>、</w:t>
      </w:r>
      <w:r>
        <w:rPr>
          <w:rFonts w:hint="eastAsia"/>
          <w:bCs/>
          <w:sz w:val="24"/>
        </w:rPr>
        <w:t>本基金投资存托凭证的估值核算，依照境内上市交易的股票执行。</w:t>
      </w:r>
    </w:p>
    <w:p w14:paraId="7A00A0A3" w14:textId="77777777" w:rsidR="00AC3A9B" w:rsidRDefault="002C3C29">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051F9776" w14:textId="72EC04A4" w:rsidR="00AC3A9B" w:rsidRDefault="002C3C29">
      <w:pPr>
        <w:autoSpaceDE w:val="0"/>
        <w:autoSpaceDN w:val="0"/>
        <w:spacing w:line="360" w:lineRule="auto"/>
        <w:ind w:firstLineChars="200" w:firstLine="480"/>
        <w:textAlignment w:val="bottom"/>
        <w:rPr>
          <w:bCs/>
          <w:sz w:val="24"/>
        </w:rPr>
      </w:pPr>
      <w:r>
        <w:rPr>
          <w:rFonts w:hint="eastAsia"/>
          <w:bCs/>
          <w:sz w:val="24"/>
        </w:rPr>
        <w:t>12</w:t>
      </w:r>
      <w:r>
        <w:rPr>
          <w:bCs/>
          <w:sz w:val="24"/>
        </w:rPr>
        <w:t>、相关法律法规以及监管部门有强制规定的，从其规定。如有新增事项，按国家最新规定估值。</w:t>
      </w:r>
    </w:p>
    <w:p w14:paraId="2802424A" w14:textId="77777777" w:rsidR="00AC3A9B" w:rsidRDefault="002C3C29">
      <w:pPr>
        <w:autoSpaceDE w:val="0"/>
        <w:autoSpaceDN w:val="0"/>
        <w:spacing w:line="360" w:lineRule="auto"/>
        <w:ind w:firstLineChars="200" w:firstLine="480"/>
        <w:textAlignment w:val="bottom"/>
        <w:rPr>
          <w:sz w:val="24"/>
        </w:rPr>
      </w:pPr>
      <w:r>
        <w:rPr>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9B5E21A" w14:textId="77777777" w:rsidR="00AC3A9B" w:rsidRDefault="002C3C29">
      <w:pPr>
        <w:autoSpaceDE w:val="0"/>
        <w:autoSpaceDN w:val="0"/>
        <w:spacing w:line="360" w:lineRule="auto"/>
        <w:ind w:firstLineChars="200" w:firstLine="480"/>
        <w:textAlignment w:val="bottom"/>
        <w:rPr>
          <w:bCs/>
          <w:sz w:val="24"/>
        </w:rPr>
      </w:pPr>
      <w:r>
        <w:rPr>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1AFFBC0" w14:textId="77777777" w:rsidR="00AC3A9B" w:rsidRDefault="002C3C29">
      <w:pPr>
        <w:autoSpaceDE w:val="0"/>
        <w:autoSpaceDN w:val="0"/>
        <w:spacing w:line="360" w:lineRule="auto"/>
        <w:ind w:firstLineChars="200" w:firstLine="480"/>
        <w:textAlignment w:val="bottom"/>
        <w:rPr>
          <w:bCs/>
          <w:sz w:val="24"/>
        </w:rPr>
      </w:pPr>
      <w:r>
        <w:rPr>
          <w:bCs/>
          <w:sz w:val="24"/>
        </w:rPr>
        <w:t>四、估值程序</w:t>
      </w:r>
    </w:p>
    <w:p w14:paraId="6759DBC6" w14:textId="77777777" w:rsidR="00AC3A9B" w:rsidRDefault="002C3C29">
      <w:pPr>
        <w:autoSpaceDE w:val="0"/>
        <w:autoSpaceDN w:val="0"/>
        <w:spacing w:line="360" w:lineRule="auto"/>
        <w:ind w:firstLineChars="200" w:firstLine="480"/>
        <w:textAlignment w:val="bottom"/>
        <w:rPr>
          <w:bCs/>
          <w:sz w:val="24"/>
        </w:rPr>
      </w:pPr>
      <w:r>
        <w:rPr>
          <w:bCs/>
          <w:sz w:val="24"/>
        </w:rPr>
        <w:t>1</w:t>
      </w:r>
      <w:r>
        <w:rPr>
          <w:bCs/>
          <w:sz w:val="24"/>
        </w:rPr>
        <w:t>、</w:t>
      </w:r>
      <w:r>
        <w:rPr>
          <w:rFonts w:hint="eastAsia"/>
          <w:bCs/>
          <w:sz w:val="24"/>
        </w:rPr>
        <w:t>各类</w:t>
      </w:r>
      <w:r>
        <w:rPr>
          <w:bCs/>
          <w:sz w:val="24"/>
        </w:rPr>
        <w:t>基金份额净值是按照每个工作日闭市后，</w:t>
      </w:r>
      <w:r>
        <w:rPr>
          <w:rFonts w:hint="eastAsia"/>
          <w:bCs/>
          <w:sz w:val="24"/>
        </w:rPr>
        <w:t>该类</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位四舍五入。国家另有规定的，从其规定。</w:t>
      </w:r>
    </w:p>
    <w:p w14:paraId="7D5131C3"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基金管理人每个工作日计算基金资产净值及两类基金份额净值，经基金托管人复核，并按规定公告</w:t>
      </w:r>
      <w:r>
        <w:rPr>
          <w:bCs/>
          <w:sz w:val="24"/>
        </w:rPr>
        <w:t>。</w:t>
      </w:r>
    </w:p>
    <w:p w14:paraId="2EEF0931" w14:textId="77777777" w:rsidR="00AC3A9B" w:rsidRDefault="002C3C29">
      <w:pPr>
        <w:autoSpaceDE w:val="0"/>
        <w:autoSpaceDN w:val="0"/>
        <w:spacing w:line="360" w:lineRule="auto"/>
        <w:ind w:firstLineChars="200" w:firstLine="480"/>
        <w:textAlignment w:val="bottom"/>
        <w:rPr>
          <w:bCs/>
          <w:sz w:val="24"/>
        </w:rPr>
      </w:pPr>
      <w:r>
        <w:rPr>
          <w:bCs/>
          <w:sz w:val="24"/>
        </w:rPr>
        <w:t>2</w:t>
      </w:r>
      <w:r>
        <w:rPr>
          <w:bCs/>
          <w:sz w:val="24"/>
        </w:rPr>
        <w:t>、基金管理人应每个工作日对基金资产估值。但基金管理人根据法律法规或基金合同的规定暂停估值时除外。基金管理人每个工作日对基金资产估值后，将</w:t>
      </w:r>
      <w:r>
        <w:rPr>
          <w:rFonts w:hint="eastAsia"/>
          <w:bCs/>
          <w:sz w:val="24"/>
        </w:rPr>
        <w:t>两类</w:t>
      </w:r>
      <w:r>
        <w:rPr>
          <w:bCs/>
          <w:sz w:val="24"/>
        </w:rPr>
        <w:t>基金份额净值结果发送基金托管人，经基金托管人复核无误后，由基金管理人对外公布。</w:t>
      </w:r>
    </w:p>
    <w:p w14:paraId="23406050" w14:textId="77777777" w:rsidR="00AC3A9B" w:rsidRDefault="002C3C29">
      <w:pPr>
        <w:autoSpaceDE w:val="0"/>
        <w:autoSpaceDN w:val="0"/>
        <w:spacing w:line="360" w:lineRule="auto"/>
        <w:ind w:firstLineChars="200" w:firstLine="480"/>
        <w:textAlignment w:val="bottom"/>
        <w:rPr>
          <w:bCs/>
          <w:sz w:val="24"/>
        </w:rPr>
      </w:pPr>
      <w:r>
        <w:rPr>
          <w:bCs/>
          <w:sz w:val="24"/>
        </w:rPr>
        <w:t>五、估值错误的处理</w:t>
      </w:r>
    </w:p>
    <w:p w14:paraId="77BBA9C9" w14:textId="77777777" w:rsidR="00AC3A9B" w:rsidRDefault="002C3C29">
      <w:pPr>
        <w:autoSpaceDE w:val="0"/>
        <w:autoSpaceDN w:val="0"/>
        <w:spacing w:line="360" w:lineRule="auto"/>
        <w:ind w:firstLineChars="200" w:firstLine="480"/>
        <w:textAlignment w:val="bottom"/>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发生估值错误时，视为基金份额净值错误。</w:t>
      </w:r>
    </w:p>
    <w:p w14:paraId="756D8438" w14:textId="77777777" w:rsidR="00AC3A9B" w:rsidRDefault="002C3C29">
      <w:pPr>
        <w:autoSpaceDE w:val="0"/>
        <w:autoSpaceDN w:val="0"/>
        <w:spacing w:line="360" w:lineRule="auto"/>
        <w:ind w:firstLineChars="200" w:firstLine="480"/>
        <w:textAlignment w:val="bottom"/>
        <w:rPr>
          <w:bCs/>
          <w:sz w:val="24"/>
        </w:rPr>
      </w:pPr>
      <w:r>
        <w:rPr>
          <w:bCs/>
          <w:sz w:val="24"/>
        </w:rPr>
        <w:t>基金合同的当事人应按照以下约定处理：</w:t>
      </w:r>
    </w:p>
    <w:p w14:paraId="05765075" w14:textId="77777777" w:rsidR="00AC3A9B" w:rsidRDefault="002C3C29">
      <w:pPr>
        <w:autoSpaceDE w:val="0"/>
        <w:autoSpaceDN w:val="0"/>
        <w:spacing w:line="360" w:lineRule="auto"/>
        <w:ind w:firstLineChars="200" w:firstLine="480"/>
        <w:textAlignment w:val="bottom"/>
        <w:rPr>
          <w:bCs/>
          <w:sz w:val="24"/>
        </w:rPr>
      </w:pPr>
      <w:r>
        <w:rPr>
          <w:bCs/>
          <w:sz w:val="24"/>
        </w:rPr>
        <w:t>1</w:t>
      </w:r>
      <w:r>
        <w:rPr>
          <w:bCs/>
          <w:sz w:val="24"/>
        </w:rPr>
        <w:t>、估值错误类型</w:t>
      </w:r>
    </w:p>
    <w:p w14:paraId="26F95293" w14:textId="77777777" w:rsidR="00AC3A9B" w:rsidRDefault="002C3C29">
      <w:pPr>
        <w:autoSpaceDE w:val="0"/>
        <w:autoSpaceDN w:val="0"/>
        <w:spacing w:line="360" w:lineRule="auto"/>
        <w:ind w:firstLineChars="200" w:firstLine="480"/>
        <w:textAlignment w:val="bottom"/>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14:paraId="45E1A27A" w14:textId="77777777" w:rsidR="00AC3A9B" w:rsidRDefault="002C3C29">
      <w:pPr>
        <w:autoSpaceDE w:val="0"/>
        <w:autoSpaceDN w:val="0"/>
        <w:spacing w:line="360" w:lineRule="auto"/>
        <w:ind w:firstLineChars="200" w:firstLine="480"/>
        <w:textAlignment w:val="bottom"/>
        <w:rPr>
          <w:bCs/>
          <w:sz w:val="24"/>
        </w:rPr>
      </w:pPr>
      <w:r>
        <w:rPr>
          <w:bCs/>
          <w:sz w:val="24"/>
        </w:rPr>
        <w:t>上述估值错误的主要类型包括但不限于：资料申报差错、数据传输差错、数据计算差错、系统故障差错、下达指令差错等。</w:t>
      </w:r>
    </w:p>
    <w:p w14:paraId="7C22EA53" w14:textId="77777777" w:rsidR="00AC3A9B" w:rsidRDefault="002C3C29">
      <w:pPr>
        <w:autoSpaceDE w:val="0"/>
        <w:autoSpaceDN w:val="0"/>
        <w:spacing w:line="360" w:lineRule="auto"/>
        <w:ind w:firstLineChars="200" w:firstLine="480"/>
        <w:textAlignment w:val="bottom"/>
        <w:rPr>
          <w:bCs/>
          <w:sz w:val="24"/>
        </w:rPr>
      </w:pPr>
      <w:r>
        <w:rPr>
          <w:bCs/>
          <w:sz w:val="24"/>
        </w:rPr>
        <w:t>2</w:t>
      </w:r>
      <w:r>
        <w:rPr>
          <w:bCs/>
          <w:sz w:val="24"/>
        </w:rPr>
        <w:t>、估值错误处理原则</w:t>
      </w:r>
    </w:p>
    <w:p w14:paraId="62846158"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w:t>
      </w:r>
      <w:r>
        <w:rPr>
          <w:bCs/>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B975C17" w14:textId="77777777" w:rsidR="00AC3A9B" w:rsidRDefault="002C3C29">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48B4A024" w14:textId="77777777" w:rsidR="00AC3A9B" w:rsidRDefault="002C3C29">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bCs/>
          <w:sz w:val="24"/>
        </w:rPr>
        <w:t>（“</w:t>
      </w:r>
      <w:r>
        <w:rPr>
          <w:bCs/>
          <w:sz w:val="24"/>
        </w:rPr>
        <w:t>受损方</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4707159" w14:textId="77777777" w:rsidR="00AC3A9B" w:rsidRDefault="002C3C29">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）估值错误调整采用尽量恢复至假设未发生估值错误的正确情形的方式。</w:t>
      </w:r>
    </w:p>
    <w:p w14:paraId="78B94F3A" w14:textId="77777777" w:rsidR="00AC3A9B" w:rsidRDefault="002C3C29">
      <w:pPr>
        <w:autoSpaceDE w:val="0"/>
        <w:autoSpaceDN w:val="0"/>
        <w:spacing w:line="360" w:lineRule="auto"/>
        <w:ind w:firstLineChars="200" w:firstLine="480"/>
        <w:textAlignment w:val="bottom"/>
        <w:rPr>
          <w:bCs/>
          <w:sz w:val="24"/>
        </w:rPr>
      </w:pPr>
      <w:r>
        <w:rPr>
          <w:bCs/>
          <w:sz w:val="24"/>
        </w:rPr>
        <w:t>3</w:t>
      </w:r>
      <w:r>
        <w:rPr>
          <w:bCs/>
          <w:sz w:val="24"/>
        </w:rPr>
        <w:t>、估值错误处理程序</w:t>
      </w:r>
    </w:p>
    <w:p w14:paraId="7821537C" w14:textId="77777777" w:rsidR="00AC3A9B" w:rsidRDefault="002C3C29">
      <w:pPr>
        <w:autoSpaceDE w:val="0"/>
        <w:autoSpaceDN w:val="0"/>
        <w:spacing w:line="360" w:lineRule="auto"/>
        <w:ind w:firstLineChars="200" w:firstLine="480"/>
        <w:textAlignment w:val="bottom"/>
        <w:rPr>
          <w:bCs/>
          <w:sz w:val="24"/>
        </w:rPr>
      </w:pPr>
      <w:r>
        <w:rPr>
          <w:bCs/>
          <w:sz w:val="24"/>
        </w:rPr>
        <w:t>估值错误被发现后，有关的当事人应当及时进行处理，处理的程序如下：</w:t>
      </w:r>
    </w:p>
    <w:p w14:paraId="318CC026"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7FB42E45" w14:textId="77777777" w:rsidR="00AC3A9B" w:rsidRDefault="002C3C29">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3E5FFD4F" w14:textId="77777777" w:rsidR="00AC3A9B" w:rsidRDefault="002C3C29">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03859D70" w14:textId="77777777" w:rsidR="00AC3A9B" w:rsidRDefault="002C3C29">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37F58E15" w14:textId="77777777" w:rsidR="00AC3A9B" w:rsidRDefault="002C3C29">
      <w:pPr>
        <w:autoSpaceDE w:val="0"/>
        <w:autoSpaceDN w:val="0"/>
        <w:spacing w:line="360" w:lineRule="auto"/>
        <w:ind w:firstLineChars="200" w:firstLine="480"/>
        <w:textAlignment w:val="bottom"/>
        <w:rPr>
          <w:bCs/>
          <w:sz w:val="24"/>
        </w:rPr>
      </w:pPr>
      <w:r>
        <w:rPr>
          <w:bCs/>
          <w:sz w:val="24"/>
        </w:rPr>
        <w:t>4</w:t>
      </w:r>
      <w:r>
        <w:rPr>
          <w:bCs/>
          <w:sz w:val="24"/>
        </w:rPr>
        <w:t>、基金份额净值估值错误处理的方法如下：</w:t>
      </w:r>
    </w:p>
    <w:p w14:paraId="62587E8A"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77FB55D6" w14:textId="77777777" w:rsidR="00AC3A9B" w:rsidRDefault="002C3C29">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w:t>
      </w:r>
      <w:r>
        <w:rPr>
          <w:bCs/>
          <w:sz w:val="24"/>
        </w:rPr>
        <w:lastRenderedPageBreak/>
        <w:t>人并报中国证监会备案；错误偏差达到基金份额净值的</w:t>
      </w:r>
      <w:r>
        <w:rPr>
          <w:bCs/>
          <w:sz w:val="24"/>
        </w:rPr>
        <w:t>0.5%</w:t>
      </w:r>
      <w:r>
        <w:rPr>
          <w:bCs/>
          <w:sz w:val="24"/>
        </w:rPr>
        <w:t>时，基金管理人应当公告。</w:t>
      </w:r>
    </w:p>
    <w:p w14:paraId="0018ED8E" w14:textId="77777777" w:rsidR="00AC3A9B" w:rsidRDefault="002C3C2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）前述内容如法律法规或者监管部门另有规定的，从其规定。如果行业另有通行做法，双方当事人应本着平等和保护基金份额持有人利益的原则进行协商。</w:t>
      </w:r>
    </w:p>
    <w:p w14:paraId="575E08F9" w14:textId="77777777" w:rsidR="00AC3A9B" w:rsidRDefault="002C3C29">
      <w:pPr>
        <w:spacing w:line="360" w:lineRule="auto"/>
        <w:ind w:firstLineChars="200" w:firstLine="480"/>
        <w:rPr>
          <w:bCs/>
          <w:sz w:val="24"/>
        </w:rPr>
      </w:pPr>
      <w:r>
        <w:rPr>
          <w:bCs/>
          <w:sz w:val="24"/>
        </w:rPr>
        <w:t>六、暂停估值的情形</w:t>
      </w:r>
    </w:p>
    <w:p w14:paraId="4D8B0EA0" w14:textId="77777777" w:rsidR="00AC3A9B" w:rsidRDefault="002C3C29">
      <w:pPr>
        <w:autoSpaceDE w:val="0"/>
        <w:autoSpaceDN w:val="0"/>
        <w:spacing w:line="360" w:lineRule="auto"/>
        <w:ind w:firstLineChars="200" w:firstLine="480"/>
        <w:textAlignment w:val="bottom"/>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6ABCF341" w14:textId="77777777" w:rsidR="00AC3A9B" w:rsidRDefault="002C3C29">
      <w:pPr>
        <w:autoSpaceDE w:val="0"/>
        <w:autoSpaceDN w:val="0"/>
        <w:spacing w:line="360" w:lineRule="auto"/>
        <w:ind w:firstLineChars="200" w:firstLine="480"/>
        <w:textAlignment w:val="bottom"/>
        <w:rPr>
          <w:bCs/>
          <w:sz w:val="24"/>
        </w:rPr>
      </w:pPr>
      <w:r>
        <w:rPr>
          <w:bCs/>
          <w:sz w:val="24"/>
        </w:rPr>
        <w:t>2</w:t>
      </w:r>
      <w:r>
        <w:rPr>
          <w:bCs/>
          <w:sz w:val="24"/>
        </w:rPr>
        <w:t>、因不可抗力致使基金管理人、基金托管人无法准确评估基金资产价值时；</w:t>
      </w:r>
    </w:p>
    <w:p w14:paraId="6DCCEA5D" w14:textId="77777777" w:rsidR="00AC3A9B" w:rsidRDefault="002C3C29">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以上的资产出现无可参考的活跃市场价格且采用估值技术仍导致公允价值存在重大不确定性时，经与基金托管人协商一致的；</w:t>
      </w:r>
    </w:p>
    <w:p w14:paraId="6947E53F" w14:textId="77777777" w:rsidR="00AC3A9B" w:rsidRDefault="002C3C29">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bCs/>
          <w:sz w:val="24"/>
        </w:rPr>
        <w:t>中国证监会和基金合同认定的其它情形。</w:t>
      </w:r>
    </w:p>
    <w:p w14:paraId="06329EA5" w14:textId="77777777" w:rsidR="00AC3A9B" w:rsidRDefault="002C3C29">
      <w:pPr>
        <w:autoSpaceDE w:val="0"/>
        <w:autoSpaceDN w:val="0"/>
        <w:spacing w:line="360" w:lineRule="auto"/>
        <w:ind w:firstLineChars="200" w:firstLine="480"/>
        <w:textAlignment w:val="bottom"/>
        <w:rPr>
          <w:bCs/>
          <w:sz w:val="24"/>
        </w:rPr>
      </w:pPr>
      <w:r>
        <w:rPr>
          <w:bCs/>
          <w:sz w:val="24"/>
        </w:rPr>
        <w:t>七、基金净值的确认</w:t>
      </w:r>
    </w:p>
    <w:p w14:paraId="5EFCE3FA" w14:textId="77777777" w:rsidR="00AC3A9B" w:rsidRDefault="002C3C29">
      <w:pPr>
        <w:autoSpaceDE w:val="0"/>
        <w:autoSpaceDN w:val="0"/>
        <w:spacing w:line="360" w:lineRule="auto"/>
        <w:ind w:firstLineChars="200" w:firstLine="480"/>
        <w:textAlignment w:val="bottom"/>
        <w:rPr>
          <w:bCs/>
          <w:sz w:val="24"/>
        </w:rPr>
      </w:pPr>
      <w:r>
        <w:rPr>
          <w:bCs/>
          <w:sz w:val="24"/>
        </w:rPr>
        <w:t>用于基金信息披露的基金资产净值和</w:t>
      </w:r>
      <w:r>
        <w:rPr>
          <w:rFonts w:hint="eastAsia"/>
          <w:bCs/>
          <w:sz w:val="24"/>
        </w:rPr>
        <w:t>两类</w:t>
      </w:r>
      <w:r>
        <w:rPr>
          <w:bCs/>
          <w:sz w:val="24"/>
        </w:rPr>
        <w:t>基金份额净值由基金管理人负责计算，基金托管人负责进行复核。基金管理人应于每个开放日交易结束后计算当日的基金资产净值和</w:t>
      </w:r>
      <w:r>
        <w:rPr>
          <w:rFonts w:hint="eastAsia"/>
          <w:bCs/>
          <w:sz w:val="24"/>
        </w:rPr>
        <w:t>两类</w:t>
      </w:r>
      <w:r>
        <w:rPr>
          <w:bCs/>
          <w:sz w:val="24"/>
        </w:rPr>
        <w:t>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14:paraId="26C2C4F7"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八、特殊情况的处理</w:t>
      </w:r>
    </w:p>
    <w:p w14:paraId="190AF4BA" w14:textId="637AF665" w:rsidR="00AC3A9B" w:rsidRDefault="002C3C29">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、基金管理人或基金托管人按估值方法的第</w:t>
      </w:r>
      <w:r>
        <w:rPr>
          <w:rFonts w:hint="eastAsia"/>
          <w:bCs/>
          <w:sz w:val="24"/>
        </w:rPr>
        <w:t>11</w:t>
      </w:r>
      <w:r>
        <w:rPr>
          <w:rFonts w:hint="eastAsia"/>
          <w:bCs/>
          <w:sz w:val="24"/>
        </w:rPr>
        <w:t>项进行估值时，所造成的误差不作为基金资产估值错误处理。</w:t>
      </w:r>
    </w:p>
    <w:p w14:paraId="545B3180" w14:textId="77777777" w:rsidR="00AC3A9B" w:rsidRDefault="002C3C29">
      <w:pPr>
        <w:widowControl/>
        <w:spacing w:line="360" w:lineRule="auto"/>
        <w:ind w:firstLineChars="200" w:firstLine="480"/>
        <w:jc w:val="left"/>
        <w:rPr>
          <w:rFonts w:asciiTheme="minorEastAsia" w:hAnsiTheme="minorEastAsia" w:cs="Times New Roman"/>
          <w:b/>
          <w:bCs/>
          <w:kern w:val="0"/>
          <w:sz w:val="24"/>
          <w:szCs w:val="24"/>
        </w:rPr>
        <w:sectPr w:rsidR="00AC3A9B">
          <w:footerReference w:type="default" r:id="rId35"/>
          <w:pgSz w:w="11906" w:h="16838"/>
          <w:pgMar w:top="1440" w:right="1800" w:bottom="1440" w:left="1800" w:header="851" w:footer="992" w:gutter="0"/>
          <w:pgNumType w:chapStyle="1"/>
          <w:cols w:space="720"/>
          <w:docGrid w:type="lines" w:linePitch="312"/>
        </w:sectPr>
      </w:pPr>
      <w:r>
        <w:rPr>
          <w:rFonts w:hint="eastAsia"/>
          <w:bCs/>
          <w:sz w:val="24"/>
        </w:rPr>
        <w:t>2</w:t>
      </w:r>
      <w:r>
        <w:rPr>
          <w:rFonts w:hint="eastAsia"/>
          <w:bCs/>
          <w:sz w:val="24"/>
        </w:rPr>
        <w:t>、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r>
        <w:rPr>
          <w:rFonts w:asciiTheme="minorEastAsia" w:hAnsiTheme="minorEastAsia" w:cs="Times New Roman" w:hint="eastAsia"/>
          <w:bCs/>
          <w:sz w:val="24"/>
          <w:szCs w:val="24"/>
        </w:rPr>
        <w:t xml:space="preserve">。 </w:t>
      </w:r>
    </w:p>
    <w:p w14:paraId="4986E29A" w14:textId="77777777" w:rsidR="00AC3A9B" w:rsidRDefault="002C3C29">
      <w:pPr>
        <w:pStyle w:val="1"/>
        <w:jc w:val="center"/>
        <w:rPr>
          <w:sz w:val="30"/>
          <w:szCs w:val="30"/>
        </w:rPr>
      </w:pPr>
      <w:bookmarkStart w:id="247" w:name="_Toc416264548"/>
      <w:bookmarkStart w:id="248" w:name="_Toc37770215"/>
      <w:bookmarkStart w:id="249" w:name="_Toc263092320"/>
      <w:bookmarkEnd w:id="232"/>
      <w:bookmarkEnd w:id="233"/>
      <w:bookmarkEnd w:id="234"/>
      <w:bookmarkEnd w:id="235"/>
      <w:bookmarkEnd w:id="236"/>
      <w:bookmarkEnd w:id="237"/>
      <w:bookmarkEnd w:id="238"/>
      <w:bookmarkEnd w:id="239"/>
      <w:bookmarkEnd w:id="240"/>
      <w:bookmarkEnd w:id="241"/>
      <w:bookmarkEnd w:id="242"/>
      <w:bookmarkEnd w:id="243"/>
      <w:r>
        <w:rPr>
          <w:rFonts w:hint="eastAsia"/>
          <w:sz w:val="30"/>
          <w:szCs w:val="30"/>
        </w:rPr>
        <w:lastRenderedPageBreak/>
        <w:t>第十二部分</w:t>
      </w:r>
      <w:r>
        <w:rPr>
          <w:sz w:val="30"/>
          <w:szCs w:val="30"/>
        </w:rPr>
        <w:t xml:space="preserve">  </w:t>
      </w:r>
      <w:r>
        <w:rPr>
          <w:rFonts w:hint="eastAsia"/>
          <w:sz w:val="30"/>
          <w:szCs w:val="30"/>
        </w:rPr>
        <w:t>基金的收益分配</w:t>
      </w:r>
      <w:bookmarkEnd w:id="247"/>
      <w:bookmarkEnd w:id="248"/>
      <w:bookmarkEnd w:id="249"/>
    </w:p>
    <w:p w14:paraId="56B00563" w14:textId="77777777" w:rsidR="00AC3A9B" w:rsidRDefault="002C3C29">
      <w:pPr>
        <w:autoSpaceDE w:val="0"/>
        <w:autoSpaceDN w:val="0"/>
        <w:spacing w:line="360" w:lineRule="auto"/>
        <w:ind w:firstLineChars="200" w:firstLine="480"/>
        <w:textAlignment w:val="bottom"/>
        <w:rPr>
          <w:bCs/>
          <w:sz w:val="24"/>
        </w:rPr>
      </w:pPr>
      <w:bookmarkStart w:id="250" w:name="_Toc214873602"/>
      <w:bookmarkStart w:id="251" w:name="_Toc147463128"/>
      <w:bookmarkStart w:id="252" w:name="_Toc21073401"/>
      <w:bookmarkStart w:id="253" w:name="_Toc416264549"/>
      <w:bookmarkStart w:id="254" w:name="_Toc12357181"/>
      <w:bookmarkStart w:id="255" w:name="_Toc263092321"/>
      <w:bookmarkStart w:id="256" w:name="_Toc7802"/>
      <w:bookmarkStart w:id="257" w:name="_Toc17782"/>
      <w:bookmarkStart w:id="258" w:name="_Toc139991744"/>
      <w:bookmarkStart w:id="259" w:name="_Toc27832"/>
      <w:bookmarkStart w:id="260" w:name="_Toc31917"/>
      <w:bookmarkStart w:id="261" w:name="_Toc141703894"/>
      <w:bookmarkStart w:id="262" w:name="_Toc352229760"/>
      <w:bookmarkStart w:id="263" w:name="_Toc19714"/>
      <w:bookmarkStart w:id="264" w:name="_Toc2623"/>
      <w:bookmarkStart w:id="265" w:name="_Toc871"/>
      <w:r>
        <w:rPr>
          <w:bCs/>
          <w:sz w:val="24"/>
        </w:rPr>
        <w:t>一、基金利润的构成</w:t>
      </w:r>
    </w:p>
    <w:p w14:paraId="39CB7FD5" w14:textId="77777777" w:rsidR="00AC3A9B" w:rsidRDefault="002C3C29">
      <w:pPr>
        <w:autoSpaceDE w:val="0"/>
        <w:autoSpaceDN w:val="0"/>
        <w:spacing w:line="360" w:lineRule="auto"/>
        <w:ind w:firstLineChars="200" w:firstLine="480"/>
        <w:textAlignment w:val="bottom"/>
        <w:rPr>
          <w:bCs/>
          <w:sz w:val="24"/>
        </w:rPr>
      </w:pPr>
      <w:r>
        <w:rPr>
          <w:bCs/>
          <w:sz w:val="24"/>
        </w:rPr>
        <w:t>基金利润指基金利息收入、投资收益、公允价值变动收益和其他收入扣除相关费用后的余额，基金已实现收益指基金利润减去公允价值变动收益后的余额。</w:t>
      </w:r>
    </w:p>
    <w:p w14:paraId="4EF3D230" w14:textId="77777777" w:rsidR="00AC3A9B" w:rsidRDefault="002C3C29">
      <w:pPr>
        <w:autoSpaceDE w:val="0"/>
        <w:autoSpaceDN w:val="0"/>
        <w:spacing w:line="360" w:lineRule="auto"/>
        <w:ind w:firstLineChars="200" w:firstLine="480"/>
        <w:textAlignment w:val="bottom"/>
        <w:rPr>
          <w:bCs/>
          <w:sz w:val="24"/>
        </w:rPr>
      </w:pPr>
      <w:r>
        <w:rPr>
          <w:bCs/>
          <w:sz w:val="24"/>
        </w:rPr>
        <w:t>二、基金可供分配利润</w:t>
      </w:r>
    </w:p>
    <w:p w14:paraId="7AD36409" w14:textId="77777777" w:rsidR="00AC3A9B" w:rsidRDefault="002C3C29">
      <w:pPr>
        <w:autoSpaceDE w:val="0"/>
        <w:autoSpaceDN w:val="0"/>
        <w:spacing w:line="360" w:lineRule="auto"/>
        <w:ind w:firstLineChars="200" w:firstLine="480"/>
        <w:textAlignment w:val="bottom"/>
        <w:rPr>
          <w:bCs/>
          <w:sz w:val="24"/>
        </w:rPr>
      </w:pPr>
      <w:r>
        <w:rPr>
          <w:bCs/>
          <w:sz w:val="24"/>
        </w:rPr>
        <w:t>基金可供分配利润指截至收益分配基准日基金未分配利润与未分配利润中已实现收益的孰低数。</w:t>
      </w:r>
    </w:p>
    <w:p w14:paraId="1AB19CFD" w14:textId="77777777" w:rsidR="00AC3A9B" w:rsidRDefault="002C3C29">
      <w:pPr>
        <w:autoSpaceDE w:val="0"/>
        <w:autoSpaceDN w:val="0"/>
        <w:spacing w:line="360" w:lineRule="auto"/>
        <w:ind w:firstLineChars="200" w:firstLine="480"/>
        <w:textAlignment w:val="bottom"/>
        <w:rPr>
          <w:bCs/>
          <w:sz w:val="24"/>
        </w:rPr>
      </w:pPr>
      <w:r>
        <w:rPr>
          <w:bCs/>
          <w:sz w:val="24"/>
        </w:rPr>
        <w:t>三、基金收益分配原则</w:t>
      </w:r>
    </w:p>
    <w:p w14:paraId="2AE06928" w14:textId="77777777" w:rsidR="00AC3A9B" w:rsidRDefault="002C3C29">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14:paraId="7E2EF5CD" w14:textId="77777777" w:rsidR="00AC3A9B" w:rsidRDefault="002C3C29">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、本基金收益分配方式分两种：现金分红与红利再投资，投资者可选择现金红利或将现金红利自动转为相应类别基金份额进行再投资；若投资者不选择，本基金默认的收益分配方式是现金分红；</w:t>
      </w:r>
    </w:p>
    <w:p w14:paraId="6A98A43E" w14:textId="77777777" w:rsidR="00AC3A9B" w:rsidRDefault="002C3C29">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7CE1D894" w14:textId="77777777" w:rsidR="00AC3A9B" w:rsidRDefault="002C3C29">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14:paraId="7F3EA1D8" w14:textId="77777777" w:rsidR="00AC3A9B" w:rsidRDefault="002C3C29">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20D3D3E1"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在对基金份额持有人利益无实质不利影响的前提下，基金管理人可与基金托管人协商一致后调整基金收益分配原则和支付方式，不需召开基金份额持有人大会。</w:t>
      </w:r>
    </w:p>
    <w:p w14:paraId="797434AE" w14:textId="77777777" w:rsidR="00AC3A9B" w:rsidRDefault="002C3C29">
      <w:pPr>
        <w:autoSpaceDE w:val="0"/>
        <w:autoSpaceDN w:val="0"/>
        <w:spacing w:line="360" w:lineRule="auto"/>
        <w:ind w:firstLineChars="200" w:firstLine="480"/>
        <w:textAlignment w:val="bottom"/>
        <w:rPr>
          <w:bCs/>
          <w:sz w:val="24"/>
        </w:rPr>
      </w:pPr>
      <w:r>
        <w:rPr>
          <w:bCs/>
          <w:sz w:val="24"/>
        </w:rPr>
        <w:t>四、收益分配方案</w:t>
      </w:r>
    </w:p>
    <w:p w14:paraId="7A15DE29" w14:textId="77777777" w:rsidR="00AC3A9B" w:rsidRDefault="002C3C29">
      <w:pPr>
        <w:autoSpaceDE w:val="0"/>
        <w:autoSpaceDN w:val="0"/>
        <w:spacing w:line="360" w:lineRule="auto"/>
        <w:ind w:firstLineChars="200" w:firstLine="480"/>
        <w:textAlignment w:val="bottom"/>
        <w:rPr>
          <w:bCs/>
          <w:sz w:val="24"/>
        </w:rPr>
      </w:pPr>
      <w:r>
        <w:rPr>
          <w:bCs/>
          <w:sz w:val="24"/>
        </w:rPr>
        <w:t>基金收益分配方案中应载明截止收益分配基准日的可供分配利润、基金收益分配对象、分配时间、分配数额及比例、分配方式等内容。</w:t>
      </w:r>
    </w:p>
    <w:p w14:paraId="33F8BAEA" w14:textId="77777777" w:rsidR="00AC3A9B" w:rsidRDefault="002C3C29">
      <w:pPr>
        <w:autoSpaceDE w:val="0"/>
        <w:autoSpaceDN w:val="0"/>
        <w:spacing w:line="360" w:lineRule="auto"/>
        <w:ind w:firstLineChars="200" w:firstLine="480"/>
        <w:textAlignment w:val="bottom"/>
        <w:rPr>
          <w:bCs/>
          <w:sz w:val="24"/>
        </w:rPr>
      </w:pPr>
      <w:r>
        <w:rPr>
          <w:bCs/>
          <w:sz w:val="24"/>
        </w:rPr>
        <w:t>五、收益分配方案的确定、公告与实施</w:t>
      </w:r>
    </w:p>
    <w:p w14:paraId="68276BC3" w14:textId="77777777" w:rsidR="00AC3A9B" w:rsidRDefault="002C3C29">
      <w:pPr>
        <w:autoSpaceDE w:val="0"/>
        <w:autoSpaceDN w:val="0"/>
        <w:spacing w:line="360" w:lineRule="auto"/>
        <w:ind w:firstLineChars="200" w:firstLine="480"/>
        <w:textAlignment w:val="bottom"/>
        <w:rPr>
          <w:bCs/>
          <w:sz w:val="24"/>
        </w:rPr>
      </w:pPr>
      <w:r>
        <w:rPr>
          <w:bCs/>
          <w:sz w:val="24"/>
        </w:rPr>
        <w:t>本基金收益分配方案由基金管理人拟定，并由基金托管人复核，</w:t>
      </w:r>
      <w:r>
        <w:rPr>
          <w:rFonts w:hint="eastAsia"/>
          <w:bCs/>
          <w:kern w:val="0"/>
          <w:sz w:val="24"/>
        </w:rPr>
        <w:t>依据相关规定在指定媒介公告。</w:t>
      </w:r>
    </w:p>
    <w:p w14:paraId="4B5DFFFD" w14:textId="77777777" w:rsidR="00AC3A9B" w:rsidRDefault="002C3C29">
      <w:pPr>
        <w:autoSpaceDE w:val="0"/>
        <w:autoSpaceDN w:val="0"/>
        <w:spacing w:line="360" w:lineRule="auto"/>
        <w:ind w:firstLineChars="200" w:firstLine="480"/>
        <w:textAlignment w:val="bottom"/>
        <w:rPr>
          <w:bCs/>
          <w:sz w:val="24"/>
        </w:rPr>
      </w:pPr>
      <w:r>
        <w:rPr>
          <w:bCs/>
          <w:sz w:val="24"/>
        </w:rPr>
        <w:lastRenderedPageBreak/>
        <w:t>基金红利发放日距离收益分配基准日（即可供分配利润计算截止日）的时间不得超过</w:t>
      </w:r>
      <w:r>
        <w:rPr>
          <w:bCs/>
          <w:sz w:val="24"/>
        </w:rPr>
        <w:t>15</w:t>
      </w:r>
      <w:r>
        <w:rPr>
          <w:bCs/>
          <w:sz w:val="24"/>
        </w:rPr>
        <w:t>个工作日。</w:t>
      </w:r>
    </w:p>
    <w:p w14:paraId="7032792E" w14:textId="77777777" w:rsidR="00AC3A9B" w:rsidRDefault="002C3C29">
      <w:pPr>
        <w:autoSpaceDE w:val="0"/>
        <w:autoSpaceDN w:val="0"/>
        <w:spacing w:line="360" w:lineRule="auto"/>
        <w:ind w:firstLineChars="200" w:firstLine="480"/>
        <w:textAlignment w:val="bottom"/>
        <w:rPr>
          <w:bCs/>
          <w:sz w:val="24"/>
        </w:rPr>
      </w:pPr>
      <w:r>
        <w:rPr>
          <w:bCs/>
          <w:sz w:val="24"/>
        </w:rPr>
        <w:t>六、基金收益分配中发生的费用</w:t>
      </w:r>
    </w:p>
    <w:p w14:paraId="5B5FC59B" w14:textId="77777777" w:rsidR="00AC3A9B" w:rsidRDefault="002C3C29">
      <w:pPr>
        <w:adjustRightInd w:val="0"/>
        <w:snapToGrid w:val="0"/>
        <w:spacing w:line="360" w:lineRule="auto"/>
        <w:ind w:firstLineChars="200" w:firstLine="480"/>
        <w:rPr>
          <w:rFonts w:asciiTheme="minorEastAsia" w:hAnsiTheme="minorEastAsia" w:cs="Times New Roman"/>
          <w:bCs/>
          <w:sz w:val="24"/>
          <w:szCs w:val="24"/>
        </w:rPr>
        <w:sectPr w:rsidR="00AC3A9B">
          <w:footerReference w:type="default" r:id="rId36"/>
          <w:pgSz w:w="11906" w:h="16838"/>
          <w:pgMar w:top="1440" w:right="1800" w:bottom="1440" w:left="1800" w:header="851" w:footer="992" w:gutter="0"/>
          <w:pgNumType w:chapStyle="1"/>
          <w:cols w:space="720"/>
          <w:docGrid w:type="lines" w:linePitch="312"/>
        </w:sect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w:t>
      </w:r>
      <w:r>
        <w:rPr>
          <w:bCs/>
          <w:sz w:val="24"/>
        </w:rPr>
        <w:t>基金份额。红利再投资的计算方法，依照《业务规则》执行。</w:t>
      </w:r>
    </w:p>
    <w:p w14:paraId="042CBABB" w14:textId="77777777" w:rsidR="00AC3A9B" w:rsidRDefault="002C3C29">
      <w:pPr>
        <w:pStyle w:val="1"/>
        <w:jc w:val="center"/>
        <w:rPr>
          <w:sz w:val="30"/>
          <w:szCs w:val="30"/>
        </w:rPr>
      </w:pPr>
      <w:bookmarkStart w:id="266" w:name="_Toc37770216"/>
      <w:r>
        <w:rPr>
          <w:rFonts w:hint="eastAsia"/>
          <w:sz w:val="30"/>
          <w:szCs w:val="30"/>
        </w:rPr>
        <w:lastRenderedPageBreak/>
        <w:t>第十三部分</w:t>
      </w:r>
      <w:r>
        <w:rPr>
          <w:sz w:val="30"/>
          <w:szCs w:val="30"/>
        </w:rPr>
        <w:t xml:space="preserve">  </w:t>
      </w:r>
      <w:r>
        <w:rPr>
          <w:rFonts w:hint="eastAsia"/>
          <w:sz w:val="30"/>
          <w:szCs w:val="30"/>
        </w:rPr>
        <w:t>基金费用与税收</w:t>
      </w:r>
      <w:bookmarkEnd w:id="250"/>
      <w:bookmarkEnd w:id="251"/>
      <w:bookmarkEnd w:id="252"/>
      <w:bookmarkEnd w:id="253"/>
      <w:bookmarkEnd w:id="254"/>
      <w:bookmarkEnd w:id="255"/>
      <w:bookmarkEnd w:id="266"/>
    </w:p>
    <w:p w14:paraId="43044F3B" w14:textId="77777777" w:rsidR="00AC3A9B" w:rsidRDefault="002C3C29">
      <w:pPr>
        <w:autoSpaceDE w:val="0"/>
        <w:autoSpaceDN w:val="0"/>
        <w:spacing w:line="360" w:lineRule="auto"/>
        <w:ind w:firstLineChars="200" w:firstLine="480"/>
        <w:textAlignment w:val="bottom"/>
        <w:rPr>
          <w:bCs/>
          <w:sz w:val="24"/>
        </w:rPr>
      </w:pPr>
      <w:bookmarkStart w:id="267" w:name="_Toc214873603"/>
      <w:bookmarkStart w:id="268" w:name="_Toc416264550"/>
      <w:bookmarkStart w:id="269" w:name="_Toc263092322"/>
      <w:bookmarkStart w:id="270" w:name="_Toc141703895"/>
      <w:bookmarkStart w:id="271" w:name="_Toc6493"/>
      <w:bookmarkStart w:id="272" w:name="_Toc352229761"/>
      <w:bookmarkStart w:id="273" w:name="_Toc19706"/>
      <w:bookmarkStart w:id="274" w:name="_Toc15779"/>
      <w:bookmarkStart w:id="275" w:name="_Toc24601"/>
      <w:bookmarkStart w:id="276" w:name="_Toc32046"/>
      <w:bookmarkStart w:id="277" w:name="_Toc19752"/>
      <w:bookmarkStart w:id="278" w:name="_Toc32227"/>
      <w:bookmarkStart w:id="279" w:name="_Toc32041"/>
      <w:bookmarkStart w:id="280" w:name="_Toc13987"/>
      <w:bookmarkStart w:id="281" w:name="_Toc3365"/>
      <w:bookmarkStart w:id="282" w:name="_Toc12105"/>
      <w:bookmarkStart w:id="283" w:name="_Toc139991745"/>
      <w:bookmarkEnd w:id="256"/>
      <w:bookmarkEnd w:id="257"/>
      <w:bookmarkEnd w:id="258"/>
      <w:bookmarkEnd w:id="259"/>
      <w:bookmarkEnd w:id="260"/>
      <w:bookmarkEnd w:id="261"/>
      <w:bookmarkEnd w:id="262"/>
      <w:bookmarkEnd w:id="263"/>
      <w:bookmarkEnd w:id="264"/>
      <w:bookmarkEnd w:id="265"/>
      <w:r>
        <w:rPr>
          <w:bCs/>
          <w:sz w:val="24"/>
        </w:rPr>
        <w:t>一、基金费用的种类</w:t>
      </w:r>
    </w:p>
    <w:p w14:paraId="17606639" w14:textId="77777777" w:rsidR="00AC3A9B" w:rsidRDefault="002C3C29">
      <w:pPr>
        <w:autoSpaceDE w:val="0"/>
        <w:autoSpaceDN w:val="0"/>
        <w:spacing w:line="360" w:lineRule="auto"/>
        <w:ind w:firstLineChars="200" w:firstLine="480"/>
        <w:textAlignment w:val="bottom"/>
        <w:rPr>
          <w:bCs/>
          <w:sz w:val="24"/>
        </w:rPr>
      </w:pPr>
      <w:r>
        <w:rPr>
          <w:bCs/>
          <w:sz w:val="24"/>
        </w:rPr>
        <w:t>1</w:t>
      </w:r>
      <w:r>
        <w:rPr>
          <w:bCs/>
          <w:sz w:val="24"/>
        </w:rPr>
        <w:t>、基金管理人的管理费；</w:t>
      </w:r>
    </w:p>
    <w:p w14:paraId="683E5FBD" w14:textId="77777777" w:rsidR="00AC3A9B" w:rsidRDefault="002C3C29">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3BEBB6FE" w14:textId="77777777" w:rsidR="00AC3A9B" w:rsidRDefault="002C3C29">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5CD8063D" w14:textId="77777777" w:rsidR="00AC3A9B" w:rsidRDefault="002C3C29">
      <w:pPr>
        <w:autoSpaceDE w:val="0"/>
        <w:autoSpaceDN w:val="0"/>
        <w:spacing w:line="360" w:lineRule="auto"/>
        <w:ind w:firstLineChars="200" w:firstLine="480"/>
        <w:textAlignment w:val="bottom"/>
        <w:rPr>
          <w:bCs/>
          <w:sz w:val="24"/>
        </w:rPr>
      </w:pPr>
      <w:r>
        <w:rPr>
          <w:rFonts w:hint="eastAsia"/>
          <w:bCs/>
          <w:sz w:val="24"/>
        </w:rPr>
        <w:t>4</w:t>
      </w:r>
      <w:r>
        <w:rPr>
          <w:bCs/>
          <w:sz w:val="24"/>
        </w:rPr>
        <w:t>、《基金合同》生效后与基金相关的信息披露费用；</w:t>
      </w:r>
    </w:p>
    <w:p w14:paraId="66743570" w14:textId="77777777" w:rsidR="00AC3A9B" w:rsidRDefault="002C3C29">
      <w:pPr>
        <w:autoSpaceDE w:val="0"/>
        <w:autoSpaceDN w:val="0"/>
        <w:spacing w:line="360" w:lineRule="auto"/>
        <w:ind w:firstLineChars="200" w:firstLine="480"/>
        <w:textAlignment w:val="bottom"/>
        <w:rPr>
          <w:bCs/>
          <w:sz w:val="24"/>
        </w:rPr>
      </w:pPr>
      <w:r>
        <w:rPr>
          <w:rFonts w:hint="eastAsia"/>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1332FD61" w14:textId="77777777" w:rsidR="00AC3A9B" w:rsidRDefault="002C3C29">
      <w:pPr>
        <w:autoSpaceDE w:val="0"/>
        <w:autoSpaceDN w:val="0"/>
        <w:spacing w:line="360" w:lineRule="auto"/>
        <w:ind w:firstLineChars="200" w:firstLine="480"/>
        <w:textAlignment w:val="bottom"/>
        <w:rPr>
          <w:bCs/>
          <w:sz w:val="24"/>
        </w:rPr>
      </w:pPr>
      <w:r>
        <w:rPr>
          <w:rFonts w:hint="eastAsia"/>
          <w:bCs/>
          <w:sz w:val="24"/>
        </w:rPr>
        <w:t>6</w:t>
      </w:r>
      <w:r>
        <w:rPr>
          <w:bCs/>
          <w:sz w:val="24"/>
        </w:rPr>
        <w:t>、基金份额持有人大会费用；</w:t>
      </w:r>
    </w:p>
    <w:p w14:paraId="262F3719" w14:textId="77777777" w:rsidR="00AC3A9B" w:rsidRDefault="002C3C29">
      <w:pPr>
        <w:autoSpaceDE w:val="0"/>
        <w:autoSpaceDN w:val="0"/>
        <w:spacing w:line="360" w:lineRule="auto"/>
        <w:ind w:firstLineChars="200" w:firstLine="480"/>
        <w:textAlignment w:val="bottom"/>
        <w:rPr>
          <w:bCs/>
          <w:sz w:val="24"/>
        </w:rPr>
      </w:pPr>
      <w:r>
        <w:rPr>
          <w:rFonts w:hint="eastAsia"/>
          <w:bCs/>
          <w:sz w:val="24"/>
        </w:rPr>
        <w:t>7</w:t>
      </w:r>
      <w:r>
        <w:rPr>
          <w:bCs/>
          <w:sz w:val="24"/>
        </w:rPr>
        <w:t>、基金的证券</w:t>
      </w:r>
      <w:r>
        <w:rPr>
          <w:rFonts w:hint="eastAsia"/>
          <w:bCs/>
          <w:sz w:val="24"/>
        </w:rPr>
        <w:t>、期货</w:t>
      </w:r>
      <w:r>
        <w:rPr>
          <w:bCs/>
          <w:sz w:val="24"/>
        </w:rPr>
        <w:t>交易费用；</w:t>
      </w:r>
    </w:p>
    <w:p w14:paraId="7C619125" w14:textId="77777777" w:rsidR="00AC3A9B" w:rsidRDefault="002C3C29">
      <w:pPr>
        <w:autoSpaceDE w:val="0"/>
        <w:autoSpaceDN w:val="0"/>
        <w:spacing w:line="360" w:lineRule="auto"/>
        <w:ind w:firstLineChars="200" w:firstLine="480"/>
        <w:textAlignment w:val="bottom"/>
        <w:rPr>
          <w:bCs/>
          <w:sz w:val="24"/>
        </w:rPr>
      </w:pPr>
      <w:r>
        <w:rPr>
          <w:rFonts w:hint="eastAsia"/>
          <w:bCs/>
          <w:sz w:val="24"/>
        </w:rPr>
        <w:t>8</w:t>
      </w:r>
      <w:r>
        <w:rPr>
          <w:bCs/>
          <w:sz w:val="24"/>
        </w:rPr>
        <w:t>、基金的银行汇划费用；</w:t>
      </w:r>
    </w:p>
    <w:p w14:paraId="460A3B31" w14:textId="77777777" w:rsidR="00AC3A9B" w:rsidRDefault="002C3C29">
      <w:pPr>
        <w:autoSpaceDE w:val="0"/>
        <w:autoSpaceDN w:val="0"/>
        <w:spacing w:line="360" w:lineRule="auto"/>
        <w:ind w:firstLineChars="200" w:firstLine="480"/>
        <w:textAlignment w:val="bottom"/>
        <w:rPr>
          <w:bCs/>
          <w:sz w:val="24"/>
        </w:rPr>
      </w:pPr>
      <w:r>
        <w:rPr>
          <w:rFonts w:hint="eastAsia"/>
          <w:bCs/>
          <w:sz w:val="24"/>
        </w:rPr>
        <w:t>9</w:t>
      </w:r>
      <w:r>
        <w:rPr>
          <w:bCs/>
          <w:sz w:val="24"/>
        </w:rPr>
        <w:t>、</w:t>
      </w:r>
      <w:r>
        <w:rPr>
          <w:rFonts w:hint="eastAsia"/>
          <w:bCs/>
          <w:sz w:val="24"/>
        </w:rPr>
        <w:t>基金的账户开户费用、账户维护费用；</w:t>
      </w:r>
    </w:p>
    <w:p w14:paraId="118D9F4B" w14:textId="77777777" w:rsidR="00AC3A9B" w:rsidRDefault="002C3C29">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w:t>
      </w:r>
      <w:r>
        <w:rPr>
          <w:bCs/>
          <w:sz w:val="24"/>
        </w:rPr>
        <w:t>按照国家有关规定和《基金合同》约定，可以在基金财产中列支的其他费用。</w:t>
      </w:r>
    </w:p>
    <w:p w14:paraId="0124C795" w14:textId="77777777" w:rsidR="00AC3A9B" w:rsidRDefault="002C3C29">
      <w:pPr>
        <w:autoSpaceDE w:val="0"/>
        <w:autoSpaceDN w:val="0"/>
        <w:spacing w:line="360" w:lineRule="auto"/>
        <w:ind w:firstLineChars="200" w:firstLine="480"/>
        <w:textAlignment w:val="bottom"/>
        <w:rPr>
          <w:bCs/>
          <w:sz w:val="24"/>
        </w:rPr>
      </w:pPr>
      <w:r>
        <w:rPr>
          <w:bCs/>
          <w:sz w:val="24"/>
        </w:rPr>
        <w:t>二、基金费用计提方法、计提标准和支付方式</w:t>
      </w:r>
    </w:p>
    <w:p w14:paraId="7B094F9B" w14:textId="77777777" w:rsidR="00AC3A9B" w:rsidRDefault="002C3C29">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、基金管理人的管理费</w:t>
      </w:r>
      <w:r>
        <w:rPr>
          <w:rFonts w:hint="eastAsia"/>
          <w:bCs/>
          <w:sz w:val="24"/>
        </w:rPr>
        <w:t xml:space="preserve"> </w:t>
      </w:r>
    </w:p>
    <w:p w14:paraId="2F3FDB28"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本基金的管理费按前一日基金资产净值的</w:t>
      </w:r>
      <w:r>
        <w:rPr>
          <w:rFonts w:hint="eastAsia"/>
          <w:bCs/>
          <w:sz w:val="24"/>
        </w:rPr>
        <w:t>0.6%</w:t>
      </w:r>
      <w:r>
        <w:rPr>
          <w:rFonts w:hint="eastAsia"/>
          <w:bCs/>
          <w:sz w:val="24"/>
        </w:rPr>
        <w:t>年费率计提。管理费的计算方法如下：</w:t>
      </w:r>
    </w:p>
    <w:p w14:paraId="3FC7577C" w14:textId="77777777" w:rsidR="00AC3A9B" w:rsidRDefault="002C3C29">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0.6%</w:t>
      </w:r>
      <w:r>
        <w:rPr>
          <w:rFonts w:hint="eastAsia"/>
          <w:bCs/>
          <w:sz w:val="24"/>
        </w:rPr>
        <w:t>÷当年天数</w:t>
      </w:r>
    </w:p>
    <w:p w14:paraId="5D741499" w14:textId="77777777" w:rsidR="00AC3A9B" w:rsidRDefault="002C3C29">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为每日应计提的基金管理费</w:t>
      </w:r>
    </w:p>
    <w:p w14:paraId="494728A5" w14:textId="77777777" w:rsidR="00AC3A9B" w:rsidRDefault="002C3C29">
      <w:pPr>
        <w:autoSpaceDE w:val="0"/>
        <w:autoSpaceDN w:val="0"/>
        <w:spacing w:line="360" w:lineRule="auto"/>
        <w:ind w:firstLineChars="200" w:firstLine="480"/>
        <w:textAlignment w:val="bottom"/>
        <w:rPr>
          <w:bCs/>
          <w:sz w:val="24"/>
        </w:rPr>
      </w:pPr>
      <w:r>
        <w:rPr>
          <w:rFonts w:hint="eastAsia"/>
          <w:bCs/>
          <w:sz w:val="24"/>
        </w:rPr>
        <w:t>E</w:t>
      </w:r>
      <w:r>
        <w:rPr>
          <w:rFonts w:hint="eastAsia"/>
          <w:bCs/>
          <w:sz w:val="24"/>
        </w:rPr>
        <w:t>为前一日的基金资产净值</w:t>
      </w:r>
    </w:p>
    <w:p w14:paraId="49EF0D78"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基金管理费每日计算，逐日累计至每月月末，按月支付，经基金管理人与基金托管人双方核对无误后，基金托管人按照与基金管理人协商一致的方式于次月前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个工作日内从基金财产中一次性支付给基金管理人。若遇法定节假日、公休假等，支付日期顺延。</w:t>
      </w:r>
    </w:p>
    <w:p w14:paraId="72E49207" w14:textId="77777777" w:rsidR="00AC3A9B" w:rsidRDefault="002C3C29">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45C303CA" w14:textId="77777777" w:rsidR="00AC3A9B" w:rsidRDefault="002C3C29">
      <w:pPr>
        <w:autoSpaceDE w:val="0"/>
        <w:autoSpaceDN w:val="0"/>
        <w:spacing w:line="360" w:lineRule="auto"/>
        <w:ind w:firstLineChars="200" w:firstLine="480"/>
        <w:textAlignment w:val="bottom"/>
        <w:rPr>
          <w:bCs/>
          <w:sz w:val="24"/>
        </w:rPr>
      </w:pPr>
      <w:r>
        <w:rPr>
          <w:bCs/>
          <w:sz w:val="24"/>
        </w:rPr>
        <w:t>本基金的托管费按前一日基金资产净值的</w:t>
      </w:r>
      <w:r>
        <w:rPr>
          <w:rFonts w:hint="eastAsia"/>
          <w:bCs/>
          <w:sz w:val="24"/>
        </w:rPr>
        <w:t>0.15</w:t>
      </w:r>
      <w:r>
        <w:rPr>
          <w:bCs/>
          <w:sz w:val="24"/>
        </w:rPr>
        <w:t>%</w:t>
      </w:r>
      <w:r>
        <w:rPr>
          <w:bCs/>
          <w:sz w:val="24"/>
        </w:rPr>
        <w:t>的年费率计提。托管费的计算方法如下：</w:t>
      </w:r>
    </w:p>
    <w:p w14:paraId="65752FED" w14:textId="77777777" w:rsidR="00AC3A9B" w:rsidRDefault="002C3C29">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0.15%</w:t>
      </w:r>
      <w:r>
        <w:rPr>
          <w:bCs/>
          <w:sz w:val="24"/>
        </w:rPr>
        <w:t>÷</w:t>
      </w:r>
      <w:r>
        <w:rPr>
          <w:bCs/>
          <w:sz w:val="24"/>
        </w:rPr>
        <w:t>当年天数</w:t>
      </w:r>
    </w:p>
    <w:p w14:paraId="5BBC853E" w14:textId="77777777" w:rsidR="00AC3A9B" w:rsidRDefault="002C3C29">
      <w:pPr>
        <w:autoSpaceDE w:val="0"/>
        <w:autoSpaceDN w:val="0"/>
        <w:spacing w:line="360" w:lineRule="auto"/>
        <w:ind w:firstLineChars="200" w:firstLine="480"/>
        <w:textAlignment w:val="bottom"/>
        <w:rPr>
          <w:bCs/>
          <w:sz w:val="24"/>
        </w:rPr>
      </w:pPr>
      <w:r>
        <w:rPr>
          <w:bCs/>
          <w:sz w:val="24"/>
        </w:rPr>
        <w:t>H</w:t>
      </w:r>
      <w:r>
        <w:rPr>
          <w:bCs/>
          <w:sz w:val="24"/>
        </w:rPr>
        <w:t>为每日应计提的基金托管费</w:t>
      </w:r>
    </w:p>
    <w:p w14:paraId="6A5075CF" w14:textId="77777777" w:rsidR="00AC3A9B" w:rsidRDefault="002C3C29">
      <w:pPr>
        <w:autoSpaceDE w:val="0"/>
        <w:autoSpaceDN w:val="0"/>
        <w:spacing w:line="360" w:lineRule="auto"/>
        <w:ind w:firstLineChars="200" w:firstLine="480"/>
        <w:textAlignment w:val="bottom"/>
        <w:rPr>
          <w:bCs/>
          <w:sz w:val="24"/>
        </w:rPr>
      </w:pPr>
      <w:r>
        <w:rPr>
          <w:bCs/>
          <w:sz w:val="24"/>
        </w:rPr>
        <w:lastRenderedPageBreak/>
        <w:t>E</w:t>
      </w:r>
      <w:r>
        <w:rPr>
          <w:bCs/>
          <w:sz w:val="24"/>
        </w:rPr>
        <w:t>为前一日的基金资产净值</w:t>
      </w:r>
    </w:p>
    <w:p w14:paraId="2BC481AF"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个工作日内从基金财产中一次性支取。若遇法定节假日、公休日等，支付日期顺延。</w:t>
      </w:r>
    </w:p>
    <w:p w14:paraId="2CAFD73D" w14:textId="77777777" w:rsidR="00AC3A9B" w:rsidRDefault="002C3C29">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70E10FA1"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0.1%</w:t>
      </w:r>
      <w:r>
        <w:rPr>
          <w:rFonts w:hint="eastAsia"/>
          <w:bCs/>
          <w:sz w:val="24"/>
        </w:rPr>
        <w:t>。</w:t>
      </w:r>
    </w:p>
    <w:p w14:paraId="052196D7"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本基金销售服务费将专门用于本基金的销售与基金份额持有人服务，销售服务费计提的计算公式如下：</w:t>
      </w:r>
      <w:r>
        <w:rPr>
          <w:rFonts w:hint="eastAsia"/>
          <w:bCs/>
          <w:sz w:val="24"/>
        </w:rPr>
        <w:t xml:space="preserve"> </w:t>
      </w:r>
    </w:p>
    <w:p w14:paraId="74A4799D" w14:textId="77777777" w:rsidR="00AC3A9B" w:rsidRDefault="002C3C29">
      <w:pPr>
        <w:autoSpaceDE w:val="0"/>
        <w:autoSpaceDN w:val="0"/>
        <w:spacing w:line="360" w:lineRule="auto"/>
        <w:ind w:firstLineChars="200" w:firstLine="480"/>
        <w:textAlignment w:val="bottom"/>
        <w:rPr>
          <w:bCs/>
          <w:sz w:val="24"/>
        </w:rPr>
      </w:pPr>
      <w:r>
        <w:rPr>
          <w:rFonts w:hint="eastAsia"/>
          <w:bCs/>
          <w:sz w:val="24"/>
        </w:rPr>
        <w:t>H=E</w:t>
      </w:r>
      <w:r>
        <w:rPr>
          <w:rFonts w:hint="eastAsia"/>
          <w:bCs/>
          <w:sz w:val="24"/>
        </w:rPr>
        <w:t>×</w:t>
      </w:r>
      <w:r>
        <w:rPr>
          <w:rFonts w:hint="eastAsia"/>
          <w:bCs/>
          <w:sz w:val="24"/>
        </w:rPr>
        <w:t>0.1%</w:t>
      </w:r>
      <w:r>
        <w:rPr>
          <w:rFonts w:hint="eastAsia"/>
          <w:bCs/>
          <w:sz w:val="24"/>
        </w:rPr>
        <w:t>÷当年天数</w:t>
      </w:r>
    </w:p>
    <w:p w14:paraId="64DA6F20" w14:textId="77777777" w:rsidR="00AC3A9B" w:rsidRDefault="002C3C29">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2AE5F877" w14:textId="77777777" w:rsidR="00AC3A9B" w:rsidRDefault="002C3C29">
      <w:pPr>
        <w:autoSpaceDE w:val="0"/>
        <w:autoSpaceDN w:val="0"/>
        <w:spacing w:line="360" w:lineRule="auto"/>
        <w:ind w:firstLineChars="200" w:firstLine="480"/>
        <w:textAlignment w:val="bottom"/>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类基金份额前一日基金资产净值</w:t>
      </w:r>
    </w:p>
    <w:p w14:paraId="5379BEE7" w14:textId="77777777" w:rsidR="00AC3A9B" w:rsidRDefault="002C3C29">
      <w:pPr>
        <w:autoSpaceDE w:val="0"/>
        <w:autoSpaceDN w:val="0"/>
        <w:spacing w:line="360" w:lineRule="auto"/>
        <w:textAlignment w:val="bottom"/>
        <w:rPr>
          <w:bCs/>
          <w:sz w:val="24"/>
        </w:rPr>
      </w:pPr>
      <w:r>
        <w:rPr>
          <w:rFonts w:hint="eastAsia"/>
          <w:bCs/>
          <w:sz w:val="24"/>
        </w:rPr>
        <w:t>基金销售服务费每日计算，逐日累计至每月月末，按月支付。经基金管理人与基金托管人双方核对无误后，基金托管人按照与基金管理人协商一致的方式于次月前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个工作日内从基金财产中一次性支付给基金管理人。若遇法定节假日、公休假等，支付日期顺延。</w:t>
      </w:r>
    </w:p>
    <w:p w14:paraId="009D7D50" w14:textId="77777777" w:rsidR="00AC3A9B" w:rsidRDefault="002C3C29">
      <w:pPr>
        <w:autoSpaceDE w:val="0"/>
        <w:autoSpaceDN w:val="0"/>
        <w:spacing w:line="360" w:lineRule="auto"/>
        <w:ind w:firstLineChars="200" w:firstLine="480"/>
        <w:textAlignment w:val="bottom"/>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项费用，根据有关法规及相应协议规定，按费用实际支出金额列入当期费用，由基金托管人从基金财产中支付。</w:t>
      </w:r>
    </w:p>
    <w:p w14:paraId="34DD0DED" w14:textId="77777777" w:rsidR="00AC3A9B" w:rsidRDefault="002C3C29">
      <w:pPr>
        <w:autoSpaceDE w:val="0"/>
        <w:autoSpaceDN w:val="0"/>
        <w:spacing w:line="360" w:lineRule="auto"/>
        <w:ind w:firstLineChars="200" w:firstLine="480"/>
        <w:textAlignment w:val="bottom"/>
        <w:rPr>
          <w:bCs/>
          <w:sz w:val="24"/>
        </w:rPr>
      </w:pPr>
      <w:r>
        <w:rPr>
          <w:bCs/>
          <w:sz w:val="24"/>
        </w:rPr>
        <w:t>三、不列入基金费用的项目</w:t>
      </w:r>
    </w:p>
    <w:p w14:paraId="1F6C08DB" w14:textId="77777777" w:rsidR="00AC3A9B" w:rsidRDefault="002C3C29">
      <w:pPr>
        <w:autoSpaceDE w:val="0"/>
        <w:autoSpaceDN w:val="0"/>
        <w:spacing w:line="360" w:lineRule="auto"/>
        <w:ind w:firstLineChars="200" w:firstLine="480"/>
        <w:textAlignment w:val="bottom"/>
        <w:rPr>
          <w:bCs/>
          <w:sz w:val="24"/>
        </w:rPr>
      </w:pPr>
      <w:r>
        <w:rPr>
          <w:bCs/>
          <w:sz w:val="24"/>
        </w:rPr>
        <w:t>下列费用不列入基金费用：</w:t>
      </w:r>
    </w:p>
    <w:p w14:paraId="0E9C6AAD" w14:textId="77777777" w:rsidR="00AC3A9B" w:rsidRDefault="002C3C29">
      <w:pPr>
        <w:autoSpaceDE w:val="0"/>
        <w:autoSpaceDN w:val="0"/>
        <w:spacing w:line="360" w:lineRule="auto"/>
        <w:ind w:firstLineChars="200" w:firstLine="480"/>
        <w:textAlignment w:val="bottom"/>
        <w:rPr>
          <w:bCs/>
          <w:sz w:val="24"/>
        </w:rPr>
      </w:pPr>
      <w:r>
        <w:rPr>
          <w:bCs/>
          <w:sz w:val="24"/>
        </w:rPr>
        <w:t>1</w:t>
      </w:r>
      <w:r>
        <w:rPr>
          <w:bCs/>
          <w:sz w:val="24"/>
        </w:rPr>
        <w:t>、基金管理人和基金托管人因未履行或未完全履行义务导致的费用支出或基金财产的损失；</w:t>
      </w:r>
    </w:p>
    <w:p w14:paraId="21B53804" w14:textId="77777777" w:rsidR="00AC3A9B" w:rsidRDefault="002C3C29">
      <w:pPr>
        <w:autoSpaceDE w:val="0"/>
        <w:autoSpaceDN w:val="0"/>
        <w:spacing w:line="360" w:lineRule="auto"/>
        <w:ind w:firstLineChars="200" w:firstLine="480"/>
        <w:textAlignment w:val="bottom"/>
        <w:rPr>
          <w:bCs/>
          <w:sz w:val="24"/>
        </w:rPr>
      </w:pPr>
      <w:r>
        <w:rPr>
          <w:bCs/>
          <w:sz w:val="24"/>
        </w:rPr>
        <w:t>2</w:t>
      </w:r>
      <w:r>
        <w:rPr>
          <w:bCs/>
          <w:sz w:val="24"/>
        </w:rPr>
        <w:t>、基金管理人和基金托管人处理与基金运作无关的事项发生的费用；</w:t>
      </w:r>
    </w:p>
    <w:p w14:paraId="4032C662" w14:textId="77777777" w:rsidR="00AC3A9B" w:rsidRDefault="002C3C29">
      <w:pPr>
        <w:autoSpaceDE w:val="0"/>
        <w:autoSpaceDN w:val="0"/>
        <w:spacing w:line="360" w:lineRule="auto"/>
        <w:ind w:firstLineChars="200" w:firstLine="480"/>
        <w:textAlignment w:val="bottom"/>
        <w:rPr>
          <w:bCs/>
          <w:sz w:val="24"/>
        </w:rPr>
      </w:pPr>
      <w:r>
        <w:rPr>
          <w:bCs/>
          <w:sz w:val="24"/>
        </w:rPr>
        <w:t>3</w:t>
      </w:r>
      <w:r>
        <w:rPr>
          <w:bCs/>
          <w:sz w:val="24"/>
        </w:rPr>
        <w:t>、《基金合同》生效前的相关费用；</w:t>
      </w:r>
    </w:p>
    <w:p w14:paraId="76F18663" w14:textId="77777777" w:rsidR="00AC3A9B" w:rsidRDefault="002C3C29">
      <w:pPr>
        <w:autoSpaceDE w:val="0"/>
        <w:autoSpaceDN w:val="0"/>
        <w:spacing w:line="360" w:lineRule="auto"/>
        <w:ind w:firstLineChars="200" w:firstLine="480"/>
        <w:textAlignment w:val="bottom"/>
        <w:rPr>
          <w:bCs/>
          <w:sz w:val="24"/>
        </w:rPr>
      </w:pPr>
      <w:r>
        <w:rPr>
          <w:bCs/>
          <w:sz w:val="24"/>
        </w:rPr>
        <w:t>4</w:t>
      </w:r>
      <w:r>
        <w:rPr>
          <w:bCs/>
          <w:sz w:val="24"/>
        </w:rPr>
        <w:t>、其他根据相关法律法规及中国证监会的有关规定不得列入基金费用的项目。</w:t>
      </w:r>
      <w:bookmarkStart w:id="284" w:name="_Hlt88827255"/>
      <w:bookmarkEnd w:id="284"/>
    </w:p>
    <w:p w14:paraId="2ABD71F6"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四</w:t>
      </w:r>
      <w:r>
        <w:rPr>
          <w:bCs/>
          <w:sz w:val="24"/>
        </w:rPr>
        <w:t>、基金税收</w:t>
      </w:r>
    </w:p>
    <w:p w14:paraId="40C9B6B8" w14:textId="77777777" w:rsidR="00AC3A9B" w:rsidRDefault="002C3C29">
      <w:pPr>
        <w:autoSpaceDE w:val="0"/>
        <w:autoSpaceDN w:val="0"/>
        <w:spacing w:line="360" w:lineRule="auto"/>
        <w:ind w:firstLineChars="200" w:firstLine="480"/>
        <w:textAlignment w:val="bottom"/>
        <w:rPr>
          <w:bCs/>
          <w:sz w:val="24"/>
        </w:rPr>
      </w:pPr>
      <w:r>
        <w:rPr>
          <w:bCs/>
          <w:sz w:val="24"/>
        </w:rPr>
        <w:t>本基金运作过程中涉及的各纳税主体，其纳税义务按国家税收法律、法规执</w:t>
      </w:r>
      <w:r>
        <w:rPr>
          <w:bCs/>
          <w:sz w:val="24"/>
        </w:rPr>
        <w:lastRenderedPageBreak/>
        <w:t>行。</w:t>
      </w:r>
    </w:p>
    <w:p w14:paraId="15738E35" w14:textId="77777777" w:rsidR="00AC3A9B" w:rsidRDefault="002C3C29">
      <w:pPr>
        <w:autoSpaceDE w:val="0"/>
        <w:autoSpaceDN w:val="0"/>
        <w:spacing w:line="360" w:lineRule="auto"/>
        <w:ind w:firstLineChars="200" w:firstLine="480"/>
        <w:textAlignment w:val="bottom"/>
        <w:rPr>
          <w:rFonts w:asciiTheme="minorEastAsia" w:hAnsiTheme="minorEastAsia" w:cs="Times New Roman"/>
          <w:bCs/>
          <w:sz w:val="24"/>
          <w:szCs w:val="24"/>
        </w:rPr>
        <w:sectPr w:rsidR="00AC3A9B">
          <w:footerReference w:type="default" r:id="rId37"/>
          <w:pgSz w:w="11906" w:h="16838"/>
          <w:pgMar w:top="1440" w:right="1800" w:bottom="1440" w:left="1800" w:header="851" w:footer="992" w:gutter="0"/>
          <w:pgNumType w:chapStyle="1"/>
          <w:cols w:space="720"/>
          <w:docGrid w:type="lines" w:linePitch="312"/>
        </w:sectPr>
      </w:pPr>
      <w:r>
        <w:rPr>
          <w:rFonts w:hint="eastAsia"/>
          <w:bCs/>
          <w:sz w:val="24"/>
        </w:rPr>
        <w:t>基金财产投资的相关税收，由基金份额持有人承担，基金管理人或者其他扣缴义务人按照国家有关税收征收的规定代扣代缴。</w:t>
      </w:r>
    </w:p>
    <w:p w14:paraId="0D23472C" w14:textId="77777777" w:rsidR="00AC3A9B" w:rsidRDefault="002C3C29">
      <w:pPr>
        <w:pStyle w:val="1"/>
        <w:jc w:val="center"/>
        <w:rPr>
          <w:sz w:val="30"/>
          <w:szCs w:val="30"/>
        </w:rPr>
      </w:pPr>
      <w:bookmarkStart w:id="285" w:name="_Toc37770217"/>
      <w:r>
        <w:rPr>
          <w:rFonts w:hint="eastAsia"/>
          <w:sz w:val="30"/>
          <w:szCs w:val="30"/>
        </w:rPr>
        <w:lastRenderedPageBreak/>
        <w:t>第十四部分</w:t>
      </w:r>
      <w:r>
        <w:rPr>
          <w:sz w:val="30"/>
          <w:szCs w:val="30"/>
        </w:rPr>
        <w:t xml:space="preserve">  </w:t>
      </w:r>
      <w:r>
        <w:rPr>
          <w:rFonts w:hint="eastAsia"/>
          <w:sz w:val="30"/>
          <w:szCs w:val="30"/>
        </w:rPr>
        <w:t>基金的会计与审计</w:t>
      </w:r>
      <w:bookmarkEnd w:id="267"/>
      <w:bookmarkEnd w:id="268"/>
      <w:bookmarkEnd w:id="269"/>
      <w:bookmarkEnd w:id="285"/>
    </w:p>
    <w:p w14:paraId="1D6E1424" w14:textId="77777777" w:rsidR="00AC3A9B" w:rsidRDefault="002C3C29">
      <w:pPr>
        <w:autoSpaceDE w:val="0"/>
        <w:autoSpaceDN w:val="0"/>
        <w:spacing w:line="360" w:lineRule="auto"/>
        <w:ind w:firstLineChars="200" w:firstLine="480"/>
        <w:textAlignment w:val="bottom"/>
        <w:rPr>
          <w:bCs/>
          <w:sz w:val="24"/>
        </w:rPr>
      </w:pPr>
      <w:r>
        <w:rPr>
          <w:bCs/>
          <w:sz w:val="24"/>
        </w:rPr>
        <w:t>一、基金会计政策</w:t>
      </w:r>
    </w:p>
    <w:p w14:paraId="2307628D" w14:textId="77777777" w:rsidR="00AC3A9B" w:rsidRDefault="002C3C29">
      <w:pPr>
        <w:autoSpaceDE w:val="0"/>
        <w:autoSpaceDN w:val="0"/>
        <w:spacing w:line="360" w:lineRule="auto"/>
        <w:ind w:firstLineChars="200" w:firstLine="480"/>
        <w:textAlignment w:val="bottom"/>
        <w:rPr>
          <w:bCs/>
          <w:sz w:val="24"/>
        </w:rPr>
      </w:pPr>
      <w:r>
        <w:rPr>
          <w:bCs/>
          <w:sz w:val="24"/>
        </w:rPr>
        <w:t>1</w:t>
      </w:r>
      <w:r>
        <w:rPr>
          <w:bCs/>
          <w:sz w:val="24"/>
        </w:rPr>
        <w:t>、基金管理人为本基金的基金会计责任方；</w:t>
      </w:r>
    </w:p>
    <w:p w14:paraId="6D5C7AE9" w14:textId="77777777" w:rsidR="00AC3A9B" w:rsidRDefault="002C3C29">
      <w:pPr>
        <w:autoSpaceDE w:val="0"/>
        <w:autoSpaceDN w:val="0"/>
        <w:spacing w:line="360" w:lineRule="auto"/>
        <w:ind w:firstLineChars="200" w:firstLine="480"/>
        <w:textAlignment w:val="bottom"/>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0FE4259F" w14:textId="77777777" w:rsidR="00AC3A9B" w:rsidRDefault="002C3C29">
      <w:pPr>
        <w:autoSpaceDE w:val="0"/>
        <w:autoSpaceDN w:val="0"/>
        <w:spacing w:line="360" w:lineRule="auto"/>
        <w:ind w:firstLineChars="200" w:firstLine="480"/>
        <w:textAlignment w:val="bottom"/>
        <w:rPr>
          <w:bCs/>
          <w:sz w:val="24"/>
        </w:rPr>
      </w:pPr>
      <w:r>
        <w:rPr>
          <w:bCs/>
          <w:sz w:val="24"/>
        </w:rPr>
        <w:t>3</w:t>
      </w:r>
      <w:r>
        <w:rPr>
          <w:bCs/>
          <w:sz w:val="24"/>
        </w:rPr>
        <w:t>、基金核算以人民币为记账本位币，以人民币元为记账单位；</w:t>
      </w:r>
    </w:p>
    <w:p w14:paraId="3E840AAC" w14:textId="77777777" w:rsidR="00AC3A9B" w:rsidRDefault="002C3C29">
      <w:pPr>
        <w:autoSpaceDE w:val="0"/>
        <w:autoSpaceDN w:val="0"/>
        <w:spacing w:line="360" w:lineRule="auto"/>
        <w:ind w:firstLineChars="200" w:firstLine="480"/>
        <w:textAlignment w:val="bottom"/>
        <w:rPr>
          <w:bCs/>
          <w:sz w:val="24"/>
        </w:rPr>
      </w:pPr>
      <w:r>
        <w:rPr>
          <w:bCs/>
          <w:sz w:val="24"/>
        </w:rPr>
        <w:t>4</w:t>
      </w:r>
      <w:r>
        <w:rPr>
          <w:bCs/>
          <w:sz w:val="24"/>
        </w:rPr>
        <w:t>、会计制度执行国家有关会计制度；</w:t>
      </w:r>
    </w:p>
    <w:p w14:paraId="6A9A2E04" w14:textId="77777777" w:rsidR="00AC3A9B" w:rsidRDefault="002C3C29">
      <w:pPr>
        <w:autoSpaceDE w:val="0"/>
        <w:autoSpaceDN w:val="0"/>
        <w:spacing w:line="360" w:lineRule="auto"/>
        <w:ind w:firstLineChars="200" w:firstLine="480"/>
        <w:textAlignment w:val="bottom"/>
        <w:rPr>
          <w:bCs/>
          <w:sz w:val="24"/>
        </w:rPr>
      </w:pPr>
      <w:r>
        <w:rPr>
          <w:bCs/>
          <w:sz w:val="24"/>
        </w:rPr>
        <w:t>5</w:t>
      </w:r>
      <w:r>
        <w:rPr>
          <w:bCs/>
          <w:sz w:val="24"/>
        </w:rPr>
        <w:t>、本基金独立建账、独立核算；</w:t>
      </w:r>
    </w:p>
    <w:p w14:paraId="37E43EDF" w14:textId="77777777" w:rsidR="00AC3A9B" w:rsidRDefault="002C3C29">
      <w:pPr>
        <w:autoSpaceDE w:val="0"/>
        <w:autoSpaceDN w:val="0"/>
        <w:spacing w:line="360" w:lineRule="auto"/>
        <w:ind w:firstLineChars="200" w:firstLine="480"/>
        <w:textAlignment w:val="bottom"/>
        <w:rPr>
          <w:bCs/>
          <w:sz w:val="24"/>
        </w:rPr>
      </w:pPr>
      <w:r>
        <w:rPr>
          <w:bCs/>
          <w:sz w:val="24"/>
        </w:rPr>
        <w:t>6</w:t>
      </w:r>
      <w:r>
        <w:rPr>
          <w:bCs/>
          <w:sz w:val="24"/>
        </w:rPr>
        <w:t>、基金管理人及基金托管人各自保留完整的会计账目、凭证并进行日常的会计核算，按照有关规定编制基金会计报表；</w:t>
      </w:r>
    </w:p>
    <w:p w14:paraId="4A4CCEAC" w14:textId="77777777" w:rsidR="00AC3A9B" w:rsidRDefault="002C3C29">
      <w:pPr>
        <w:autoSpaceDE w:val="0"/>
        <w:autoSpaceDN w:val="0"/>
        <w:spacing w:line="360" w:lineRule="auto"/>
        <w:ind w:firstLineChars="200" w:firstLine="480"/>
        <w:textAlignment w:val="bottom"/>
        <w:rPr>
          <w:bCs/>
          <w:sz w:val="24"/>
        </w:rPr>
      </w:pPr>
      <w:r>
        <w:rPr>
          <w:bCs/>
          <w:sz w:val="24"/>
        </w:rPr>
        <w:t>7</w:t>
      </w:r>
      <w:r>
        <w:rPr>
          <w:bCs/>
          <w:sz w:val="24"/>
        </w:rPr>
        <w:t>、基金托管人每月与基金管理人就基金的会计核算、报表编制等进行核对并以书面方式确认。</w:t>
      </w:r>
    </w:p>
    <w:p w14:paraId="7FA17845" w14:textId="77777777" w:rsidR="00AC3A9B" w:rsidRDefault="002C3C29">
      <w:pPr>
        <w:autoSpaceDE w:val="0"/>
        <w:autoSpaceDN w:val="0"/>
        <w:spacing w:line="360" w:lineRule="auto"/>
        <w:ind w:firstLineChars="200" w:firstLine="480"/>
        <w:textAlignment w:val="bottom"/>
        <w:rPr>
          <w:bCs/>
          <w:sz w:val="24"/>
        </w:rPr>
      </w:pPr>
      <w:r>
        <w:rPr>
          <w:bCs/>
          <w:sz w:val="24"/>
        </w:rPr>
        <w:t>二、基金的年度审计</w:t>
      </w:r>
    </w:p>
    <w:p w14:paraId="708FDC76" w14:textId="77777777" w:rsidR="00AC3A9B" w:rsidRDefault="002C3C29">
      <w:pPr>
        <w:autoSpaceDE w:val="0"/>
        <w:autoSpaceDN w:val="0"/>
        <w:spacing w:line="360" w:lineRule="auto"/>
        <w:ind w:firstLineChars="200" w:firstLine="480"/>
        <w:textAlignment w:val="bottom"/>
        <w:rPr>
          <w:bCs/>
          <w:sz w:val="24"/>
        </w:rPr>
      </w:pPr>
      <w:r>
        <w:rPr>
          <w:bCs/>
          <w:sz w:val="24"/>
        </w:rPr>
        <w:t>1</w:t>
      </w:r>
      <w:r>
        <w:rPr>
          <w:bCs/>
          <w:sz w:val="24"/>
        </w:rPr>
        <w:t>、基金管理人聘请与基金管理人、基金托管人相互独立的</w:t>
      </w:r>
      <w:r>
        <w:rPr>
          <w:rFonts w:hint="eastAsia"/>
          <w:bCs/>
          <w:kern w:val="0"/>
          <w:sz w:val="24"/>
        </w:rPr>
        <w:t>具有证券、期货相关业务资格</w:t>
      </w:r>
      <w:r>
        <w:rPr>
          <w:bCs/>
          <w:sz w:val="24"/>
        </w:rPr>
        <w:t>的会计师事务所及其注册会计师对本基金的年度财务报表进行审计。</w:t>
      </w:r>
    </w:p>
    <w:p w14:paraId="5A097C33" w14:textId="77777777" w:rsidR="00AC3A9B" w:rsidRDefault="002C3C29">
      <w:pPr>
        <w:autoSpaceDE w:val="0"/>
        <w:autoSpaceDN w:val="0"/>
        <w:spacing w:line="360" w:lineRule="auto"/>
        <w:ind w:firstLineChars="200" w:firstLine="480"/>
        <w:textAlignment w:val="bottom"/>
        <w:rPr>
          <w:bCs/>
          <w:sz w:val="24"/>
        </w:rPr>
      </w:pPr>
      <w:r>
        <w:rPr>
          <w:bCs/>
          <w:sz w:val="24"/>
        </w:rPr>
        <w:t>2</w:t>
      </w:r>
      <w:r>
        <w:rPr>
          <w:bCs/>
          <w:sz w:val="24"/>
        </w:rPr>
        <w:t>、会计师事务所更换经办注册会计师，应事先征得基金管理人同意。</w:t>
      </w:r>
    </w:p>
    <w:p w14:paraId="38EE8892"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bCs/>
          <w:sz w:val="24"/>
        </w:rPr>
        <w:t>3</w:t>
      </w:r>
      <w:r>
        <w:rPr>
          <w:bCs/>
          <w:sz w:val="24"/>
        </w:rPr>
        <w:t>、</w:t>
      </w:r>
      <w:bookmarkStart w:id="286" w:name="_Hlt4221115"/>
      <w:bookmarkEnd w:id="286"/>
      <w:r>
        <w:rPr>
          <w:bCs/>
          <w:sz w:val="24"/>
        </w:rPr>
        <w:t>基金管理人认为有充足理由更换会计师事务所，须通报基金托管人。更换会计师事务所需在</w:t>
      </w:r>
      <w:r>
        <w:rPr>
          <w:rFonts w:hint="eastAsia"/>
          <w:bCs/>
          <w:sz w:val="24"/>
        </w:rPr>
        <w:t>2</w:t>
      </w:r>
      <w:r>
        <w:rPr>
          <w:rFonts w:hint="eastAsia"/>
          <w:bCs/>
          <w:sz w:val="24"/>
        </w:rPr>
        <w:t>个工作</w:t>
      </w:r>
      <w:r>
        <w:rPr>
          <w:bCs/>
          <w:sz w:val="24"/>
        </w:rPr>
        <w:t>日内在</w:t>
      </w:r>
      <w:r>
        <w:rPr>
          <w:rFonts w:hint="eastAsia"/>
          <w:bCs/>
          <w:sz w:val="24"/>
        </w:rPr>
        <w:t>指定媒介</w:t>
      </w:r>
      <w:r>
        <w:rPr>
          <w:bCs/>
          <w:sz w:val="24"/>
        </w:rPr>
        <w:t>公告。</w:t>
      </w:r>
    </w:p>
    <w:p w14:paraId="31FA0CED" w14:textId="77777777" w:rsidR="00AC3A9B" w:rsidRDefault="00AC3A9B">
      <w:pPr>
        <w:widowControl/>
        <w:spacing w:line="360" w:lineRule="auto"/>
        <w:jc w:val="left"/>
        <w:rPr>
          <w:rFonts w:asciiTheme="minorEastAsia" w:hAnsiTheme="minorEastAsia" w:cs="Times New Roman"/>
          <w:b/>
          <w:kern w:val="0"/>
          <w:sz w:val="24"/>
          <w:szCs w:val="24"/>
        </w:rPr>
        <w:sectPr w:rsidR="00AC3A9B">
          <w:footerReference w:type="default" r:id="rId38"/>
          <w:pgSz w:w="11906" w:h="16838"/>
          <w:pgMar w:top="1440" w:right="1800" w:bottom="1440" w:left="1800" w:header="851" w:footer="992" w:gutter="0"/>
          <w:pgNumType w:chapStyle="1"/>
          <w:cols w:space="720"/>
          <w:docGrid w:type="lines" w:linePitch="312"/>
        </w:sectPr>
      </w:pPr>
    </w:p>
    <w:p w14:paraId="60CEA94D" w14:textId="77777777" w:rsidR="00AC3A9B" w:rsidRDefault="002C3C29">
      <w:pPr>
        <w:pStyle w:val="1"/>
        <w:jc w:val="center"/>
        <w:rPr>
          <w:sz w:val="30"/>
          <w:szCs w:val="30"/>
        </w:rPr>
      </w:pPr>
      <w:bookmarkStart w:id="287" w:name="_Toc416264551"/>
      <w:bookmarkStart w:id="288" w:name="_Toc263092323"/>
      <w:bookmarkStart w:id="289" w:name="_Toc214873604"/>
      <w:bookmarkStart w:id="290" w:name="_Toc37770218"/>
      <w:bookmarkStart w:id="291" w:name="_Toc79978642"/>
      <w:bookmarkStart w:id="292" w:name="_Toc22552"/>
      <w:bookmarkStart w:id="293" w:name="_Toc178"/>
      <w:bookmarkStart w:id="294" w:name="_Toc128310499"/>
      <w:bookmarkStart w:id="295" w:name="_Toc15525"/>
      <w:bookmarkStart w:id="296" w:name="_Toc15351"/>
      <w:bookmarkStart w:id="297" w:name="_Toc19558"/>
      <w:bookmarkStart w:id="298" w:name="_Toc352229762"/>
      <w:bookmarkStart w:id="299" w:name="_Toc93226149"/>
      <w:bookmarkStart w:id="300" w:name="_Toc92662707"/>
      <w:bookmarkStart w:id="301" w:name="_Toc139991746"/>
      <w:bookmarkStart w:id="302" w:name="_Toc141703896"/>
      <w:bookmarkStart w:id="303" w:name="_Toc25883"/>
      <w:bookmarkStart w:id="304" w:name="_Toc12761"/>
      <w:bookmarkStart w:id="305" w:name="_Toc20052"/>
      <w:bookmarkStart w:id="306" w:name="_Toc1617"/>
      <w:bookmarkStart w:id="307" w:name="_Toc3656"/>
      <w:bookmarkStart w:id="308" w:name="_Toc2182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hint="eastAsia"/>
          <w:sz w:val="30"/>
          <w:szCs w:val="30"/>
        </w:rPr>
        <w:lastRenderedPageBreak/>
        <w:t>第十五部分</w:t>
      </w:r>
      <w:r>
        <w:rPr>
          <w:sz w:val="30"/>
          <w:szCs w:val="30"/>
        </w:rPr>
        <w:t xml:space="preserve">  </w:t>
      </w:r>
      <w:r>
        <w:rPr>
          <w:rFonts w:hint="eastAsia"/>
          <w:sz w:val="30"/>
          <w:szCs w:val="30"/>
        </w:rPr>
        <w:t>基金的信息披露</w:t>
      </w:r>
      <w:bookmarkEnd w:id="287"/>
      <w:bookmarkEnd w:id="288"/>
      <w:bookmarkEnd w:id="289"/>
      <w:bookmarkEnd w:id="290"/>
      <w:bookmarkEnd w:id="291"/>
    </w:p>
    <w:p w14:paraId="7341DA91" w14:textId="77777777" w:rsidR="00AC3A9B" w:rsidRDefault="002C3C29">
      <w:pPr>
        <w:autoSpaceDE w:val="0"/>
        <w:autoSpaceDN w:val="0"/>
        <w:spacing w:line="360" w:lineRule="auto"/>
        <w:ind w:firstLineChars="200" w:firstLine="480"/>
        <w:textAlignment w:val="bottom"/>
        <w:rPr>
          <w:bCs/>
          <w:sz w:val="24"/>
        </w:rPr>
      </w:pPr>
      <w:r>
        <w:rPr>
          <w:bCs/>
          <w:sz w:val="24"/>
        </w:rPr>
        <w:t>一、本基金的信息披露应符合《基金法》、《运作办法》、《信息披露办法》、《基金合同》及其他有关规定。</w:t>
      </w:r>
    </w:p>
    <w:p w14:paraId="406AE696" w14:textId="77777777" w:rsidR="00AC3A9B" w:rsidRDefault="002C3C29">
      <w:pPr>
        <w:autoSpaceDE w:val="0"/>
        <w:autoSpaceDN w:val="0"/>
        <w:spacing w:line="360" w:lineRule="auto"/>
        <w:ind w:firstLineChars="200" w:firstLine="480"/>
        <w:textAlignment w:val="bottom"/>
        <w:rPr>
          <w:bCs/>
          <w:sz w:val="24"/>
        </w:rPr>
      </w:pPr>
      <w:r>
        <w:rPr>
          <w:bCs/>
          <w:sz w:val="24"/>
        </w:rPr>
        <w:t>二、信息披露义务人</w:t>
      </w:r>
    </w:p>
    <w:p w14:paraId="601CD059" w14:textId="77777777" w:rsidR="00AC3A9B" w:rsidRDefault="002C3C29">
      <w:pPr>
        <w:autoSpaceDE w:val="0"/>
        <w:autoSpaceDN w:val="0"/>
        <w:spacing w:line="360" w:lineRule="auto"/>
        <w:ind w:firstLineChars="200" w:firstLine="480"/>
        <w:textAlignment w:val="bottom"/>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4C71C797" w14:textId="77777777" w:rsidR="00AC3A9B" w:rsidRDefault="002C3C29">
      <w:pPr>
        <w:autoSpaceDE w:val="0"/>
        <w:autoSpaceDN w:val="0"/>
        <w:spacing w:line="360" w:lineRule="auto"/>
        <w:ind w:firstLineChars="200" w:firstLine="480"/>
        <w:textAlignment w:val="bottom"/>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kern w:val="0"/>
          <w:sz w:val="24"/>
        </w:rPr>
        <w:t>、及时性、简明性和易得性</w:t>
      </w:r>
      <w:r>
        <w:rPr>
          <w:bCs/>
          <w:sz w:val="24"/>
        </w:rPr>
        <w:t>。</w:t>
      </w:r>
    </w:p>
    <w:p w14:paraId="4402BCDA" w14:textId="77777777" w:rsidR="00AC3A9B" w:rsidRDefault="002C3C29">
      <w:pPr>
        <w:autoSpaceDE w:val="0"/>
        <w:autoSpaceDN w:val="0"/>
        <w:spacing w:line="360" w:lineRule="auto"/>
        <w:ind w:firstLineChars="200" w:firstLine="480"/>
        <w:textAlignment w:val="bottom"/>
        <w:rPr>
          <w:bCs/>
          <w:sz w:val="24"/>
        </w:rPr>
      </w:pPr>
      <w:r>
        <w:rPr>
          <w:bCs/>
          <w:sz w:val="24"/>
        </w:rPr>
        <w:t>本基金信息披露义务人应当在中国证监会规定时间内，将应予披露的基金信息通过中国证监会指定的</w:t>
      </w:r>
      <w:r>
        <w:rPr>
          <w:rFonts w:hint="eastAsia"/>
          <w:bCs/>
          <w:sz w:val="24"/>
        </w:rPr>
        <w:t>媒介</w:t>
      </w:r>
      <w:r>
        <w:rPr>
          <w:bCs/>
          <w:sz w:val="24"/>
        </w:rPr>
        <w:t>和基金管理人、基金托管人的互联网网站（以下简称</w:t>
      </w:r>
      <w:r>
        <w:rPr>
          <w:rFonts w:hint="eastAsia"/>
          <w:bCs/>
          <w:sz w:val="24"/>
        </w:rPr>
        <w:t>“</w:t>
      </w:r>
      <w:r>
        <w:rPr>
          <w:bCs/>
          <w:sz w:val="24"/>
        </w:rPr>
        <w:t>网站</w:t>
      </w:r>
      <w:r>
        <w:rPr>
          <w:rFonts w:hint="eastAsia"/>
          <w:bCs/>
          <w:sz w:val="24"/>
        </w:rPr>
        <w:t>”</w:t>
      </w:r>
      <w:r>
        <w:rPr>
          <w:bCs/>
          <w:sz w:val="24"/>
        </w:rPr>
        <w:t>）等媒介披露，并保证基金投资者能够按照《基金合同》约定的时间和方式查阅或者复制公开披露的信息资料。</w:t>
      </w:r>
    </w:p>
    <w:p w14:paraId="3813DE99" w14:textId="77777777" w:rsidR="00AC3A9B" w:rsidRDefault="002C3C29">
      <w:pPr>
        <w:autoSpaceDE w:val="0"/>
        <w:autoSpaceDN w:val="0"/>
        <w:spacing w:line="360" w:lineRule="auto"/>
        <w:ind w:firstLineChars="200" w:firstLine="480"/>
        <w:textAlignment w:val="bottom"/>
        <w:rPr>
          <w:bCs/>
          <w:sz w:val="24"/>
        </w:rPr>
      </w:pPr>
      <w:r>
        <w:rPr>
          <w:bCs/>
          <w:sz w:val="24"/>
        </w:rPr>
        <w:t>三、本基金信息披露义务人承诺公开披露的基金信息，不得有下列行为：</w:t>
      </w:r>
    </w:p>
    <w:p w14:paraId="6D4F6088" w14:textId="77777777" w:rsidR="00AC3A9B" w:rsidRDefault="002C3C29">
      <w:pPr>
        <w:autoSpaceDE w:val="0"/>
        <w:autoSpaceDN w:val="0"/>
        <w:spacing w:line="360" w:lineRule="auto"/>
        <w:ind w:firstLineChars="200" w:firstLine="480"/>
        <w:textAlignment w:val="bottom"/>
        <w:rPr>
          <w:bCs/>
          <w:sz w:val="24"/>
        </w:rPr>
      </w:pPr>
      <w:r>
        <w:rPr>
          <w:bCs/>
          <w:sz w:val="24"/>
        </w:rPr>
        <w:t>1</w:t>
      </w:r>
      <w:r>
        <w:rPr>
          <w:bCs/>
          <w:sz w:val="24"/>
        </w:rPr>
        <w:t>、虚假记载、误导性陈述或者重大遗漏；</w:t>
      </w:r>
    </w:p>
    <w:p w14:paraId="19373027" w14:textId="77777777" w:rsidR="00AC3A9B" w:rsidRDefault="002C3C29">
      <w:pPr>
        <w:autoSpaceDE w:val="0"/>
        <w:autoSpaceDN w:val="0"/>
        <w:spacing w:line="360" w:lineRule="auto"/>
        <w:ind w:firstLineChars="200" w:firstLine="480"/>
        <w:textAlignment w:val="bottom"/>
        <w:rPr>
          <w:bCs/>
          <w:sz w:val="24"/>
        </w:rPr>
      </w:pPr>
      <w:r>
        <w:rPr>
          <w:bCs/>
          <w:sz w:val="24"/>
        </w:rPr>
        <w:t>2</w:t>
      </w:r>
      <w:r>
        <w:rPr>
          <w:bCs/>
          <w:sz w:val="24"/>
        </w:rPr>
        <w:t>、对证券投资业绩进行预测；</w:t>
      </w:r>
    </w:p>
    <w:p w14:paraId="753F0DA0" w14:textId="77777777" w:rsidR="00AC3A9B" w:rsidRDefault="002C3C29">
      <w:pPr>
        <w:autoSpaceDE w:val="0"/>
        <w:autoSpaceDN w:val="0"/>
        <w:spacing w:line="360" w:lineRule="auto"/>
        <w:ind w:firstLineChars="200" w:firstLine="480"/>
        <w:textAlignment w:val="bottom"/>
        <w:rPr>
          <w:bCs/>
          <w:sz w:val="24"/>
        </w:rPr>
      </w:pPr>
      <w:r>
        <w:rPr>
          <w:bCs/>
          <w:sz w:val="24"/>
        </w:rPr>
        <w:t>3</w:t>
      </w:r>
      <w:r>
        <w:rPr>
          <w:bCs/>
          <w:sz w:val="24"/>
        </w:rPr>
        <w:t>、违规承诺收益或者承担损失；</w:t>
      </w:r>
    </w:p>
    <w:p w14:paraId="0EFA9B94" w14:textId="77777777" w:rsidR="00AC3A9B" w:rsidRDefault="002C3C29">
      <w:pPr>
        <w:autoSpaceDE w:val="0"/>
        <w:autoSpaceDN w:val="0"/>
        <w:spacing w:line="360" w:lineRule="auto"/>
        <w:ind w:firstLineChars="200" w:firstLine="480"/>
        <w:textAlignment w:val="bottom"/>
        <w:rPr>
          <w:bCs/>
          <w:sz w:val="24"/>
        </w:rPr>
      </w:pPr>
      <w:r>
        <w:rPr>
          <w:bCs/>
          <w:sz w:val="24"/>
        </w:rPr>
        <w:t>4</w:t>
      </w:r>
      <w:r>
        <w:rPr>
          <w:bCs/>
          <w:sz w:val="24"/>
        </w:rPr>
        <w:t>、诋毁其他基金管理人、基金托管人或者基金销售机构；</w:t>
      </w:r>
    </w:p>
    <w:p w14:paraId="3F2F3856" w14:textId="77777777" w:rsidR="00AC3A9B" w:rsidRDefault="002C3C29">
      <w:pPr>
        <w:autoSpaceDE w:val="0"/>
        <w:autoSpaceDN w:val="0"/>
        <w:spacing w:line="360" w:lineRule="auto"/>
        <w:ind w:firstLineChars="200" w:firstLine="480"/>
        <w:textAlignment w:val="bottom"/>
        <w:rPr>
          <w:bCs/>
          <w:sz w:val="24"/>
        </w:rPr>
      </w:pPr>
      <w:r>
        <w:rPr>
          <w:bCs/>
          <w:sz w:val="24"/>
        </w:rPr>
        <w:t>5</w:t>
      </w:r>
      <w:r>
        <w:rPr>
          <w:bCs/>
          <w:sz w:val="24"/>
        </w:rPr>
        <w:t>、登载任何自然人、法人或者</w:t>
      </w:r>
      <w:r>
        <w:rPr>
          <w:rFonts w:hint="eastAsia"/>
          <w:bCs/>
          <w:sz w:val="24"/>
        </w:rPr>
        <w:t>非法人</w:t>
      </w:r>
      <w:r>
        <w:rPr>
          <w:bCs/>
          <w:sz w:val="24"/>
        </w:rPr>
        <w:t>组织的祝贺性、恭维性或推荐性的文字；</w:t>
      </w:r>
    </w:p>
    <w:p w14:paraId="1190FE3B" w14:textId="77777777" w:rsidR="00AC3A9B" w:rsidRDefault="002C3C29">
      <w:pPr>
        <w:autoSpaceDE w:val="0"/>
        <w:autoSpaceDN w:val="0"/>
        <w:spacing w:line="360" w:lineRule="auto"/>
        <w:ind w:firstLineChars="200" w:firstLine="480"/>
        <w:textAlignment w:val="bottom"/>
        <w:rPr>
          <w:bCs/>
          <w:sz w:val="24"/>
        </w:rPr>
      </w:pPr>
      <w:r>
        <w:rPr>
          <w:bCs/>
          <w:sz w:val="24"/>
        </w:rPr>
        <w:t>6</w:t>
      </w:r>
      <w:r>
        <w:rPr>
          <w:bCs/>
          <w:sz w:val="24"/>
        </w:rPr>
        <w:t>、中国证监会禁止的其他行为。</w:t>
      </w:r>
    </w:p>
    <w:p w14:paraId="0275DFC0" w14:textId="77777777" w:rsidR="00AC3A9B" w:rsidRDefault="002C3C29">
      <w:pPr>
        <w:autoSpaceDE w:val="0"/>
        <w:autoSpaceDN w:val="0"/>
        <w:spacing w:line="360" w:lineRule="auto"/>
        <w:ind w:firstLineChars="200" w:firstLine="480"/>
        <w:textAlignment w:val="bottom"/>
        <w:rPr>
          <w:bCs/>
          <w:sz w:val="24"/>
        </w:rPr>
      </w:pPr>
      <w:r>
        <w:rPr>
          <w:bCs/>
          <w:sz w:val="24"/>
        </w:rPr>
        <w:t>四、本基金公开披露的信息应采用中文文本。</w:t>
      </w:r>
      <w:r>
        <w:rPr>
          <w:rFonts w:hint="eastAsia"/>
          <w:bCs/>
          <w:kern w:val="0"/>
          <w:sz w:val="24"/>
        </w:rPr>
        <w:t>如同时采用外文文本的，基金信息披露义务人应保证不同文本的内容一致。不同文本之间发生歧义的，以中文文本为准。</w:t>
      </w:r>
    </w:p>
    <w:p w14:paraId="7F1572B5" w14:textId="77777777" w:rsidR="00AC3A9B" w:rsidRDefault="002C3C29">
      <w:pPr>
        <w:autoSpaceDE w:val="0"/>
        <w:autoSpaceDN w:val="0"/>
        <w:spacing w:line="360" w:lineRule="auto"/>
        <w:ind w:firstLineChars="200" w:firstLine="480"/>
        <w:textAlignment w:val="bottom"/>
        <w:rPr>
          <w:bCs/>
          <w:sz w:val="24"/>
        </w:rPr>
      </w:pPr>
      <w:r>
        <w:rPr>
          <w:bCs/>
          <w:sz w:val="24"/>
        </w:rPr>
        <w:t>本基金公开披露的信息采用阿拉伯数字；除特别说明外，货币单位为人民币元。</w:t>
      </w:r>
    </w:p>
    <w:p w14:paraId="74DE7F2A" w14:textId="77777777" w:rsidR="00AC3A9B" w:rsidRDefault="002C3C29">
      <w:pPr>
        <w:autoSpaceDE w:val="0"/>
        <w:autoSpaceDN w:val="0"/>
        <w:spacing w:line="360" w:lineRule="auto"/>
        <w:ind w:firstLineChars="200" w:firstLine="480"/>
        <w:textAlignment w:val="bottom"/>
        <w:rPr>
          <w:bCs/>
          <w:sz w:val="24"/>
        </w:rPr>
      </w:pPr>
      <w:r>
        <w:rPr>
          <w:bCs/>
          <w:sz w:val="24"/>
        </w:rPr>
        <w:t>五、公开披露的基金信息</w:t>
      </w:r>
    </w:p>
    <w:p w14:paraId="16C1774E" w14:textId="77777777" w:rsidR="00AC3A9B" w:rsidRDefault="002C3C29">
      <w:pPr>
        <w:autoSpaceDE w:val="0"/>
        <w:autoSpaceDN w:val="0"/>
        <w:spacing w:line="360" w:lineRule="auto"/>
        <w:ind w:firstLineChars="200" w:firstLine="480"/>
        <w:textAlignment w:val="bottom"/>
        <w:rPr>
          <w:bCs/>
          <w:sz w:val="24"/>
        </w:rPr>
      </w:pPr>
      <w:r>
        <w:rPr>
          <w:bCs/>
          <w:sz w:val="24"/>
        </w:rPr>
        <w:t>公开披露的基金信息包括：</w:t>
      </w:r>
    </w:p>
    <w:p w14:paraId="170AA75B" w14:textId="77777777" w:rsidR="00AC3A9B" w:rsidRDefault="002C3C29">
      <w:pPr>
        <w:autoSpaceDE w:val="0"/>
        <w:autoSpaceDN w:val="0"/>
        <w:spacing w:line="360" w:lineRule="auto"/>
        <w:ind w:firstLineChars="200" w:firstLine="480"/>
        <w:textAlignment w:val="bottom"/>
        <w:rPr>
          <w:bCs/>
          <w:sz w:val="24"/>
        </w:rPr>
      </w:pPr>
      <w:r>
        <w:rPr>
          <w:bCs/>
          <w:sz w:val="24"/>
        </w:rPr>
        <w:lastRenderedPageBreak/>
        <w:t>（一）基金招募说明书、《基金合同》、基金托管协议</w:t>
      </w:r>
      <w:r>
        <w:rPr>
          <w:rFonts w:hint="eastAsia"/>
          <w:bCs/>
          <w:kern w:val="0"/>
          <w:sz w:val="24"/>
        </w:rPr>
        <w:t>、基金产品资料概要</w:t>
      </w:r>
    </w:p>
    <w:p w14:paraId="0EC3147F" w14:textId="77777777" w:rsidR="00AC3A9B" w:rsidRDefault="002C3C29">
      <w:pPr>
        <w:autoSpaceDE w:val="0"/>
        <w:autoSpaceDN w:val="0"/>
        <w:spacing w:line="360" w:lineRule="auto"/>
        <w:ind w:firstLineChars="200" w:firstLine="480"/>
        <w:textAlignment w:val="bottom"/>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6CF5F5B8" w14:textId="77777777" w:rsidR="00AC3A9B" w:rsidRDefault="002C3C29">
      <w:pPr>
        <w:autoSpaceDE w:val="0"/>
        <w:autoSpaceDN w:val="0"/>
        <w:spacing w:line="360" w:lineRule="auto"/>
        <w:ind w:firstLineChars="200" w:firstLine="480"/>
        <w:textAlignment w:val="bottom"/>
        <w:rPr>
          <w:bCs/>
          <w:sz w:val="24"/>
        </w:rPr>
      </w:pPr>
      <w:r>
        <w:rPr>
          <w:bCs/>
          <w:sz w:val="24"/>
        </w:rPr>
        <w:t>2</w:t>
      </w:r>
      <w:r>
        <w:rPr>
          <w:bCs/>
          <w:sz w:val="24"/>
        </w:rPr>
        <w:t>、基金招募说明书应当最大限度地披露影响基金投资者决策的全部事项，说明基金</w:t>
      </w:r>
      <w:r>
        <w:rPr>
          <w:rFonts w:hint="eastAsia"/>
          <w:bCs/>
          <w:sz w:val="24"/>
        </w:rPr>
        <w:t>认购、</w:t>
      </w:r>
      <w:r>
        <w:rPr>
          <w:bCs/>
          <w:sz w:val="24"/>
        </w:rPr>
        <w:t>申购和赎回安排、基金投资、基金产品特性、风险揭示、信息披露及基金份额持有人服务等内容。《基金合同》生效后，</w:t>
      </w:r>
      <w:r>
        <w:rPr>
          <w:rFonts w:hint="eastAsia"/>
          <w:bCs/>
          <w:kern w:val="0"/>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32E08CC7" w14:textId="77777777" w:rsidR="00AC3A9B" w:rsidRDefault="002C3C29">
      <w:pPr>
        <w:autoSpaceDE w:val="0"/>
        <w:autoSpaceDN w:val="0"/>
        <w:spacing w:line="360" w:lineRule="auto"/>
        <w:ind w:firstLineChars="200" w:firstLine="480"/>
        <w:textAlignment w:val="bottom"/>
        <w:rPr>
          <w:bCs/>
          <w:sz w:val="24"/>
        </w:rPr>
      </w:pPr>
      <w:r>
        <w:rPr>
          <w:bCs/>
          <w:sz w:val="24"/>
        </w:rPr>
        <w:t>3</w:t>
      </w:r>
      <w:r>
        <w:rPr>
          <w:bCs/>
          <w:sz w:val="24"/>
        </w:rPr>
        <w:t>、基金托管协议是界定基金托管人和基金管理人在基金财产保管及基金运作监督等活动中的权利、义务关系的法律文件。</w:t>
      </w:r>
    </w:p>
    <w:p w14:paraId="6B858EB9" w14:textId="77777777" w:rsidR="00AC3A9B" w:rsidRDefault="002C3C29">
      <w:pPr>
        <w:spacing w:line="360" w:lineRule="auto"/>
        <w:ind w:firstLineChars="200" w:firstLine="480"/>
        <w:rPr>
          <w:bCs/>
          <w:sz w:val="24"/>
        </w:rPr>
      </w:pPr>
      <w:r>
        <w:rPr>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7DC146A4" w14:textId="77777777" w:rsidR="00AC3A9B" w:rsidRDefault="002C3C29">
      <w:pPr>
        <w:autoSpaceDE w:val="0"/>
        <w:autoSpaceDN w:val="0"/>
        <w:spacing w:line="360" w:lineRule="auto"/>
        <w:ind w:firstLineChars="200" w:firstLine="480"/>
        <w:textAlignment w:val="bottom"/>
        <w:rPr>
          <w:bCs/>
          <w:sz w:val="24"/>
        </w:rPr>
      </w:pPr>
      <w:r>
        <w:rPr>
          <w:bCs/>
          <w:kern w:val="0"/>
          <w:sz w:val="24"/>
        </w:rPr>
        <w:t>5</w:t>
      </w:r>
      <w:r>
        <w:rPr>
          <w:rFonts w:hint="eastAsia"/>
          <w:bCs/>
          <w:kern w:val="0"/>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7ABFF018" w14:textId="77777777" w:rsidR="00AC3A9B" w:rsidRDefault="002C3C29">
      <w:pPr>
        <w:autoSpaceDE w:val="0"/>
        <w:autoSpaceDN w:val="0"/>
        <w:spacing w:line="360" w:lineRule="auto"/>
        <w:ind w:firstLineChars="200" w:firstLine="480"/>
        <w:textAlignment w:val="bottom"/>
        <w:rPr>
          <w:bCs/>
          <w:sz w:val="24"/>
        </w:rPr>
      </w:pPr>
      <w:r>
        <w:rPr>
          <w:bCs/>
          <w:sz w:val="24"/>
        </w:rPr>
        <w:t>（二）基金份额发售公告</w:t>
      </w:r>
    </w:p>
    <w:p w14:paraId="306AC5ED" w14:textId="77777777" w:rsidR="00AC3A9B" w:rsidRDefault="002C3C29">
      <w:pPr>
        <w:autoSpaceDE w:val="0"/>
        <w:autoSpaceDN w:val="0"/>
        <w:spacing w:line="360" w:lineRule="auto"/>
        <w:ind w:firstLineChars="200" w:firstLine="480"/>
        <w:textAlignment w:val="bottom"/>
        <w:rPr>
          <w:bCs/>
          <w:sz w:val="24"/>
        </w:rPr>
      </w:pPr>
      <w:r>
        <w:rPr>
          <w:bCs/>
          <w:sz w:val="24"/>
        </w:rPr>
        <w:t>基金管理人应当就基金份额发售的具体事宜编制基金份额发售公告，并在披露招募说明书的当日登载于指定媒介上。</w:t>
      </w:r>
    </w:p>
    <w:p w14:paraId="0B37DCA8" w14:textId="77777777" w:rsidR="00AC3A9B" w:rsidRDefault="002C3C29">
      <w:pPr>
        <w:autoSpaceDE w:val="0"/>
        <w:autoSpaceDN w:val="0"/>
        <w:spacing w:line="360" w:lineRule="auto"/>
        <w:ind w:firstLineChars="200" w:firstLine="480"/>
        <w:textAlignment w:val="bottom"/>
        <w:rPr>
          <w:bCs/>
          <w:sz w:val="24"/>
        </w:rPr>
      </w:pPr>
      <w:r>
        <w:rPr>
          <w:bCs/>
          <w:sz w:val="24"/>
        </w:rPr>
        <w:t>（三）《基金合同》生效公告</w:t>
      </w:r>
    </w:p>
    <w:p w14:paraId="7918DE69" w14:textId="77777777" w:rsidR="00AC3A9B" w:rsidRDefault="002C3C29">
      <w:pPr>
        <w:autoSpaceDE w:val="0"/>
        <w:autoSpaceDN w:val="0"/>
        <w:spacing w:line="360" w:lineRule="auto"/>
        <w:ind w:firstLineChars="200" w:firstLine="480"/>
        <w:textAlignment w:val="bottom"/>
        <w:rPr>
          <w:bCs/>
          <w:sz w:val="24"/>
        </w:rPr>
      </w:pPr>
      <w:r>
        <w:rPr>
          <w:bCs/>
          <w:sz w:val="24"/>
        </w:rPr>
        <w:t>基金管理人应当在收到中国证监会确认文件的次日在指定媒介上登载《基金</w:t>
      </w:r>
      <w:r>
        <w:rPr>
          <w:bCs/>
          <w:sz w:val="24"/>
        </w:rPr>
        <w:lastRenderedPageBreak/>
        <w:t>合同》生效公告。</w:t>
      </w:r>
    </w:p>
    <w:p w14:paraId="4A1969FD" w14:textId="77777777" w:rsidR="00AC3A9B" w:rsidRDefault="002C3C29">
      <w:pPr>
        <w:autoSpaceDE w:val="0"/>
        <w:autoSpaceDN w:val="0"/>
        <w:spacing w:line="360" w:lineRule="auto"/>
        <w:ind w:firstLineChars="200" w:firstLine="480"/>
        <w:textAlignment w:val="bottom"/>
        <w:rPr>
          <w:bCs/>
          <w:sz w:val="24"/>
        </w:rPr>
      </w:pPr>
      <w:r>
        <w:rPr>
          <w:bCs/>
          <w:sz w:val="24"/>
        </w:rPr>
        <w:t>（</w:t>
      </w:r>
      <w:r>
        <w:rPr>
          <w:rFonts w:hint="eastAsia"/>
          <w:bCs/>
          <w:sz w:val="24"/>
        </w:rPr>
        <w:t>四</w:t>
      </w:r>
      <w:r>
        <w:rPr>
          <w:bCs/>
          <w:sz w:val="24"/>
        </w:rPr>
        <w:t>）</w:t>
      </w:r>
      <w:r>
        <w:rPr>
          <w:rFonts w:hint="eastAsia"/>
          <w:bCs/>
          <w:kern w:val="0"/>
          <w:sz w:val="24"/>
        </w:rPr>
        <w:t>基金净值信息</w:t>
      </w:r>
    </w:p>
    <w:p w14:paraId="4C03F4E3" w14:textId="77777777" w:rsidR="00AC3A9B" w:rsidRDefault="002C3C29">
      <w:pPr>
        <w:autoSpaceDE w:val="0"/>
        <w:autoSpaceDN w:val="0"/>
        <w:spacing w:line="360" w:lineRule="auto"/>
        <w:ind w:firstLineChars="200" w:firstLine="480"/>
        <w:textAlignment w:val="bottom"/>
        <w:rPr>
          <w:bCs/>
          <w:sz w:val="24"/>
        </w:rPr>
      </w:pPr>
      <w:r>
        <w:rPr>
          <w:bCs/>
          <w:sz w:val="24"/>
        </w:rPr>
        <w:t>《基金合同》生效后，在开始办理基金份额申购或者赎回前，</w:t>
      </w:r>
      <w:r>
        <w:rPr>
          <w:rFonts w:hint="eastAsia"/>
          <w:bCs/>
          <w:kern w:val="0"/>
          <w:sz w:val="24"/>
        </w:rPr>
        <w:t>基金管理人应当至少每周在指定网站披露一次基金份额净值和基金份额累计净值。</w:t>
      </w:r>
    </w:p>
    <w:p w14:paraId="4ED68A78" w14:textId="77777777" w:rsidR="00AC3A9B" w:rsidRDefault="002C3C29">
      <w:pPr>
        <w:autoSpaceDE w:val="0"/>
        <w:autoSpaceDN w:val="0"/>
        <w:spacing w:line="360" w:lineRule="auto"/>
        <w:ind w:firstLineChars="200" w:firstLine="480"/>
        <w:textAlignment w:val="bottom"/>
        <w:rPr>
          <w:bCs/>
          <w:sz w:val="24"/>
        </w:rPr>
      </w:pPr>
      <w:r>
        <w:rPr>
          <w:bCs/>
          <w:sz w:val="24"/>
        </w:rPr>
        <w:t>在开始办理基金份额申购或者赎回后，</w:t>
      </w:r>
      <w:r>
        <w:rPr>
          <w:rFonts w:hint="eastAsia"/>
          <w:bCs/>
          <w:kern w:val="0"/>
          <w:sz w:val="24"/>
        </w:rPr>
        <w:t>基金管理人应当在不晚于每个开放日的次日，通过其指定网站、基金销售机构网站或营业网点披露开放日的基金份额净值和基金份额累计净值。</w:t>
      </w:r>
    </w:p>
    <w:p w14:paraId="178B0DEA"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基金管理人应在不晚于半年度和年度最后一日的次日，在指定网站披露半年度和年度最后一日的基金份额净值和基金份额累计净值。</w:t>
      </w:r>
    </w:p>
    <w:p w14:paraId="4CA18833" w14:textId="77777777" w:rsidR="00AC3A9B" w:rsidRDefault="002C3C29">
      <w:pPr>
        <w:autoSpaceDE w:val="0"/>
        <w:autoSpaceDN w:val="0"/>
        <w:spacing w:line="360" w:lineRule="auto"/>
        <w:ind w:firstLineChars="200" w:firstLine="480"/>
        <w:textAlignment w:val="bottom"/>
        <w:rPr>
          <w:bCs/>
          <w:sz w:val="24"/>
        </w:rPr>
      </w:pPr>
      <w:r>
        <w:rPr>
          <w:bCs/>
          <w:sz w:val="24"/>
        </w:rPr>
        <w:t>（</w:t>
      </w:r>
      <w:r>
        <w:rPr>
          <w:rFonts w:hint="eastAsia"/>
          <w:bCs/>
          <w:sz w:val="24"/>
        </w:rPr>
        <w:t>五</w:t>
      </w:r>
      <w:r>
        <w:rPr>
          <w:bCs/>
          <w:sz w:val="24"/>
        </w:rPr>
        <w:t>）基金份额申购、赎回价格</w:t>
      </w:r>
    </w:p>
    <w:p w14:paraId="6BF2DD39" w14:textId="77777777" w:rsidR="00AC3A9B" w:rsidRDefault="002C3C29">
      <w:pPr>
        <w:autoSpaceDE w:val="0"/>
        <w:autoSpaceDN w:val="0"/>
        <w:spacing w:line="360" w:lineRule="auto"/>
        <w:ind w:firstLineChars="200" w:firstLine="480"/>
        <w:textAlignment w:val="bottom"/>
        <w:rPr>
          <w:bCs/>
          <w:sz w:val="24"/>
        </w:rPr>
      </w:pPr>
      <w:r>
        <w:rPr>
          <w:bCs/>
          <w:sz w:val="24"/>
        </w:rPr>
        <w:t>基金管理人应当在《基金合同》、招募说明书等信息披露文件上载明基金份额申购、赎回价格的计算方式及有关申购、赎回费率，</w:t>
      </w:r>
      <w:r>
        <w:rPr>
          <w:rFonts w:hint="eastAsia"/>
          <w:bCs/>
          <w:kern w:val="0"/>
          <w:sz w:val="24"/>
        </w:rPr>
        <w:t>并保证投资者能够在基金销售机构网站或营业网点查阅或者复制前述信息库资料。</w:t>
      </w:r>
    </w:p>
    <w:p w14:paraId="5F1DC599" w14:textId="77777777" w:rsidR="00AC3A9B" w:rsidRDefault="002C3C29">
      <w:pPr>
        <w:autoSpaceDE w:val="0"/>
        <w:autoSpaceDN w:val="0"/>
        <w:spacing w:line="360" w:lineRule="auto"/>
        <w:ind w:firstLineChars="200" w:firstLine="480"/>
        <w:textAlignment w:val="bottom"/>
        <w:rPr>
          <w:bCs/>
          <w:sz w:val="24"/>
        </w:rPr>
      </w:pPr>
      <w:r>
        <w:rPr>
          <w:bCs/>
          <w:sz w:val="24"/>
        </w:rPr>
        <w:t>（</w:t>
      </w:r>
      <w:r>
        <w:rPr>
          <w:rFonts w:hint="eastAsia"/>
          <w:bCs/>
          <w:sz w:val="24"/>
        </w:rPr>
        <w:t>六</w:t>
      </w:r>
      <w:r>
        <w:rPr>
          <w:bCs/>
          <w:sz w:val="24"/>
        </w:rPr>
        <w:t>）基金定期报告，包括基金年度报告、基金</w:t>
      </w:r>
      <w:r>
        <w:rPr>
          <w:rFonts w:hint="eastAsia"/>
          <w:bCs/>
          <w:sz w:val="24"/>
        </w:rPr>
        <w:t>中期</w:t>
      </w:r>
      <w:r>
        <w:rPr>
          <w:bCs/>
          <w:sz w:val="24"/>
        </w:rPr>
        <w:t>报告和基金季度报告</w:t>
      </w:r>
    </w:p>
    <w:p w14:paraId="14325C05" w14:textId="77777777" w:rsidR="00AC3A9B" w:rsidRDefault="002C3C29">
      <w:pPr>
        <w:autoSpaceDE w:val="0"/>
        <w:autoSpaceDN w:val="0"/>
        <w:spacing w:line="360" w:lineRule="auto"/>
        <w:ind w:firstLineChars="200" w:firstLine="480"/>
        <w:textAlignment w:val="bottom"/>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kern w:val="0"/>
          <w:sz w:val="24"/>
        </w:rPr>
        <w:t>将年度报告登载在指定网站上，将年度报告提示性公告登载在指定报刊上。基金年度报告中的财务会计报告应当经过具有证券、期货相关业务资格的会计师事务所审计。</w:t>
      </w:r>
    </w:p>
    <w:p w14:paraId="6B00F2B2" w14:textId="77777777" w:rsidR="00AC3A9B" w:rsidRDefault="002C3C29">
      <w:pPr>
        <w:autoSpaceDE w:val="0"/>
        <w:autoSpaceDN w:val="0"/>
        <w:spacing w:line="360" w:lineRule="auto"/>
        <w:ind w:firstLineChars="200" w:firstLine="480"/>
        <w:textAlignment w:val="bottom"/>
        <w:rPr>
          <w:bCs/>
          <w:sz w:val="24"/>
        </w:rPr>
      </w:pPr>
      <w:r>
        <w:rPr>
          <w:rFonts w:hint="eastAsia"/>
          <w:bCs/>
          <w:kern w:val="0"/>
          <w:sz w:val="24"/>
        </w:rPr>
        <w:t>基金管理人应当在上半年结束之日起两个月内，编制完成基金中期报告，将中期报告登载在指定网站上，并将中期报告提示性公告登载在指定报刊上。</w:t>
      </w:r>
    </w:p>
    <w:p w14:paraId="1E6B906D" w14:textId="77777777" w:rsidR="00AC3A9B" w:rsidRDefault="002C3C29">
      <w:pPr>
        <w:autoSpaceDE w:val="0"/>
        <w:autoSpaceDN w:val="0"/>
        <w:spacing w:line="360" w:lineRule="auto"/>
        <w:ind w:firstLineChars="200" w:firstLine="480"/>
        <w:textAlignment w:val="bottom"/>
        <w:rPr>
          <w:bCs/>
          <w:sz w:val="24"/>
        </w:rPr>
      </w:pPr>
      <w:r>
        <w:rPr>
          <w:bCs/>
          <w:sz w:val="24"/>
        </w:rPr>
        <w:t>基金管理人应当在每个季度结束之日起</w:t>
      </w:r>
      <w:r>
        <w:rPr>
          <w:bCs/>
          <w:sz w:val="24"/>
        </w:rPr>
        <w:t>15</w:t>
      </w:r>
      <w:r>
        <w:rPr>
          <w:bCs/>
          <w:sz w:val="24"/>
        </w:rPr>
        <w:t>个工作日内，</w:t>
      </w:r>
      <w:r>
        <w:rPr>
          <w:rFonts w:hint="eastAsia"/>
          <w:bCs/>
          <w:kern w:val="0"/>
          <w:sz w:val="24"/>
        </w:rPr>
        <w:t>编制完成基金季度报告，将季度报告登载在指定网站上，并将季度报告提示性公告登载在指定报刊上。</w:t>
      </w:r>
    </w:p>
    <w:p w14:paraId="1F905F85" w14:textId="77777777" w:rsidR="00AC3A9B" w:rsidRDefault="002C3C29">
      <w:pPr>
        <w:autoSpaceDE w:val="0"/>
        <w:autoSpaceDN w:val="0"/>
        <w:spacing w:line="360" w:lineRule="auto"/>
        <w:ind w:firstLineChars="200" w:firstLine="480"/>
        <w:textAlignment w:val="bottom"/>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00AD3475"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0FC21664"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本基金持续运作过程中，应当在基金年度报告和中期报告中披露基金组合资</w:t>
      </w:r>
      <w:r>
        <w:rPr>
          <w:rFonts w:hint="eastAsia"/>
          <w:bCs/>
          <w:sz w:val="24"/>
        </w:rPr>
        <w:lastRenderedPageBreak/>
        <w:t>产情况及其流动性风险分析等。</w:t>
      </w:r>
    </w:p>
    <w:p w14:paraId="23E1C26A" w14:textId="77777777" w:rsidR="00AC3A9B" w:rsidRDefault="002C3C29">
      <w:pPr>
        <w:autoSpaceDE w:val="0"/>
        <w:autoSpaceDN w:val="0"/>
        <w:spacing w:line="360" w:lineRule="auto"/>
        <w:ind w:firstLineChars="200" w:firstLine="480"/>
        <w:textAlignment w:val="bottom"/>
        <w:rPr>
          <w:bCs/>
          <w:sz w:val="24"/>
        </w:rPr>
      </w:pPr>
      <w:r>
        <w:rPr>
          <w:bCs/>
          <w:sz w:val="24"/>
        </w:rPr>
        <w:t>（</w:t>
      </w:r>
      <w:r>
        <w:rPr>
          <w:rFonts w:hint="eastAsia"/>
          <w:bCs/>
          <w:sz w:val="24"/>
        </w:rPr>
        <w:t>七</w:t>
      </w:r>
      <w:r>
        <w:rPr>
          <w:bCs/>
          <w:sz w:val="24"/>
        </w:rPr>
        <w:t>）临时报告</w:t>
      </w:r>
    </w:p>
    <w:p w14:paraId="26EC1172" w14:textId="77777777" w:rsidR="00AC3A9B" w:rsidRDefault="002C3C29">
      <w:pPr>
        <w:autoSpaceDE w:val="0"/>
        <w:autoSpaceDN w:val="0"/>
        <w:spacing w:line="360" w:lineRule="auto"/>
        <w:ind w:firstLineChars="200" w:firstLine="480"/>
        <w:textAlignment w:val="bottom"/>
        <w:rPr>
          <w:bCs/>
          <w:sz w:val="24"/>
        </w:rPr>
      </w:pPr>
      <w:r>
        <w:rPr>
          <w:rFonts w:hint="eastAsia"/>
          <w:bCs/>
          <w:kern w:val="0"/>
          <w:sz w:val="24"/>
        </w:rPr>
        <w:t>本基金发生重大事件，有关信息披露义务人应在</w:t>
      </w:r>
      <w:r>
        <w:rPr>
          <w:bCs/>
          <w:kern w:val="0"/>
          <w:sz w:val="24"/>
        </w:rPr>
        <w:t>2</w:t>
      </w:r>
      <w:r>
        <w:rPr>
          <w:rFonts w:hint="eastAsia"/>
          <w:bCs/>
          <w:kern w:val="0"/>
          <w:sz w:val="24"/>
        </w:rPr>
        <w:t>日内编制临时报告书，并登载在指定报刊和指定网站上。</w:t>
      </w:r>
    </w:p>
    <w:p w14:paraId="496615B2" w14:textId="77777777" w:rsidR="00AC3A9B" w:rsidRDefault="002C3C29">
      <w:pPr>
        <w:autoSpaceDE w:val="0"/>
        <w:autoSpaceDN w:val="0"/>
        <w:spacing w:line="360" w:lineRule="auto"/>
        <w:ind w:firstLineChars="200" w:firstLine="480"/>
        <w:textAlignment w:val="bottom"/>
        <w:rPr>
          <w:bCs/>
          <w:sz w:val="24"/>
        </w:rPr>
      </w:pPr>
      <w:r>
        <w:rPr>
          <w:bCs/>
          <w:sz w:val="24"/>
        </w:rPr>
        <w:t>前款所称重大事件，是指可能对基金份额持有人权益或者基金份额的价格产生重大影响的下列事件：</w:t>
      </w:r>
    </w:p>
    <w:p w14:paraId="6C5B3699" w14:textId="77777777" w:rsidR="00AC3A9B" w:rsidRDefault="002C3C29">
      <w:pPr>
        <w:spacing w:line="360" w:lineRule="auto"/>
        <w:ind w:firstLineChars="200" w:firstLine="480"/>
        <w:rPr>
          <w:bCs/>
          <w:sz w:val="24"/>
        </w:rPr>
      </w:pPr>
      <w:r>
        <w:rPr>
          <w:bCs/>
          <w:sz w:val="24"/>
        </w:rPr>
        <w:t>1</w:t>
      </w:r>
      <w:r>
        <w:rPr>
          <w:rFonts w:hint="eastAsia"/>
          <w:bCs/>
          <w:sz w:val="24"/>
        </w:rPr>
        <w:t>、基金份额持有人大会的召开及决定的事项；</w:t>
      </w:r>
    </w:p>
    <w:p w14:paraId="024A8784" w14:textId="77777777" w:rsidR="00AC3A9B" w:rsidRDefault="002C3C29">
      <w:pPr>
        <w:spacing w:line="360" w:lineRule="auto"/>
        <w:ind w:firstLineChars="200" w:firstLine="480"/>
        <w:rPr>
          <w:bCs/>
          <w:sz w:val="24"/>
        </w:rPr>
      </w:pPr>
      <w:r>
        <w:rPr>
          <w:bCs/>
          <w:sz w:val="24"/>
        </w:rPr>
        <w:t>2</w:t>
      </w:r>
      <w:r>
        <w:rPr>
          <w:rFonts w:hint="eastAsia"/>
          <w:bCs/>
          <w:sz w:val="24"/>
        </w:rPr>
        <w:t>、基金终止上市交易、基金合同终止、基金清算；</w:t>
      </w:r>
    </w:p>
    <w:p w14:paraId="003D9738" w14:textId="77777777" w:rsidR="00AC3A9B" w:rsidRDefault="002C3C29">
      <w:pPr>
        <w:spacing w:line="360" w:lineRule="auto"/>
        <w:ind w:firstLineChars="200" w:firstLine="480"/>
        <w:rPr>
          <w:bCs/>
          <w:sz w:val="24"/>
        </w:rPr>
      </w:pPr>
      <w:r>
        <w:rPr>
          <w:bCs/>
          <w:sz w:val="24"/>
        </w:rPr>
        <w:t>3</w:t>
      </w:r>
      <w:r>
        <w:rPr>
          <w:rFonts w:hint="eastAsia"/>
          <w:bCs/>
          <w:sz w:val="24"/>
        </w:rPr>
        <w:t>、转换基金运作方式、基金合并；</w:t>
      </w:r>
    </w:p>
    <w:p w14:paraId="55DEDEAA" w14:textId="77777777" w:rsidR="00AC3A9B" w:rsidRDefault="002C3C29">
      <w:pPr>
        <w:spacing w:line="360" w:lineRule="auto"/>
        <w:ind w:firstLineChars="200" w:firstLine="480"/>
        <w:rPr>
          <w:bCs/>
          <w:sz w:val="24"/>
        </w:rPr>
      </w:pPr>
      <w:r>
        <w:rPr>
          <w:bCs/>
          <w:sz w:val="24"/>
        </w:rPr>
        <w:t>4</w:t>
      </w:r>
      <w:r>
        <w:rPr>
          <w:rFonts w:hint="eastAsia"/>
          <w:bCs/>
          <w:sz w:val="24"/>
        </w:rPr>
        <w:t>、更换基金管理人、基金托管人、基金份额登记机构，基金改聘会计师事务所；</w:t>
      </w:r>
    </w:p>
    <w:p w14:paraId="62110DBF" w14:textId="77777777" w:rsidR="00AC3A9B" w:rsidRDefault="002C3C29">
      <w:pPr>
        <w:spacing w:line="360" w:lineRule="auto"/>
        <w:ind w:firstLineChars="200" w:firstLine="480"/>
        <w:rPr>
          <w:bCs/>
          <w:sz w:val="24"/>
        </w:rPr>
      </w:pPr>
      <w:r>
        <w:rPr>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43493AD8" w14:textId="77777777" w:rsidR="00AC3A9B" w:rsidRDefault="002C3C29">
      <w:pPr>
        <w:spacing w:line="360" w:lineRule="auto"/>
        <w:ind w:firstLineChars="200" w:firstLine="480"/>
        <w:rPr>
          <w:bCs/>
          <w:sz w:val="24"/>
        </w:rPr>
      </w:pPr>
      <w:r>
        <w:rPr>
          <w:bCs/>
          <w:sz w:val="24"/>
        </w:rPr>
        <w:t>6</w:t>
      </w:r>
      <w:r>
        <w:rPr>
          <w:rFonts w:hint="eastAsia"/>
          <w:bCs/>
          <w:sz w:val="24"/>
        </w:rPr>
        <w:t>、基金管理人、基金托管人的法定名称、住所发生变更；</w:t>
      </w:r>
    </w:p>
    <w:p w14:paraId="6B633DDE" w14:textId="77777777" w:rsidR="00AC3A9B" w:rsidRDefault="002C3C29">
      <w:pPr>
        <w:spacing w:line="360" w:lineRule="auto"/>
        <w:ind w:firstLineChars="200" w:firstLine="480"/>
        <w:rPr>
          <w:bCs/>
          <w:sz w:val="24"/>
        </w:rPr>
      </w:pPr>
      <w:r>
        <w:rPr>
          <w:bCs/>
          <w:sz w:val="24"/>
        </w:rPr>
        <w:t>7</w:t>
      </w:r>
      <w:r>
        <w:rPr>
          <w:rFonts w:hint="eastAsia"/>
          <w:bCs/>
          <w:sz w:val="24"/>
        </w:rPr>
        <w:t>、基金管理人变更持有百分之五以上股权的股东、基金管理人的实际控制人变更；</w:t>
      </w:r>
    </w:p>
    <w:p w14:paraId="59495FD7" w14:textId="77777777" w:rsidR="00AC3A9B" w:rsidRDefault="002C3C29">
      <w:pPr>
        <w:spacing w:line="360" w:lineRule="auto"/>
        <w:ind w:firstLineChars="200" w:firstLine="480"/>
        <w:rPr>
          <w:bCs/>
          <w:sz w:val="24"/>
        </w:rPr>
      </w:pPr>
      <w:r>
        <w:rPr>
          <w:bCs/>
          <w:sz w:val="24"/>
        </w:rPr>
        <w:t>8</w:t>
      </w:r>
      <w:r>
        <w:rPr>
          <w:rFonts w:hint="eastAsia"/>
          <w:bCs/>
          <w:sz w:val="24"/>
        </w:rPr>
        <w:t>、基金募集期延长或提前结束募集；</w:t>
      </w:r>
    </w:p>
    <w:p w14:paraId="6EEE8E0C" w14:textId="77777777" w:rsidR="00AC3A9B" w:rsidRDefault="002C3C29">
      <w:pPr>
        <w:spacing w:line="360" w:lineRule="auto"/>
        <w:ind w:firstLineChars="200" w:firstLine="480"/>
        <w:rPr>
          <w:bCs/>
          <w:sz w:val="24"/>
        </w:rPr>
      </w:pPr>
      <w:r>
        <w:rPr>
          <w:bCs/>
          <w:sz w:val="24"/>
        </w:rPr>
        <w:t>9</w:t>
      </w:r>
      <w:r>
        <w:rPr>
          <w:rFonts w:hint="eastAsia"/>
          <w:bCs/>
          <w:sz w:val="24"/>
        </w:rPr>
        <w:t>、基金管理人的高级管理人员、基金经理和基金托管人专门基金托管部门负责人发生变动；</w:t>
      </w:r>
    </w:p>
    <w:p w14:paraId="50CC657C" w14:textId="77777777" w:rsidR="00AC3A9B" w:rsidRDefault="002C3C29">
      <w:pPr>
        <w:spacing w:line="360" w:lineRule="auto"/>
        <w:ind w:firstLineChars="200" w:firstLine="480"/>
        <w:rPr>
          <w:bCs/>
          <w:sz w:val="24"/>
        </w:rPr>
      </w:pPr>
      <w:r>
        <w:rPr>
          <w:bCs/>
          <w:sz w:val="24"/>
        </w:rPr>
        <w:t>10</w:t>
      </w:r>
      <w:r>
        <w:rPr>
          <w:rFonts w:hint="eastAsia"/>
          <w:bCs/>
          <w:sz w:val="24"/>
        </w:rPr>
        <w:t>、基金管理人的董事在最近</w:t>
      </w:r>
      <w:r>
        <w:rPr>
          <w:bCs/>
          <w:sz w:val="24"/>
        </w:rPr>
        <w:t>12</w:t>
      </w:r>
      <w:r>
        <w:rPr>
          <w:rFonts w:hint="eastAsia"/>
          <w:bCs/>
          <w:sz w:val="24"/>
        </w:rPr>
        <w:t>个月内变更超过百分之五十，基金管理人、基金托管人专门基金托管部门的主要业务人员在最近</w:t>
      </w:r>
      <w:r>
        <w:rPr>
          <w:bCs/>
          <w:sz w:val="24"/>
        </w:rPr>
        <w:t>12</w:t>
      </w:r>
      <w:r>
        <w:rPr>
          <w:rFonts w:hint="eastAsia"/>
          <w:bCs/>
          <w:sz w:val="24"/>
        </w:rPr>
        <w:t>个月内，变动超过百分之三十；</w:t>
      </w:r>
    </w:p>
    <w:p w14:paraId="4C5E1B17" w14:textId="77777777" w:rsidR="00AC3A9B" w:rsidRDefault="002C3C29">
      <w:pPr>
        <w:spacing w:line="360" w:lineRule="auto"/>
        <w:ind w:firstLineChars="200" w:firstLine="480"/>
        <w:rPr>
          <w:bCs/>
          <w:sz w:val="24"/>
        </w:rPr>
      </w:pPr>
      <w:r>
        <w:rPr>
          <w:bCs/>
          <w:sz w:val="24"/>
        </w:rPr>
        <w:t>11</w:t>
      </w:r>
      <w:r>
        <w:rPr>
          <w:rFonts w:hint="eastAsia"/>
          <w:bCs/>
          <w:sz w:val="24"/>
        </w:rPr>
        <w:t>、涉及基金财产、基金管理业务、基金托管业务的诉讼或仲裁；</w:t>
      </w:r>
    </w:p>
    <w:p w14:paraId="5142216A" w14:textId="77777777" w:rsidR="00AC3A9B" w:rsidRDefault="002C3C29">
      <w:pPr>
        <w:spacing w:line="360" w:lineRule="auto"/>
        <w:ind w:firstLineChars="200" w:firstLine="480"/>
        <w:rPr>
          <w:bCs/>
          <w:sz w:val="24"/>
        </w:rPr>
      </w:pPr>
      <w:r>
        <w:rPr>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7108B419" w14:textId="77777777" w:rsidR="00AC3A9B" w:rsidRDefault="002C3C29">
      <w:pPr>
        <w:spacing w:line="360" w:lineRule="auto"/>
        <w:ind w:firstLineChars="200" w:firstLine="480"/>
        <w:rPr>
          <w:bCs/>
          <w:sz w:val="24"/>
        </w:rPr>
      </w:pPr>
      <w:r>
        <w:rPr>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75F2260E" w14:textId="77777777" w:rsidR="00AC3A9B" w:rsidRDefault="002C3C29">
      <w:pPr>
        <w:spacing w:line="360" w:lineRule="auto"/>
        <w:ind w:firstLineChars="200" w:firstLine="480"/>
        <w:rPr>
          <w:bCs/>
          <w:sz w:val="24"/>
        </w:rPr>
      </w:pPr>
      <w:r>
        <w:rPr>
          <w:bCs/>
          <w:sz w:val="24"/>
        </w:rPr>
        <w:lastRenderedPageBreak/>
        <w:t>14</w:t>
      </w:r>
      <w:r>
        <w:rPr>
          <w:rFonts w:hint="eastAsia"/>
          <w:bCs/>
          <w:sz w:val="24"/>
        </w:rPr>
        <w:t>、基金收益分配事项；</w:t>
      </w:r>
      <w:r>
        <w:rPr>
          <w:bCs/>
          <w:sz w:val="24"/>
        </w:rPr>
        <w:t xml:space="preserve"> </w:t>
      </w:r>
    </w:p>
    <w:p w14:paraId="65AAD468" w14:textId="77777777" w:rsidR="00AC3A9B" w:rsidRDefault="002C3C29">
      <w:pPr>
        <w:spacing w:line="360" w:lineRule="auto"/>
        <w:ind w:firstLineChars="200" w:firstLine="480"/>
        <w:rPr>
          <w:bCs/>
          <w:sz w:val="24"/>
        </w:rPr>
      </w:pPr>
      <w:r>
        <w:rPr>
          <w:bCs/>
          <w:sz w:val="24"/>
        </w:rPr>
        <w:t>15</w:t>
      </w:r>
      <w:r>
        <w:rPr>
          <w:rFonts w:hint="eastAsia"/>
          <w:bCs/>
          <w:sz w:val="24"/>
        </w:rPr>
        <w:t>、管理费、托管费、申购费、赎回费等费用计提标准、计提方式和费率发生变更；</w:t>
      </w:r>
    </w:p>
    <w:p w14:paraId="65A37438" w14:textId="77777777" w:rsidR="00AC3A9B" w:rsidRDefault="002C3C29">
      <w:pPr>
        <w:spacing w:line="360" w:lineRule="auto"/>
        <w:ind w:firstLineChars="200" w:firstLine="480"/>
        <w:rPr>
          <w:bCs/>
          <w:sz w:val="24"/>
        </w:rPr>
      </w:pPr>
      <w:r>
        <w:rPr>
          <w:bCs/>
          <w:sz w:val="24"/>
        </w:rPr>
        <w:t>16</w:t>
      </w:r>
      <w:r>
        <w:rPr>
          <w:rFonts w:hint="eastAsia"/>
          <w:bCs/>
          <w:sz w:val="24"/>
        </w:rPr>
        <w:t>、基金份额净值计价错误达基金份额净值百分之零点五；</w:t>
      </w:r>
    </w:p>
    <w:p w14:paraId="4AAE6B66" w14:textId="77777777" w:rsidR="00AC3A9B" w:rsidRDefault="002C3C29">
      <w:pPr>
        <w:spacing w:line="360" w:lineRule="auto"/>
        <w:ind w:firstLineChars="200" w:firstLine="480"/>
        <w:rPr>
          <w:bCs/>
          <w:sz w:val="24"/>
        </w:rPr>
      </w:pPr>
      <w:r>
        <w:rPr>
          <w:bCs/>
          <w:sz w:val="24"/>
        </w:rPr>
        <w:t>17</w:t>
      </w:r>
      <w:r>
        <w:rPr>
          <w:rFonts w:hint="eastAsia"/>
          <w:bCs/>
          <w:sz w:val="24"/>
        </w:rPr>
        <w:t>、本基金开始办理申购、赎回；</w:t>
      </w:r>
    </w:p>
    <w:p w14:paraId="205B06D7" w14:textId="77777777" w:rsidR="00AC3A9B" w:rsidRDefault="002C3C29">
      <w:pPr>
        <w:spacing w:line="360" w:lineRule="auto"/>
        <w:ind w:firstLineChars="200" w:firstLine="480"/>
        <w:rPr>
          <w:bCs/>
          <w:sz w:val="24"/>
        </w:rPr>
      </w:pPr>
      <w:r>
        <w:rPr>
          <w:bCs/>
          <w:sz w:val="24"/>
        </w:rPr>
        <w:t>18</w:t>
      </w:r>
      <w:r>
        <w:rPr>
          <w:rFonts w:hint="eastAsia"/>
          <w:bCs/>
          <w:sz w:val="24"/>
        </w:rPr>
        <w:t>、本基金暂定接受申购、赎回申请或重新接受申购、赎回申请；</w:t>
      </w:r>
    </w:p>
    <w:p w14:paraId="5F223753" w14:textId="77777777" w:rsidR="00AC3A9B" w:rsidRDefault="002C3C29">
      <w:pPr>
        <w:spacing w:line="360" w:lineRule="auto"/>
        <w:ind w:firstLineChars="200" w:firstLine="480"/>
        <w:rPr>
          <w:bCs/>
          <w:sz w:val="24"/>
        </w:rPr>
      </w:pPr>
      <w:r>
        <w:rPr>
          <w:bCs/>
          <w:sz w:val="24"/>
        </w:rPr>
        <w:t>19</w:t>
      </w:r>
      <w:r>
        <w:rPr>
          <w:rFonts w:hint="eastAsia"/>
          <w:bCs/>
          <w:sz w:val="24"/>
        </w:rPr>
        <w:t>、基金变更标的指数；</w:t>
      </w:r>
    </w:p>
    <w:p w14:paraId="3EB16775" w14:textId="77777777" w:rsidR="00AC3A9B" w:rsidRDefault="002C3C29">
      <w:pPr>
        <w:spacing w:line="360" w:lineRule="auto"/>
        <w:ind w:firstLineChars="200" w:firstLine="480"/>
        <w:rPr>
          <w:bCs/>
          <w:sz w:val="24"/>
        </w:rPr>
      </w:pPr>
      <w:r>
        <w:rPr>
          <w:bCs/>
          <w:sz w:val="24"/>
        </w:rPr>
        <w:t>20</w:t>
      </w:r>
      <w:r>
        <w:rPr>
          <w:rFonts w:hint="eastAsia"/>
          <w:bCs/>
          <w:sz w:val="24"/>
        </w:rPr>
        <w:t>、基金份额停牌、复牌、暂停上市、恢复上市或终止上市交易；</w:t>
      </w:r>
    </w:p>
    <w:p w14:paraId="36DADA75" w14:textId="77777777" w:rsidR="00AC3A9B" w:rsidRDefault="002C3C29">
      <w:pPr>
        <w:spacing w:line="360" w:lineRule="auto"/>
        <w:ind w:firstLineChars="200" w:firstLine="480"/>
        <w:rPr>
          <w:bCs/>
          <w:sz w:val="24"/>
        </w:rPr>
      </w:pPr>
      <w:r>
        <w:rPr>
          <w:bCs/>
          <w:sz w:val="24"/>
        </w:rPr>
        <w:t>21</w:t>
      </w:r>
      <w:r>
        <w:rPr>
          <w:rFonts w:hint="eastAsia"/>
          <w:bCs/>
          <w:sz w:val="24"/>
        </w:rPr>
        <w:t>、调整最小申购赎回单位、申购赎回方式及申购对价、赎回对价组成；</w:t>
      </w:r>
    </w:p>
    <w:p w14:paraId="04FB8403" w14:textId="77777777" w:rsidR="00AC3A9B" w:rsidRDefault="002C3C29">
      <w:pPr>
        <w:spacing w:line="360" w:lineRule="auto"/>
        <w:ind w:firstLineChars="200" w:firstLine="480"/>
        <w:rPr>
          <w:bCs/>
          <w:sz w:val="24"/>
        </w:rPr>
      </w:pPr>
      <w:r>
        <w:rPr>
          <w:bCs/>
          <w:sz w:val="24"/>
        </w:rPr>
        <w:t>22</w:t>
      </w:r>
      <w:r>
        <w:rPr>
          <w:rFonts w:hint="eastAsia"/>
          <w:bCs/>
          <w:sz w:val="24"/>
        </w:rPr>
        <w:t>、调整基金份额类别的设置；</w:t>
      </w:r>
    </w:p>
    <w:p w14:paraId="400421D5" w14:textId="77777777" w:rsidR="00AC3A9B" w:rsidRDefault="002C3C29">
      <w:pPr>
        <w:spacing w:line="360" w:lineRule="auto"/>
        <w:ind w:firstLineChars="200" w:firstLine="480"/>
        <w:rPr>
          <w:bCs/>
          <w:sz w:val="24"/>
        </w:rPr>
      </w:pPr>
      <w:r>
        <w:rPr>
          <w:bCs/>
          <w:sz w:val="24"/>
        </w:rPr>
        <w:t>23</w:t>
      </w:r>
      <w:r>
        <w:rPr>
          <w:rFonts w:hint="eastAsia"/>
          <w:bCs/>
          <w:sz w:val="24"/>
        </w:rPr>
        <w:t>、基金推出新业务或服务；</w:t>
      </w:r>
    </w:p>
    <w:p w14:paraId="7992D1CD" w14:textId="77777777" w:rsidR="00AC3A9B" w:rsidRDefault="002C3C29">
      <w:pPr>
        <w:spacing w:line="360" w:lineRule="auto"/>
        <w:ind w:firstLineChars="200" w:firstLine="480"/>
        <w:rPr>
          <w:bCs/>
          <w:sz w:val="24"/>
        </w:rPr>
      </w:pPr>
      <w:r>
        <w:rPr>
          <w:bCs/>
          <w:sz w:val="24"/>
        </w:rPr>
        <w:t>24</w:t>
      </w:r>
      <w:r>
        <w:rPr>
          <w:rFonts w:hint="eastAsia"/>
          <w:bCs/>
          <w:sz w:val="24"/>
        </w:rPr>
        <w:t>、基金信息披露义务人认为可能对基金份额持有人权益或者基金份额的价格产生重大影响的其他事项或中国证监会规定的其他事项。</w:t>
      </w:r>
    </w:p>
    <w:p w14:paraId="1087951E" w14:textId="77777777" w:rsidR="00AC3A9B" w:rsidRDefault="00AC3A9B">
      <w:pPr>
        <w:autoSpaceDE w:val="0"/>
        <w:autoSpaceDN w:val="0"/>
        <w:spacing w:line="360" w:lineRule="auto"/>
        <w:ind w:firstLineChars="200" w:firstLine="480"/>
        <w:textAlignment w:val="bottom"/>
        <w:rPr>
          <w:bCs/>
          <w:sz w:val="24"/>
        </w:rPr>
      </w:pPr>
    </w:p>
    <w:p w14:paraId="3C706C40" w14:textId="77777777" w:rsidR="00AC3A9B" w:rsidRDefault="002C3C29">
      <w:pPr>
        <w:autoSpaceDE w:val="0"/>
        <w:autoSpaceDN w:val="0"/>
        <w:spacing w:line="360" w:lineRule="auto"/>
        <w:ind w:firstLineChars="200" w:firstLine="480"/>
        <w:textAlignment w:val="bottom"/>
        <w:rPr>
          <w:bCs/>
          <w:sz w:val="24"/>
        </w:rPr>
      </w:pPr>
      <w:r>
        <w:rPr>
          <w:bCs/>
          <w:sz w:val="24"/>
        </w:rPr>
        <w:t>（</w:t>
      </w:r>
      <w:r>
        <w:rPr>
          <w:rFonts w:hint="eastAsia"/>
          <w:bCs/>
          <w:sz w:val="24"/>
        </w:rPr>
        <w:t>八</w:t>
      </w:r>
      <w:r>
        <w:rPr>
          <w:bCs/>
          <w:sz w:val="24"/>
        </w:rPr>
        <w:t>）澄清公告</w:t>
      </w:r>
    </w:p>
    <w:p w14:paraId="3FF5B09C" w14:textId="77777777" w:rsidR="00AC3A9B" w:rsidRDefault="002C3C29">
      <w:pPr>
        <w:autoSpaceDE w:val="0"/>
        <w:autoSpaceDN w:val="0"/>
        <w:spacing w:line="360" w:lineRule="auto"/>
        <w:ind w:firstLineChars="200" w:firstLine="480"/>
        <w:textAlignment w:val="bottom"/>
        <w:rPr>
          <w:bCs/>
          <w:kern w:val="0"/>
          <w:sz w:val="24"/>
        </w:rPr>
      </w:pPr>
      <w:r>
        <w:rPr>
          <w:rFonts w:hint="eastAsia"/>
          <w:bCs/>
          <w:kern w:val="0"/>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4F8536F3" w14:textId="77777777" w:rsidR="00AC3A9B" w:rsidRDefault="002C3C29">
      <w:pPr>
        <w:spacing w:line="360" w:lineRule="auto"/>
        <w:ind w:firstLineChars="200" w:firstLine="480"/>
        <w:rPr>
          <w:bCs/>
          <w:sz w:val="24"/>
        </w:rPr>
      </w:pPr>
      <w:r>
        <w:rPr>
          <w:rFonts w:hint="eastAsia"/>
          <w:bCs/>
          <w:sz w:val="24"/>
        </w:rPr>
        <w:t>（九）清算报告</w:t>
      </w:r>
    </w:p>
    <w:p w14:paraId="4499DFCB" w14:textId="77777777" w:rsidR="00AC3A9B" w:rsidRDefault="002C3C29">
      <w:pPr>
        <w:autoSpaceDE w:val="0"/>
        <w:autoSpaceDN w:val="0"/>
        <w:spacing w:line="360" w:lineRule="auto"/>
        <w:ind w:firstLineChars="200" w:firstLine="480"/>
        <w:textAlignment w:val="bottom"/>
        <w:rPr>
          <w:bCs/>
          <w:sz w:val="24"/>
        </w:rPr>
      </w:pPr>
      <w:r>
        <w:rPr>
          <w:rFonts w:hint="eastAsia"/>
          <w:bCs/>
          <w:kern w:val="0"/>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5E2B4E94" w14:textId="77777777" w:rsidR="00AC3A9B" w:rsidRDefault="002C3C29">
      <w:pPr>
        <w:autoSpaceDE w:val="0"/>
        <w:autoSpaceDN w:val="0"/>
        <w:spacing w:line="360" w:lineRule="auto"/>
        <w:ind w:firstLineChars="200" w:firstLine="480"/>
        <w:textAlignment w:val="bottom"/>
        <w:rPr>
          <w:bCs/>
          <w:sz w:val="24"/>
        </w:rPr>
      </w:pPr>
      <w:r>
        <w:rPr>
          <w:bCs/>
          <w:sz w:val="24"/>
        </w:rPr>
        <w:t>（</w:t>
      </w:r>
      <w:r>
        <w:rPr>
          <w:rFonts w:hint="eastAsia"/>
          <w:bCs/>
          <w:sz w:val="24"/>
        </w:rPr>
        <w:t>十</w:t>
      </w:r>
      <w:r>
        <w:rPr>
          <w:bCs/>
          <w:sz w:val="24"/>
        </w:rPr>
        <w:t>）基金份额持有人大会决议</w:t>
      </w:r>
    </w:p>
    <w:p w14:paraId="3E7269D2" w14:textId="77777777" w:rsidR="00AC3A9B" w:rsidRDefault="002C3C29">
      <w:pPr>
        <w:autoSpaceDE w:val="0"/>
        <w:autoSpaceDN w:val="0"/>
        <w:spacing w:line="360" w:lineRule="auto"/>
        <w:ind w:firstLineChars="200" w:firstLine="480"/>
        <w:textAlignment w:val="bottom"/>
        <w:rPr>
          <w:bCs/>
          <w:sz w:val="24"/>
        </w:rPr>
      </w:pPr>
      <w:r>
        <w:rPr>
          <w:bCs/>
          <w:sz w:val="24"/>
        </w:rPr>
        <w:t>基金份额持有人大会决定的事项，应当依法报</w:t>
      </w:r>
      <w:r>
        <w:rPr>
          <w:rFonts w:hint="eastAsia"/>
          <w:bCs/>
          <w:sz w:val="24"/>
        </w:rPr>
        <w:t>中国证监会</w:t>
      </w:r>
      <w:r>
        <w:rPr>
          <w:bCs/>
          <w:sz w:val="24"/>
        </w:rPr>
        <w:t>备案，并予以公告。</w:t>
      </w:r>
    </w:p>
    <w:p w14:paraId="46525FE6"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（十一）投资股指期货的信息披露</w:t>
      </w:r>
    </w:p>
    <w:p w14:paraId="6135E6C0"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w:t>
      </w:r>
      <w:r>
        <w:rPr>
          <w:rFonts w:hint="eastAsia"/>
          <w:bCs/>
          <w:sz w:val="24"/>
        </w:rPr>
        <w:lastRenderedPageBreak/>
        <w:t>及是否符合既定的投资政策和投资目标等。</w:t>
      </w:r>
    </w:p>
    <w:p w14:paraId="6BE238AD" w14:textId="77777777" w:rsidR="00AC3A9B" w:rsidRDefault="002C3C29">
      <w:pPr>
        <w:spacing w:line="360" w:lineRule="auto"/>
        <w:ind w:firstLineChars="200" w:firstLine="480"/>
        <w:rPr>
          <w:bCs/>
          <w:sz w:val="24"/>
        </w:rPr>
      </w:pPr>
      <w:r>
        <w:rPr>
          <w:rFonts w:hint="eastAsia"/>
          <w:bCs/>
          <w:sz w:val="24"/>
        </w:rPr>
        <w:t>（十二）投资国债期货的信息披露</w:t>
      </w:r>
    </w:p>
    <w:p w14:paraId="60A53863" w14:textId="77777777" w:rsidR="00AC3A9B" w:rsidRDefault="002C3C29">
      <w:pPr>
        <w:spacing w:line="360" w:lineRule="auto"/>
        <w:ind w:firstLineChars="200" w:firstLine="480"/>
        <w:rPr>
          <w:bCs/>
          <w:sz w:val="24"/>
        </w:rPr>
      </w:pPr>
      <w:r>
        <w:rPr>
          <w:rFonts w:hint="eastAsia"/>
          <w:bCs/>
          <w:sz w:val="24"/>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3D710B67" w14:textId="77777777" w:rsidR="00AC3A9B" w:rsidRDefault="002C3C29">
      <w:pPr>
        <w:spacing w:line="360" w:lineRule="auto"/>
        <w:ind w:firstLineChars="200" w:firstLine="480"/>
        <w:rPr>
          <w:bCs/>
          <w:sz w:val="24"/>
        </w:rPr>
      </w:pPr>
      <w:r>
        <w:rPr>
          <w:bCs/>
          <w:sz w:val="24"/>
        </w:rPr>
        <w:t>（十</w:t>
      </w:r>
      <w:r>
        <w:rPr>
          <w:rFonts w:hint="eastAsia"/>
          <w:bCs/>
          <w:sz w:val="24"/>
        </w:rPr>
        <w:t>三</w:t>
      </w:r>
      <w:r>
        <w:rPr>
          <w:bCs/>
          <w:sz w:val="24"/>
        </w:rPr>
        <w:t>）</w:t>
      </w:r>
      <w:r>
        <w:rPr>
          <w:rFonts w:hint="eastAsia"/>
          <w:bCs/>
          <w:sz w:val="24"/>
        </w:rPr>
        <w:t>投资</w:t>
      </w:r>
      <w:r>
        <w:rPr>
          <w:bCs/>
          <w:sz w:val="24"/>
        </w:rPr>
        <w:t>股票期权</w:t>
      </w:r>
      <w:r>
        <w:rPr>
          <w:rFonts w:hint="eastAsia"/>
          <w:bCs/>
          <w:sz w:val="24"/>
        </w:rPr>
        <w:t>的信息披露</w:t>
      </w:r>
    </w:p>
    <w:p w14:paraId="34CF354D"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基金管理人应当</w:t>
      </w:r>
      <w:r>
        <w:rPr>
          <w:bCs/>
          <w:sz w:val="24"/>
        </w:rPr>
        <w:t>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0C3C9E5F"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（十四）投资中小企业私募债券的信息披露</w:t>
      </w:r>
    </w:p>
    <w:p w14:paraId="0C945C5C"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基金管理人应当在基金投资中小企业私募债券后</w:t>
      </w:r>
      <w:r>
        <w:rPr>
          <w:rFonts w:hint="eastAsia"/>
          <w:bCs/>
          <w:sz w:val="24"/>
        </w:rPr>
        <w:t>2</w:t>
      </w:r>
      <w:r>
        <w:rPr>
          <w:rFonts w:hint="eastAsia"/>
          <w:bCs/>
          <w:sz w:val="24"/>
        </w:rPr>
        <w:t>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32A7F197"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（十五）投资资产支持证券的信息披露</w:t>
      </w:r>
    </w:p>
    <w:p w14:paraId="6FEC0239" w14:textId="77777777" w:rsidR="00AC3A9B" w:rsidRDefault="002C3C29">
      <w:pPr>
        <w:autoSpaceDE w:val="0"/>
        <w:autoSpaceDN w:val="0"/>
        <w:spacing w:line="360" w:lineRule="auto"/>
        <w:ind w:firstLineChars="200" w:firstLine="480"/>
        <w:textAlignment w:val="bottom"/>
        <w:rPr>
          <w:bCs/>
          <w:sz w:val="24"/>
        </w:rPr>
      </w:pPr>
      <w:r>
        <w:rPr>
          <w:rFonts w:hint="eastAsia"/>
          <w:bCs/>
          <w:sz w:val="24"/>
        </w:rPr>
        <w:t>本基金投资资产支持证券，基金管理人应在基金年报及中期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4C1E32C7" w14:textId="77777777" w:rsidR="00AC3A9B" w:rsidRDefault="002C3C29">
      <w:pPr>
        <w:autoSpaceDE w:val="0"/>
        <w:autoSpaceDN w:val="0"/>
        <w:spacing w:line="360" w:lineRule="auto"/>
        <w:ind w:firstLineChars="200" w:firstLine="480"/>
        <w:textAlignment w:val="bottom"/>
        <w:rPr>
          <w:bCs/>
          <w:sz w:val="24"/>
        </w:rPr>
      </w:pPr>
      <w:r>
        <w:rPr>
          <w:bCs/>
          <w:sz w:val="24"/>
        </w:rPr>
        <w:t>（十</w:t>
      </w:r>
      <w:r>
        <w:rPr>
          <w:rFonts w:hint="eastAsia"/>
          <w:bCs/>
          <w:sz w:val="24"/>
        </w:rPr>
        <w:t>六</w:t>
      </w:r>
      <w:r>
        <w:rPr>
          <w:bCs/>
          <w:sz w:val="24"/>
        </w:rPr>
        <w:t>）中国证监会规定的其他信息。</w:t>
      </w:r>
    </w:p>
    <w:p w14:paraId="3D8ECFB0" w14:textId="77777777" w:rsidR="00AC3A9B" w:rsidRDefault="002C3C29">
      <w:pPr>
        <w:autoSpaceDE w:val="0"/>
        <w:autoSpaceDN w:val="0"/>
        <w:spacing w:line="360" w:lineRule="auto"/>
        <w:ind w:firstLineChars="200" w:firstLine="480"/>
        <w:textAlignment w:val="bottom"/>
        <w:rPr>
          <w:bCs/>
          <w:sz w:val="24"/>
        </w:rPr>
      </w:pPr>
      <w:r>
        <w:rPr>
          <w:bCs/>
          <w:sz w:val="24"/>
        </w:rPr>
        <w:t>六、信息披露事务管理</w:t>
      </w:r>
    </w:p>
    <w:p w14:paraId="2AC27326" w14:textId="77777777" w:rsidR="00AC3A9B" w:rsidRDefault="002C3C29">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00C834FA" w14:textId="77777777" w:rsidR="00AC3A9B" w:rsidRDefault="002C3C29">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14:paraId="1BA508D4" w14:textId="77777777" w:rsidR="00AC3A9B" w:rsidRDefault="002C3C29">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基金托管人应当按照相关法律法规、中国证监会的规定和基金合同的约定，对基金管理人编制的基金资产净值、基金份额净值、基金份额申购赎回对价、基</w:t>
      </w:r>
      <w:r>
        <w:rPr>
          <w:rFonts w:hint="eastAsia"/>
          <w:bCs/>
          <w:sz w:val="24"/>
        </w:rPr>
        <w:lastRenderedPageBreak/>
        <w:t>金定期报告、更新的招募说明书、基金产品资料概要、基金清算报告等公开披露的相关基金信息进行进行复核、审查，并向基金管理人进行书面或电子确认。</w:t>
      </w:r>
    </w:p>
    <w:p w14:paraId="255074BA" w14:textId="77777777" w:rsidR="00AC3A9B" w:rsidRDefault="002C3C29">
      <w:pPr>
        <w:spacing w:line="360" w:lineRule="auto"/>
        <w:ind w:firstLineChars="200" w:firstLine="480"/>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1A9ABC08" w14:textId="77777777" w:rsidR="00AC3A9B" w:rsidRDefault="002C3C29">
      <w:pPr>
        <w:spacing w:line="360" w:lineRule="auto"/>
        <w:ind w:firstLineChars="200" w:firstLine="480"/>
        <w:rPr>
          <w:bCs/>
          <w:sz w:val="24"/>
        </w:rPr>
      </w:pPr>
      <w:r>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3D2C406E" w14:textId="77777777" w:rsidR="00AC3A9B" w:rsidRDefault="002C3C29">
      <w:pPr>
        <w:autoSpaceDE w:val="0"/>
        <w:autoSpaceDN w:val="0"/>
        <w:spacing w:line="360" w:lineRule="auto"/>
        <w:ind w:firstLineChars="200" w:firstLine="480"/>
        <w:textAlignment w:val="bottom"/>
        <w:rPr>
          <w:bCs/>
          <w:sz w:val="24"/>
        </w:rPr>
      </w:pPr>
      <w:r>
        <w:rPr>
          <w:rFonts w:hint="eastAsia"/>
          <w:bCs/>
          <w:kern w:val="0"/>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5B0A306" w14:textId="77777777" w:rsidR="00AC3A9B" w:rsidRDefault="002C3C29">
      <w:pPr>
        <w:autoSpaceDE w:val="0"/>
        <w:autoSpaceDN w:val="0"/>
        <w:spacing w:line="360" w:lineRule="auto"/>
        <w:ind w:firstLineChars="200" w:firstLine="480"/>
        <w:textAlignment w:val="bottom"/>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446B0448" w14:textId="77777777" w:rsidR="00AC3A9B" w:rsidRDefault="002C3C29">
      <w:pPr>
        <w:autoSpaceDE w:val="0"/>
        <w:autoSpaceDN w:val="0"/>
        <w:spacing w:line="360" w:lineRule="auto"/>
        <w:ind w:firstLineChars="200" w:firstLine="480"/>
        <w:textAlignment w:val="bottom"/>
        <w:rPr>
          <w:bCs/>
          <w:sz w:val="24"/>
        </w:rPr>
      </w:pPr>
      <w:r>
        <w:rPr>
          <w:bCs/>
          <w:sz w:val="24"/>
        </w:rPr>
        <w:t>七、信息披露文件的存放与查阅</w:t>
      </w:r>
    </w:p>
    <w:p w14:paraId="58901599" w14:textId="77777777" w:rsidR="00AC3A9B" w:rsidRDefault="002C3C29">
      <w:pPr>
        <w:autoSpaceDE w:val="0"/>
        <w:autoSpaceDN w:val="0"/>
        <w:spacing w:line="360" w:lineRule="auto"/>
        <w:ind w:firstLineChars="200" w:firstLine="480"/>
        <w:textAlignment w:val="bottom"/>
        <w:rPr>
          <w:rFonts w:asciiTheme="minorEastAsia" w:hAnsiTheme="minorEastAsia" w:cs="Times New Roman"/>
          <w:b/>
          <w:bCs/>
          <w:sz w:val="24"/>
          <w:szCs w:val="24"/>
        </w:rPr>
      </w:pPr>
      <w:r>
        <w:rPr>
          <w:rFonts w:hint="eastAsia"/>
          <w:bCs/>
          <w:kern w:val="0"/>
          <w:sz w:val="24"/>
        </w:rPr>
        <w:t>依法必须披露的信息发布后，基金管理人、基金托管人应当按照相关法律法规规定将信息置备于公司住所、基金上市交易的证券交易所，供社会公众查阅、复制。</w:t>
      </w:r>
    </w:p>
    <w:p w14:paraId="2A996773" w14:textId="77777777" w:rsidR="00AC3A9B" w:rsidRDefault="00AC3A9B">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AC3A9B">
          <w:footerReference w:type="default" r:id="rId39"/>
          <w:pgSz w:w="11906" w:h="16838"/>
          <w:pgMar w:top="1440" w:right="1800" w:bottom="1440" w:left="1800" w:header="851" w:footer="992" w:gutter="0"/>
          <w:pgNumType w:chapStyle="1"/>
          <w:cols w:space="720"/>
          <w:docGrid w:type="lines" w:linePitch="312"/>
        </w:sectPr>
      </w:pPr>
      <w:bookmarkStart w:id="309" w:name="_Toc21073398"/>
      <w:bookmarkStart w:id="310" w:name="_Toc263092324"/>
      <w:bookmarkStart w:id="311" w:name="_Toc214873605"/>
      <w:bookmarkStart w:id="312" w:name="_Toc147463125"/>
      <w:bookmarkStart w:id="313" w:name="_Toc12357178"/>
      <w:bookmarkStart w:id="314" w:name="_Toc416264552"/>
      <w:bookmarkStart w:id="315" w:name="_Toc92662708"/>
      <w:bookmarkStart w:id="316" w:name="_Toc93226150"/>
      <w:bookmarkStart w:id="317" w:name="_Toc128310500"/>
      <w:bookmarkStart w:id="318" w:name="_Toc21206"/>
      <w:bookmarkStart w:id="319" w:name="_Toc139991747"/>
      <w:bookmarkStart w:id="320" w:name="_Toc13255"/>
      <w:bookmarkStart w:id="321" w:name="_Toc141703897"/>
      <w:bookmarkStart w:id="322" w:name="_Toc17499"/>
      <w:bookmarkStart w:id="323" w:name="_Toc29695"/>
      <w:bookmarkStart w:id="324" w:name="_Toc23859"/>
      <w:bookmarkStart w:id="325" w:name="_Toc352229763"/>
      <w:bookmarkStart w:id="326" w:name="_Toc10894"/>
      <w:bookmarkStart w:id="327" w:name="_Toc18007"/>
      <w:bookmarkStart w:id="328" w:name="_Toc31736"/>
      <w:bookmarkStart w:id="329" w:name="_Toc28961"/>
      <w:bookmarkStart w:id="330" w:name="_Toc1043"/>
      <w:bookmarkStart w:id="331" w:name="_Toc18747"/>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5A226A96" w14:textId="77777777" w:rsidR="00AC3A9B" w:rsidRDefault="002C3C29">
      <w:pPr>
        <w:pStyle w:val="1"/>
        <w:jc w:val="center"/>
        <w:rPr>
          <w:sz w:val="30"/>
          <w:szCs w:val="30"/>
        </w:rPr>
      </w:pPr>
      <w:bookmarkStart w:id="332" w:name="_Toc37770219"/>
      <w:r>
        <w:rPr>
          <w:rFonts w:hint="eastAsia"/>
          <w:sz w:val="30"/>
          <w:szCs w:val="30"/>
        </w:rPr>
        <w:lastRenderedPageBreak/>
        <w:t>第十六部分</w:t>
      </w:r>
      <w:r>
        <w:rPr>
          <w:sz w:val="30"/>
          <w:szCs w:val="30"/>
        </w:rPr>
        <w:t xml:space="preserve">  </w:t>
      </w:r>
      <w:r>
        <w:rPr>
          <w:rFonts w:hint="eastAsia"/>
          <w:sz w:val="30"/>
          <w:szCs w:val="30"/>
        </w:rPr>
        <w:t>风险揭示</w:t>
      </w:r>
      <w:bookmarkEnd w:id="309"/>
      <w:bookmarkEnd w:id="310"/>
      <w:bookmarkEnd w:id="311"/>
      <w:bookmarkEnd w:id="312"/>
      <w:bookmarkEnd w:id="313"/>
      <w:bookmarkEnd w:id="314"/>
      <w:bookmarkEnd w:id="332"/>
    </w:p>
    <w:p w14:paraId="755FE517"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Times New Roman" w:hint="eastAsia"/>
          <w:sz w:val="24"/>
          <w:szCs w:val="24"/>
        </w:rPr>
        <w:t>一、投资于本基金的主要风险</w:t>
      </w:r>
    </w:p>
    <w:p w14:paraId="7AE49312"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2DEB1326"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2E4A6B27"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77FD828B"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5386045C"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57620C9F"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678B0960"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BF38B01"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29288B1E"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136DCB01"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76119550"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1B9A27DC"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（1）拟投资市场、行业及资产的流动性风险评估</w:t>
      </w:r>
    </w:p>
    <w:p w14:paraId="03F7D7E6"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w:t>
      </w:r>
    </w:p>
    <w:p w14:paraId="56225624"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 xml:space="preserve">（2）巨额赎回情形下的流动性风险管理措施 </w:t>
      </w:r>
    </w:p>
    <w:p w14:paraId="7E4F76C5"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498C5FA6"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（3）实施备用的流动性风险管理工具的情形、程序及对投资者的潜在影响</w:t>
      </w:r>
    </w:p>
    <w:p w14:paraId="293E355A"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52919390"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35D6DB4C"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0EA7C03D"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54869E87"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4B7C8DFD"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、合规风险</w:t>
      </w:r>
    </w:p>
    <w:p w14:paraId="046000CD"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合规风险指基金管理或运作过程中，违反国家法律、法规的规定，或者违反《基金合同》有关规定的风险。</w:t>
      </w:r>
    </w:p>
    <w:p w14:paraId="720B5C6F"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二、投资于本基金的特有风险</w:t>
      </w:r>
    </w:p>
    <w:p w14:paraId="38E615B8"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w:t>
      </w:r>
      <w:r>
        <w:rPr>
          <w:rFonts w:asciiTheme="minorEastAsia" w:hAnsiTheme="minorEastAsia" w:cs="Arial" w:hint="eastAsia"/>
          <w:bCs/>
          <w:sz w:val="24"/>
          <w:szCs w:val="24"/>
        </w:rPr>
        <w:lastRenderedPageBreak/>
        <w:t>出的上市公司股票，这种对股票的评估具有一定的主观性，将在个股投资决策中给基金带来一定的不确定性，因而存在个股选择风险。</w:t>
      </w:r>
    </w:p>
    <w:p w14:paraId="6DDC165F"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、股指期货、国债期货等金融衍生品投资风险</w:t>
      </w:r>
    </w:p>
    <w:p w14:paraId="2F53353F"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262E79BF"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60014F47"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、中小企业私募债券投资风险</w:t>
      </w:r>
    </w:p>
    <w:p w14:paraId="2D4B4E28"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3D021592"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4、资产支持证券投资风险</w:t>
      </w:r>
    </w:p>
    <w:p w14:paraId="14024EFE"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ABS）或资产支持票据（ABN）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379D2EA8"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5、股票期权投资风险</w:t>
      </w:r>
    </w:p>
    <w:p w14:paraId="2413A858"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本基金可投资于股票期权，投资股票期权主要存在市场风险、流动性风险、保证金风险、信用风险、操作风险等风险，极端情况下会给投资组合带来较大损</w:t>
      </w:r>
      <w:r>
        <w:rPr>
          <w:rFonts w:asciiTheme="minorEastAsia" w:hAnsiTheme="minorEastAsia" w:cs="Arial" w:hint="eastAsia"/>
          <w:bCs/>
          <w:sz w:val="24"/>
          <w:szCs w:val="24"/>
        </w:rPr>
        <w:lastRenderedPageBreak/>
        <w:t>失。</w:t>
      </w:r>
    </w:p>
    <w:p w14:paraId="212DEC1F"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6、存托凭证投资风险</w:t>
      </w:r>
    </w:p>
    <w:p w14:paraId="79C824EB"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托协议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0E3D4C67"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三、其他风险</w:t>
      </w:r>
    </w:p>
    <w:p w14:paraId="60A8B6CD"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4379B6D5"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2F67D37C"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、法律风险</w:t>
      </w:r>
    </w:p>
    <w:p w14:paraId="3D29082D"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6A2B6ECD"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1F46A11E" w14:textId="77777777" w:rsidR="00AC3A9B" w:rsidRDefault="002C3C29">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739FABED" w14:textId="77777777" w:rsidR="00AC3A9B" w:rsidRDefault="00AC3A9B">
      <w:pPr>
        <w:widowControl/>
        <w:spacing w:line="360" w:lineRule="auto"/>
        <w:jc w:val="left"/>
        <w:rPr>
          <w:rFonts w:asciiTheme="minorEastAsia" w:hAnsiTheme="minorEastAsia" w:cs="Times New Roman"/>
          <w:b/>
          <w:bCs/>
          <w:kern w:val="44"/>
          <w:sz w:val="24"/>
          <w:szCs w:val="24"/>
        </w:rPr>
        <w:sectPr w:rsidR="00AC3A9B">
          <w:footerReference w:type="default" r:id="rId40"/>
          <w:pgSz w:w="11906" w:h="16838"/>
          <w:pgMar w:top="1440" w:right="1800" w:bottom="1440" w:left="1800" w:header="851" w:footer="992" w:gutter="0"/>
          <w:pgNumType w:chapStyle="1"/>
          <w:cols w:space="720"/>
          <w:docGrid w:type="lines" w:linePitch="312"/>
        </w:sectPr>
      </w:pPr>
    </w:p>
    <w:p w14:paraId="4F938D7F" w14:textId="77777777" w:rsidR="00AC3A9B" w:rsidRDefault="002C3C29">
      <w:pPr>
        <w:pStyle w:val="1"/>
        <w:ind w:firstLine="600"/>
        <w:jc w:val="center"/>
      </w:pPr>
      <w:bookmarkStart w:id="333" w:name="_Toc37770220"/>
      <w:r>
        <w:rPr>
          <w:rFonts w:hint="eastAsia"/>
          <w:sz w:val="30"/>
          <w:szCs w:val="30"/>
        </w:rPr>
        <w:lastRenderedPageBreak/>
        <w:t>第十七部分</w:t>
      </w:r>
      <w:r>
        <w:rPr>
          <w:sz w:val="30"/>
          <w:szCs w:val="30"/>
        </w:rPr>
        <w:t xml:space="preserve">  </w:t>
      </w:r>
      <w:bookmarkEnd w:id="315"/>
      <w:bookmarkEnd w:id="316"/>
      <w:r>
        <w:rPr>
          <w:rFonts w:hint="eastAsia"/>
          <w:sz w:val="30"/>
          <w:szCs w:val="30"/>
        </w:rPr>
        <w:t>基金合同的变更、终止与基金财产的清算</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3"/>
    </w:p>
    <w:p w14:paraId="6AA81847" w14:textId="77777777" w:rsidR="00AC3A9B" w:rsidRDefault="002C3C29">
      <w:pPr>
        <w:autoSpaceDE w:val="0"/>
        <w:autoSpaceDN w:val="0"/>
        <w:spacing w:line="360" w:lineRule="auto"/>
        <w:ind w:firstLineChars="200" w:firstLine="480"/>
        <w:textAlignment w:val="bottom"/>
        <w:rPr>
          <w:bCs/>
          <w:sz w:val="24"/>
        </w:rPr>
      </w:pPr>
      <w:bookmarkStart w:id="334" w:name="_Toc79392639"/>
      <w:bookmarkStart w:id="335" w:name="_Toc11802"/>
      <w:bookmarkStart w:id="336" w:name="_Toc8512"/>
      <w:bookmarkStart w:id="337" w:name="_Toc11049"/>
      <w:bookmarkStart w:id="338" w:name="_Toc193"/>
      <w:bookmarkStart w:id="339" w:name="_Toc1421"/>
      <w:bookmarkStart w:id="340" w:name="_Toc1173"/>
      <w:bookmarkStart w:id="341" w:name="_Toc12028"/>
      <w:bookmarkStart w:id="342" w:name="_Toc31866"/>
      <w:bookmarkStart w:id="343" w:name="_Toc352229764"/>
      <w:bookmarkStart w:id="344" w:name="_Toc139991748"/>
      <w:bookmarkStart w:id="345" w:name="_Toc3056"/>
      <w:bookmarkStart w:id="346" w:name="_Toc92662709"/>
      <w:bookmarkStart w:id="347" w:name="_Toc128310501"/>
      <w:bookmarkStart w:id="348" w:name="_Toc141703898"/>
      <w:bookmarkStart w:id="349" w:name="_Toc29289"/>
      <w:bookmarkStart w:id="350" w:name="_Toc21351"/>
      <w:bookmarkStart w:id="351" w:name="_Toc93226151"/>
      <w:r>
        <w:rPr>
          <w:bCs/>
          <w:sz w:val="24"/>
        </w:rPr>
        <w:t>一、《基金合同》的变更</w:t>
      </w:r>
      <w:bookmarkEnd w:id="334"/>
    </w:p>
    <w:p w14:paraId="4DB83F26" w14:textId="77777777" w:rsidR="00AC3A9B" w:rsidRDefault="002C3C29">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w:t>
      </w:r>
      <w:r>
        <w:rPr>
          <w:rFonts w:hint="eastAsia"/>
          <w:bCs/>
          <w:sz w:val="24"/>
        </w:rPr>
        <w:t>基金</w:t>
      </w:r>
      <w:r>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305B691A" w14:textId="77777777" w:rsidR="00AC3A9B" w:rsidRDefault="002C3C29">
      <w:pPr>
        <w:autoSpaceDE w:val="0"/>
        <w:autoSpaceDN w:val="0"/>
        <w:spacing w:line="360" w:lineRule="auto"/>
        <w:ind w:firstLineChars="200" w:firstLine="480"/>
        <w:textAlignment w:val="bottom"/>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r>
        <w:rPr>
          <w:bCs/>
          <w:sz w:val="24"/>
        </w:rPr>
        <w:t>自决议生效后两</w:t>
      </w:r>
      <w:r>
        <w:rPr>
          <w:rFonts w:hint="eastAsia"/>
          <w:bCs/>
          <w:sz w:val="24"/>
        </w:rPr>
        <w:t>个工作</w:t>
      </w:r>
      <w:r>
        <w:rPr>
          <w:bCs/>
          <w:sz w:val="24"/>
        </w:rPr>
        <w:t>日内在指定媒介公告。</w:t>
      </w:r>
    </w:p>
    <w:p w14:paraId="3DDBCB2F" w14:textId="77777777" w:rsidR="00AC3A9B" w:rsidRDefault="002C3C29">
      <w:pPr>
        <w:autoSpaceDE w:val="0"/>
        <w:autoSpaceDN w:val="0"/>
        <w:spacing w:line="360" w:lineRule="auto"/>
        <w:ind w:firstLineChars="200" w:firstLine="480"/>
        <w:textAlignment w:val="bottom"/>
        <w:rPr>
          <w:bCs/>
          <w:sz w:val="24"/>
        </w:rPr>
      </w:pPr>
      <w:r>
        <w:rPr>
          <w:bCs/>
          <w:sz w:val="24"/>
        </w:rPr>
        <w:t>二、《基金合同》的终止事由</w:t>
      </w:r>
    </w:p>
    <w:p w14:paraId="340EA184" w14:textId="77777777" w:rsidR="00AC3A9B" w:rsidRDefault="002C3C29">
      <w:pPr>
        <w:autoSpaceDE w:val="0"/>
        <w:autoSpaceDN w:val="0"/>
        <w:spacing w:line="360" w:lineRule="auto"/>
        <w:ind w:firstLineChars="200" w:firstLine="480"/>
        <w:textAlignment w:val="bottom"/>
        <w:rPr>
          <w:bCs/>
          <w:sz w:val="24"/>
        </w:rPr>
      </w:pPr>
      <w:r>
        <w:rPr>
          <w:bCs/>
          <w:sz w:val="24"/>
        </w:rPr>
        <w:t>有下列情形之一的，《基金合同》应当终止：</w:t>
      </w:r>
    </w:p>
    <w:p w14:paraId="30571DD2" w14:textId="77777777" w:rsidR="00AC3A9B" w:rsidRDefault="002C3C29">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191FC51A" w14:textId="77777777" w:rsidR="00AC3A9B" w:rsidRDefault="002C3C29">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2D938AE" w14:textId="77777777" w:rsidR="00AC3A9B" w:rsidRDefault="002C3C29">
      <w:pPr>
        <w:autoSpaceDE w:val="0"/>
        <w:autoSpaceDN w:val="0"/>
        <w:spacing w:line="360" w:lineRule="auto"/>
        <w:ind w:firstLineChars="200" w:firstLine="480"/>
        <w:textAlignment w:val="bottom"/>
        <w:rPr>
          <w:bCs/>
          <w:sz w:val="24"/>
        </w:rPr>
      </w:pPr>
      <w:r>
        <w:rPr>
          <w:rFonts w:hint="eastAsia"/>
          <w:bCs/>
          <w:sz w:val="24"/>
        </w:rPr>
        <w:t>3</w:t>
      </w:r>
      <w:r>
        <w:rPr>
          <w:bCs/>
          <w:sz w:val="24"/>
        </w:rPr>
        <w:t>、《基金合同》约定的其他情形；</w:t>
      </w:r>
    </w:p>
    <w:p w14:paraId="12605AEF" w14:textId="77777777" w:rsidR="00AC3A9B" w:rsidRDefault="002C3C29">
      <w:pPr>
        <w:autoSpaceDE w:val="0"/>
        <w:autoSpaceDN w:val="0"/>
        <w:spacing w:line="360" w:lineRule="auto"/>
        <w:ind w:firstLineChars="200" w:firstLine="480"/>
        <w:textAlignment w:val="bottom"/>
        <w:rPr>
          <w:bCs/>
          <w:sz w:val="24"/>
        </w:rPr>
      </w:pPr>
      <w:r>
        <w:rPr>
          <w:rFonts w:hint="eastAsia"/>
          <w:bCs/>
          <w:sz w:val="24"/>
        </w:rPr>
        <w:t>4</w:t>
      </w:r>
      <w:r>
        <w:rPr>
          <w:bCs/>
          <w:sz w:val="24"/>
        </w:rPr>
        <w:t>、相关法律法规和中国证监会规定的其他情况。</w:t>
      </w:r>
    </w:p>
    <w:p w14:paraId="158D2FB6" w14:textId="77777777" w:rsidR="00AC3A9B" w:rsidRDefault="002C3C29">
      <w:pPr>
        <w:autoSpaceDE w:val="0"/>
        <w:autoSpaceDN w:val="0"/>
        <w:spacing w:line="360" w:lineRule="auto"/>
        <w:ind w:firstLineChars="200" w:firstLine="480"/>
        <w:textAlignment w:val="bottom"/>
        <w:rPr>
          <w:bCs/>
          <w:sz w:val="24"/>
        </w:rPr>
      </w:pPr>
      <w:r>
        <w:rPr>
          <w:bCs/>
          <w:sz w:val="24"/>
        </w:rPr>
        <w:t>三、基金财产的清算</w:t>
      </w:r>
    </w:p>
    <w:p w14:paraId="646C0506" w14:textId="77777777" w:rsidR="00AC3A9B" w:rsidRDefault="002C3C29">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1F09A1F4" w14:textId="77777777" w:rsidR="00AC3A9B" w:rsidRDefault="002C3C29">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、基金财产清算小组组成：基金财产清算小组成员由基金管理人、基金托管人、具有证券</w:t>
      </w:r>
      <w:r>
        <w:rPr>
          <w:rFonts w:hint="eastAsia"/>
          <w:bCs/>
          <w:sz w:val="24"/>
        </w:rPr>
        <w:t>、期货</w:t>
      </w:r>
      <w:r>
        <w:rPr>
          <w:bCs/>
          <w:sz w:val="24"/>
        </w:rPr>
        <w:t>相关业务资格的注册会计师、律师以及中国证监会指定的人员组成。基金财产清算小组可以聘用必要的工作人员。</w:t>
      </w:r>
    </w:p>
    <w:p w14:paraId="4F96E143" w14:textId="77777777" w:rsidR="00AC3A9B" w:rsidRDefault="002C3C29">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6A4C9616" w14:textId="77777777" w:rsidR="00AC3A9B" w:rsidRDefault="002C3C29">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1726C687"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14:paraId="459AD82C"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6063F37D"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7580E4A3"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4</w:t>
      </w:r>
      <w:r>
        <w:rPr>
          <w:bCs/>
          <w:sz w:val="24"/>
        </w:rPr>
        <w:t>）制作清算报告；</w:t>
      </w:r>
    </w:p>
    <w:p w14:paraId="6CD0466F" w14:textId="77777777" w:rsidR="00AC3A9B" w:rsidRDefault="002C3C29">
      <w:pPr>
        <w:autoSpaceDE w:val="0"/>
        <w:autoSpaceDN w:val="0"/>
        <w:spacing w:line="360" w:lineRule="auto"/>
        <w:ind w:firstLineChars="200" w:firstLine="480"/>
        <w:textAlignment w:val="bottom"/>
        <w:rPr>
          <w:bCs/>
          <w:sz w:val="24"/>
        </w:rPr>
      </w:pPr>
      <w:r>
        <w:rPr>
          <w:bCs/>
          <w:sz w:val="24"/>
        </w:rPr>
        <w:lastRenderedPageBreak/>
        <w:t>（</w:t>
      </w:r>
      <w:r>
        <w:rPr>
          <w:bCs/>
          <w:sz w:val="24"/>
        </w:rPr>
        <w:t>5</w:t>
      </w:r>
      <w:r>
        <w:rPr>
          <w:bCs/>
          <w:sz w:val="24"/>
        </w:rPr>
        <w:t>）聘请具有证券</w:t>
      </w:r>
      <w:r>
        <w:rPr>
          <w:rFonts w:hint="eastAsia"/>
          <w:bCs/>
          <w:sz w:val="24"/>
        </w:rPr>
        <w:t>、期货</w:t>
      </w:r>
      <w:r>
        <w:rPr>
          <w:bCs/>
          <w:sz w:val="24"/>
        </w:rPr>
        <w:t>相关业务资格</w:t>
      </w:r>
      <w:r>
        <w:rPr>
          <w:rFonts w:hint="eastAsia"/>
          <w:bCs/>
          <w:sz w:val="24"/>
        </w:rPr>
        <w:t>的</w:t>
      </w:r>
      <w:r>
        <w:rPr>
          <w:bCs/>
          <w:sz w:val="24"/>
        </w:rPr>
        <w:t>会计师事务所对清算报告进行外部审计，聘请律师事务所对清算报告出具法律意见书；</w:t>
      </w:r>
    </w:p>
    <w:p w14:paraId="0D2B0F08"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47EC5F60" w14:textId="77777777" w:rsidR="00AC3A9B" w:rsidRDefault="002C3C29">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5213CBED" w14:textId="77777777" w:rsidR="00AC3A9B" w:rsidRDefault="002C3C29">
      <w:pPr>
        <w:autoSpaceDE w:val="0"/>
        <w:autoSpaceDN w:val="0"/>
        <w:spacing w:line="360" w:lineRule="auto"/>
        <w:ind w:firstLineChars="200" w:firstLine="480"/>
        <w:textAlignment w:val="bottom"/>
        <w:rPr>
          <w:bCs/>
          <w:sz w:val="24"/>
        </w:rPr>
      </w:pPr>
      <w:r>
        <w:rPr>
          <w:bCs/>
          <w:sz w:val="24"/>
        </w:rPr>
        <w:t>5</w:t>
      </w:r>
      <w:r>
        <w:rPr>
          <w:bCs/>
          <w:sz w:val="24"/>
        </w:rPr>
        <w:t>、基金财产清算的期限为</w:t>
      </w:r>
      <w:r>
        <w:rPr>
          <w:rFonts w:hint="eastAsia"/>
          <w:bCs/>
          <w:sz w:val="24"/>
        </w:rPr>
        <w:t>6</w:t>
      </w:r>
      <w:r>
        <w:rPr>
          <w:bCs/>
          <w:sz w:val="24"/>
        </w:rPr>
        <w:t>个月。</w:t>
      </w:r>
    </w:p>
    <w:p w14:paraId="5C832C12" w14:textId="77777777" w:rsidR="00AC3A9B" w:rsidRDefault="002C3C29">
      <w:pPr>
        <w:autoSpaceDE w:val="0"/>
        <w:autoSpaceDN w:val="0"/>
        <w:spacing w:line="360" w:lineRule="auto"/>
        <w:ind w:firstLineChars="200" w:firstLine="480"/>
        <w:textAlignment w:val="bottom"/>
        <w:rPr>
          <w:bCs/>
          <w:sz w:val="24"/>
        </w:rPr>
      </w:pPr>
      <w:r>
        <w:rPr>
          <w:bCs/>
          <w:sz w:val="24"/>
        </w:rPr>
        <w:t>四、清算费用</w:t>
      </w:r>
    </w:p>
    <w:p w14:paraId="2F3E9ABD" w14:textId="77777777" w:rsidR="00AC3A9B" w:rsidRDefault="002C3C29">
      <w:pPr>
        <w:autoSpaceDE w:val="0"/>
        <w:autoSpaceDN w:val="0"/>
        <w:spacing w:line="360" w:lineRule="auto"/>
        <w:ind w:firstLineChars="200" w:firstLine="480"/>
        <w:textAlignment w:val="bottom"/>
        <w:rPr>
          <w:bCs/>
          <w:sz w:val="24"/>
        </w:rPr>
      </w:pPr>
      <w:r>
        <w:rPr>
          <w:bCs/>
          <w:sz w:val="24"/>
        </w:rPr>
        <w:t>清算费用是指基金财产清算小组在进行基金清算过程中发生的所有合理费用，清算费用由基金财产清算小组优先从基金财产中支付。</w:t>
      </w:r>
    </w:p>
    <w:p w14:paraId="0FC3033B" w14:textId="77777777" w:rsidR="00AC3A9B" w:rsidRDefault="002C3C29">
      <w:pPr>
        <w:autoSpaceDE w:val="0"/>
        <w:autoSpaceDN w:val="0"/>
        <w:spacing w:line="360" w:lineRule="auto"/>
        <w:ind w:firstLineChars="200" w:firstLine="480"/>
        <w:textAlignment w:val="bottom"/>
        <w:rPr>
          <w:bCs/>
          <w:sz w:val="24"/>
        </w:rPr>
      </w:pPr>
      <w:r>
        <w:rPr>
          <w:bCs/>
          <w:sz w:val="24"/>
        </w:rPr>
        <w:t>五、基金财产清算剩余资产的分配</w:t>
      </w:r>
    </w:p>
    <w:p w14:paraId="475F953F" w14:textId="77777777" w:rsidR="00AC3A9B" w:rsidRDefault="002C3C29">
      <w:pPr>
        <w:autoSpaceDE w:val="0"/>
        <w:autoSpaceDN w:val="0"/>
        <w:spacing w:line="360" w:lineRule="auto"/>
        <w:ind w:firstLineChars="200" w:firstLine="480"/>
        <w:textAlignment w:val="bottom"/>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38ED6F2C" w14:textId="77777777" w:rsidR="00AC3A9B" w:rsidRDefault="002C3C29">
      <w:pPr>
        <w:autoSpaceDE w:val="0"/>
        <w:autoSpaceDN w:val="0"/>
        <w:spacing w:line="360" w:lineRule="auto"/>
        <w:ind w:firstLineChars="200" w:firstLine="480"/>
        <w:textAlignment w:val="bottom"/>
        <w:rPr>
          <w:bCs/>
          <w:sz w:val="24"/>
        </w:rPr>
      </w:pPr>
      <w:r>
        <w:rPr>
          <w:bCs/>
          <w:sz w:val="24"/>
        </w:rPr>
        <w:t>六、基金财产清算的公告</w:t>
      </w:r>
    </w:p>
    <w:p w14:paraId="07CECA4C" w14:textId="77777777" w:rsidR="00AC3A9B" w:rsidRDefault="002C3C29">
      <w:pPr>
        <w:autoSpaceDE w:val="0"/>
        <w:autoSpaceDN w:val="0"/>
        <w:spacing w:line="360" w:lineRule="auto"/>
        <w:ind w:firstLineChars="200" w:firstLine="480"/>
        <w:textAlignment w:val="bottom"/>
        <w:rPr>
          <w:bCs/>
          <w:sz w:val="24"/>
        </w:rPr>
      </w:pPr>
      <w:r>
        <w:rPr>
          <w:bCs/>
          <w:sz w:val="24"/>
        </w:rPr>
        <w:t>清算过程中的有关重大事项须及时公告；基金财产清算报告经具有证券</w:t>
      </w:r>
      <w:r>
        <w:rPr>
          <w:rFonts w:hint="eastAsia"/>
          <w:bCs/>
          <w:sz w:val="24"/>
        </w:rPr>
        <w:t>、期货</w:t>
      </w:r>
      <w:r>
        <w:rPr>
          <w:bCs/>
          <w:sz w:val="24"/>
        </w:rPr>
        <w:t>相关业务资格</w:t>
      </w:r>
      <w:r>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23337AE3" w14:textId="77777777" w:rsidR="00AC3A9B" w:rsidRDefault="002C3C29">
      <w:pPr>
        <w:autoSpaceDE w:val="0"/>
        <w:autoSpaceDN w:val="0"/>
        <w:spacing w:line="360" w:lineRule="auto"/>
        <w:ind w:firstLineChars="200" w:firstLine="480"/>
        <w:textAlignment w:val="bottom"/>
        <w:rPr>
          <w:bCs/>
          <w:sz w:val="24"/>
        </w:rPr>
      </w:pPr>
      <w:r>
        <w:rPr>
          <w:bCs/>
          <w:sz w:val="24"/>
        </w:rPr>
        <w:t>七、基金财产清算账册及文件的保存</w:t>
      </w:r>
    </w:p>
    <w:p w14:paraId="08FE0F90"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bCs/>
          <w:sz w:val="24"/>
        </w:rPr>
        <w:t>基金财产清算账册及有关文件由基金托管人保存</w:t>
      </w:r>
      <w:r>
        <w:rPr>
          <w:rFonts w:hint="eastAsia"/>
          <w:bCs/>
          <w:sz w:val="24"/>
        </w:rPr>
        <w:t>15</w:t>
      </w:r>
      <w:r>
        <w:rPr>
          <w:bCs/>
          <w:sz w:val="24"/>
        </w:rPr>
        <w:t>年以上</w:t>
      </w:r>
      <w:r>
        <w:rPr>
          <w:rFonts w:asciiTheme="minorEastAsia" w:hAnsiTheme="minorEastAsia" w:cs="Times New Roman" w:hint="eastAsia"/>
          <w:sz w:val="24"/>
          <w:szCs w:val="24"/>
        </w:rPr>
        <w:t>。</w:t>
      </w:r>
    </w:p>
    <w:p w14:paraId="15A7CA87" w14:textId="77777777" w:rsidR="00AC3A9B" w:rsidRDefault="00AC3A9B">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AC3A9B">
          <w:footerReference w:type="default" r:id="rId41"/>
          <w:pgSz w:w="11906" w:h="16838"/>
          <w:pgMar w:top="1440" w:right="1800" w:bottom="1440" w:left="1800" w:header="851" w:footer="992" w:gutter="0"/>
          <w:pgNumType w:chapStyle="1"/>
          <w:cols w:space="720"/>
          <w:docGrid w:type="lines" w:linePitch="312"/>
        </w:sectPr>
      </w:pPr>
      <w:bookmarkStart w:id="352" w:name="_Toc416264553"/>
      <w:bookmarkStart w:id="353" w:name="_Toc263092326"/>
      <w:bookmarkStart w:id="354" w:name="_Toc214873607"/>
      <w:bookmarkStart w:id="355" w:name="_Toc139991749"/>
      <w:bookmarkStart w:id="356" w:name="_Toc25647"/>
      <w:bookmarkStart w:id="357" w:name="_Toc6237"/>
      <w:bookmarkStart w:id="358" w:name="_Toc123051465"/>
      <w:bookmarkStart w:id="359" w:name="_Toc7170"/>
      <w:bookmarkStart w:id="360" w:name="_Toc123102466"/>
      <w:bookmarkStart w:id="361" w:name="_Toc9005"/>
      <w:bookmarkStart w:id="362" w:name="_Toc8059"/>
      <w:bookmarkStart w:id="363" w:name="_Toc123112247"/>
      <w:bookmarkStart w:id="364" w:name="_Toc27464"/>
      <w:bookmarkStart w:id="365" w:name="_Toc352229765"/>
      <w:bookmarkStart w:id="366" w:name="_Toc98560364"/>
      <w:bookmarkStart w:id="367" w:name="_Toc8049"/>
      <w:bookmarkStart w:id="368" w:name="_Toc141703899"/>
      <w:bookmarkStart w:id="369" w:name="_Toc22978"/>
      <w:bookmarkStart w:id="370" w:name="_Toc29891"/>
      <w:bookmarkStart w:id="371" w:name="_Toc10006"/>
      <w:bookmarkStart w:id="372" w:name="_Toc11113"/>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61114DE5" w14:textId="77777777" w:rsidR="00AC3A9B" w:rsidRDefault="002C3C29">
      <w:pPr>
        <w:pStyle w:val="1"/>
        <w:jc w:val="center"/>
        <w:rPr>
          <w:sz w:val="30"/>
          <w:szCs w:val="30"/>
        </w:rPr>
      </w:pPr>
      <w:bookmarkStart w:id="373" w:name="_Toc37770221"/>
      <w:r>
        <w:rPr>
          <w:rFonts w:hint="eastAsia"/>
          <w:sz w:val="30"/>
          <w:szCs w:val="30"/>
        </w:rPr>
        <w:lastRenderedPageBreak/>
        <w:t>第十八部分</w:t>
      </w:r>
      <w:r>
        <w:rPr>
          <w:sz w:val="30"/>
          <w:szCs w:val="30"/>
        </w:rPr>
        <w:t xml:space="preserve">  </w:t>
      </w:r>
      <w:r>
        <w:rPr>
          <w:rFonts w:hint="eastAsia"/>
          <w:sz w:val="30"/>
          <w:szCs w:val="30"/>
        </w:rPr>
        <w:t>基金合同的内容摘要</w:t>
      </w:r>
      <w:bookmarkEnd w:id="352"/>
      <w:bookmarkEnd w:id="353"/>
      <w:bookmarkEnd w:id="354"/>
      <w:bookmarkEnd w:id="373"/>
    </w:p>
    <w:p w14:paraId="6FE63483"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一、基金份额持有人、基金管理人和基金托管人的权利、义务</w:t>
      </w:r>
    </w:p>
    <w:p w14:paraId="6D797C20"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w:t>
      </w:r>
      <w:r>
        <w:rPr>
          <w:rFonts w:asciiTheme="minorEastAsia" w:hAnsiTheme="minorEastAsia" w:cs="Times New Roman" w:hint="eastAsia"/>
          <w:bCs/>
          <w:sz w:val="24"/>
          <w:szCs w:val="24"/>
        </w:rPr>
        <w:tab/>
        <w:t>基金管理人的权利与义务</w:t>
      </w:r>
    </w:p>
    <w:p w14:paraId="689BBF40"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1、根据《基金法》、《运作办法》及其他有关规定，基金管理人的权利包括但不限于：</w:t>
      </w:r>
    </w:p>
    <w:p w14:paraId="3A04DC2F"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w:t>
      </w:r>
    </w:p>
    <w:p w14:paraId="677FBA0F"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（2）自《基金合同》生效之日起，根据法律法规和《基金合同》独立运用并管理基金财产；</w:t>
      </w:r>
    </w:p>
    <w:p w14:paraId="2A11BA20"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（3）依照《基金合同》收取基金管理费以及法律法规规定或中国证监会批准的其他费用；</w:t>
      </w:r>
    </w:p>
    <w:p w14:paraId="051E2DF4"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（4）销售基金份额；</w:t>
      </w:r>
    </w:p>
    <w:p w14:paraId="71D59253"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（5）按照规定召集基金份额持有人大会；</w:t>
      </w:r>
    </w:p>
    <w:p w14:paraId="295B6C32"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33527F53"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（7）在基金托管人更换时，提名新的基金托管人；</w:t>
      </w:r>
    </w:p>
    <w:p w14:paraId="7EEB5FBA"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（8）选择、更换基金销售机构，对基金销售机构的相关行为进行监督和处理； </w:t>
      </w:r>
    </w:p>
    <w:p w14:paraId="26C454D6"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14:paraId="54F76FBB"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（10）依据《基金合同》及有关法律规定决定基金收益的分配方案；</w:t>
      </w:r>
      <w:r>
        <w:rPr>
          <w:rFonts w:asciiTheme="minorEastAsia" w:hAnsiTheme="minorEastAsia" w:cs="Times New Roman" w:hint="eastAsia"/>
          <w:bCs/>
          <w:sz w:val="24"/>
          <w:szCs w:val="24"/>
        </w:rPr>
        <w:tab/>
      </w:r>
    </w:p>
    <w:p w14:paraId="3386388B"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（11）在《基金合同》约定的范围内，拒绝或暂停受理申购与赎回申请； </w:t>
      </w:r>
    </w:p>
    <w:p w14:paraId="3F33FDA5"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Pr>
          <w:rFonts w:asciiTheme="minorEastAsia" w:hAnsiTheme="minorEastAsia" w:cs="Times New Roman" w:hint="eastAsia"/>
          <w:bCs/>
          <w:sz w:val="24"/>
          <w:szCs w:val="24"/>
        </w:rPr>
        <w:tab/>
      </w:r>
    </w:p>
    <w:p w14:paraId="489671EA"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（13）以基金管理人的名义，代表基金份额持有人的利益行使诉讼权利或者实施其他法律行为；</w:t>
      </w:r>
      <w:r>
        <w:rPr>
          <w:rFonts w:asciiTheme="minorEastAsia" w:hAnsiTheme="minorEastAsia" w:cs="Times New Roman" w:hint="eastAsia"/>
          <w:bCs/>
          <w:sz w:val="24"/>
          <w:szCs w:val="24"/>
        </w:rPr>
        <w:tab/>
      </w:r>
    </w:p>
    <w:p w14:paraId="4E9D0914"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（14）选择、更换律师事务所、会计师事务所、证券经纪商、期货经纪商或其他为基金提供服务的外部机构；</w:t>
      </w:r>
      <w:r>
        <w:rPr>
          <w:rFonts w:asciiTheme="minorEastAsia" w:hAnsiTheme="minorEastAsia" w:cs="Times New Roman" w:hint="eastAsia"/>
          <w:bCs/>
          <w:sz w:val="24"/>
          <w:szCs w:val="24"/>
        </w:rPr>
        <w:tab/>
      </w:r>
    </w:p>
    <w:p w14:paraId="797233C1"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（15）在符合有关法律、法规的前提下，制订和调整有关基金认购、申购、赎回、转换和非交易过户等业务规则；</w:t>
      </w:r>
    </w:p>
    <w:p w14:paraId="2D387E1B"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（16）法律法规及中国证监会规定的和《基金合同》约定的其他权利。</w:t>
      </w:r>
    </w:p>
    <w:p w14:paraId="6B4AA98C"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2、根据《基金法》、《运作办法》及其他有关规定，基金管理人的义务包括但不限于：</w:t>
      </w:r>
    </w:p>
    <w:p w14:paraId="2A575499"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73554B6B"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（2）办理基金备案手续；</w:t>
      </w:r>
    </w:p>
    <w:p w14:paraId="2A3B3FE8"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（3）自《基金合同》生效之日起，以诚实信用、谨慎勤勉的原则管理和运用基金财产；</w:t>
      </w:r>
    </w:p>
    <w:p w14:paraId="3E0F80D2"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73CDD473"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（5）建立健全内部风险控制、监察与稽核、财务管理及人事管理等制度，保证所管理的基金财产和基金管理人的财产相互独立，对所管理的不同基金分别管理，分别记账，进行证券投资；</w:t>
      </w:r>
    </w:p>
    <w:p w14:paraId="3A5C29A7"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14:paraId="7CB6B877"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（7）依法接受基金托管人的监督；</w:t>
      </w:r>
    </w:p>
    <w:p w14:paraId="08CFB468"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（8）采取适当合理的措施使计算基金份额认购、申购、赎回和注销价格的方法符合《基金合同》等法律文件的规定，按有关规定计算并公告基金净值信息，确定基金份额申购、赎回对价，编制申购赎回清单；</w:t>
      </w:r>
    </w:p>
    <w:p w14:paraId="2348A0F9"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（9）进行基金会计核算并编制基金财务会计报告；</w:t>
      </w:r>
    </w:p>
    <w:p w14:paraId="345423DC"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（10）编制季度报告、中期</w:t>
      </w:r>
      <w:r>
        <w:rPr>
          <w:rFonts w:asciiTheme="minorEastAsia" w:hAnsiTheme="minorEastAsia" w:cs="Times New Roman"/>
          <w:bCs/>
          <w:sz w:val="24"/>
          <w:szCs w:val="24"/>
        </w:rPr>
        <w:t>报告</w:t>
      </w:r>
      <w:r>
        <w:rPr>
          <w:rFonts w:asciiTheme="minorEastAsia" w:hAnsiTheme="minorEastAsia" w:cs="Times New Roman" w:hint="eastAsia"/>
          <w:bCs/>
          <w:sz w:val="24"/>
          <w:szCs w:val="24"/>
        </w:rPr>
        <w:t>和年度报告；</w:t>
      </w:r>
    </w:p>
    <w:p w14:paraId="1AF079A1"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（11）严格按照《基金法》、《基金合同》及其他有关规定，履行信息披露及报告义务；</w:t>
      </w:r>
    </w:p>
    <w:p w14:paraId="1676CCA3"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（12）保守基金商业秘密，不泄露基金投资计划、投资意向等。除《基金法》、《基金合同》及其他有关规定另有规定外，在基金信息公开披露前应予保密，不向他人泄露；</w:t>
      </w:r>
    </w:p>
    <w:p w14:paraId="66955710"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（13）按《基金合同》的约定确定基金收益分配方案，及时向基金份额持有人分配基金收益；</w:t>
      </w:r>
    </w:p>
    <w:p w14:paraId="0A39F674"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（14）按规定受理申购与赎回申请，及时、足额支付赎回款项；</w:t>
      </w:r>
    </w:p>
    <w:p w14:paraId="6CB07A5C"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4952FA6E"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（16）按规定保存基金财产管理业务活动的会计账册、报表、记录和其他相关资料15年以上；</w:t>
      </w:r>
    </w:p>
    <w:p w14:paraId="0F5E3417"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C011FF0"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（18）组织并参加基金财产清算小组，参与基金财产的保管、清理、估价、变现和分配；</w:t>
      </w:r>
    </w:p>
    <w:p w14:paraId="4232FBE6"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（19）面临解散、依法被撤销或者被依法宣告破产时，及时报告中国证监会并通知基金托管人；</w:t>
      </w:r>
    </w:p>
    <w:p w14:paraId="38F68BDC"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65604093"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389A3672"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（22）当基金管理人将其义务委托第三方处理时，应当对第三方处理有关基金事务的行为承担责任；</w:t>
      </w:r>
    </w:p>
    <w:p w14:paraId="0F279499"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（23）以基金管理人名义，代表基金份额持有人利益行使诉讼权利或实施其他法律行为；</w:t>
      </w:r>
    </w:p>
    <w:p w14:paraId="7C7C7B9C"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14:paraId="4E9EFB32"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（25）执行生效的基金份额持有人大会的决议；</w:t>
      </w:r>
    </w:p>
    <w:p w14:paraId="441779D1"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（26）建立并保存基金份额持有人名册；</w:t>
      </w:r>
    </w:p>
    <w:p w14:paraId="53A919CC"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（27）法律法规及中国证监会规定的和《基金合同》约定的其他义务。</w:t>
      </w:r>
    </w:p>
    <w:p w14:paraId="194F7CE8"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（二）</w:t>
      </w:r>
      <w:r>
        <w:rPr>
          <w:rFonts w:asciiTheme="minorEastAsia" w:hAnsiTheme="minorEastAsia" w:cs="Times New Roman" w:hint="eastAsia"/>
          <w:bCs/>
          <w:sz w:val="24"/>
          <w:szCs w:val="24"/>
        </w:rPr>
        <w:tab/>
        <w:t>基金托管人的权利与义务</w:t>
      </w:r>
    </w:p>
    <w:p w14:paraId="197782EF"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1、根据《基金法》、《运作办法》及其他有关规定，基金托管人的权利包括但不限于：</w:t>
      </w:r>
    </w:p>
    <w:p w14:paraId="18E6DC93"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（1）自《基金合同》生效之日起，依法律法规和《基金合同》的规定安全保管基金财产；</w:t>
      </w:r>
    </w:p>
    <w:p w14:paraId="6BA8AD65"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（2）依《基金合同》约定获得基金托管费以及法律法规规定或监管部门批准的其他费用；</w:t>
      </w:r>
    </w:p>
    <w:p w14:paraId="4110EC29"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140AD19"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（4）根据相关市场规则，为基金开设资金账户、证券账户等投资所需账户，为基金办理证券交易资金清算；</w:t>
      </w:r>
    </w:p>
    <w:p w14:paraId="693D6781"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（5）提议召开或召集基金份额持有人大会；</w:t>
      </w:r>
    </w:p>
    <w:p w14:paraId="73B8AE61"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（6）在基金管理人更换时，提名新的基金管理人；</w:t>
      </w:r>
    </w:p>
    <w:p w14:paraId="0F06BC5F"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（7）法律法规及中国证监会规定的和《基金合同》约定的其他权利。</w:t>
      </w:r>
    </w:p>
    <w:p w14:paraId="1075492E"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2、根据《基金法》、《运作办法》及其他有关规定，基金托管人的义务包括但不限于：</w:t>
      </w:r>
    </w:p>
    <w:p w14:paraId="7E8513D1"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（1）以诚实信用、勤勉尽责的原则持有并安全保管基金财产；</w:t>
      </w:r>
    </w:p>
    <w:p w14:paraId="52563C46"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5153334D"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FE4040F"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（4）除依据《基金法》、《基金合同》及其他有关规定外，不得利用基金财产为自己及任何第三人谋取利益，不得委托第三人托管基金财产；</w:t>
      </w:r>
    </w:p>
    <w:p w14:paraId="697CB3A6"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（5）保管由基金管理人代表基金签订的与基金有关的重大合同及有关凭证；</w:t>
      </w:r>
    </w:p>
    <w:p w14:paraId="7004DF6A"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（6）按规定开设基金财产的资金账户、证券账户、期货账户等投资所需账户，按照《基金合同》的约定，根据基金管理人的投资指令，及时办理清算、交割事宜；</w:t>
      </w:r>
    </w:p>
    <w:p w14:paraId="05FBC5DF"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（7）保守基金商业秘密，除《基金法》、《基金合同》及其他有关规定另有规定外，在基金信息公开披露前予以保密，不得向他人泄露；</w:t>
      </w:r>
    </w:p>
    <w:p w14:paraId="26E29FE7"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（8）复核、审查基金管理人计算的基金资产净值、基金份额净值、基金份额申购、赎回价格；</w:t>
      </w:r>
    </w:p>
    <w:p w14:paraId="5F1D3AFB"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（9）办理与基金托管业务活动有关的信息披露事项；</w:t>
      </w:r>
    </w:p>
    <w:p w14:paraId="7F6C95C2"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03BA26DF"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（11）保存基金托管业务活动的记录、账册、报表和其他相关资料15年以上；</w:t>
      </w:r>
    </w:p>
    <w:p w14:paraId="1771E200"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w:t>
      </w:r>
      <w:r>
        <w:rPr>
          <w:bCs/>
          <w:sz w:val="24"/>
          <w:szCs w:val="24"/>
        </w:rPr>
        <w:t>保存基金份额持有人名册</w:t>
      </w:r>
      <w:r>
        <w:rPr>
          <w:rFonts w:asciiTheme="minorEastAsia" w:hAnsiTheme="minorEastAsia" w:cs="Times New Roman" w:hint="eastAsia"/>
          <w:bCs/>
          <w:sz w:val="24"/>
          <w:szCs w:val="24"/>
        </w:rPr>
        <w:t>；</w:t>
      </w:r>
    </w:p>
    <w:p w14:paraId="06F7DB31"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（13）按规定制作相关账册并与基金管理人核对；</w:t>
      </w:r>
    </w:p>
    <w:p w14:paraId="6DA09B53"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（14）依据基金管理人的指令或有关规定向基金份额持有人支付基金收益和赎回款项；</w:t>
      </w:r>
    </w:p>
    <w:p w14:paraId="4573A5A7"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00A6E418"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（16）按照法律法规和《基金合同》的规定监督基金管理人的投资运作；</w:t>
      </w:r>
    </w:p>
    <w:p w14:paraId="1D8919D4"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（17）参加基金财产清算小组，参与基金财产的保管、清理、估价、变现和分配；</w:t>
      </w:r>
    </w:p>
    <w:p w14:paraId="2FB09AD5"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（18）面临解散、依法被撤销或者被依法宣告破产时，及时报告中国证监会和银行监管机构，并通知基金管理人；</w:t>
      </w:r>
    </w:p>
    <w:p w14:paraId="2530A0EE"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（19）因违反《基金合同》导致基金财产损失时，应承担赔偿责任，其赔偿责任不因其退任而免除；</w:t>
      </w:r>
    </w:p>
    <w:p w14:paraId="559A877D"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（20）按规定监督基金管理人按法律法规和《基金合同》规定履行自己的义务，基金管理人因违反《基金合同》造成基金财产损失时，应为基金份额持有人利益向基金管理人追偿；</w:t>
      </w:r>
    </w:p>
    <w:p w14:paraId="244CB15F"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（21）执行生效的基金份额持有人大会的决议；</w:t>
      </w:r>
    </w:p>
    <w:p w14:paraId="2D3D5B56"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（22）法律法规及中国证监会规定的和《基金合同》约定的其他义务。</w:t>
      </w:r>
    </w:p>
    <w:p w14:paraId="25E5B335"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（三）基金份额持有人的权利和义务</w:t>
      </w:r>
    </w:p>
    <w:p w14:paraId="7818BE3C"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6846F6A9"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同一类别每份基金份额具有同等的合法权益。本基金A类基金份额与C类基金份额由于基金份额净值的不同，基金收益分配的金额以及参与清算后的剩余基金财产分配的数量将可能有所不同。</w:t>
      </w:r>
    </w:p>
    <w:p w14:paraId="05719CC5"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1、根据《基金法》、《运作办法》及其他有关规定，基金份额持有人的权利包括但不限于：</w:t>
      </w:r>
    </w:p>
    <w:p w14:paraId="7297F034"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（1）分享基金财产收益；</w:t>
      </w:r>
    </w:p>
    <w:p w14:paraId="49E6F566"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（2）参与分配清算后的剩余基金财产；</w:t>
      </w:r>
    </w:p>
    <w:p w14:paraId="3C61234B"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（3）依法申请赎回其持有的基金份额；</w:t>
      </w:r>
    </w:p>
    <w:p w14:paraId="7593DAE5"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（4）按照规定要求召开基金份额持有人大会或者召集基金份额持有人大会；</w:t>
      </w:r>
    </w:p>
    <w:p w14:paraId="44417D8D"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（5）出席或者委派代表出席基金份额持有人大会，对基金份额持有人大会审议事项行使表决权；</w:t>
      </w:r>
    </w:p>
    <w:p w14:paraId="1F7A5587"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（6）查阅或者复制公开披露的基金信息资料；</w:t>
      </w:r>
    </w:p>
    <w:p w14:paraId="332FE493"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（7）监督基金管理人的投资运作；</w:t>
      </w:r>
    </w:p>
    <w:p w14:paraId="4F60AEA6"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（8）对基金管理人、基金托管人、基金服务机构损害其合法权益的行为依法提起诉讼或仲裁；</w:t>
      </w:r>
    </w:p>
    <w:p w14:paraId="4B18E893"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（9）法律法规及中国证监会规定的和《基金合同》约定的其他权利。</w:t>
      </w:r>
    </w:p>
    <w:p w14:paraId="159F3A2E"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2、根据《基金法》、《运作办法》及其他有关规定，基金份额持有人的义务包括但不限于：</w:t>
      </w:r>
    </w:p>
    <w:p w14:paraId="1887A3F8"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（1）认真阅读并遵守《基金合同》、招募说明书等信息披露文件；</w:t>
      </w:r>
    </w:p>
    <w:p w14:paraId="26AA2FD8"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（2）了解所投资基金产品，了解自身风险承受能力，自主判断基金的投资价值，自主做出投资决策，自行承担投资风险；</w:t>
      </w:r>
    </w:p>
    <w:p w14:paraId="69FA47A2"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（3）关注基金信息披露，及时行使权利和履行义务；</w:t>
      </w:r>
    </w:p>
    <w:p w14:paraId="419B0DB5"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（4）缴纳基金认购、申购款项及法律法规和《基金合同》所规定的费用；</w:t>
      </w:r>
    </w:p>
    <w:p w14:paraId="7469BC41"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（5）在其持有的基金份额范围内，承担基金亏损或者《基金合同》终止的有限责任；</w:t>
      </w:r>
    </w:p>
    <w:p w14:paraId="17681236"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（6）不从事任何有损基金及其他《基金合同》当事人合法权益的活动；</w:t>
      </w:r>
    </w:p>
    <w:p w14:paraId="0E8F5A31"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（7）执行生效的基金份额持有人大会的决议；</w:t>
      </w:r>
    </w:p>
    <w:p w14:paraId="2C83C299"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（8）返还在基金交易过程中因任何原因获得的不当得利；</w:t>
      </w:r>
    </w:p>
    <w:p w14:paraId="55CD3548"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（9）法律法规及中国证监会规定的和《基金合同》约定的其他义务。</w:t>
      </w:r>
    </w:p>
    <w:p w14:paraId="3C81F2DC"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二、基金份额持有人大会召集、议事及表决的程序和规则</w:t>
      </w:r>
    </w:p>
    <w:p w14:paraId="604EA462"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440521DD"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本基金份额持有人大会不设日常机构。</w:t>
      </w:r>
    </w:p>
    <w:p w14:paraId="13F0E218"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（一）召开事由</w:t>
      </w:r>
    </w:p>
    <w:p w14:paraId="1B1E7F26"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1、当出现或需要决定下列事由之一的，应当召开基金份额持有人大会：</w:t>
      </w:r>
    </w:p>
    <w:p w14:paraId="7C0092C4"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（1）终止《基金合同》，但《基金合同》另有约定的除外；</w:t>
      </w:r>
    </w:p>
    <w:p w14:paraId="3D0B71B9"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（2）更换基金管理人；</w:t>
      </w:r>
    </w:p>
    <w:p w14:paraId="7B169E3F"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（3）更换基金托管人；</w:t>
      </w:r>
    </w:p>
    <w:p w14:paraId="2DC1C123"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（4）转换基金运作方式；</w:t>
      </w:r>
    </w:p>
    <w:p w14:paraId="7D1B2511"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（5）调整基金管理人、基金托管人</w:t>
      </w:r>
      <w:r>
        <w:rPr>
          <w:rFonts w:hint="eastAsia"/>
          <w:bCs/>
          <w:sz w:val="24"/>
          <w:szCs w:val="24"/>
        </w:rPr>
        <w:t>报酬标准</w:t>
      </w:r>
      <w:r>
        <w:rPr>
          <w:rFonts w:asciiTheme="minorEastAsia" w:hAnsiTheme="minorEastAsia" w:cs="Times New Roman" w:hint="eastAsia"/>
          <w:bCs/>
          <w:sz w:val="24"/>
          <w:szCs w:val="24"/>
        </w:rPr>
        <w:t>或调高销售服务费率；</w:t>
      </w:r>
    </w:p>
    <w:p w14:paraId="1569F6B6"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（6）变更基金类别；</w:t>
      </w:r>
    </w:p>
    <w:p w14:paraId="1D2A6F93"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（7）本基金与其他基金的合并；</w:t>
      </w:r>
    </w:p>
    <w:p w14:paraId="00070A83"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（8）变更基金投资目标、范围或策略；</w:t>
      </w:r>
    </w:p>
    <w:p w14:paraId="292AE83B"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（9）变更基金份额持有人大会程序；</w:t>
      </w:r>
    </w:p>
    <w:p w14:paraId="6E1BF274"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（10）基金管理人或基金托管人要求召开基金份额持有人大会；</w:t>
      </w:r>
    </w:p>
    <w:p w14:paraId="41313D82"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（11）单独或合计持有本基金总份额10%以上（含10%）基金份额的基金份额持有人（以基金管理人收到提议当日的基金份额计算，下同）就同一事项书面要求召开基金份额持有人大会；</w:t>
      </w:r>
    </w:p>
    <w:p w14:paraId="19117753"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（12）对基金合同当事人权利和义务产生重大影响的其他事项；</w:t>
      </w:r>
    </w:p>
    <w:p w14:paraId="4E1B6F7D"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（13）法律法规、《基金合同》或中国证监会规定的其他应当召开基金份额持有人大会的事项。</w:t>
      </w:r>
    </w:p>
    <w:p w14:paraId="0D90DB11"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2、以下情况可由基金管理人和基金托管人协商后修改，不需召开基金份额持有人大会：</w:t>
      </w:r>
    </w:p>
    <w:p w14:paraId="0930C7B0"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（1）调低销售服务费费率；</w:t>
      </w:r>
    </w:p>
    <w:p w14:paraId="2F695A5E"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（2）法律法规要求增加的基金费用的收取；</w:t>
      </w:r>
    </w:p>
    <w:p w14:paraId="77BCA129"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在法律法规和《基金合同》规定的范围内且对现有基金份额持有人利益无实质性不利影响的前提下调整本基金的申购费率、调低赎回费率或变更收费方式、增加、减少或调整基金份额类别设置、对基金份额分类办法及规则进行调整、推出新业务或新服务；</w:t>
      </w:r>
    </w:p>
    <w:p w14:paraId="1A7F9A02"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（4）因相应的法律法规发生变动而应当对《基金合同》进行修改；</w:t>
      </w:r>
    </w:p>
    <w:p w14:paraId="2C43F8CC"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（5）对《基金合同》的修改对基金份额持有人利益无实质性不利影响或修改不涉及《基金合同》当事人权利义务关系发生重大变化；</w:t>
      </w:r>
    </w:p>
    <w:p w14:paraId="46AC7B2F"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（6）按照法律法规和《基金合同》规定不需召开基金份额持有人大会的其他情形。</w:t>
      </w:r>
    </w:p>
    <w:p w14:paraId="61FE8214"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（二）会议召集人及召集方式</w:t>
      </w:r>
    </w:p>
    <w:p w14:paraId="7BD12875"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1、除法律法规规定或《基金合同》另有约定外，基金份额持有人大会由基金管理人召集；</w:t>
      </w:r>
    </w:p>
    <w:p w14:paraId="2209FFA0"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2、基金管理人未按规定召集或不能召集时，由基金托管人召集；</w:t>
      </w:r>
    </w:p>
    <w:p w14:paraId="74A05EFC"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w:t>
      </w:r>
      <w:r>
        <w:rPr>
          <w:rFonts w:asciiTheme="minorEastAsia" w:hAnsiTheme="minorEastAsia" w:cs="Times New Roman" w:hint="eastAsia"/>
          <w:bCs/>
          <w:sz w:val="24"/>
          <w:szCs w:val="24"/>
        </w:rPr>
        <w:lastRenderedPageBreak/>
        <w:t>由基金托管人自行召集，并自出具书面决定之日起60日内召开并告知基金管理人，基金管理人应当配合；</w:t>
      </w:r>
    </w:p>
    <w:p w14:paraId="4768DCC9"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1CEAF2F3"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7C770547"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6、基金份额持有人会议的召集人负责选择确定开会时间、地点、方式和权益登记日。</w:t>
      </w:r>
    </w:p>
    <w:p w14:paraId="7D126D0D"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（三）召开基金份额持有人大会的通知时间、通知内容、通知方式</w:t>
      </w:r>
    </w:p>
    <w:p w14:paraId="46EE7A18"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1、召开基金份额持有人大会，召集人应于会议召开前30日，在指定媒介公告。基金份额持有人大会通知应至少载明以下内容：</w:t>
      </w:r>
    </w:p>
    <w:p w14:paraId="45CEB3A0"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（1）会议召开的时间、地点和会议形式；</w:t>
      </w:r>
    </w:p>
    <w:p w14:paraId="25CDD0DA"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（2）会议拟审议的事项、议事程序和表决方式；</w:t>
      </w:r>
    </w:p>
    <w:p w14:paraId="63D1F8DC"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（3）有权出席基金份额持有人大会的基金份额持有人的权益登记日；</w:t>
      </w:r>
    </w:p>
    <w:p w14:paraId="0944FC92"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（4）授权委托证明的内容要求（包括但不限于代理人身份，代理权限和代理有效期限等）、送达时间和地点；</w:t>
      </w:r>
    </w:p>
    <w:p w14:paraId="369A2F0D"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（5）会务常设联系人姓名及联系电话；</w:t>
      </w:r>
    </w:p>
    <w:p w14:paraId="540BE089"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（6）出席会议者必须准备的文件和必须履行的手续；</w:t>
      </w:r>
    </w:p>
    <w:p w14:paraId="66B1C74D"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（7）召集人需要通知的其他事项。</w:t>
      </w:r>
    </w:p>
    <w:p w14:paraId="4D37C584"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FA12C0C"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523B30F"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（四）基金份额持有人出席会议的方式</w:t>
      </w:r>
    </w:p>
    <w:p w14:paraId="1599131B"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2C7E9F51"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0B2BC39"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3EB895C"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E01602B"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14:paraId="45D331FB"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在同时符合以下条件时，通讯开会的方式视为有效：</w:t>
      </w:r>
    </w:p>
    <w:p w14:paraId="52313470"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（1）会议召集人按《基金合同》约定公布会议通知后，在2个工作日内连续公布相关提示性公告；</w:t>
      </w:r>
    </w:p>
    <w:p w14:paraId="44B586C0"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2FF5A55"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w:t>
      </w:r>
    </w:p>
    <w:p w14:paraId="1939158B"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DFC44D9"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3、在法律法规和监管机关允许的情况下，本基金的基金份额持有人亦可采用其他非书面方式授权其代理人出席基金份额持有人大会，具体方式由会议召集人确定并在会议通知中列明。</w:t>
      </w:r>
    </w:p>
    <w:p w14:paraId="11EA1107"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4、在会议召开方式上，本基金亦可采用其他非现场方式或者以现场方式与非现场方式相结合的方式召开基金份额持有人大会，会议程序比照现场开会和通讯方式开会的程序进行。</w:t>
      </w:r>
    </w:p>
    <w:p w14:paraId="5B9BE500"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（五）议事内容与程序</w:t>
      </w:r>
    </w:p>
    <w:p w14:paraId="06AD1854"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1、议事内容及提案权</w:t>
      </w:r>
    </w:p>
    <w:p w14:paraId="398B1480"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79E3F01"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7CE3CE4B"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基金份额持有人大会不得对未事先公告的议事内容进行表决。</w:t>
      </w:r>
    </w:p>
    <w:p w14:paraId="4A6E17A5"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2、议事程序</w:t>
      </w:r>
    </w:p>
    <w:p w14:paraId="7C8DED47"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6BD4C2EA"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5C466A3E"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1466A145"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40459840"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在通讯开会的情况下，首先由召集人提前30日公布提案，在所通知的表决截止日期后2个工作日内在公证机关监督下由召集人统计全部有效表决，在公证机关监督下形成决议。</w:t>
      </w:r>
    </w:p>
    <w:p w14:paraId="48EEB454"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（六）表决</w:t>
      </w:r>
    </w:p>
    <w:p w14:paraId="0888D5A2"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基金份额持有人所持每份基金份额有一票表决权。</w:t>
      </w:r>
    </w:p>
    <w:p w14:paraId="04785689"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基金份额持有人大会决议分为一般决议和特别决议：</w:t>
      </w:r>
    </w:p>
    <w:p w14:paraId="179C7F78"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69D2CCD3"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57089743"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基金份额持有人大会采取记名方式进行投票表决。</w:t>
      </w:r>
    </w:p>
    <w:p w14:paraId="7F9FD2A8"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316177C2"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基金份额持有人大会的各项提案或同一项提案内并列的各项议题应当分开审议、逐项表决。</w:t>
      </w:r>
    </w:p>
    <w:p w14:paraId="033C29B8"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（七）计票</w:t>
      </w:r>
    </w:p>
    <w:p w14:paraId="36191BF6"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7C5274F9"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w:t>
      </w:r>
      <w:r>
        <w:rPr>
          <w:rFonts w:asciiTheme="minorEastAsia" w:hAnsiTheme="minorEastAsia" w:cs="Times New Roman" w:hint="eastAsia"/>
          <w:bCs/>
          <w:sz w:val="24"/>
          <w:szCs w:val="24"/>
        </w:rPr>
        <w:lastRenderedPageBreak/>
        <w:t>议开始后宣布在出席会议的基金份额持有人中选举三名基金份额持有人代表担任监票人。基金管理人或基金托管人不出席大会的，不影响计票的效力。</w:t>
      </w:r>
    </w:p>
    <w:p w14:paraId="025E65AE"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（2）监票人应当在基金份额持有人表决后立即进行清点并由大会主持人当场公布计票结果。</w:t>
      </w:r>
    </w:p>
    <w:p w14:paraId="7A6F6301"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E36104F"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（4）计票过程应由公证机关予以公证，基金管理人或基金托管人拒不出席大会的，不影响计票的效力。</w:t>
      </w:r>
    </w:p>
    <w:p w14:paraId="1B1C6352"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2B1AF23E"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43CC09DE"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（八）生效与公告</w:t>
      </w:r>
    </w:p>
    <w:p w14:paraId="05A35F38"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基金份额持有人大会的决议，召集人应当自通过之日起5日内报中国证监会备案。</w:t>
      </w:r>
    </w:p>
    <w:p w14:paraId="6788AB74"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基金份额持有人大会的决议自表决通过之日起生效。</w:t>
      </w:r>
    </w:p>
    <w:p w14:paraId="01265F41"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基金份额持有人大会决议自生效之日起2个工作日内在指定媒介上公告。如果采用通讯方式进行表决，在公告基金份额持有人大会决议时，必须将公证书全文、公证机构、公证员姓名等一同公告。</w:t>
      </w:r>
    </w:p>
    <w:p w14:paraId="3820F97C"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640FDEB7"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4FE00186"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三、基金合同解除和终止的事由、程序以及基金财产清算方式</w:t>
      </w:r>
    </w:p>
    <w:p w14:paraId="5FA752DC"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（一）《基金合同》的变更</w:t>
      </w:r>
    </w:p>
    <w:p w14:paraId="3122B251"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1B1F9296"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 2、关于《基金合同》变更的基金份额持有人大会决议自生效后方可执行，并自决议生效后两个工作日内在指定媒介公告。</w:t>
      </w:r>
    </w:p>
    <w:p w14:paraId="25475112"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（二）《基金合同》的终止事由</w:t>
      </w:r>
    </w:p>
    <w:p w14:paraId="3BFDEB71"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有下列情形之一的，《基金合同》应当终止：</w:t>
      </w:r>
    </w:p>
    <w:p w14:paraId="173E27F8"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1、基金份额持有人大会决定终止的；</w:t>
      </w:r>
    </w:p>
    <w:p w14:paraId="4690075F"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2、基金管理人、基金托管人职责终止，在6个月内没有新基金管理人、新基金托管人承接的；</w:t>
      </w:r>
    </w:p>
    <w:p w14:paraId="1E779CC8"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3、《基金合同》约定的其他情形；</w:t>
      </w:r>
    </w:p>
    <w:p w14:paraId="6DC67341"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4、相关法律法规和中国证监会规定的其他情况。</w:t>
      </w:r>
    </w:p>
    <w:p w14:paraId="71407334"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（三）基金财产的清算</w:t>
      </w:r>
    </w:p>
    <w:p w14:paraId="509095FD"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1、基金财产清算小组：自出现《基金合同》终止事由之日起30个工作日内成立清算小组，基金管理人组织基金财产清算小组并在中国证监会的监督下进行基金清算。</w:t>
      </w:r>
    </w:p>
    <w:p w14:paraId="55D6EDBD"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2、基金财产清算小组组成：基金财产清算小组成员由基金管理人、基金托管人、具有证券、</w:t>
      </w:r>
      <w:r>
        <w:rPr>
          <w:rFonts w:asciiTheme="minorEastAsia" w:hAnsiTheme="minorEastAsia" w:cs="Times New Roman"/>
          <w:bCs/>
          <w:sz w:val="24"/>
          <w:szCs w:val="24"/>
        </w:rPr>
        <w:t>期货</w:t>
      </w:r>
      <w:r>
        <w:rPr>
          <w:rFonts w:asciiTheme="minorEastAsia" w:hAnsiTheme="minorEastAsia" w:cs="Times New Roman" w:hint="eastAsia"/>
          <w:bCs/>
          <w:sz w:val="24"/>
          <w:szCs w:val="24"/>
        </w:rPr>
        <w:t>相关业务资格的注册会计师、律师以及中国证监会指定的人员组成。基金财产清算小组可以聘用必要的工作人员。</w:t>
      </w:r>
    </w:p>
    <w:p w14:paraId="316B5BE7"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7EB18A80"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4、基金财产清算程序：</w:t>
      </w:r>
    </w:p>
    <w:p w14:paraId="7C1B4BAE"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（1）《基金合同》终止情形出现时，由基金财产清算小组统一接管基金；</w:t>
      </w:r>
    </w:p>
    <w:p w14:paraId="3E3343BA"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（2）对基金财产和债权债务进行清理和确认；</w:t>
      </w:r>
    </w:p>
    <w:p w14:paraId="4FBA179A"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（3）对基金财产进行估值和变现；</w:t>
      </w:r>
    </w:p>
    <w:p w14:paraId="31285167"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（4）制作清算报告；</w:t>
      </w:r>
    </w:p>
    <w:p w14:paraId="72C7A9D1"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（5）聘请</w:t>
      </w:r>
      <w:r>
        <w:rPr>
          <w:bCs/>
          <w:sz w:val="24"/>
        </w:rPr>
        <w:t>具有证券</w:t>
      </w:r>
      <w:r>
        <w:rPr>
          <w:rFonts w:hint="eastAsia"/>
          <w:bCs/>
          <w:sz w:val="24"/>
        </w:rPr>
        <w:t>、期货</w:t>
      </w:r>
      <w:r>
        <w:rPr>
          <w:bCs/>
          <w:sz w:val="24"/>
        </w:rPr>
        <w:t>相关业务资格</w:t>
      </w:r>
      <w:r>
        <w:rPr>
          <w:rFonts w:hint="eastAsia"/>
          <w:bCs/>
          <w:sz w:val="24"/>
        </w:rPr>
        <w:t>的</w:t>
      </w:r>
      <w:r>
        <w:rPr>
          <w:rFonts w:asciiTheme="minorEastAsia" w:hAnsiTheme="minorEastAsia" w:cs="Times New Roman" w:hint="eastAsia"/>
          <w:bCs/>
          <w:sz w:val="24"/>
          <w:szCs w:val="24"/>
        </w:rPr>
        <w:t>会计师事务所对清算报告进行外部审计，聘请律师事务所对清算报告出具法律意见书；</w:t>
      </w:r>
    </w:p>
    <w:p w14:paraId="70CAA91D"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（6）将清算报告报中国证监会备案并公告；</w:t>
      </w:r>
    </w:p>
    <w:p w14:paraId="29C6B6D9"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（7）对基金剩余财产进行分配。</w:t>
      </w:r>
    </w:p>
    <w:p w14:paraId="4761594E"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5、基金财产清算的期限为6个月。</w:t>
      </w:r>
    </w:p>
    <w:p w14:paraId="7CABE132"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四、争议解决方式</w:t>
      </w:r>
    </w:p>
    <w:p w14:paraId="68EB2F87"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14:paraId="218B2B55"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争议处理期间，基金合同当事人应恪守各自的职责，继续忠实、勤勉、尽责地履行基金合同规定的义务，维护基金份额持有人的合法权益。</w:t>
      </w:r>
    </w:p>
    <w:p w14:paraId="730A14D2"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bCs/>
          <w:sz w:val="24"/>
        </w:rPr>
        <w:t>《基金合同》受中国法律管辖</w:t>
      </w:r>
      <w:r>
        <w:rPr>
          <w:rFonts w:asciiTheme="minorEastAsia" w:hAnsiTheme="minorEastAsia" w:cs="Times New Roman" w:hint="eastAsia"/>
          <w:bCs/>
          <w:sz w:val="24"/>
          <w:szCs w:val="24"/>
        </w:rPr>
        <w:t>。</w:t>
      </w:r>
    </w:p>
    <w:p w14:paraId="64CDBE4A"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五、基金合同存放地和投资人取得基金合同的方式</w:t>
      </w:r>
    </w:p>
    <w:p w14:paraId="4409FC6B" w14:textId="77777777" w:rsidR="00AC3A9B" w:rsidRDefault="002C3C29">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《基金合同》可印制成册，供投资人在基金管理人、基金托管人、销售机构的办公场所和营业场所查阅。</w:t>
      </w:r>
    </w:p>
    <w:p w14:paraId="4E255F0D" w14:textId="77777777" w:rsidR="00AC3A9B" w:rsidRDefault="00AC3A9B">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AC3A9B">
          <w:footerReference w:type="default" r:id="rId42"/>
          <w:pgSz w:w="11906" w:h="16838"/>
          <w:pgMar w:top="1440" w:right="1800" w:bottom="1440" w:left="1800" w:header="851" w:footer="992" w:gutter="0"/>
          <w:pgNumType w:chapStyle="1"/>
          <w:cols w:space="720"/>
          <w:docGrid w:type="lines" w:linePitch="312"/>
        </w:sectPr>
      </w:pPr>
      <w:bookmarkStart w:id="374" w:name="_Toc214873614"/>
      <w:bookmarkStart w:id="375" w:name="_Toc263092327"/>
      <w:bookmarkStart w:id="376" w:name="_Toc416264554"/>
      <w:bookmarkStart w:id="377" w:name="_Toc141703901"/>
      <w:bookmarkStart w:id="378" w:name="_Toc21240"/>
      <w:bookmarkStart w:id="379" w:name="_Toc139991750"/>
      <w:bookmarkStart w:id="380" w:name="_Toc79392641"/>
      <w:bookmarkStart w:id="381" w:name="_Toc27058"/>
      <w:bookmarkStart w:id="382" w:name="_Toc13398"/>
      <w:bookmarkStart w:id="383" w:name="_Toc352229766"/>
      <w:bookmarkStart w:id="384" w:name="_Toc9708"/>
      <w:bookmarkStart w:id="385" w:name="_Toc123051466"/>
      <w:bookmarkStart w:id="386" w:name="_Toc7367"/>
      <w:bookmarkStart w:id="387" w:name="_Toc48649720"/>
      <w:bookmarkStart w:id="388" w:name="_Toc30645"/>
      <w:bookmarkStart w:id="389" w:name="_Toc28549"/>
      <w:bookmarkStart w:id="390" w:name="_Toc98560365"/>
      <w:bookmarkStart w:id="391" w:name="_Toc23166"/>
      <w:bookmarkStart w:id="392" w:name="_Toc12191"/>
      <w:bookmarkStart w:id="393" w:name="_Toc8710"/>
      <w:bookmarkStart w:id="394" w:name="_Toc123102467"/>
      <w:bookmarkStart w:id="395" w:name="_Toc123112248"/>
      <w:bookmarkStart w:id="396" w:name="_Toc23022"/>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0ABC48D2" w14:textId="77777777" w:rsidR="00AC3A9B" w:rsidRDefault="002C3C29">
      <w:pPr>
        <w:pStyle w:val="1"/>
        <w:jc w:val="center"/>
        <w:rPr>
          <w:sz w:val="30"/>
          <w:szCs w:val="30"/>
        </w:rPr>
      </w:pPr>
      <w:bookmarkStart w:id="397" w:name="_Toc37770222"/>
      <w:r>
        <w:rPr>
          <w:rFonts w:hint="eastAsia"/>
          <w:sz w:val="30"/>
          <w:szCs w:val="30"/>
        </w:rPr>
        <w:lastRenderedPageBreak/>
        <w:t>第十九部分</w:t>
      </w:r>
      <w:r>
        <w:rPr>
          <w:sz w:val="30"/>
          <w:szCs w:val="30"/>
        </w:rPr>
        <w:t xml:space="preserve">  </w:t>
      </w:r>
      <w:r>
        <w:rPr>
          <w:rFonts w:hint="eastAsia"/>
          <w:sz w:val="30"/>
          <w:szCs w:val="30"/>
        </w:rPr>
        <w:t>基金托管协议的内容摘要</w:t>
      </w:r>
      <w:bookmarkEnd w:id="374"/>
      <w:bookmarkEnd w:id="375"/>
      <w:bookmarkEnd w:id="376"/>
      <w:bookmarkEnd w:id="397"/>
    </w:p>
    <w:p w14:paraId="7442649F" w14:textId="77777777" w:rsidR="00AC3A9B" w:rsidRDefault="002C3C29">
      <w:pPr>
        <w:numPr>
          <w:ilvl w:val="0"/>
          <w:numId w:val="3"/>
        </w:numPr>
        <w:tabs>
          <w:tab w:val="left" w:pos="851"/>
        </w:tabs>
        <w:adjustRightInd w:val="0"/>
        <w:snapToGrid w:val="0"/>
        <w:spacing w:line="360" w:lineRule="auto"/>
        <w:rPr>
          <w:rFonts w:asciiTheme="minorEastAsia" w:hAnsiTheme="minorEastAsia" w:cs="Arial"/>
          <w:b/>
          <w:sz w:val="24"/>
          <w:szCs w:val="24"/>
        </w:rPr>
      </w:pPr>
      <w:r>
        <w:rPr>
          <w:rFonts w:asciiTheme="minorEastAsia" w:hAnsiTheme="minorEastAsia" w:cs="Arial" w:hint="eastAsia"/>
          <w:b/>
          <w:sz w:val="24"/>
          <w:szCs w:val="24"/>
        </w:rPr>
        <w:t>托管协议当事人</w:t>
      </w:r>
    </w:p>
    <w:p w14:paraId="321B1AC7"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（一）基金管理人（或简称“管理人”）</w:t>
      </w:r>
    </w:p>
    <w:p w14:paraId="54DF173D"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名称：富荣基金管理有限公司</w:t>
      </w:r>
    </w:p>
    <w:p w14:paraId="0D8B5BED"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住所：广州市南沙区海滨路171号南沙金融大厦11楼1101之一J20室</w:t>
      </w:r>
    </w:p>
    <w:p w14:paraId="365241A1" w14:textId="77777777" w:rsidR="00AC3A9B" w:rsidRDefault="002C3C29">
      <w:pPr>
        <w:adjustRightInd w:val="0"/>
        <w:snapToGrid w:val="0"/>
        <w:spacing w:line="360" w:lineRule="auto"/>
        <w:ind w:left="840" w:hanging="420"/>
        <w:rPr>
          <w:rFonts w:asciiTheme="minorEastAsia" w:hAnsiTheme="minorEastAsia" w:cs="Times New Roman"/>
          <w:kern w:val="0"/>
          <w:sz w:val="24"/>
          <w:szCs w:val="24"/>
        </w:rPr>
      </w:pPr>
      <w:r>
        <w:rPr>
          <w:rFonts w:asciiTheme="minorEastAsia" w:hAnsiTheme="minorEastAsia" w:cs="Arial" w:hint="eastAsia"/>
          <w:kern w:val="0"/>
          <w:sz w:val="24"/>
          <w:szCs w:val="24"/>
        </w:rPr>
        <w:t>办公地址：</w:t>
      </w:r>
      <w:r>
        <w:rPr>
          <w:rFonts w:asciiTheme="minorEastAsia" w:hAnsiTheme="minorEastAsia" w:cs="Times New Roman" w:hint="eastAsia"/>
          <w:kern w:val="0"/>
          <w:sz w:val="24"/>
          <w:szCs w:val="24"/>
        </w:rPr>
        <w:t>深圳市福田区八卦四路52号安吉尔大厦24层</w:t>
      </w:r>
    </w:p>
    <w:p w14:paraId="0CAC8F9D"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法定代表人：杨小舟</w:t>
      </w:r>
    </w:p>
    <w:p w14:paraId="530E3082"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成立日期：2016年1月25日</w:t>
      </w:r>
      <w:r>
        <w:rPr>
          <w:rFonts w:asciiTheme="minorEastAsia" w:hAnsiTheme="minorEastAsia" w:cs="Arial" w:hint="eastAsia"/>
          <w:kern w:val="0"/>
          <w:sz w:val="24"/>
          <w:szCs w:val="24"/>
        </w:rPr>
        <w:tab/>
      </w:r>
    </w:p>
    <w:p w14:paraId="6267C716"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批准设立机关及批准设立文号：中国证监会证监许可【2015】3118号</w:t>
      </w:r>
    </w:p>
    <w:p w14:paraId="424D8B5B"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组织形式：有限责任公司</w:t>
      </w:r>
    </w:p>
    <w:p w14:paraId="33E7FF45"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注册资本：</w:t>
      </w:r>
      <w:r>
        <w:rPr>
          <w:rFonts w:asciiTheme="minorEastAsia" w:hAnsiTheme="minorEastAsia" w:cs="Arial"/>
          <w:kern w:val="0"/>
          <w:sz w:val="24"/>
          <w:szCs w:val="24"/>
        </w:rPr>
        <w:t>2</w:t>
      </w:r>
      <w:r>
        <w:rPr>
          <w:rFonts w:asciiTheme="minorEastAsia" w:hAnsiTheme="minorEastAsia" w:cs="Arial" w:hint="eastAsia"/>
          <w:kern w:val="0"/>
          <w:sz w:val="24"/>
          <w:szCs w:val="24"/>
        </w:rPr>
        <w:t>亿元人民币</w:t>
      </w:r>
    </w:p>
    <w:p w14:paraId="6638D268"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存续期间：永续经营</w:t>
      </w:r>
    </w:p>
    <w:p w14:paraId="2CECBF8B" w14:textId="77777777" w:rsidR="00AC3A9B" w:rsidRDefault="002C3C2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经营范围：基金募集；基金销售；资产管理以及中国证监会许可的其它业务</w:t>
      </w:r>
    </w:p>
    <w:p w14:paraId="117CF038" w14:textId="77777777" w:rsidR="00AC3A9B" w:rsidRDefault="002C3C29">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（二）基金托管人</w:t>
      </w:r>
    </w:p>
    <w:p w14:paraId="01185B15" w14:textId="77777777" w:rsidR="00AC3A9B" w:rsidRDefault="002C3C29">
      <w:pPr>
        <w:adjustRightInd w:val="0"/>
        <w:snapToGrid w:val="0"/>
        <w:spacing w:line="360" w:lineRule="auto"/>
        <w:ind w:firstLineChars="200" w:firstLine="480"/>
        <w:rPr>
          <w:rFonts w:ascii="宋体" w:hAnsi="宋体"/>
          <w:color w:val="000000"/>
          <w:sz w:val="24"/>
        </w:rPr>
      </w:pPr>
      <w:r>
        <w:rPr>
          <w:rFonts w:ascii="宋体" w:hAnsi="宋体"/>
          <w:color w:val="000000"/>
          <w:sz w:val="24"/>
        </w:rPr>
        <w:t>名称：</w:t>
      </w:r>
      <w:r>
        <w:rPr>
          <w:rFonts w:ascii="宋体" w:hAnsi="宋体" w:hint="eastAsia"/>
          <w:color w:val="000000"/>
          <w:sz w:val="24"/>
        </w:rPr>
        <w:t>平安</w:t>
      </w:r>
      <w:r>
        <w:rPr>
          <w:rFonts w:ascii="宋体" w:hAnsi="宋体"/>
          <w:color w:val="000000"/>
          <w:sz w:val="24"/>
        </w:rPr>
        <w:t>银行股份有限公司</w:t>
      </w:r>
    </w:p>
    <w:p w14:paraId="1E6AD3BA" w14:textId="77777777" w:rsidR="00AC3A9B" w:rsidRDefault="002C3C29">
      <w:pPr>
        <w:adjustRightInd w:val="0"/>
        <w:snapToGrid w:val="0"/>
        <w:spacing w:line="360" w:lineRule="auto"/>
        <w:ind w:firstLineChars="200" w:firstLine="480"/>
        <w:rPr>
          <w:rFonts w:ascii="宋体" w:hAnsi="宋体"/>
          <w:color w:val="000000"/>
          <w:sz w:val="24"/>
        </w:rPr>
      </w:pPr>
      <w:r>
        <w:rPr>
          <w:rFonts w:ascii="宋体" w:hAnsi="宋体"/>
          <w:color w:val="000000"/>
          <w:sz w:val="24"/>
        </w:rPr>
        <w:t>注册地址：广东省深圳市深南东路5047 号</w:t>
      </w:r>
    </w:p>
    <w:p w14:paraId="034948AA" w14:textId="77777777" w:rsidR="00AC3A9B" w:rsidRDefault="002C3C29">
      <w:pPr>
        <w:adjustRightInd w:val="0"/>
        <w:snapToGrid w:val="0"/>
        <w:spacing w:line="360" w:lineRule="auto"/>
        <w:ind w:firstLineChars="200" w:firstLine="480"/>
        <w:rPr>
          <w:rFonts w:ascii="宋体" w:hAnsi="宋体"/>
          <w:color w:val="000000"/>
          <w:sz w:val="24"/>
        </w:rPr>
      </w:pPr>
      <w:r>
        <w:rPr>
          <w:rFonts w:ascii="宋体" w:hAnsi="宋体"/>
          <w:color w:val="000000"/>
          <w:sz w:val="24"/>
        </w:rPr>
        <w:t>办公地址：广东省深圳市深南东路5047 号</w:t>
      </w:r>
    </w:p>
    <w:p w14:paraId="2D754251" w14:textId="77777777" w:rsidR="00AC3A9B" w:rsidRDefault="002C3C29">
      <w:pPr>
        <w:adjustRightInd w:val="0"/>
        <w:snapToGrid w:val="0"/>
        <w:spacing w:line="360" w:lineRule="auto"/>
        <w:ind w:firstLineChars="200" w:firstLine="480"/>
        <w:rPr>
          <w:rFonts w:ascii="宋体" w:hAnsi="宋体"/>
          <w:color w:val="000000"/>
          <w:sz w:val="24"/>
        </w:rPr>
      </w:pPr>
      <w:r>
        <w:rPr>
          <w:rFonts w:ascii="宋体" w:hAnsi="宋体"/>
          <w:color w:val="000000"/>
          <w:sz w:val="24"/>
        </w:rPr>
        <w:t>法定代表人：</w:t>
      </w:r>
      <w:r>
        <w:rPr>
          <w:rFonts w:ascii="宋体" w:hAnsi="宋体" w:hint="eastAsia"/>
          <w:color w:val="000000"/>
          <w:sz w:val="24"/>
        </w:rPr>
        <w:t>谢永林</w:t>
      </w:r>
    </w:p>
    <w:p w14:paraId="067DE121" w14:textId="77777777" w:rsidR="00AC3A9B" w:rsidRDefault="002C3C29">
      <w:pPr>
        <w:adjustRightInd w:val="0"/>
        <w:snapToGrid w:val="0"/>
        <w:spacing w:line="360" w:lineRule="auto"/>
        <w:ind w:firstLineChars="200" w:firstLine="480"/>
        <w:rPr>
          <w:rFonts w:ascii="宋体" w:hAnsi="宋体"/>
          <w:color w:val="000000"/>
          <w:sz w:val="24"/>
        </w:rPr>
      </w:pPr>
      <w:r>
        <w:rPr>
          <w:rFonts w:ascii="宋体" w:hAnsi="宋体"/>
          <w:color w:val="000000"/>
          <w:sz w:val="24"/>
        </w:rPr>
        <w:t>成立时间：19</w:t>
      </w:r>
      <w:r>
        <w:rPr>
          <w:rFonts w:ascii="宋体" w:hAnsi="宋体" w:hint="eastAsia"/>
          <w:color w:val="000000"/>
          <w:sz w:val="24"/>
        </w:rPr>
        <w:t>87</w:t>
      </w:r>
      <w:r>
        <w:rPr>
          <w:rFonts w:ascii="宋体" w:hAnsi="宋体"/>
          <w:color w:val="000000"/>
          <w:sz w:val="24"/>
        </w:rPr>
        <w:t>年12月</w:t>
      </w:r>
      <w:r>
        <w:rPr>
          <w:rFonts w:ascii="宋体" w:hAnsi="宋体" w:hint="eastAsia"/>
          <w:color w:val="000000"/>
          <w:sz w:val="24"/>
        </w:rPr>
        <w:t>22</w:t>
      </w:r>
      <w:r>
        <w:rPr>
          <w:rFonts w:ascii="宋体" w:hAnsi="宋体"/>
          <w:color w:val="000000"/>
          <w:sz w:val="24"/>
        </w:rPr>
        <w:t>日</w:t>
      </w:r>
    </w:p>
    <w:p w14:paraId="26326A98" w14:textId="77777777" w:rsidR="00AC3A9B" w:rsidRDefault="002C3C29">
      <w:pPr>
        <w:adjustRightInd w:val="0"/>
        <w:snapToGrid w:val="0"/>
        <w:spacing w:line="360" w:lineRule="auto"/>
        <w:ind w:firstLineChars="200" w:firstLine="480"/>
        <w:rPr>
          <w:rFonts w:ascii="宋体" w:hAnsi="宋体"/>
          <w:color w:val="000000"/>
          <w:sz w:val="24"/>
        </w:rPr>
      </w:pPr>
      <w:r>
        <w:rPr>
          <w:rFonts w:ascii="宋体" w:hAnsi="宋体"/>
          <w:color w:val="000000"/>
          <w:sz w:val="24"/>
        </w:rPr>
        <w:t>组织形式：股份有限公司</w:t>
      </w:r>
    </w:p>
    <w:p w14:paraId="773022DE" w14:textId="77777777" w:rsidR="00AC3A9B" w:rsidRDefault="002C3C29">
      <w:pPr>
        <w:adjustRightInd w:val="0"/>
        <w:snapToGrid w:val="0"/>
        <w:spacing w:line="360" w:lineRule="auto"/>
        <w:ind w:firstLineChars="200" w:firstLine="480"/>
        <w:rPr>
          <w:rFonts w:ascii="宋体" w:hAnsi="宋体"/>
          <w:color w:val="000000"/>
          <w:sz w:val="24"/>
        </w:rPr>
      </w:pPr>
      <w:r>
        <w:rPr>
          <w:rFonts w:ascii="宋体" w:hAnsi="宋体"/>
          <w:color w:val="000000"/>
          <w:sz w:val="24"/>
        </w:rPr>
        <w:t>注册资本：</w:t>
      </w:r>
      <w:r>
        <w:rPr>
          <w:rFonts w:ascii="宋体" w:hAnsi="宋体" w:hint="eastAsia"/>
          <w:color w:val="000000"/>
          <w:sz w:val="24"/>
        </w:rPr>
        <w:t>伍拾壹亿贰仟叁百叁拾伍万零肆佰壹拾陆元整</w:t>
      </w:r>
    </w:p>
    <w:p w14:paraId="0CB69873" w14:textId="77777777" w:rsidR="00AC3A9B" w:rsidRDefault="002C3C29">
      <w:pPr>
        <w:adjustRightInd w:val="0"/>
        <w:snapToGrid w:val="0"/>
        <w:spacing w:line="360" w:lineRule="auto"/>
        <w:ind w:firstLineChars="200" w:firstLine="480"/>
        <w:rPr>
          <w:rFonts w:ascii="宋体" w:hAnsi="宋体"/>
          <w:color w:val="000000"/>
          <w:sz w:val="24"/>
        </w:rPr>
      </w:pPr>
      <w:r>
        <w:rPr>
          <w:rFonts w:ascii="宋体" w:hAnsi="宋体"/>
          <w:color w:val="000000"/>
          <w:sz w:val="24"/>
        </w:rPr>
        <w:t>存续期间：</w:t>
      </w:r>
      <w:r>
        <w:rPr>
          <w:rFonts w:ascii="宋体" w:hAnsi="宋体" w:hint="eastAsia"/>
          <w:color w:val="000000"/>
          <w:sz w:val="24"/>
        </w:rPr>
        <w:t>永续经营</w:t>
      </w:r>
    </w:p>
    <w:p w14:paraId="54031DF6" w14:textId="77777777" w:rsidR="00AC3A9B" w:rsidRDefault="002C3C29">
      <w:pPr>
        <w:adjustRightInd w:val="0"/>
        <w:snapToGrid w:val="0"/>
        <w:spacing w:line="360" w:lineRule="auto"/>
        <w:ind w:firstLineChars="200" w:firstLine="480"/>
        <w:rPr>
          <w:rFonts w:ascii="宋体" w:cs="宋体"/>
          <w:kern w:val="0"/>
          <w:sz w:val="24"/>
        </w:rPr>
      </w:pPr>
      <w:r>
        <w:rPr>
          <w:rFonts w:ascii="宋体" w:hAnsi="宋体"/>
          <w:color w:val="000000"/>
          <w:sz w:val="24"/>
        </w:rPr>
        <w:t>基金托管资格批准文号：</w:t>
      </w:r>
      <w:r>
        <w:rPr>
          <w:rFonts w:ascii="宋体" w:cs="宋体" w:hint="eastAsia"/>
          <w:kern w:val="0"/>
          <w:sz w:val="24"/>
        </w:rPr>
        <w:t>中国证监会证监许可</w:t>
      </w:r>
      <w:r>
        <w:rPr>
          <w:rFonts w:ascii="宋体" w:cs="宋体"/>
          <w:kern w:val="0"/>
          <w:sz w:val="24"/>
        </w:rPr>
        <w:t>[2008]1037</w:t>
      </w:r>
      <w:r>
        <w:rPr>
          <w:rFonts w:ascii="宋体" w:cs="宋体" w:hint="eastAsia"/>
          <w:kern w:val="0"/>
          <w:sz w:val="24"/>
        </w:rPr>
        <w:t>号</w:t>
      </w:r>
    </w:p>
    <w:p w14:paraId="16A14A53"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宋体" w:hAnsi="宋体"/>
          <w:color w:val="000000"/>
          <w:sz w:val="24"/>
        </w:rPr>
        <w:t>经营范围：办理人民币存、贷、结算、汇兑业务；人民币票据承兑和贴现各项信托业务；经监管机构批准发行或买卖人民币有价证券；发行金融债券；代理发行、代理兑付、承销政府债券；买卖政府债券；外汇存款、汇款；境内境外借款；从事同业拆借；外汇借款；外汇担保；在境内境外发行或代理发行外币有价证券；买卖或代客买卖外汇及外币有价证券、自营外汇买卖；贸易、非贸易结算；办理国内结算；国际结算；外币票据的承兑和贴现；外汇贷款；资信调查、咨询、</w:t>
      </w:r>
      <w:r>
        <w:rPr>
          <w:rFonts w:ascii="宋体" w:hAnsi="宋体"/>
          <w:color w:val="000000"/>
          <w:sz w:val="24"/>
        </w:rPr>
        <w:lastRenderedPageBreak/>
        <w:t>见证业务；保险兼业代理业务；代理收付款项；黄金进口业务；提供信用证服务及担保；提供保管箱服务；外币兑换；结汇、售汇；信用卡业务；经有关监管机构批准或允许的其他业务</w:t>
      </w:r>
      <w:r>
        <w:rPr>
          <w:rFonts w:ascii="宋体" w:hAnsi="宋体" w:hint="eastAsia"/>
          <w:color w:val="000000"/>
          <w:sz w:val="24"/>
        </w:rPr>
        <w:t>。</w:t>
      </w:r>
    </w:p>
    <w:p w14:paraId="44AD1177" w14:textId="77777777" w:rsidR="00AC3A9B" w:rsidRDefault="002C3C29">
      <w:pPr>
        <w:pStyle w:val="aff1"/>
        <w:numPr>
          <w:ilvl w:val="0"/>
          <w:numId w:val="4"/>
        </w:numPr>
        <w:adjustRightInd w:val="0"/>
        <w:snapToGrid w:val="0"/>
        <w:spacing w:line="360" w:lineRule="auto"/>
        <w:ind w:firstLineChars="0"/>
        <w:rPr>
          <w:rFonts w:asciiTheme="minorEastAsia" w:hAnsiTheme="minorEastAsia" w:cs="Arial"/>
          <w:b/>
          <w:sz w:val="24"/>
          <w:szCs w:val="24"/>
        </w:rPr>
      </w:pPr>
      <w:r>
        <w:rPr>
          <w:rFonts w:asciiTheme="minorEastAsia" w:hAnsiTheme="minorEastAsia" w:cs="Arial" w:hint="eastAsia"/>
          <w:b/>
          <w:sz w:val="24"/>
          <w:szCs w:val="24"/>
        </w:rPr>
        <w:t>基金托管人对基金管理人的业务监督和核查</w:t>
      </w:r>
    </w:p>
    <w:p w14:paraId="3E83EEBA" w14:textId="77777777" w:rsidR="00AC3A9B" w:rsidRDefault="002C3C2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（一）基金托管人根据有关法律法规的规定及基金合同的约定，对基金投资范围、投资对象进行监督。</w:t>
      </w:r>
    </w:p>
    <w:p w14:paraId="666A3002" w14:textId="77777777" w:rsidR="00AC3A9B" w:rsidRDefault="002C3C2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12C09FC9" w14:textId="77777777" w:rsidR="00AC3A9B" w:rsidRDefault="002C3C29">
      <w:pPr>
        <w:widowControl/>
        <w:spacing w:line="324" w:lineRule="auto"/>
        <w:ind w:firstLineChars="200" w:firstLine="480"/>
        <w:jc w:val="left"/>
        <w:rPr>
          <w:bCs/>
          <w:sz w:val="24"/>
        </w:rPr>
      </w:pPr>
      <w:r>
        <w:rPr>
          <w:rFonts w:hint="eastAsia"/>
          <w:bCs/>
          <w:sz w:val="24"/>
        </w:rPr>
        <w:t>本基金的投资范围主要为具有良好流动性的金融工具，包括国内依法发行上市的股票（包括中小板、创业板及其他经中国证监会核准上市的股票）</w:t>
      </w:r>
      <w:r>
        <w:rPr>
          <w:rFonts w:asciiTheme="minorEastAsia" w:hAnsiTheme="minorEastAsia" w:cs="Arial" w:hint="eastAsia"/>
          <w:color w:val="000000"/>
          <w:sz w:val="24"/>
          <w:szCs w:val="24"/>
        </w:rPr>
        <w:t>、存托凭证</w:t>
      </w:r>
      <w:r>
        <w:rPr>
          <w:rFonts w:hint="eastAsia"/>
          <w:bCs/>
          <w:sz w:val="24"/>
        </w:rPr>
        <w:t>，债券（含国债、金融债、企业债、公司债、央行票据、中期票据、短期融资券、超短期融资券、政府支持机构债、地方政府债、公开发行的次级债、可转换债券、可交换债券、中小企业私募债及其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02BE9A72" w14:textId="77777777" w:rsidR="00AC3A9B" w:rsidRDefault="002C3C29">
      <w:pPr>
        <w:adjustRightInd w:val="0"/>
        <w:snapToGrid w:val="0"/>
        <w:spacing w:line="360" w:lineRule="auto"/>
        <w:ind w:firstLineChars="200" w:firstLine="480"/>
        <w:rPr>
          <w:rFonts w:asciiTheme="minorEastAsia" w:hAnsiTheme="minorEastAsia" w:cs="Arial"/>
          <w:color w:val="000000"/>
          <w:sz w:val="24"/>
          <w:szCs w:val="24"/>
        </w:rPr>
      </w:pPr>
      <w:r>
        <w:rPr>
          <w:rFonts w:hint="eastAsia"/>
          <w:bCs/>
          <w:sz w:val="24"/>
        </w:rPr>
        <w:t>本基金的投资组合比例为：股票资产占基金资产的</w:t>
      </w:r>
      <w:r>
        <w:rPr>
          <w:rFonts w:hint="eastAsia"/>
          <w:bCs/>
          <w:sz w:val="24"/>
        </w:rPr>
        <w:t>50%-95%</w:t>
      </w:r>
      <w:r>
        <w:rPr>
          <w:rFonts w:hint="eastAsia"/>
          <w:bCs/>
          <w:sz w:val="24"/>
        </w:rPr>
        <w:t>；每个交易日日终在扣除股指期货、国债期货合约需缴纳的保证金以后，本基金保留的现金或到期日在一年以内的政府债券不低于基金资产净值的</w:t>
      </w:r>
      <w:r>
        <w:rPr>
          <w:rFonts w:hint="eastAsia"/>
          <w:bCs/>
          <w:sz w:val="24"/>
        </w:rPr>
        <w:t>5%</w:t>
      </w:r>
      <w:r>
        <w:rPr>
          <w:rFonts w:hint="eastAsia"/>
          <w:bCs/>
          <w:sz w:val="24"/>
        </w:rPr>
        <w:t>，其中现金不包括结算备付金、存出保证金、应收申购款等；权证投资占基金资产净值的</w:t>
      </w:r>
      <w:r>
        <w:rPr>
          <w:rFonts w:hint="eastAsia"/>
          <w:bCs/>
          <w:sz w:val="24"/>
        </w:rPr>
        <w:t>0-3%</w:t>
      </w:r>
      <w:r>
        <w:rPr>
          <w:rFonts w:hint="eastAsia"/>
          <w:bCs/>
          <w:sz w:val="24"/>
        </w:rPr>
        <w:t>。</w:t>
      </w:r>
    </w:p>
    <w:p w14:paraId="6537B245" w14:textId="77777777" w:rsidR="00AC3A9B" w:rsidRDefault="002C3C2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（二）基金托管人根据有关法律法规的规定及基金合同的约定，对基金投资、融资比例进行监督。基金托管人按下述比例和调整期限进行监督：</w:t>
      </w:r>
    </w:p>
    <w:p w14:paraId="24BEFD60" w14:textId="77777777" w:rsidR="00AC3A9B" w:rsidRDefault="002C3C29">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基金的投资组合应遵循以下限制：</w:t>
      </w:r>
    </w:p>
    <w:p w14:paraId="4E0B2377" w14:textId="77777777" w:rsidR="00AC3A9B" w:rsidRDefault="002C3C29">
      <w:pPr>
        <w:spacing w:line="360" w:lineRule="auto"/>
        <w:ind w:firstLineChars="200" w:firstLine="480"/>
        <w:rPr>
          <w:bCs/>
          <w:sz w:val="24"/>
          <w:highlight w:val="yellow"/>
        </w:rPr>
      </w:pPr>
      <w:r>
        <w:rPr>
          <w:bCs/>
          <w:sz w:val="24"/>
        </w:rPr>
        <w:t>（</w:t>
      </w:r>
      <w:r>
        <w:rPr>
          <w:bCs/>
          <w:sz w:val="24"/>
        </w:rPr>
        <w:t>1</w:t>
      </w:r>
      <w:r>
        <w:rPr>
          <w:bCs/>
          <w:sz w:val="24"/>
        </w:rPr>
        <w:t>）</w:t>
      </w:r>
      <w:r>
        <w:rPr>
          <w:rFonts w:hint="eastAsia"/>
          <w:bCs/>
          <w:sz w:val="24"/>
        </w:rPr>
        <w:t>股票投资占基金资产的比例为</w:t>
      </w:r>
      <w:r>
        <w:rPr>
          <w:rFonts w:hint="eastAsia"/>
          <w:bCs/>
          <w:sz w:val="24"/>
        </w:rPr>
        <w:t>50%</w:t>
      </w:r>
      <w:r>
        <w:rPr>
          <w:rFonts w:hint="eastAsia"/>
          <w:bCs/>
          <w:sz w:val="24"/>
        </w:rPr>
        <w:t>–</w:t>
      </w:r>
      <w:r>
        <w:rPr>
          <w:rFonts w:hint="eastAsia"/>
          <w:bCs/>
          <w:sz w:val="24"/>
        </w:rPr>
        <w:t>95%</w:t>
      </w:r>
      <w:r>
        <w:rPr>
          <w:rFonts w:hint="eastAsia"/>
          <w:bCs/>
          <w:sz w:val="24"/>
        </w:rPr>
        <w:t>；</w:t>
      </w:r>
    </w:p>
    <w:p w14:paraId="1C5C7309" w14:textId="77777777" w:rsidR="00AC3A9B" w:rsidRDefault="002C3C29">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每个交易日日终在扣除股指期货、国债期货合约需缴纳的交易保证金后，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，其中现金不包括结算备付金、存出保证金、应收申购款等</w:t>
      </w:r>
      <w:r>
        <w:rPr>
          <w:bCs/>
          <w:sz w:val="24"/>
        </w:rPr>
        <w:t>；</w:t>
      </w:r>
    </w:p>
    <w:p w14:paraId="21B5DBD7" w14:textId="77777777" w:rsidR="00AC3A9B" w:rsidRDefault="002C3C29">
      <w:pPr>
        <w:spacing w:line="360" w:lineRule="auto"/>
        <w:ind w:firstLineChars="200" w:firstLine="480"/>
        <w:rPr>
          <w:bCs/>
          <w:sz w:val="24"/>
        </w:rPr>
      </w:pPr>
      <w:r>
        <w:rPr>
          <w:bCs/>
          <w:sz w:val="24"/>
        </w:rPr>
        <w:lastRenderedPageBreak/>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p>
    <w:p w14:paraId="58BF8A17" w14:textId="77777777" w:rsidR="00AC3A9B" w:rsidRDefault="002C3C29">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14:paraId="47217D08" w14:textId="77777777" w:rsidR="00AC3A9B" w:rsidRDefault="002C3C29">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6AC66C3A" w14:textId="77777777" w:rsidR="00AC3A9B" w:rsidRDefault="002C3C29">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5932E27B" w14:textId="77777777" w:rsidR="00AC3A9B" w:rsidRDefault="002C3C29">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10277ACD" w14:textId="77777777" w:rsidR="00AC3A9B" w:rsidRDefault="002C3C29">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559ED673" w14:textId="77777777" w:rsidR="00AC3A9B" w:rsidRDefault="002C3C29">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，中国证监会规定的特殊品种除外</w:t>
      </w:r>
      <w:r>
        <w:rPr>
          <w:bCs/>
          <w:sz w:val="24"/>
        </w:rPr>
        <w:t>；</w:t>
      </w:r>
    </w:p>
    <w:p w14:paraId="4995DAA9" w14:textId="77777777" w:rsidR="00AC3A9B" w:rsidRDefault="002C3C29">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14F259EB" w14:textId="77777777" w:rsidR="00AC3A9B" w:rsidRDefault="002C3C29">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30703BA7" w14:textId="77777777" w:rsidR="00AC3A9B" w:rsidRDefault="002C3C29">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5CAD40BF" w14:textId="77777777" w:rsidR="00AC3A9B" w:rsidRDefault="002C3C29">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7D99B95F" w14:textId="77777777" w:rsidR="00AC3A9B" w:rsidRDefault="002C3C29">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rFonts w:hint="eastAsia"/>
          <w:bCs/>
          <w:sz w:val="24"/>
        </w:rPr>
        <w:t>，在全国银行间同业市场的债券回购最长期限为</w:t>
      </w:r>
      <w:r>
        <w:rPr>
          <w:rFonts w:hint="eastAsia"/>
          <w:bCs/>
          <w:sz w:val="24"/>
        </w:rPr>
        <w:t>1</w:t>
      </w:r>
      <w:r>
        <w:rPr>
          <w:rFonts w:hint="eastAsia"/>
          <w:bCs/>
          <w:sz w:val="24"/>
        </w:rPr>
        <w:t>年，债券回购到期后不得展期</w:t>
      </w:r>
      <w:r>
        <w:rPr>
          <w:bCs/>
          <w:sz w:val="24"/>
        </w:rPr>
        <w:t>；</w:t>
      </w:r>
    </w:p>
    <w:p w14:paraId="0D69777D" w14:textId="77777777" w:rsidR="00AC3A9B" w:rsidRDefault="002C3C29">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）本基金总资产不得超过基金净资产的</w:t>
      </w:r>
      <w:r>
        <w:rPr>
          <w:rFonts w:hint="eastAsia"/>
          <w:bCs/>
          <w:sz w:val="24"/>
        </w:rPr>
        <w:t xml:space="preserve"> 140%</w:t>
      </w:r>
      <w:r>
        <w:rPr>
          <w:rFonts w:hint="eastAsia"/>
          <w:bCs/>
          <w:sz w:val="24"/>
        </w:rPr>
        <w:t>；</w:t>
      </w:r>
    </w:p>
    <w:p w14:paraId="2219A132" w14:textId="77777777" w:rsidR="00AC3A9B" w:rsidRDefault="002C3C29">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；基金投资于中小企业私募债的比例不超过基金资产净值的</w:t>
      </w:r>
      <w:r>
        <w:rPr>
          <w:bCs/>
          <w:sz w:val="24"/>
        </w:rPr>
        <w:t>20%</w:t>
      </w:r>
      <w:r>
        <w:rPr>
          <w:rFonts w:hint="eastAsia"/>
          <w:bCs/>
          <w:sz w:val="24"/>
        </w:rPr>
        <w:t>；</w:t>
      </w:r>
    </w:p>
    <w:p w14:paraId="4C49CA23" w14:textId="77777777" w:rsidR="00AC3A9B" w:rsidRDefault="002C3C2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17</w:t>
      </w:r>
      <w:r>
        <w:rPr>
          <w:rFonts w:hint="eastAsia"/>
          <w:bCs/>
          <w:sz w:val="24"/>
        </w:rPr>
        <w:t>）本基金参与股指期货、国债期货交易，需遵守下列规定：</w:t>
      </w:r>
    </w:p>
    <w:p w14:paraId="45DC8BCA" w14:textId="77777777" w:rsidR="00AC3A9B" w:rsidRDefault="002C3C29">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w:t>
      </w:r>
      <w:r>
        <w:rPr>
          <w:rFonts w:hint="eastAsia"/>
          <w:bCs/>
          <w:sz w:val="24"/>
        </w:rPr>
        <w:lastRenderedPageBreak/>
        <w:t>金资产净值的</w:t>
      </w:r>
      <w:r>
        <w:rPr>
          <w:rFonts w:hint="eastAsia"/>
          <w:bCs/>
          <w:sz w:val="24"/>
        </w:rPr>
        <w:t>10%</w:t>
      </w:r>
      <w:r>
        <w:rPr>
          <w:rFonts w:hint="eastAsia"/>
          <w:bCs/>
          <w:sz w:val="24"/>
        </w:rPr>
        <w:t>；</w:t>
      </w:r>
    </w:p>
    <w:p w14:paraId="38EB8D83" w14:textId="77777777" w:rsidR="00AC3A9B" w:rsidRDefault="002C3C29">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）本基金在任何交易日日终，持有的买入股指期货、国债期货合约价值与有价证券市值之和，不得超过基金资产净值的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3FA0BF38" w14:textId="77777777" w:rsidR="00AC3A9B" w:rsidRDefault="002C3C29">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14D49F03" w14:textId="77777777" w:rsidR="00AC3A9B" w:rsidRDefault="002C3C29">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3BE4FD7F" w14:textId="77777777" w:rsidR="00AC3A9B" w:rsidRDefault="002C3C29">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）本基金所持有的股票市值和买入、卖出股指期货合约价值，合计（轧差计算）应当符合基金合同关于股票投资比例的有关规定；</w:t>
      </w:r>
    </w:p>
    <w:p w14:paraId="5ADDCEF2" w14:textId="77777777" w:rsidR="00AC3A9B" w:rsidRDefault="002C3C29">
      <w:pPr>
        <w:spacing w:line="360" w:lineRule="auto"/>
        <w:ind w:firstLineChars="200" w:firstLine="480"/>
        <w:rPr>
          <w:bCs/>
          <w:sz w:val="24"/>
        </w:rPr>
      </w:pPr>
      <w:r>
        <w:rPr>
          <w:rFonts w:hint="eastAsia"/>
          <w:bCs/>
          <w:sz w:val="24"/>
        </w:rPr>
        <w:t>6</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14:paraId="0A5903A4" w14:textId="77777777" w:rsidR="00AC3A9B" w:rsidRDefault="002C3C29">
      <w:pPr>
        <w:spacing w:line="360" w:lineRule="auto"/>
        <w:ind w:firstLineChars="200" w:firstLine="480"/>
        <w:rPr>
          <w:bCs/>
          <w:sz w:val="24"/>
        </w:rPr>
      </w:pPr>
      <w:r>
        <w:rPr>
          <w:rFonts w:hint="eastAsia"/>
          <w:bCs/>
          <w:sz w:val="24"/>
        </w:rPr>
        <w:t>7</w:t>
      </w:r>
      <w:r>
        <w:rPr>
          <w:rFonts w:hint="eastAsia"/>
          <w:bCs/>
          <w:sz w:val="24"/>
        </w:rPr>
        <w:t>）本基金在任何交易日日终，持有的卖出国债期货合约价值不得超过基金持有的债券总市值的</w:t>
      </w:r>
      <w:r>
        <w:rPr>
          <w:rFonts w:hint="eastAsia"/>
          <w:bCs/>
          <w:sz w:val="24"/>
        </w:rPr>
        <w:t>30%</w:t>
      </w:r>
      <w:r>
        <w:rPr>
          <w:rFonts w:hint="eastAsia"/>
          <w:bCs/>
          <w:sz w:val="24"/>
        </w:rPr>
        <w:t>；</w:t>
      </w:r>
    </w:p>
    <w:p w14:paraId="13ED695F" w14:textId="77777777" w:rsidR="00AC3A9B" w:rsidRDefault="002C3C29">
      <w:pPr>
        <w:spacing w:line="360" w:lineRule="auto"/>
        <w:ind w:firstLineChars="200" w:firstLine="480"/>
        <w:rPr>
          <w:bCs/>
          <w:sz w:val="24"/>
        </w:rPr>
      </w:pPr>
      <w:r>
        <w:rPr>
          <w:rFonts w:hint="eastAsia"/>
          <w:bCs/>
          <w:sz w:val="24"/>
        </w:rPr>
        <w:t>8</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14:paraId="15F01D3C" w14:textId="77777777" w:rsidR="00AC3A9B" w:rsidRDefault="002C3C29">
      <w:pPr>
        <w:spacing w:line="360" w:lineRule="auto"/>
        <w:ind w:firstLineChars="200" w:firstLine="480"/>
        <w:rPr>
          <w:sz w:val="24"/>
        </w:rPr>
      </w:pPr>
      <w:r>
        <w:rPr>
          <w:rFonts w:hint="eastAsia"/>
          <w:sz w:val="24"/>
        </w:rPr>
        <w:t>（</w:t>
      </w:r>
      <w:r>
        <w:rPr>
          <w:rFonts w:hint="eastAsia"/>
          <w:sz w:val="24"/>
        </w:rPr>
        <w:t>18</w:t>
      </w:r>
      <w:r>
        <w:rPr>
          <w:rFonts w:hint="eastAsia"/>
          <w:sz w:val="24"/>
        </w:rPr>
        <w:t>）本基金参与股票期权交易，需遵守下列投资比例限制：</w:t>
      </w:r>
    </w:p>
    <w:p w14:paraId="379E315B" w14:textId="77777777" w:rsidR="00AC3A9B" w:rsidRDefault="002C3C29">
      <w:pPr>
        <w:spacing w:line="360" w:lineRule="auto"/>
        <w:ind w:firstLineChars="200" w:firstLine="480"/>
        <w:rPr>
          <w:sz w:val="24"/>
        </w:rPr>
      </w:pPr>
      <w:r>
        <w:rPr>
          <w:rFonts w:hint="eastAsia"/>
          <w:sz w:val="24"/>
        </w:rPr>
        <w:t>1</w:t>
      </w:r>
      <w:r>
        <w:rPr>
          <w:rFonts w:hint="eastAsia"/>
          <w:sz w:val="24"/>
        </w:rPr>
        <w:t>）本基金因未平仓的期权合约支付和收取的权利金总额不得超过基金资产净值的</w:t>
      </w:r>
      <w:r>
        <w:rPr>
          <w:rFonts w:hint="eastAsia"/>
          <w:sz w:val="24"/>
        </w:rPr>
        <w:t>10%</w:t>
      </w:r>
      <w:r>
        <w:rPr>
          <w:rFonts w:hint="eastAsia"/>
          <w:sz w:val="24"/>
        </w:rPr>
        <w:t>；</w:t>
      </w:r>
    </w:p>
    <w:p w14:paraId="4AD8507E" w14:textId="77777777" w:rsidR="00AC3A9B" w:rsidRDefault="002C3C29">
      <w:pPr>
        <w:spacing w:line="360" w:lineRule="auto"/>
        <w:ind w:firstLineChars="200" w:firstLine="480"/>
        <w:rPr>
          <w:sz w:val="24"/>
        </w:rPr>
      </w:pPr>
      <w:r>
        <w:rPr>
          <w:rFonts w:hint="eastAsia"/>
          <w:sz w:val="24"/>
        </w:rPr>
        <w:t>2</w:t>
      </w:r>
      <w:r>
        <w:rPr>
          <w:rFonts w:hint="eastAsia"/>
          <w:sz w:val="24"/>
        </w:rPr>
        <w:t>）本基金开仓卖出认购期权的，应持有足额标的证券；开仓卖出认沽期权的，应持有合约行权所需的全额现金或交易所规则认可的可冲抵期权保证金的现金等价物；</w:t>
      </w:r>
    </w:p>
    <w:p w14:paraId="6794C2D8" w14:textId="77777777" w:rsidR="00AC3A9B" w:rsidRDefault="002C3C29">
      <w:pPr>
        <w:spacing w:line="360" w:lineRule="auto"/>
        <w:ind w:firstLineChars="200" w:firstLine="480"/>
        <w:rPr>
          <w:sz w:val="24"/>
        </w:rPr>
      </w:pPr>
      <w:r>
        <w:rPr>
          <w:rFonts w:hint="eastAsia"/>
          <w:sz w:val="24"/>
        </w:rPr>
        <w:t>3</w:t>
      </w:r>
      <w:r>
        <w:rPr>
          <w:rFonts w:hint="eastAsia"/>
          <w:sz w:val="24"/>
        </w:rPr>
        <w:t>）本基金未平仓的期权合约面值不得超过基金资产净值的</w:t>
      </w:r>
      <w:r>
        <w:rPr>
          <w:rFonts w:hint="eastAsia"/>
          <w:sz w:val="24"/>
        </w:rPr>
        <w:t>20%</w:t>
      </w:r>
      <w:r>
        <w:rPr>
          <w:rFonts w:hint="eastAsia"/>
          <w:sz w:val="24"/>
        </w:rPr>
        <w:t>。其中，合约面值按照行权价乘以合约乘数计算；</w:t>
      </w:r>
    </w:p>
    <w:p w14:paraId="5103C6D6" w14:textId="77777777" w:rsidR="00AC3A9B" w:rsidRDefault="002C3C29">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18EFEEF0" w14:textId="77777777" w:rsidR="00AC3A9B" w:rsidRDefault="002C3C29">
      <w:pPr>
        <w:spacing w:line="360" w:lineRule="auto"/>
        <w:ind w:firstLineChars="200" w:firstLine="480"/>
        <w:rPr>
          <w:bCs/>
          <w:sz w:val="24"/>
        </w:rPr>
      </w:pPr>
      <w:r>
        <w:rPr>
          <w:rFonts w:hint="eastAsia"/>
          <w:bCs/>
          <w:sz w:val="24"/>
        </w:rPr>
        <w:lastRenderedPageBreak/>
        <w:t>（</w:t>
      </w:r>
      <w:r>
        <w:rPr>
          <w:rFonts w:hint="eastAsia"/>
          <w:bCs/>
          <w:sz w:val="24"/>
        </w:rPr>
        <w:t>20</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47AE35F1" w14:textId="77777777" w:rsidR="00AC3A9B" w:rsidRDefault="002C3C29">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015846B5" w14:textId="77777777" w:rsidR="00AC3A9B" w:rsidRDefault="002C3C29">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329D2D4D" w14:textId="77777777" w:rsidR="00AC3A9B" w:rsidRDefault="002C3C2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）本基金投资存托凭证的比例限制依照境内上市交易的股票执行，与境内上市交易的股票合并计算；</w:t>
      </w:r>
    </w:p>
    <w:p w14:paraId="52DFA882" w14:textId="77777777" w:rsidR="00AC3A9B" w:rsidRDefault="002C3C29">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23</w:t>
      </w:r>
      <w:r>
        <w:rPr>
          <w:rFonts w:hint="eastAsia"/>
          <w:bCs/>
          <w:sz w:val="24"/>
        </w:rPr>
        <w:t>）法律法规及中国证监会规定的和《基金合同》约定的其他投资限制。</w:t>
      </w:r>
    </w:p>
    <w:p w14:paraId="695057C8" w14:textId="77777777" w:rsidR="00AC3A9B" w:rsidRDefault="002C3C29">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4A448001" w14:textId="77777777" w:rsidR="00AC3A9B" w:rsidRDefault="002C3C29">
      <w:pPr>
        <w:autoSpaceDE w:val="0"/>
        <w:autoSpaceDN w:val="0"/>
        <w:spacing w:line="360" w:lineRule="auto"/>
        <w:ind w:firstLineChars="200" w:firstLine="480"/>
        <w:textAlignment w:val="bottom"/>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40EF72DE" w14:textId="77777777" w:rsidR="00AC3A9B" w:rsidRDefault="002C3C29">
      <w:pPr>
        <w:adjustRightInd w:val="0"/>
        <w:snapToGrid w:val="0"/>
        <w:spacing w:line="360" w:lineRule="auto"/>
        <w:ind w:firstLineChars="200" w:firstLine="480"/>
        <w:rPr>
          <w:rFonts w:asciiTheme="minorEastAsia" w:hAnsiTheme="minorEastAsia" w:cs="Arial"/>
          <w:color w:val="000000"/>
          <w:sz w:val="24"/>
          <w:szCs w:val="24"/>
        </w:rPr>
      </w:pPr>
      <w:r>
        <w:rPr>
          <w:rFonts w:hint="eastAsia"/>
          <w:bCs/>
          <w:sz w:val="24"/>
        </w:rPr>
        <w:t>法律法规或监管部门取消或调整上述限制，如适用于本基金，基金管理人在履行适当程序后，则本基金投资不再受相关限制或按调整后的规定执行</w:t>
      </w:r>
      <w:r>
        <w:rPr>
          <w:rFonts w:asciiTheme="minorEastAsia" w:hAnsiTheme="minorEastAsia" w:cs="Arial" w:hint="eastAsia"/>
          <w:color w:val="000000"/>
          <w:sz w:val="24"/>
          <w:szCs w:val="24"/>
        </w:rPr>
        <w:t>。</w:t>
      </w:r>
    </w:p>
    <w:p w14:paraId="3D167395"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（三）基金托管人根据有关法律法规的规定及基金合同的约定，对本托管协议第十五条第九款基金投资禁止行为进行监督。</w:t>
      </w:r>
    </w:p>
    <w:p w14:paraId="215CF92B"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基金托管人通过事后监督方式对基金管理人基金投资禁止行为进行监督。</w:t>
      </w:r>
    </w:p>
    <w:p w14:paraId="06CF9887" w14:textId="77777777" w:rsidR="00AC3A9B" w:rsidRDefault="002C3C29">
      <w:pPr>
        <w:spacing w:line="360" w:lineRule="auto"/>
        <w:ind w:firstLineChars="200" w:firstLine="480"/>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w:t>
      </w:r>
      <w:r>
        <w:rPr>
          <w:rFonts w:hint="eastAsia"/>
          <w:bCs/>
          <w:sz w:val="24"/>
        </w:rPr>
        <w:lastRenderedPageBreak/>
        <w:t>规予以披露。重大关联交易应提交基金管理人董事会审议，并经过三分之二以上的独立董事通过。基金管理人董事会应至少每半年对关联交易事项进行审查。</w:t>
      </w:r>
    </w:p>
    <w:p w14:paraId="651B2578" w14:textId="77777777" w:rsidR="00AC3A9B" w:rsidRDefault="002C3C29">
      <w:pPr>
        <w:spacing w:line="360" w:lineRule="auto"/>
        <w:ind w:firstLineChars="200" w:firstLine="480"/>
        <w:rPr>
          <w:bCs/>
          <w:sz w:val="24"/>
        </w:rPr>
      </w:pPr>
      <w:r>
        <w:rPr>
          <w:rFonts w:hint="eastAsia"/>
          <w:bCs/>
          <w:sz w:val="24"/>
        </w:rPr>
        <w:t>法律、行政法规或监管部门取消上述禁止性规定，如适用于本基金，则本基金投资不再受相关限制。</w:t>
      </w:r>
    </w:p>
    <w:p w14:paraId="5D794FCC" w14:textId="77777777" w:rsidR="00AC3A9B" w:rsidRDefault="002C3C29">
      <w:pPr>
        <w:spacing w:line="360" w:lineRule="auto"/>
        <w:ind w:firstLineChars="200" w:firstLine="480"/>
        <w:rPr>
          <w:rFonts w:ascii="宋体" w:hAnsi="宋体"/>
          <w:sz w:val="24"/>
          <w:szCs w:val="24"/>
        </w:rPr>
      </w:pPr>
      <w:r>
        <w:rPr>
          <w:rFonts w:hint="eastAsia"/>
          <w:bCs/>
          <w:sz w:val="24"/>
        </w:rPr>
        <w:t>根据法律法规有关基金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14:paraId="11F731D5"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（四）基金托管人根据有关法律法规的规定及基金合同的约定，对基金管理人参与银行间债券市场进行监督。</w:t>
      </w:r>
    </w:p>
    <w:p w14:paraId="533F815C"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的，应向基金托管人说明理由，并在与交易对手发生交易前3个工作日内与基金托管人协商解决。</w:t>
      </w:r>
    </w:p>
    <w:p w14:paraId="46527D1D"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6596A171"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 xml:space="preserve">（五）基金托管人根据有关法律法规的规定及《基金合同》的约定，对基金管理人选择存款银行进行监督。 </w:t>
      </w:r>
    </w:p>
    <w:p w14:paraId="5EBC5912"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 xml:space="preserve">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 </w:t>
      </w:r>
    </w:p>
    <w:p w14:paraId="7AB1EC64"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lastRenderedPageBreak/>
        <w:t xml:space="preserve">本基金投资银行存款应符合如下规定： </w:t>
      </w:r>
    </w:p>
    <w:p w14:paraId="16C6A4E7"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1、基金管理人、基金托管人应当与存款银行建立定期对账机制，确保基金银行存款业务账目及核算的真实、准确。</w:t>
      </w:r>
    </w:p>
    <w:p w14:paraId="5DB0ED09"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 xml:space="preserve">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 </w:t>
      </w:r>
    </w:p>
    <w:p w14:paraId="6782582B"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3、基金托管人应加强对基金银行存款业务的监督与核查，严格审查、复核相关协议、账户资料、投资指令、存款证实书等有关文件，切实履行托管职责。</w:t>
      </w:r>
    </w:p>
    <w:p w14:paraId="0E7D6B07"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4、基金管理人与基金托管人在开展基金存款业务时，应严格遵守《基金法》、《运作办法》等有关法律法规，以及国家有关账户管理、利率管理、支付结算等的各项规定。 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基金管理人拒不执行造成基金财产的损失，基金托管人不承担任何责任。</w:t>
      </w:r>
    </w:p>
    <w:p w14:paraId="7C7F9340"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（六）基金托管人根据有关法律法规的规定及基金合同的约定，对基金投资流通受限证券进行监督。</w:t>
      </w:r>
    </w:p>
    <w:p w14:paraId="454108CB"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1．基金投资流通受限证券，应遵守《关于基金投资非公开发行股票等流通受限证券有关问题的通知》等有关法律法规规定。</w:t>
      </w:r>
    </w:p>
    <w:p w14:paraId="6AFB280A"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403BEEBC"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3．在首次投资流通受限证券之前，基金管理人应当制定相关投资决策流程、风险控制等规章制度。基金管理人应当根据基金的投资风格和流动性的需要合理</w:t>
      </w:r>
      <w:r>
        <w:rPr>
          <w:rFonts w:ascii="宋体" w:hAnsi="宋体" w:hint="eastAsia"/>
          <w:sz w:val="24"/>
          <w:szCs w:val="24"/>
        </w:rPr>
        <w:lastRenderedPageBreak/>
        <w:t>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w:t>
      </w:r>
    </w:p>
    <w:p w14:paraId="564279BD"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上述规章制度须经基金管理人董事会批准。上述规章制度经董事会通过之后，基金管理人应至少于首次投资流通受限证券之前两个工作日将上述资料书面发至基金托管人，保证基金托管人有足够的时间进行审核。</w:t>
      </w:r>
    </w:p>
    <w:p w14:paraId="4F452086"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4．在投资流通受限证券之前，基金管理人应按约定时间向基金托管人提供符合法律法规要求的有关流通受限证券的信息，具体应当包括但不限于如下文件（如有）：拟发行证券主体的中国证监会批准文件、拟发行数量、定价依据、锁定期、基金拟认购的数量、价格、总成本、总成本占基金资产净值的比例、已持有流通受限证券市值占基金资产净值的比例、划款账号、划款金额、划款时间文件等。基金管理人应保证上述信息的真实、完整。</w:t>
      </w:r>
    </w:p>
    <w:p w14:paraId="29FD9EDB"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5.基金投资流通受限证券，基金管理人应根据本协议的规定与基金托管银行签订风险控制补充协议。协议应包括基金托管人对于基金管理人是否遵守相关制度、流动型风险处置预案以及相关投资额度和比例的情况进行监督等内容。</w:t>
      </w:r>
    </w:p>
    <w:p w14:paraId="01C3F9CD"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6．基金管理人应在基金投资非公开发行股票后两个交易日内，在中国证监会指定媒介披露所投资非公开发行股票的名称、数量、总成本、账面价值，以及总成本和账面价值占基金资产净值的比例、锁定期等信息。</w:t>
      </w:r>
    </w:p>
    <w:p w14:paraId="5652D077"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7．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42143867"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如基金管理人和基金托管人无法达成一致，应及时上报中国证监会请求解决。</w:t>
      </w:r>
    </w:p>
    <w:p w14:paraId="1CC4A9BA"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（七）基金托管人根据有关法律法规的规定及基金合同的约定，对基金资产净值计算、基金份额净值计算、应收资金到账、基金费用开支及收入确定、基金</w:t>
      </w:r>
      <w:r>
        <w:rPr>
          <w:rFonts w:ascii="宋体" w:hAnsi="宋体" w:hint="eastAsia"/>
          <w:sz w:val="24"/>
          <w:szCs w:val="24"/>
        </w:rPr>
        <w:lastRenderedPageBreak/>
        <w:t>收益分配、相关信息披露、基金宣传推介材料中登载基金业绩表现数据等进行监督和核查。</w:t>
      </w:r>
    </w:p>
    <w:p w14:paraId="3FB00409"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（八）基金托管人发现基金管理人的上述事项及投资指令或实际投资运作违反法律法规、基金合同和本托管协议的规定，应及时以电话提醒或书面提示等方式通知基金管理人限期纠正。</w:t>
      </w:r>
    </w:p>
    <w:p w14:paraId="5E97A156"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基金管理人应积极配合和协助基金托管人的监督和核查。基金管理人收到书面通知后应在两个工作日内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A1558CC"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（九）基金管理人有义务配合和协助基金托管人依照法律法规、基金合同和本托管协议对基金业务执行核查。</w:t>
      </w:r>
    </w:p>
    <w:p w14:paraId="1FFC9448"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37D13F89"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（十）若基金托管人发现基金管理人依据交易程序已经生效的指令违反法律、行政法规和其他有关规定，或者违反基金合同约定的，应当立即通知基金管理人。</w:t>
      </w:r>
    </w:p>
    <w:p w14:paraId="717F3924"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（十一）基金托管人发现基金管理人有重大违规行为，应及时报告中国证监会，同时通知基金管理人限期纠正，并将纠正结果报告中国证监会。</w:t>
      </w:r>
    </w:p>
    <w:p w14:paraId="38C01A22" w14:textId="77777777" w:rsidR="00AC3A9B" w:rsidRDefault="002C3C29">
      <w:pPr>
        <w:adjustRightInd w:val="0"/>
        <w:snapToGrid w:val="0"/>
        <w:spacing w:line="360" w:lineRule="auto"/>
        <w:ind w:firstLineChars="200" w:firstLine="480"/>
        <w:rPr>
          <w:rFonts w:asciiTheme="minorEastAsia" w:hAnsiTheme="minorEastAsia" w:cs="Arial"/>
          <w:color w:val="000000"/>
          <w:sz w:val="24"/>
          <w:szCs w:val="24"/>
        </w:rPr>
      </w:pPr>
      <w:r>
        <w:rPr>
          <w:rFonts w:ascii="宋体" w:hAnsi="宋体" w:hint="eastAsia"/>
          <w:sz w:val="24"/>
          <w:szCs w:val="24"/>
        </w:rPr>
        <w:t>基金管理人无正当理由，拒绝、阻挠对方根据本托管协议规定行使监督权，或采取拖延、欺诈等手段妨碍对方进行有效监督，情节严重或经基金托管人提出警告仍不改正的，基金托管人应报告中国证监会</w:t>
      </w:r>
      <w:r>
        <w:rPr>
          <w:rFonts w:asciiTheme="minorEastAsia" w:hAnsiTheme="minorEastAsia" w:cs="Arial" w:hint="eastAsia"/>
          <w:color w:val="000000"/>
          <w:sz w:val="24"/>
          <w:szCs w:val="24"/>
        </w:rPr>
        <w:t>。</w:t>
      </w:r>
    </w:p>
    <w:p w14:paraId="3CB74E2A" w14:textId="77777777" w:rsidR="00AC3A9B" w:rsidRDefault="002C3C2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三、基金管理人对基金托管人的业务核查</w:t>
      </w:r>
    </w:p>
    <w:p w14:paraId="5F3E637E"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（一）基金管理人对基金托管人履行托管职责情况进行核查，核查事项包括基金托管人安全保管基金财产、开设基金财产的资金账户、证券账户、期货账户</w:t>
      </w:r>
      <w:r>
        <w:rPr>
          <w:rFonts w:hint="eastAsia"/>
          <w:bCs/>
          <w:sz w:val="24"/>
        </w:rPr>
        <w:t>等投资所需账户</w:t>
      </w:r>
      <w:r>
        <w:rPr>
          <w:rFonts w:ascii="宋体" w:hAnsi="宋体" w:hint="eastAsia"/>
          <w:sz w:val="24"/>
          <w:szCs w:val="24"/>
        </w:rPr>
        <w:t>、复核基金管理人计算的基金资产净值和各类基金份额净值、根据基金管理人指令办理清算交收、相关信息披露和监督基金投资运作等行为。</w:t>
      </w:r>
    </w:p>
    <w:p w14:paraId="777BC87D"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（二）基金管理人发现基金托管人擅自挪用基金财产、未对基金财产实行分</w:t>
      </w:r>
      <w:r>
        <w:rPr>
          <w:rFonts w:ascii="宋体" w:hAnsi="宋体" w:hint="eastAsia"/>
          <w:sz w:val="24"/>
          <w:szCs w:val="24"/>
        </w:rPr>
        <w:lastRenderedPageBreak/>
        <w:t>账管理、未执行或无故延迟执行基金管理人资金划拨指令、泄露基金投资信息等违反《基金法》、基金合同、本协议及其他有关规定时，应及时以书面形式通知基金托管人限期纠正。</w:t>
      </w:r>
    </w:p>
    <w:p w14:paraId="62C75CF1"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15457B5F"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（三）基金管理人发现基金托管人有重大违规行为，应及时报告中国证监会，同时通知基金托管人限期纠正，并将纠正结果报告中国证监会。</w:t>
      </w:r>
    </w:p>
    <w:p w14:paraId="259A9B9E"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宋体" w:hAnsi="宋体" w:hint="eastAsia"/>
          <w:sz w:val="24"/>
          <w:szCs w:val="24"/>
        </w:rPr>
        <w:t>基金托管人无正当理由，拒绝、阻挠对方根据本协议规定行使监督权，或采取拖延、欺诈等手段妨碍对方进行有效监督，情节严重或经基金管理人提出警告仍不改正的，基金管理人应报告中国证监会</w:t>
      </w:r>
      <w:r>
        <w:rPr>
          <w:rFonts w:asciiTheme="minorEastAsia" w:hAnsiTheme="minorEastAsia" w:cs="Arial" w:hint="eastAsia"/>
          <w:sz w:val="24"/>
          <w:szCs w:val="24"/>
        </w:rPr>
        <w:t>。</w:t>
      </w:r>
    </w:p>
    <w:p w14:paraId="3750C767" w14:textId="77777777" w:rsidR="00AC3A9B" w:rsidRDefault="002C3C2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四、基金财产的保管</w:t>
      </w:r>
    </w:p>
    <w:p w14:paraId="30FE8D71"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（一）基金财产保管的原则</w:t>
      </w:r>
    </w:p>
    <w:p w14:paraId="3084E56B"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1．基金财产应独立于基金管理人、基金托管人的固有财产；</w:t>
      </w:r>
    </w:p>
    <w:p w14:paraId="75620AA4"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2．基金托管人应安全保管基金财产；</w:t>
      </w:r>
    </w:p>
    <w:p w14:paraId="4D3F2E70"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3．基金托管人按照规定开设基金财产的资金账户、证券账户和期货账户等投资所需账户；</w:t>
      </w:r>
    </w:p>
    <w:p w14:paraId="0BE55815"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 xml:space="preserve">4．基金托管人对所托管的不同基金财产分别设置账户，确保基金财产的完整与独立； </w:t>
      </w:r>
    </w:p>
    <w:p w14:paraId="7870C57D"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5．基金托管人根据基金管理人的指令，按照基金合同和本协议的约定保管基金财产，如有特殊情况双方可另行协商解决；</w:t>
      </w:r>
    </w:p>
    <w:p w14:paraId="19553E87"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764C8D18"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7．除依据法律法规和基金合同的规定外，基金托管人不得委托第三人托管基金财产。</w:t>
      </w:r>
    </w:p>
    <w:p w14:paraId="71CDB991"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lastRenderedPageBreak/>
        <w:t>（二）基金募集期间及募集资金的验资</w:t>
      </w:r>
    </w:p>
    <w:p w14:paraId="7C54E695"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1．基金募集期间募集的资金应存于基金募集专户</w:t>
      </w:r>
      <w:r>
        <w:rPr>
          <w:rFonts w:ascii="宋体" w:hAnsi="宋体" w:hint="eastAsia"/>
          <w:sz w:val="24"/>
        </w:rPr>
        <w:t>，</w:t>
      </w:r>
      <w:r>
        <w:rPr>
          <w:rFonts w:ascii="宋体" w:hAnsi="宋体" w:hint="eastAsia"/>
          <w:sz w:val="24"/>
          <w:szCs w:val="24"/>
        </w:rPr>
        <w:t>该账户由基金管理人开立并管理。</w:t>
      </w:r>
    </w:p>
    <w:p w14:paraId="601EEC85"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2名或2名以上中国注册会计师签字方为有效。</w:t>
      </w:r>
    </w:p>
    <w:p w14:paraId="1D64970A"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3．若基金募集期限届满，未能达到基金合同生效的条件，由基金管理人按规定办理退款等事宜。</w:t>
      </w:r>
    </w:p>
    <w:p w14:paraId="3703239D"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（三）</w:t>
      </w:r>
      <w:r>
        <w:rPr>
          <w:rFonts w:ascii="宋体" w:hAnsi="宋体" w:cs="宋体" w:hint="eastAsia"/>
          <w:sz w:val="24"/>
          <w:szCs w:val="24"/>
        </w:rPr>
        <w:t>基金托管专户</w:t>
      </w:r>
      <w:r>
        <w:rPr>
          <w:rFonts w:ascii="宋体" w:hAnsi="宋体" w:hint="eastAsia"/>
          <w:sz w:val="24"/>
          <w:szCs w:val="24"/>
        </w:rPr>
        <w:t>的开立和管理</w:t>
      </w:r>
    </w:p>
    <w:p w14:paraId="0E7A14BB"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1．基金托管人以本基金的名义在其营业机构开设基金托管专户，保管基金的银行存款。本基金的一切货币收支活动，包括但不限于投资、支付赎回金额、支付基金收益、收取申购款，均需通过基金托管专户进行。</w:t>
      </w:r>
      <w:r>
        <w:rPr>
          <w:rFonts w:ascii="宋体" w:hAnsi="宋体" w:hint="eastAsia"/>
          <w:sz w:val="24"/>
        </w:rPr>
        <w:t>基金管理人授权基金托管人办理托管专户的开立、销户、变更工作，本基金托管账户无需预留印鉴，具体按基金托管人要求办理。</w:t>
      </w:r>
    </w:p>
    <w:p w14:paraId="7C7A037A"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2．基金托管专户的开立和使用，限于满足开展本基金业务的需要。基金托管人和基金管理人不得假借本基金的名义开立任何其他银行账户；亦不得使用基金的任何账户进行本基金业务以外的活动。</w:t>
      </w:r>
    </w:p>
    <w:p w14:paraId="6FE44C57"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3．基金托管专户的开立和管理应符合有关法律法规以及银行业监督管理机构的其他有关规定。</w:t>
      </w:r>
    </w:p>
    <w:p w14:paraId="24518A89"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（四）基金证券账户和结算备付金账户的开立和管理</w:t>
      </w:r>
    </w:p>
    <w:p w14:paraId="673C7705"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1．基金托管人在中国证券登记结算有限责任公司上海分公司、深圳分公司为基金开立基金托管人与本基金联名的证券账户。</w:t>
      </w:r>
    </w:p>
    <w:p w14:paraId="15AEDF13"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2．基金证券账户的开立和使用，仅限于满足开展本基金业务的需要。基金托管人和基金管理人不得出借或转让基金的任何证券账户，亦不得使用基金的任何账户进行本基金业务以外的活动。</w:t>
      </w:r>
    </w:p>
    <w:p w14:paraId="70B090B9"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3．基金证券账户的开立和证券账户卡的保管由基金托管人负责，账户资产的管理和运用由基金管理人负责。</w:t>
      </w:r>
    </w:p>
    <w:p w14:paraId="40AD0B95"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lastRenderedPageBreak/>
        <w:t>4．基金托管人以基金托管人的名义在中国证券登记结算有限责任公司上海分公司、深圳分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49A22F11"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5．若中国证监会或其他监管机构在本托管协议订立日之后允许基金从事其他投资品种的投资业务，涉及相关账户的开立、使用的，若无相关规定，则基金托管人比照上述关于账户开立、使用的规定执行。</w:t>
      </w:r>
    </w:p>
    <w:p w14:paraId="6DF47424"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（五）银行间债券托管专户的开设和管理</w:t>
      </w:r>
    </w:p>
    <w:p w14:paraId="56188888"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基金合同生效后，基金管理人负责以本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账户，并代表基金进行银行间市场债券的结算。基金管理人和基金托管人共同代表基金签订全国银行间债券市场债券回购主协议，基金管理人保管协议正本，基金托管人保存协议副本。</w:t>
      </w:r>
    </w:p>
    <w:p w14:paraId="063AA233"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（六）其他账户的开立和管理</w:t>
      </w:r>
    </w:p>
    <w:p w14:paraId="126D3B5F"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038B71E0"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（七）基金财产投资的有关有价凭证等的保管</w:t>
      </w:r>
    </w:p>
    <w:p w14:paraId="179C40FF"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14:paraId="607626F7"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（八）与基金财产有关的重大合同的保管</w:t>
      </w:r>
    </w:p>
    <w:p w14:paraId="2FC1B1A4"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宋体" w:hAnsi="宋体"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基金管理人应保证基金管理人和基金托管人至少各持有一份正本的原件。</w:t>
      </w:r>
      <w:r>
        <w:rPr>
          <w:rFonts w:ascii="宋体" w:hAnsi="宋体" w:hint="eastAsia"/>
          <w:sz w:val="24"/>
          <w:szCs w:val="24"/>
        </w:rPr>
        <w:lastRenderedPageBreak/>
        <w:t>基金管理人应在重大合同签署后及时将重大合同传真给基金托管人，并在30个工作日内将正本送达基金托管人处。重大合同的保管期限为基金合同终止后15年</w:t>
      </w:r>
      <w:r>
        <w:rPr>
          <w:rFonts w:asciiTheme="minorEastAsia" w:hAnsiTheme="minorEastAsia" w:cs="Arial" w:hint="eastAsia"/>
          <w:sz w:val="24"/>
          <w:szCs w:val="24"/>
        </w:rPr>
        <w:t>。</w:t>
      </w:r>
    </w:p>
    <w:p w14:paraId="34C8A73D" w14:textId="77777777" w:rsidR="00AC3A9B" w:rsidRDefault="002C3C2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五、基金资产净值计算、估值和会计核算</w:t>
      </w:r>
    </w:p>
    <w:p w14:paraId="10C48DA7"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（一）基金资产净值的计算、复核与完成的时间及程序</w:t>
      </w:r>
    </w:p>
    <w:p w14:paraId="5F7B05E0"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1．基金资产净值</w:t>
      </w:r>
    </w:p>
    <w:p w14:paraId="0D9D43C9"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基金资产净值是指基金资产总值减去负债后的金额。</w:t>
      </w:r>
    </w:p>
    <w:p w14:paraId="653E2E97"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该类基金份额净值是指该类基金资产净值除以当日该类基金份额总数，各类基金份额净值的计算，精确到0.0001元，小数点后第5位四舍五入，国家另有规定的，从其规定。</w:t>
      </w:r>
    </w:p>
    <w:p w14:paraId="1D8E3604"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基金管理人每个工作日计算基金资产净值及两类基金份额净值，经基金托管人复核，按规定公告。</w:t>
      </w:r>
    </w:p>
    <w:p w14:paraId="73BB0527"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2．复核程序</w:t>
      </w:r>
    </w:p>
    <w:p w14:paraId="68C190DE"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宋体" w:hAnsi="宋体" w:hint="eastAsia"/>
          <w:sz w:val="24"/>
          <w:szCs w:val="24"/>
        </w:rPr>
        <w:t>基金管理人每工作日对基金资产进行估值后，将两类基金份额净值结果发送基金托管人，经基金托管人复核无误后，由基金管理人对外公布</w:t>
      </w:r>
      <w:r>
        <w:rPr>
          <w:rFonts w:asciiTheme="minorEastAsia" w:hAnsiTheme="minorEastAsia" w:cs="Arial" w:hint="eastAsia"/>
          <w:sz w:val="24"/>
          <w:szCs w:val="24"/>
        </w:rPr>
        <w:t>。</w:t>
      </w:r>
    </w:p>
    <w:p w14:paraId="64DF7D79"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（二）基金会计核算</w:t>
      </w:r>
    </w:p>
    <w:p w14:paraId="6CDD6937"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1、基金账册的建立</w:t>
      </w:r>
    </w:p>
    <w:p w14:paraId="051A5028"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宋体" w:hAnsi="宋体" w:hint="eastAsia"/>
          <w:sz w:val="24"/>
          <w:szCs w:val="24"/>
        </w:rPr>
        <w:t>基金管理人进行基金会计核算并编制基金财务会计报告。基金管理人、基金托管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r>
        <w:rPr>
          <w:rFonts w:asciiTheme="minorEastAsia" w:hAnsiTheme="minorEastAsia" w:cs="Arial" w:hint="eastAsia"/>
          <w:sz w:val="24"/>
          <w:szCs w:val="24"/>
        </w:rPr>
        <w:t>。</w:t>
      </w:r>
    </w:p>
    <w:p w14:paraId="5D81B4AB"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2、基金财务报表和定期报告的编制和复核</w:t>
      </w:r>
    </w:p>
    <w:p w14:paraId="53FCEF6B"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（1）财务报表的编制</w:t>
      </w:r>
    </w:p>
    <w:p w14:paraId="2979B9E8"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基金财务报表由基金管理人编制，基金托管人复核。</w:t>
      </w:r>
    </w:p>
    <w:p w14:paraId="3DDDD18C"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（2）报表复核</w:t>
      </w:r>
    </w:p>
    <w:p w14:paraId="01BCC0A7"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基金托管人在收到基金管理人编制的基金财务报表后，进行独立的复核。核对不符时，应及时通知基金管理人共同查出原因，进行调整，直至双方数据完全一致。</w:t>
      </w:r>
    </w:p>
    <w:p w14:paraId="41378383"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（3）财务报表的编制与复核时间安排</w:t>
      </w:r>
    </w:p>
    <w:p w14:paraId="09BCFEF4"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lastRenderedPageBreak/>
        <w:t>1）报表的编制</w:t>
      </w:r>
    </w:p>
    <w:p w14:paraId="328D9043"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14:paraId="7BE427F6"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2）报表的复核</w:t>
      </w:r>
    </w:p>
    <w:p w14:paraId="7ADE0F76"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34040EE4"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宋体" w:hAnsi="宋体" w:hint="eastAsia"/>
          <w:sz w:val="24"/>
          <w:szCs w:val="24"/>
        </w:rPr>
        <w:t>基金管理人应留足充分的时间，便于基金托管人复核相关报表及报告</w:t>
      </w:r>
      <w:r>
        <w:rPr>
          <w:rFonts w:asciiTheme="minorEastAsia" w:hAnsiTheme="minorEastAsia" w:cs="Arial" w:hint="eastAsia"/>
          <w:sz w:val="24"/>
          <w:szCs w:val="24"/>
        </w:rPr>
        <w:t>。</w:t>
      </w:r>
    </w:p>
    <w:p w14:paraId="1ABBFF65" w14:textId="77777777" w:rsidR="00AC3A9B" w:rsidRDefault="002C3C2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六、基金份额持有人名册的保管</w:t>
      </w:r>
    </w:p>
    <w:p w14:paraId="394192DE"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管方式可以采用电子或文档的形式，保存期不少于15年。如不能妥善保管，则按相关法规承担责任。</w:t>
      </w:r>
    </w:p>
    <w:p w14:paraId="23AC2BF0" w14:textId="77777777" w:rsidR="00AC3A9B" w:rsidRDefault="002C3C29">
      <w:pPr>
        <w:adjustRightInd w:val="0"/>
        <w:snapToGrid w:val="0"/>
        <w:spacing w:line="360" w:lineRule="auto"/>
        <w:ind w:firstLineChars="200" w:firstLine="480"/>
        <w:rPr>
          <w:rFonts w:asciiTheme="minorEastAsia" w:hAnsiTheme="minorEastAsia" w:cs="Arial"/>
          <w:sz w:val="24"/>
          <w:szCs w:val="24"/>
        </w:rPr>
      </w:pPr>
      <w:r>
        <w:rPr>
          <w:rFonts w:ascii="宋体" w:hAnsi="宋体" w:hint="eastAsia"/>
          <w:sz w:val="24"/>
          <w:szCs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r>
        <w:rPr>
          <w:rFonts w:asciiTheme="minorEastAsia" w:hAnsiTheme="minorEastAsia" w:cs="Arial" w:hint="eastAsia"/>
          <w:sz w:val="24"/>
          <w:szCs w:val="24"/>
        </w:rPr>
        <w:t>。</w:t>
      </w:r>
    </w:p>
    <w:p w14:paraId="1F1E4F23" w14:textId="77777777" w:rsidR="00AC3A9B" w:rsidRDefault="002C3C2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七、争议解决方式</w:t>
      </w:r>
    </w:p>
    <w:p w14:paraId="68CEA6FD"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宋体" w:hAnsi="宋体" w:hint="eastAsia"/>
          <w:sz w:val="24"/>
          <w:szCs w:val="24"/>
        </w:rPr>
        <w:t>因本协议产生或与之相关的争议，双方当事人应通过协商、调解解决，协商、调解不能解决的，任何一方均有权将争议提交华南国际经济贸易仲裁委员会，仲裁地点为深圳市，按照华南国际经济贸易仲裁委员会届时有效的仲裁规则进行仲裁。仲裁裁决是终局的，对当事人均有约束力，仲裁费用由败诉方承担</w:t>
      </w:r>
      <w:r>
        <w:rPr>
          <w:rFonts w:asciiTheme="minorEastAsia" w:hAnsiTheme="minorEastAsia" w:cs="Times New Roman" w:hint="eastAsia"/>
          <w:sz w:val="24"/>
          <w:szCs w:val="24"/>
        </w:rPr>
        <w:t>。</w:t>
      </w:r>
    </w:p>
    <w:p w14:paraId="5AE9175E"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宋体" w:hAnsi="宋体" w:hint="eastAsia"/>
          <w:sz w:val="24"/>
          <w:szCs w:val="24"/>
        </w:rPr>
        <w:t>争议处理期间，双方当事人应恪守基金管理人和基金托管人职责，各自继续忠实、勤勉、尽责地履行基金合同和本托管协议规定的义务，维护基金份额持有人的合法权益</w:t>
      </w:r>
      <w:r>
        <w:rPr>
          <w:rFonts w:asciiTheme="minorEastAsia" w:hAnsiTheme="minorEastAsia" w:cs="Times New Roman" w:hint="eastAsia"/>
          <w:sz w:val="24"/>
          <w:szCs w:val="24"/>
        </w:rPr>
        <w:t>。</w:t>
      </w:r>
    </w:p>
    <w:p w14:paraId="3B325AB9"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宋体" w:hAnsi="宋体" w:hint="eastAsia"/>
          <w:sz w:val="24"/>
          <w:szCs w:val="24"/>
        </w:rPr>
        <w:t>本协议受中国法律（不含港澳台立法）管辖</w:t>
      </w:r>
      <w:r>
        <w:rPr>
          <w:rFonts w:asciiTheme="minorEastAsia" w:hAnsiTheme="minorEastAsia" w:cs="Times New Roman" w:hint="eastAsia"/>
          <w:sz w:val="24"/>
          <w:szCs w:val="24"/>
        </w:rPr>
        <w:t>。</w:t>
      </w:r>
    </w:p>
    <w:p w14:paraId="15CF426D" w14:textId="77777777" w:rsidR="00AC3A9B" w:rsidRDefault="002C3C2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八、</w:t>
      </w:r>
      <w:r>
        <w:rPr>
          <w:rFonts w:asciiTheme="minorEastAsia" w:hAnsiTheme="minorEastAsia" w:cs="Times New Roman" w:hint="eastAsia"/>
          <w:b/>
          <w:color w:val="000000"/>
          <w:sz w:val="24"/>
          <w:szCs w:val="24"/>
        </w:rPr>
        <w:t>托管协议的变更、终止与基金财产的清算</w:t>
      </w:r>
    </w:p>
    <w:p w14:paraId="4B34138F"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lastRenderedPageBreak/>
        <w:t>（一）托管协议的变更程序</w:t>
      </w:r>
    </w:p>
    <w:p w14:paraId="27DF2520"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本协议双方当事人经协商一致，可以对协议进行修改。修改后的新协议，其内容不得与基金合同的规定有任何冲突。基金托管协议的变更报中国证监会备案。</w:t>
      </w:r>
    </w:p>
    <w:p w14:paraId="369FFDBD"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（二）基金托管协议终止出现的情形</w:t>
      </w:r>
    </w:p>
    <w:p w14:paraId="32D60F95"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1．基金合同终止；</w:t>
      </w:r>
    </w:p>
    <w:p w14:paraId="59208B63"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2．基金托管人解散、依法被撤销、破产或由其他基金托管人接管基金资产；</w:t>
      </w:r>
    </w:p>
    <w:p w14:paraId="50904103"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3．基金管理人解散、依法被撤销、破产或由其他基金管理人接管基金管理权；</w:t>
      </w:r>
    </w:p>
    <w:p w14:paraId="491AE715"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4．发生法律法规或基金合同规定的终止事项。</w:t>
      </w:r>
    </w:p>
    <w:p w14:paraId="281FE60D" w14:textId="77777777" w:rsidR="00AC3A9B" w:rsidRDefault="002C3C29">
      <w:pPr>
        <w:spacing w:line="360" w:lineRule="auto"/>
        <w:ind w:firstLineChars="200" w:firstLine="480"/>
        <w:rPr>
          <w:rFonts w:ascii="宋体" w:hAnsi="宋体"/>
          <w:sz w:val="24"/>
          <w:szCs w:val="24"/>
        </w:rPr>
      </w:pPr>
      <w:r>
        <w:rPr>
          <w:rFonts w:ascii="宋体" w:hAnsi="宋体" w:hint="eastAsia"/>
          <w:sz w:val="24"/>
          <w:szCs w:val="24"/>
        </w:rPr>
        <w:t>（三）基金财产的清算</w:t>
      </w:r>
    </w:p>
    <w:p w14:paraId="6AC936E5" w14:textId="77777777" w:rsidR="00AC3A9B" w:rsidRDefault="002C3C29">
      <w:pPr>
        <w:adjustRightInd w:val="0"/>
        <w:snapToGrid w:val="0"/>
        <w:spacing w:line="360" w:lineRule="auto"/>
        <w:ind w:firstLineChars="200" w:firstLine="480"/>
        <w:rPr>
          <w:rFonts w:asciiTheme="minorEastAsia" w:hAnsiTheme="minorEastAsia" w:cs="Times New Roman"/>
          <w:sz w:val="24"/>
          <w:szCs w:val="24"/>
        </w:rPr>
      </w:pPr>
      <w:r>
        <w:rPr>
          <w:rFonts w:ascii="宋体" w:hAnsi="宋体" w:hint="eastAsia"/>
          <w:sz w:val="24"/>
          <w:szCs w:val="24"/>
        </w:rPr>
        <w:t>基金管理人与基金托管人按照《基金合同》的约定处理基金财产的清算</w:t>
      </w:r>
      <w:r>
        <w:rPr>
          <w:rFonts w:asciiTheme="minorEastAsia" w:hAnsiTheme="minorEastAsia" w:cs="Times New Roman" w:hint="eastAsia"/>
          <w:sz w:val="24"/>
          <w:szCs w:val="24"/>
        </w:rPr>
        <w:t>。</w:t>
      </w:r>
    </w:p>
    <w:p w14:paraId="444BD58B" w14:textId="77777777" w:rsidR="00AC3A9B" w:rsidRDefault="00AC3A9B">
      <w:pPr>
        <w:keepNext/>
        <w:keepLines/>
        <w:tabs>
          <w:tab w:val="center" w:pos="4364"/>
        </w:tabs>
        <w:autoSpaceDE w:val="0"/>
        <w:autoSpaceDN w:val="0"/>
        <w:adjustRightInd w:val="0"/>
        <w:snapToGrid w:val="0"/>
        <w:spacing w:line="360" w:lineRule="auto"/>
        <w:ind w:firstLineChars="150" w:firstLine="361"/>
        <w:textAlignment w:val="baseline"/>
        <w:outlineLvl w:val="0"/>
        <w:rPr>
          <w:rFonts w:asciiTheme="minorEastAsia" w:hAnsiTheme="minorEastAsia" w:cs="Times New Roman"/>
          <w:b/>
          <w:kern w:val="0"/>
          <w:sz w:val="24"/>
          <w:szCs w:val="24"/>
        </w:rPr>
        <w:sectPr w:rsidR="00AC3A9B">
          <w:footerReference w:type="default" r:id="rId43"/>
          <w:pgSz w:w="11906" w:h="16838"/>
          <w:pgMar w:top="1440" w:right="1800" w:bottom="1440" w:left="1800" w:header="851" w:footer="992" w:gutter="0"/>
          <w:pgNumType w:chapStyle="1"/>
          <w:cols w:space="720"/>
          <w:docGrid w:type="lines" w:linePitch="312"/>
        </w:sectPr>
      </w:pPr>
      <w:bookmarkStart w:id="398" w:name="_Toc214873621"/>
      <w:bookmarkStart w:id="399" w:name="_Toc147463123"/>
      <w:bookmarkStart w:id="400" w:name="_Toc12357176"/>
      <w:bookmarkStart w:id="401" w:name="_Toc21073396"/>
      <w:bookmarkStart w:id="402" w:name="_Toc263092328"/>
      <w:bookmarkStart w:id="403" w:name="_Toc416264555"/>
      <w:bookmarkStart w:id="404" w:name="_Toc24923"/>
      <w:bookmarkStart w:id="405" w:name="_Toc123112249"/>
      <w:bookmarkStart w:id="406" w:name="_Toc25651"/>
      <w:bookmarkStart w:id="407" w:name="_Toc23999"/>
      <w:bookmarkStart w:id="408" w:name="_Toc123102468"/>
      <w:bookmarkStart w:id="409" w:name="_Toc8636"/>
      <w:bookmarkStart w:id="410" w:name="_Toc30350"/>
      <w:bookmarkStart w:id="411" w:name="_Toc1790"/>
      <w:bookmarkStart w:id="412" w:name="_Toc21983"/>
      <w:bookmarkStart w:id="413" w:name="_Toc352229767"/>
      <w:bookmarkStart w:id="414" w:name="_Toc6202"/>
      <w:bookmarkStart w:id="415" w:name="_Toc6110"/>
      <w:bookmarkStart w:id="416" w:name="_Toc141703902"/>
      <w:bookmarkStart w:id="417" w:name="_Toc3319"/>
      <w:bookmarkStart w:id="418" w:name="_Toc123051467"/>
      <w:bookmarkStart w:id="419" w:name="_Toc139991751"/>
      <w:bookmarkStart w:id="420" w:name="_Toc98560366"/>
      <w:bookmarkStart w:id="421" w:name="_Toc7288"/>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2C4C1422" w14:textId="77777777" w:rsidR="00AC3A9B" w:rsidRDefault="002C3C29">
      <w:pPr>
        <w:pStyle w:val="1"/>
        <w:jc w:val="center"/>
        <w:rPr>
          <w:sz w:val="30"/>
          <w:szCs w:val="30"/>
        </w:rPr>
      </w:pPr>
      <w:bookmarkStart w:id="422" w:name="_Toc37770223"/>
      <w:r>
        <w:rPr>
          <w:rFonts w:hint="eastAsia"/>
          <w:sz w:val="30"/>
          <w:szCs w:val="30"/>
        </w:rPr>
        <w:lastRenderedPageBreak/>
        <w:t>第二十部分</w:t>
      </w:r>
      <w:r>
        <w:rPr>
          <w:sz w:val="30"/>
          <w:szCs w:val="30"/>
        </w:rPr>
        <w:t xml:space="preserve">  </w:t>
      </w:r>
      <w:r>
        <w:rPr>
          <w:rFonts w:hint="eastAsia"/>
          <w:sz w:val="30"/>
          <w:szCs w:val="30"/>
        </w:rPr>
        <w:t>对基金份额持有人的服务</w:t>
      </w:r>
      <w:bookmarkEnd w:id="422"/>
    </w:p>
    <w:p w14:paraId="7DAD1FA2"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5A38E66"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1E9AC556"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2912579"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05575366"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02272BA0"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33C15C1D"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1BF786DA"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01FD1A2A"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65E15CE0"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11B4F03F"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65715675"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480EC1D6"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投资人可以通过客服热线、书信、电子邮件等渠道，对基金管理人和销售机构所提供的服务进行投诉。</w:t>
      </w:r>
    </w:p>
    <w:p w14:paraId="792F07D4"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对于工作日期间受理的投诉，以“及时回复”为处理原则，对于不能及时回复的投诉，基金管理人承诺在 3 个工作日之内对基金投资人的投诉做出回复。</w:t>
      </w:r>
      <w:r>
        <w:rPr>
          <w:rFonts w:asciiTheme="minorEastAsia" w:hAnsiTheme="minorEastAsia" w:cs="Arial" w:hint="eastAsia"/>
          <w:sz w:val="24"/>
          <w:szCs w:val="24"/>
        </w:rPr>
        <w:lastRenderedPageBreak/>
        <w:t>对于非工作日提出的投诉，基金管理人将在顺延到下 1 个工作日进行回复。</w:t>
      </w:r>
    </w:p>
    <w:p w14:paraId="1C4C4F19"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（七）基金管理人联系方式 </w:t>
      </w:r>
    </w:p>
    <w:p w14:paraId="368327F5"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基金管理人网址： www.furamc.com.cn</w:t>
      </w:r>
    </w:p>
    <w:p w14:paraId="60A0AC7B"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电子信箱：service@furamc.com.cn</w:t>
      </w:r>
    </w:p>
    <w:p w14:paraId="0F05D9A8"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客服热线：4006855600</w:t>
      </w:r>
    </w:p>
    <w:p w14:paraId="6E7BB5E1" w14:textId="30DDBE23"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客户服务部门地址：</w:t>
      </w:r>
      <w:r>
        <w:rPr>
          <w:rFonts w:asciiTheme="minorEastAsia" w:hAnsiTheme="minorEastAsia" w:cs="Times New Roman" w:hint="eastAsia"/>
          <w:kern w:val="0"/>
          <w:sz w:val="24"/>
          <w:szCs w:val="24"/>
        </w:rPr>
        <w:t>深圳市福田区八卦四路安吉尔大厦24层</w:t>
      </w:r>
      <w:r>
        <w:rPr>
          <w:rFonts w:asciiTheme="minorEastAsia" w:hAnsiTheme="minorEastAsia" w:cs="Arial" w:hint="eastAsia"/>
          <w:sz w:val="24"/>
          <w:szCs w:val="24"/>
        </w:rPr>
        <w:t>，富荣基金管理有限公司客户服务部门（收）</w:t>
      </w:r>
    </w:p>
    <w:p w14:paraId="1AFD6D41" w14:textId="77777777" w:rsidR="00AC3A9B" w:rsidRDefault="002C3C29">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邮编：518038</w:t>
      </w:r>
    </w:p>
    <w:p w14:paraId="07551B7A" w14:textId="77777777" w:rsidR="00AC3A9B" w:rsidRDefault="002C3C29">
      <w:pPr>
        <w:spacing w:line="360" w:lineRule="auto"/>
        <w:ind w:firstLineChars="200" w:firstLine="480"/>
        <w:rPr>
          <w:rFonts w:asciiTheme="minorEastAsia" w:hAnsiTheme="minorEastAsia"/>
          <w:sz w:val="24"/>
          <w:szCs w:val="24"/>
        </w:rPr>
        <w:sectPr w:rsidR="00AC3A9B">
          <w:footerReference w:type="default" r:id="rId44"/>
          <w:pgSz w:w="11906" w:h="16838"/>
          <w:pgMar w:top="1440" w:right="1800" w:bottom="1440" w:left="1800" w:header="851" w:footer="992" w:gutter="0"/>
          <w:pgNumType w:chapStyle="1"/>
          <w:cols w:space="720"/>
          <w:docGrid w:type="lines" w:linePitch="312"/>
        </w:sectPr>
      </w:pPr>
      <w:r>
        <w:rPr>
          <w:rFonts w:asciiTheme="minorEastAsia" w:hAnsiTheme="minorEastAsia" w:cs="Arial" w:hint="eastAsia"/>
          <w:sz w:val="24"/>
          <w:szCs w:val="24"/>
        </w:rPr>
        <w:t>（八）如本招募说明书存在任何您/贵机构无法理解的内容，请通过上述联系方式联系基金管理人。请确保投资前，您/贵机构已经全面理解了本招募说明书</w:t>
      </w:r>
      <w:r>
        <w:rPr>
          <w:rFonts w:asciiTheme="minorEastAsia" w:hAnsiTheme="minorEastAsia" w:cs="Arial"/>
          <w:sz w:val="24"/>
          <w:szCs w:val="24"/>
        </w:rPr>
        <w:t>。</w:t>
      </w:r>
    </w:p>
    <w:p w14:paraId="670BC806" w14:textId="77777777" w:rsidR="00AC3A9B" w:rsidRDefault="002C3C29">
      <w:pPr>
        <w:pStyle w:val="1"/>
        <w:jc w:val="center"/>
      </w:pPr>
      <w:bookmarkStart w:id="423" w:name="_Toc30359"/>
      <w:bookmarkStart w:id="424" w:name="_Toc256666809"/>
      <w:bookmarkStart w:id="425" w:name="_Toc520207207"/>
      <w:bookmarkStart w:id="426" w:name="_Toc256666929"/>
      <w:bookmarkStart w:id="427" w:name="_Toc521338342"/>
      <w:bookmarkStart w:id="428" w:name="_Toc482624810"/>
      <w:bookmarkStart w:id="429" w:name="_Toc37770224"/>
      <w:bookmarkStart w:id="430" w:name="_Toc214873622"/>
      <w:bookmarkStart w:id="431" w:name="_Toc416264556"/>
      <w:bookmarkStart w:id="432" w:name="_Toc530223198"/>
      <w:bookmarkStart w:id="433" w:name="_Toc263092329"/>
      <w:bookmarkEnd w:id="398"/>
      <w:bookmarkEnd w:id="399"/>
      <w:bookmarkEnd w:id="400"/>
      <w:bookmarkEnd w:id="401"/>
      <w:bookmarkEnd w:id="402"/>
      <w:bookmarkEnd w:id="403"/>
      <w:r>
        <w:rPr>
          <w:rFonts w:hint="eastAsia"/>
          <w:sz w:val="30"/>
          <w:szCs w:val="30"/>
        </w:rPr>
        <w:lastRenderedPageBreak/>
        <w:t xml:space="preserve">第二十一部分  </w:t>
      </w:r>
      <w:bookmarkEnd w:id="423"/>
      <w:bookmarkEnd w:id="424"/>
      <w:bookmarkEnd w:id="425"/>
      <w:bookmarkEnd w:id="426"/>
      <w:bookmarkEnd w:id="427"/>
      <w:bookmarkEnd w:id="428"/>
      <w:r>
        <w:rPr>
          <w:rFonts w:hint="eastAsia"/>
          <w:sz w:val="30"/>
          <w:szCs w:val="30"/>
        </w:rPr>
        <w:t>其他应披露事项</w:t>
      </w:r>
      <w:bookmarkEnd w:id="429"/>
    </w:p>
    <w:tbl>
      <w:tblPr>
        <w:tblpPr w:leftFromText="180" w:rightFromText="180" w:vertAnchor="text" w:tblpY="1"/>
        <w:tblOverlap w:val="neve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709"/>
        <w:gridCol w:w="1662"/>
      </w:tblGrid>
      <w:tr w:rsidR="00FA6998" w14:paraId="4952137E" w14:textId="77777777" w:rsidTr="00FA6998">
        <w:trPr>
          <w:trHeight w:val="382"/>
        </w:trPr>
        <w:tc>
          <w:tcPr>
            <w:tcW w:w="817" w:type="dxa"/>
            <w:tcBorders>
              <w:top w:val="single" w:sz="4" w:space="0" w:color="auto"/>
              <w:left w:val="single" w:sz="4" w:space="0" w:color="auto"/>
              <w:bottom w:val="single" w:sz="4" w:space="0" w:color="auto"/>
              <w:right w:val="single" w:sz="4" w:space="0" w:color="auto"/>
            </w:tcBorders>
          </w:tcPr>
          <w:p w14:paraId="7C166174" w14:textId="77777777" w:rsidR="00FA6998" w:rsidRDefault="00FA6998" w:rsidP="00772392">
            <w:pPr>
              <w:jc w:val="center"/>
              <w:rPr>
                <w:rFonts w:ascii="宋体" w:hAnsi="宋体"/>
                <w:szCs w:val="21"/>
              </w:rPr>
            </w:pPr>
            <w:r>
              <w:rPr>
                <w:rFonts w:asciiTheme="minorEastAsia" w:hAnsiTheme="minorEastAsia" w:cs="Arial" w:hint="eastAsia"/>
                <w:sz w:val="24"/>
                <w:szCs w:val="24"/>
              </w:rPr>
              <w:t>序号</w:t>
            </w:r>
          </w:p>
        </w:tc>
        <w:tc>
          <w:tcPr>
            <w:tcW w:w="5709" w:type="dxa"/>
            <w:tcBorders>
              <w:top w:val="single" w:sz="4" w:space="0" w:color="auto"/>
              <w:left w:val="single" w:sz="4" w:space="0" w:color="auto"/>
              <w:bottom w:val="single" w:sz="4" w:space="0" w:color="auto"/>
              <w:right w:val="single" w:sz="4" w:space="0" w:color="auto"/>
            </w:tcBorders>
          </w:tcPr>
          <w:p w14:paraId="01A5954F" w14:textId="77777777" w:rsidR="00FA6998" w:rsidRDefault="00FA6998" w:rsidP="00772392">
            <w:pPr>
              <w:jc w:val="center"/>
              <w:rPr>
                <w:rFonts w:ascii="宋体" w:hAnsi="宋体"/>
                <w:szCs w:val="21"/>
              </w:rPr>
            </w:pPr>
            <w:r>
              <w:rPr>
                <w:rFonts w:asciiTheme="minorEastAsia" w:hAnsiTheme="minorEastAsia" w:cs="Arial" w:hint="eastAsia"/>
                <w:sz w:val="24"/>
                <w:szCs w:val="24"/>
              </w:rPr>
              <w:t>公告事项</w:t>
            </w:r>
          </w:p>
        </w:tc>
        <w:tc>
          <w:tcPr>
            <w:tcW w:w="1662" w:type="dxa"/>
            <w:tcBorders>
              <w:top w:val="single" w:sz="4" w:space="0" w:color="auto"/>
              <w:left w:val="single" w:sz="4" w:space="0" w:color="auto"/>
              <w:bottom w:val="single" w:sz="4" w:space="0" w:color="auto"/>
              <w:right w:val="single" w:sz="4" w:space="0" w:color="auto"/>
            </w:tcBorders>
          </w:tcPr>
          <w:p w14:paraId="485D960C" w14:textId="77777777" w:rsidR="00FA6998" w:rsidRDefault="00FA6998" w:rsidP="00772392">
            <w:pPr>
              <w:jc w:val="center"/>
              <w:rPr>
                <w:rFonts w:ascii="宋体" w:hAnsi="宋体"/>
                <w:szCs w:val="21"/>
              </w:rPr>
            </w:pPr>
            <w:r>
              <w:rPr>
                <w:rFonts w:asciiTheme="minorEastAsia" w:hAnsiTheme="minorEastAsia" w:cs="Arial" w:hint="eastAsia"/>
                <w:sz w:val="24"/>
                <w:szCs w:val="24"/>
              </w:rPr>
              <w:t>披露日期</w:t>
            </w:r>
          </w:p>
        </w:tc>
      </w:tr>
      <w:tr w:rsidR="00FA6998" w14:paraId="23579505"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6CC29280"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1</w:t>
            </w:r>
          </w:p>
        </w:tc>
        <w:tc>
          <w:tcPr>
            <w:tcW w:w="5709" w:type="dxa"/>
            <w:tcBorders>
              <w:top w:val="single" w:sz="4" w:space="0" w:color="auto"/>
              <w:left w:val="single" w:sz="4" w:space="0" w:color="auto"/>
              <w:bottom w:val="single" w:sz="4" w:space="0" w:color="auto"/>
              <w:right w:val="single" w:sz="4" w:space="0" w:color="auto"/>
            </w:tcBorders>
            <w:vAlign w:val="bottom"/>
          </w:tcPr>
          <w:p w14:paraId="7F7B2E82" w14:textId="77777777" w:rsidR="00FA6998" w:rsidRPr="00E06259"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富荣基金管理有限公司基金行业高级管理人员变更公告</w:t>
            </w:r>
          </w:p>
        </w:tc>
        <w:tc>
          <w:tcPr>
            <w:tcW w:w="1662" w:type="dxa"/>
            <w:tcBorders>
              <w:top w:val="single" w:sz="4" w:space="0" w:color="auto"/>
              <w:left w:val="single" w:sz="4" w:space="0" w:color="auto"/>
              <w:bottom w:val="single" w:sz="4" w:space="0" w:color="auto"/>
              <w:right w:val="single" w:sz="4" w:space="0" w:color="auto"/>
            </w:tcBorders>
            <w:vAlign w:val="center"/>
          </w:tcPr>
          <w:p w14:paraId="33B434BA"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2021-03-20</w:t>
            </w:r>
          </w:p>
        </w:tc>
      </w:tr>
      <w:tr w:rsidR="00FA6998" w14:paraId="0E75B6F8"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71FCA54C"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2</w:t>
            </w:r>
          </w:p>
        </w:tc>
        <w:tc>
          <w:tcPr>
            <w:tcW w:w="5709" w:type="dxa"/>
            <w:tcBorders>
              <w:top w:val="single" w:sz="4" w:space="0" w:color="auto"/>
              <w:left w:val="single" w:sz="4" w:space="0" w:color="auto"/>
              <w:bottom w:val="single" w:sz="4" w:space="0" w:color="auto"/>
              <w:right w:val="single" w:sz="4" w:space="0" w:color="auto"/>
            </w:tcBorders>
            <w:vAlign w:val="bottom"/>
          </w:tcPr>
          <w:p w14:paraId="045E5591"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富荣基金管理有限公司旗下全部基金</w:t>
            </w:r>
            <w:r w:rsidRPr="00772392">
              <w:rPr>
                <w:rFonts w:asciiTheme="minorEastAsia" w:hAnsiTheme="minorEastAsia" w:cs="Arial"/>
                <w:sz w:val="24"/>
                <w:szCs w:val="24"/>
              </w:rPr>
              <w:t>2020</w:t>
            </w:r>
            <w:r w:rsidRPr="00772392">
              <w:rPr>
                <w:rFonts w:asciiTheme="minorEastAsia" w:hAnsiTheme="minorEastAsia" w:cs="Arial" w:hint="eastAsia"/>
                <w:sz w:val="24"/>
                <w:szCs w:val="24"/>
              </w:rPr>
              <w:t>年年度报告提示性公告</w:t>
            </w:r>
          </w:p>
        </w:tc>
        <w:tc>
          <w:tcPr>
            <w:tcW w:w="1662" w:type="dxa"/>
            <w:tcBorders>
              <w:top w:val="single" w:sz="4" w:space="0" w:color="auto"/>
              <w:left w:val="single" w:sz="4" w:space="0" w:color="auto"/>
              <w:bottom w:val="single" w:sz="4" w:space="0" w:color="auto"/>
              <w:right w:val="single" w:sz="4" w:space="0" w:color="auto"/>
            </w:tcBorders>
            <w:vAlign w:val="center"/>
          </w:tcPr>
          <w:p w14:paraId="32054004"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2021-03-31</w:t>
            </w:r>
          </w:p>
        </w:tc>
      </w:tr>
      <w:tr w:rsidR="00FA6998" w14:paraId="25381516"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54F8EF94"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3</w:t>
            </w:r>
          </w:p>
        </w:tc>
        <w:tc>
          <w:tcPr>
            <w:tcW w:w="5709" w:type="dxa"/>
            <w:tcBorders>
              <w:top w:val="single" w:sz="4" w:space="0" w:color="auto"/>
              <w:left w:val="single" w:sz="4" w:space="0" w:color="auto"/>
              <w:bottom w:val="single" w:sz="4" w:space="0" w:color="auto"/>
              <w:right w:val="single" w:sz="4" w:space="0" w:color="auto"/>
            </w:tcBorders>
            <w:vAlign w:val="bottom"/>
          </w:tcPr>
          <w:p w14:paraId="6D0BF667"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富荣基金管理有限公司关于调整旗下部分基金投资范围、增加侧袋机制并相应修改法律文件的公告</w:t>
            </w:r>
          </w:p>
        </w:tc>
        <w:tc>
          <w:tcPr>
            <w:tcW w:w="1662" w:type="dxa"/>
            <w:tcBorders>
              <w:top w:val="single" w:sz="4" w:space="0" w:color="auto"/>
              <w:left w:val="single" w:sz="4" w:space="0" w:color="auto"/>
              <w:bottom w:val="single" w:sz="4" w:space="0" w:color="auto"/>
              <w:right w:val="single" w:sz="4" w:space="0" w:color="auto"/>
            </w:tcBorders>
            <w:vAlign w:val="center"/>
          </w:tcPr>
          <w:p w14:paraId="7EF8ADFF"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2021-04-19</w:t>
            </w:r>
          </w:p>
        </w:tc>
      </w:tr>
      <w:tr w:rsidR="00FA6998" w14:paraId="731FF241"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738DB3CC"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4</w:t>
            </w:r>
          </w:p>
        </w:tc>
        <w:tc>
          <w:tcPr>
            <w:tcW w:w="5709" w:type="dxa"/>
            <w:tcBorders>
              <w:top w:val="single" w:sz="4" w:space="0" w:color="auto"/>
              <w:left w:val="single" w:sz="4" w:space="0" w:color="auto"/>
              <w:bottom w:val="single" w:sz="4" w:space="0" w:color="auto"/>
              <w:right w:val="single" w:sz="4" w:space="0" w:color="auto"/>
            </w:tcBorders>
            <w:vAlign w:val="bottom"/>
          </w:tcPr>
          <w:p w14:paraId="1E378BE7"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富荣基金管理有限公司旗下全部基金</w:t>
            </w:r>
            <w:r w:rsidRPr="00772392">
              <w:rPr>
                <w:rFonts w:asciiTheme="minorEastAsia" w:hAnsiTheme="minorEastAsia" w:cs="Arial"/>
                <w:sz w:val="24"/>
                <w:szCs w:val="24"/>
              </w:rPr>
              <w:t>2021</w:t>
            </w:r>
            <w:r w:rsidRPr="00772392">
              <w:rPr>
                <w:rFonts w:asciiTheme="minorEastAsia" w:hAnsiTheme="minorEastAsia" w:cs="Arial" w:hint="eastAsia"/>
                <w:sz w:val="24"/>
                <w:szCs w:val="24"/>
              </w:rPr>
              <w:t>年第</w:t>
            </w:r>
            <w:r w:rsidRPr="00772392">
              <w:rPr>
                <w:rFonts w:asciiTheme="minorEastAsia" w:hAnsiTheme="minorEastAsia" w:cs="Arial"/>
                <w:sz w:val="24"/>
                <w:szCs w:val="24"/>
              </w:rPr>
              <w:t>1</w:t>
            </w:r>
            <w:r w:rsidRPr="00772392">
              <w:rPr>
                <w:rFonts w:asciiTheme="minorEastAsia" w:hAnsiTheme="minorEastAsia" w:cs="Arial" w:hint="eastAsia"/>
                <w:sz w:val="24"/>
                <w:szCs w:val="24"/>
              </w:rPr>
              <w:t>季度报告提示性公告</w:t>
            </w:r>
          </w:p>
        </w:tc>
        <w:tc>
          <w:tcPr>
            <w:tcW w:w="1662" w:type="dxa"/>
            <w:tcBorders>
              <w:top w:val="single" w:sz="4" w:space="0" w:color="auto"/>
              <w:left w:val="single" w:sz="4" w:space="0" w:color="auto"/>
              <w:bottom w:val="single" w:sz="4" w:space="0" w:color="auto"/>
              <w:right w:val="single" w:sz="4" w:space="0" w:color="auto"/>
            </w:tcBorders>
            <w:vAlign w:val="center"/>
          </w:tcPr>
          <w:p w14:paraId="53FEDAE2"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2021-04-22</w:t>
            </w:r>
          </w:p>
        </w:tc>
      </w:tr>
      <w:tr w:rsidR="00FA6998" w14:paraId="11260F4E"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2B9DA5DE"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5</w:t>
            </w:r>
          </w:p>
        </w:tc>
        <w:tc>
          <w:tcPr>
            <w:tcW w:w="5709" w:type="dxa"/>
            <w:tcBorders>
              <w:top w:val="single" w:sz="4" w:space="0" w:color="auto"/>
              <w:left w:val="single" w:sz="4" w:space="0" w:color="auto"/>
              <w:bottom w:val="single" w:sz="4" w:space="0" w:color="auto"/>
              <w:right w:val="single" w:sz="4" w:space="0" w:color="auto"/>
            </w:tcBorders>
            <w:vAlign w:val="bottom"/>
          </w:tcPr>
          <w:p w14:paraId="59F11209"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富荣基金管理有限公司关于提醒投资者防范不法分子假冒本公司名义从事诈骗活动的公告</w:t>
            </w:r>
          </w:p>
        </w:tc>
        <w:tc>
          <w:tcPr>
            <w:tcW w:w="1662" w:type="dxa"/>
            <w:tcBorders>
              <w:top w:val="single" w:sz="4" w:space="0" w:color="auto"/>
              <w:left w:val="single" w:sz="4" w:space="0" w:color="auto"/>
              <w:bottom w:val="single" w:sz="4" w:space="0" w:color="auto"/>
              <w:right w:val="single" w:sz="4" w:space="0" w:color="auto"/>
            </w:tcBorders>
            <w:vAlign w:val="center"/>
          </w:tcPr>
          <w:p w14:paraId="104DBBB0"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2021-05-06</w:t>
            </w:r>
          </w:p>
        </w:tc>
      </w:tr>
      <w:tr w:rsidR="00FA6998" w14:paraId="51A88093"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7C25D7EF"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6</w:t>
            </w:r>
          </w:p>
        </w:tc>
        <w:tc>
          <w:tcPr>
            <w:tcW w:w="5709" w:type="dxa"/>
            <w:tcBorders>
              <w:top w:val="single" w:sz="4" w:space="0" w:color="auto"/>
              <w:left w:val="single" w:sz="4" w:space="0" w:color="auto"/>
              <w:bottom w:val="single" w:sz="4" w:space="0" w:color="auto"/>
              <w:right w:val="single" w:sz="4" w:space="0" w:color="auto"/>
            </w:tcBorders>
            <w:vAlign w:val="bottom"/>
          </w:tcPr>
          <w:p w14:paraId="52D9D94B"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富荣基金管理有限公司关于旗下部分公开募集证券投资基金更新招募说明书及产品资料概要的提示性公告</w:t>
            </w:r>
          </w:p>
        </w:tc>
        <w:tc>
          <w:tcPr>
            <w:tcW w:w="1662" w:type="dxa"/>
            <w:tcBorders>
              <w:top w:val="single" w:sz="4" w:space="0" w:color="auto"/>
              <w:left w:val="single" w:sz="4" w:space="0" w:color="auto"/>
              <w:bottom w:val="single" w:sz="4" w:space="0" w:color="auto"/>
              <w:right w:val="single" w:sz="4" w:space="0" w:color="auto"/>
            </w:tcBorders>
            <w:vAlign w:val="center"/>
          </w:tcPr>
          <w:p w14:paraId="0A71FAA0"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2021-05-21</w:t>
            </w:r>
          </w:p>
        </w:tc>
      </w:tr>
      <w:tr w:rsidR="00FA6998" w14:paraId="1CA66139"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485966F0"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7</w:t>
            </w:r>
          </w:p>
        </w:tc>
        <w:tc>
          <w:tcPr>
            <w:tcW w:w="5709" w:type="dxa"/>
            <w:tcBorders>
              <w:top w:val="single" w:sz="4" w:space="0" w:color="auto"/>
              <w:left w:val="single" w:sz="4" w:space="0" w:color="auto"/>
              <w:bottom w:val="single" w:sz="4" w:space="0" w:color="auto"/>
              <w:right w:val="single" w:sz="4" w:space="0" w:color="auto"/>
            </w:tcBorders>
            <w:vAlign w:val="bottom"/>
          </w:tcPr>
          <w:p w14:paraId="28CECF5E"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富荣基金管理有限公司关于旗下部分基金新增财咨道信息技术有限公司为销售机构并开通基金定期定额投资业务和基金转换业务的公告</w:t>
            </w:r>
          </w:p>
        </w:tc>
        <w:tc>
          <w:tcPr>
            <w:tcW w:w="1662" w:type="dxa"/>
            <w:tcBorders>
              <w:top w:val="single" w:sz="4" w:space="0" w:color="auto"/>
              <w:left w:val="single" w:sz="4" w:space="0" w:color="auto"/>
              <w:bottom w:val="single" w:sz="4" w:space="0" w:color="auto"/>
              <w:right w:val="single" w:sz="4" w:space="0" w:color="auto"/>
            </w:tcBorders>
            <w:vAlign w:val="center"/>
          </w:tcPr>
          <w:p w14:paraId="20F61C3F"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2021-05-26</w:t>
            </w:r>
          </w:p>
        </w:tc>
      </w:tr>
      <w:tr w:rsidR="00FA6998" w14:paraId="33EE9FA6"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35EC945C"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8</w:t>
            </w:r>
          </w:p>
        </w:tc>
        <w:tc>
          <w:tcPr>
            <w:tcW w:w="5709" w:type="dxa"/>
            <w:tcBorders>
              <w:top w:val="single" w:sz="4" w:space="0" w:color="auto"/>
              <w:left w:val="single" w:sz="4" w:space="0" w:color="auto"/>
              <w:bottom w:val="single" w:sz="4" w:space="0" w:color="auto"/>
              <w:right w:val="single" w:sz="4" w:space="0" w:color="auto"/>
            </w:tcBorders>
            <w:vAlign w:val="bottom"/>
          </w:tcPr>
          <w:p w14:paraId="5004604B"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富荣基金管理有限公司关于旗下部分基金参加财咨道信息技术有限公司基金申购及定期定额投资申购费率优惠活动的公告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vAlign w:val="center"/>
          </w:tcPr>
          <w:p w14:paraId="52EEF30A"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2021-05-26</w:t>
            </w:r>
          </w:p>
        </w:tc>
      </w:tr>
      <w:tr w:rsidR="00FA6998" w14:paraId="636CBF6C"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646F750D"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9</w:t>
            </w:r>
          </w:p>
        </w:tc>
        <w:tc>
          <w:tcPr>
            <w:tcW w:w="5709" w:type="dxa"/>
            <w:tcBorders>
              <w:top w:val="single" w:sz="4" w:space="0" w:color="auto"/>
              <w:left w:val="single" w:sz="4" w:space="0" w:color="auto"/>
              <w:bottom w:val="single" w:sz="4" w:space="0" w:color="auto"/>
              <w:right w:val="single" w:sz="4" w:space="0" w:color="auto"/>
            </w:tcBorders>
            <w:vAlign w:val="bottom"/>
          </w:tcPr>
          <w:p w14:paraId="22EA5415"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富荣基金管理有限公司基金行业高级管理人员变更公告</w:t>
            </w:r>
          </w:p>
        </w:tc>
        <w:tc>
          <w:tcPr>
            <w:tcW w:w="1662" w:type="dxa"/>
            <w:tcBorders>
              <w:top w:val="single" w:sz="4" w:space="0" w:color="auto"/>
              <w:left w:val="single" w:sz="4" w:space="0" w:color="auto"/>
              <w:bottom w:val="single" w:sz="4" w:space="0" w:color="auto"/>
              <w:right w:val="single" w:sz="4" w:space="0" w:color="auto"/>
            </w:tcBorders>
            <w:vAlign w:val="center"/>
          </w:tcPr>
          <w:p w14:paraId="12A873BC"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2021-06-24</w:t>
            </w:r>
          </w:p>
        </w:tc>
      </w:tr>
      <w:tr w:rsidR="00FA6998" w14:paraId="5396E8BF"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5DF8810D"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0</w:t>
            </w:r>
          </w:p>
        </w:tc>
        <w:tc>
          <w:tcPr>
            <w:tcW w:w="5709" w:type="dxa"/>
            <w:tcBorders>
              <w:top w:val="single" w:sz="4" w:space="0" w:color="auto"/>
              <w:left w:val="single" w:sz="4" w:space="0" w:color="auto"/>
              <w:bottom w:val="single" w:sz="4" w:space="0" w:color="auto"/>
              <w:right w:val="single" w:sz="4" w:space="0" w:color="auto"/>
            </w:tcBorders>
            <w:vAlign w:val="bottom"/>
          </w:tcPr>
          <w:p w14:paraId="217BC25D"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富荣基金管理有限公司关于旗下部分基金新增北京度小满基金销售有限公司为销售机构并开通基金定期定额投资业务和基金转换业务的公告</w:t>
            </w:r>
          </w:p>
        </w:tc>
        <w:tc>
          <w:tcPr>
            <w:tcW w:w="1662" w:type="dxa"/>
            <w:tcBorders>
              <w:top w:val="single" w:sz="4" w:space="0" w:color="auto"/>
              <w:left w:val="single" w:sz="4" w:space="0" w:color="auto"/>
              <w:bottom w:val="single" w:sz="4" w:space="0" w:color="auto"/>
              <w:right w:val="single" w:sz="4" w:space="0" w:color="auto"/>
            </w:tcBorders>
            <w:vAlign w:val="center"/>
          </w:tcPr>
          <w:p w14:paraId="23DC402E"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2021-06-29</w:t>
            </w:r>
          </w:p>
        </w:tc>
      </w:tr>
      <w:tr w:rsidR="00FA6998" w14:paraId="66500A6E"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5F6BBE87"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1</w:t>
            </w:r>
          </w:p>
        </w:tc>
        <w:tc>
          <w:tcPr>
            <w:tcW w:w="5709" w:type="dxa"/>
            <w:tcBorders>
              <w:top w:val="single" w:sz="4" w:space="0" w:color="auto"/>
              <w:left w:val="single" w:sz="4" w:space="0" w:color="auto"/>
              <w:bottom w:val="single" w:sz="4" w:space="0" w:color="auto"/>
              <w:right w:val="single" w:sz="4" w:space="0" w:color="auto"/>
            </w:tcBorders>
            <w:vAlign w:val="bottom"/>
          </w:tcPr>
          <w:p w14:paraId="43792466"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富荣基金管理有限公司关于旗下部分基金参加北京度小满基金销售有限公司基金申购及定期定额投资申购费率优惠活动的公告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vAlign w:val="center"/>
          </w:tcPr>
          <w:p w14:paraId="1976315A"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2021-06-29</w:t>
            </w:r>
          </w:p>
        </w:tc>
      </w:tr>
      <w:tr w:rsidR="00FA6998" w14:paraId="47339BEF"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27AD1BC4"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2</w:t>
            </w:r>
          </w:p>
        </w:tc>
        <w:tc>
          <w:tcPr>
            <w:tcW w:w="5709" w:type="dxa"/>
            <w:tcBorders>
              <w:top w:val="single" w:sz="4" w:space="0" w:color="auto"/>
              <w:left w:val="single" w:sz="4" w:space="0" w:color="auto"/>
              <w:bottom w:val="single" w:sz="4" w:space="0" w:color="auto"/>
              <w:right w:val="single" w:sz="4" w:space="0" w:color="auto"/>
            </w:tcBorders>
            <w:vAlign w:val="bottom"/>
          </w:tcPr>
          <w:p w14:paraId="370F0712"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富荣基金管理有限公司关于旗下部分基金新增通华财富（上海）基金销售有限公司为销售机构并开通基金定期定额投资业务和基金转换业务的公告</w:t>
            </w:r>
          </w:p>
        </w:tc>
        <w:tc>
          <w:tcPr>
            <w:tcW w:w="1662" w:type="dxa"/>
            <w:tcBorders>
              <w:top w:val="single" w:sz="4" w:space="0" w:color="auto"/>
              <w:left w:val="single" w:sz="4" w:space="0" w:color="auto"/>
              <w:bottom w:val="single" w:sz="4" w:space="0" w:color="auto"/>
              <w:right w:val="single" w:sz="4" w:space="0" w:color="auto"/>
            </w:tcBorders>
            <w:vAlign w:val="center"/>
          </w:tcPr>
          <w:p w14:paraId="568F0159"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2021-07-02</w:t>
            </w:r>
          </w:p>
        </w:tc>
      </w:tr>
      <w:tr w:rsidR="00FA6998" w14:paraId="747CFF4F"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21F1E92E"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3</w:t>
            </w:r>
          </w:p>
        </w:tc>
        <w:tc>
          <w:tcPr>
            <w:tcW w:w="5709" w:type="dxa"/>
            <w:tcBorders>
              <w:top w:val="single" w:sz="4" w:space="0" w:color="auto"/>
              <w:left w:val="single" w:sz="4" w:space="0" w:color="auto"/>
              <w:bottom w:val="single" w:sz="4" w:space="0" w:color="auto"/>
              <w:right w:val="single" w:sz="4" w:space="0" w:color="auto"/>
            </w:tcBorders>
            <w:vAlign w:val="bottom"/>
          </w:tcPr>
          <w:p w14:paraId="588B5CE1"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富荣基金管理有限公司关于旗下部分基金参加通华财富（上海）基金销售有限公司基金申购及定期定额投资申购费率优惠活动的公告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vAlign w:val="center"/>
          </w:tcPr>
          <w:p w14:paraId="75771567"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2021-07-02</w:t>
            </w:r>
          </w:p>
        </w:tc>
      </w:tr>
      <w:tr w:rsidR="00FA6998" w14:paraId="4AA5CD08"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7A5B734E"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4</w:t>
            </w:r>
          </w:p>
        </w:tc>
        <w:tc>
          <w:tcPr>
            <w:tcW w:w="5709" w:type="dxa"/>
            <w:tcBorders>
              <w:top w:val="single" w:sz="4" w:space="0" w:color="auto"/>
              <w:left w:val="single" w:sz="4" w:space="0" w:color="auto"/>
              <w:bottom w:val="single" w:sz="4" w:space="0" w:color="auto"/>
              <w:right w:val="single" w:sz="4" w:space="0" w:color="auto"/>
            </w:tcBorders>
            <w:vAlign w:val="bottom"/>
          </w:tcPr>
          <w:p w14:paraId="2163700C"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富荣基金管理有限公司关于旗下部分基金参加上海万得基金销售有限公司基金申购及定期定额投资申购费率优惠活动的公告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vAlign w:val="center"/>
          </w:tcPr>
          <w:p w14:paraId="7ECE47CF"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2021-07-21</w:t>
            </w:r>
          </w:p>
        </w:tc>
      </w:tr>
      <w:tr w:rsidR="00FA6998" w14:paraId="0D3FA8AB"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55B7770F"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5</w:t>
            </w:r>
          </w:p>
        </w:tc>
        <w:tc>
          <w:tcPr>
            <w:tcW w:w="5709" w:type="dxa"/>
            <w:tcBorders>
              <w:top w:val="single" w:sz="4" w:space="0" w:color="auto"/>
              <w:left w:val="single" w:sz="4" w:space="0" w:color="auto"/>
              <w:bottom w:val="single" w:sz="4" w:space="0" w:color="auto"/>
              <w:right w:val="single" w:sz="4" w:space="0" w:color="auto"/>
            </w:tcBorders>
            <w:vAlign w:val="bottom"/>
          </w:tcPr>
          <w:p w14:paraId="7A5F5B67"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富荣基金管理有限公司关于旗下部分基金新增上海万得基金销售有限公司为销售机构并开通基金定期定额投资业务和基金转换业务的公告</w:t>
            </w:r>
          </w:p>
        </w:tc>
        <w:tc>
          <w:tcPr>
            <w:tcW w:w="1662" w:type="dxa"/>
            <w:tcBorders>
              <w:top w:val="single" w:sz="4" w:space="0" w:color="auto"/>
              <w:left w:val="single" w:sz="4" w:space="0" w:color="auto"/>
              <w:bottom w:val="single" w:sz="4" w:space="0" w:color="auto"/>
              <w:right w:val="single" w:sz="4" w:space="0" w:color="auto"/>
            </w:tcBorders>
            <w:vAlign w:val="center"/>
          </w:tcPr>
          <w:p w14:paraId="37428045"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2021-07-21</w:t>
            </w:r>
          </w:p>
        </w:tc>
      </w:tr>
      <w:tr w:rsidR="00FA6998" w14:paraId="09648985"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5E36542D"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6</w:t>
            </w:r>
          </w:p>
        </w:tc>
        <w:tc>
          <w:tcPr>
            <w:tcW w:w="5709" w:type="dxa"/>
            <w:tcBorders>
              <w:top w:val="single" w:sz="4" w:space="0" w:color="auto"/>
              <w:left w:val="single" w:sz="4" w:space="0" w:color="auto"/>
              <w:bottom w:val="single" w:sz="4" w:space="0" w:color="auto"/>
              <w:right w:val="single" w:sz="4" w:space="0" w:color="auto"/>
            </w:tcBorders>
            <w:vAlign w:val="bottom"/>
          </w:tcPr>
          <w:p w14:paraId="65483B0E"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富荣基金管理有限公司旗下全部基金</w:t>
            </w:r>
            <w:r w:rsidRPr="00772392">
              <w:rPr>
                <w:rFonts w:asciiTheme="minorEastAsia" w:hAnsiTheme="minorEastAsia" w:cs="Arial"/>
                <w:sz w:val="24"/>
                <w:szCs w:val="24"/>
              </w:rPr>
              <w:t>2021</w:t>
            </w:r>
            <w:r w:rsidRPr="00772392">
              <w:rPr>
                <w:rFonts w:asciiTheme="minorEastAsia" w:hAnsiTheme="minorEastAsia" w:cs="Arial" w:hint="eastAsia"/>
                <w:sz w:val="24"/>
                <w:szCs w:val="24"/>
              </w:rPr>
              <w:t>年第</w:t>
            </w:r>
            <w:r w:rsidRPr="00772392">
              <w:rPr>
                <w:rFonts w:asciiTheme="minorEastAsia" w:hAnsiTheme="minorEastAsia" w:cs="Arial"/>
                <w:sz w:val="24"/>
                <w:szCs w:val="24"/>
              </w:rPr>
              <w:t>2</w:t>
            </w:r>
            <w:r w:rsidRPr="00772392">
              <w:rPr>
                <w:rFonts w:asciiTheme="minorEastAsia" w:hAnsiTheme="minorEastAsia" w:cs="Arial" w:hint="eastAsia"/>
                <w:sz w:val="24"/>
                <w:szCs w:val="24"/>
              </w:rPr>
              <w:t>季</w:t>
            </w:r>
            <w:r w:rsidRPr="00772392">
              <w:rPr>
                <w:rFonts w:asciiTheme="minorEastAsia" w:hAnsiTheme="minorEastAsia" w:cs="Arial" w:hint="eastAsia"/>
                <w:sz w:val="24"/>
                <w:szCs w:val="24"/>
              </w:rPr>
              <w:lastRenderedPageBreak/>
              <w:t>度报告提示性公告</w:t>
            </w:r>
          </w:p>
        </w:tc>
        <w:tc>
          <w:tcPr>
            <w:tcW w:w="1662" w:type="dxa"/>
            <w:tcBorders>
              <w:top w:val="single" w:sz="4" w:space="0" w:color="auto"/>
              <w:left w:val="single" w:sz="4" w:space="0" w:color="auto"/>
              <w:bottom w:val="single" w:sz="4" w:space="0" w:color="auto"/>
              <w:right w:val="single" w:sz="4" w:space="0" w:color="auto"/>
            </w:tcBorders>
            <w:vAlign w:val="center"/>
          </w:tcPr>
          <w:p w14:paraId="1F0E79D4"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lastRenderedPageBreak/>
              <w:t>2021-07-21</w:t>
            </w:r>
          </w:p>
        </w:tc>
      </w:tr>
      <w:tr w:rsidR="00FA6998" w14:paraId="211CE871"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70FC5C13"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7</w:t>
            </w:r>
          </w:p>
        </w:tc>
        <w:tc>
          <w:tcPr>
            <w:tcW w:w="5709" w:type="dxa"/>
            <w:tcBorders>
              <w:top w:val="single" w:sz="4" w:space="0" w:color="auto"/>
              <w:left w:val="single" w:sz="4" w:space="0" w:color="auto"/>
              <w:bottom w:val="single" w:sz="4" w:space="0" w:color="auto"/>
              <w:right w:val="single" w:sz="4" w:space="0" w:color="auto"/>
            </w:tcBorders>
            <w:vAlign w:val="bottom"/>
          </w:tcPr>
          <w:p w14:paraId="1C653DEA"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富荣基金管理有限公司关于旗下部分基金新增泛华普益基金销售有限公司为销售机构并开通基金定期定额投资业务和基金转换业务的公告</w:t>
            </w:r>
          </w:p>
        </w:tc>
        <w:tc>
          <w:tcPr>
            <w:tcW w:w="1662" w:type="dxa"/>
            <w:tcBorders>
              <w:top w:val="single" w:sz="4" w:space="0" w:color="auto"/>
              <w:left w:val="single" w:sz="4" w:space="0" w:color="auto"/>
              <w:bottom w:val="single" w:sz="4" w:space="0" w:color="auto"/>
              <w:right w:val="single" w:sz="4" w:space="0" w:color="auto"/>
            </w:tcBorders>
            <w:vAlign w:val="center"/>
          </w:tcPr>
          <w:p w14:paraId="7304FAF8"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2021-07-23</w:t>
            </w:r>
          </w:p>
        </w:tc>
      </w:tr>
      <w:tr w:rsidR="00FA6998" w14:paraId="4C204C1B"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6D0E03B3"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8</w:t>
            </w:r>
          </w:p>
        </w:tc>
        <w:tc>
          <w:tcPr>
            <w:tcW w:w="5709" w:type="dxa"/>
            <w:tcBorders>
              <w:top w:val="single" w:sz="4" w:space="0" w:color="auto"/>
              <w:left w:val="single" w:sz="4" w:space="0" w:color="auto"/>
              <w:bottom w:val="single" w:sz="4" w:space="0" w:color="auto"/>
              <w:right w:val="single" w:sz="4" w:space="0" w:color="auto"/>
            </w:tcBorders>
            <w:vAlign w:val="bottom"/>
          </w:tcPr>
          <w:p w14:paraId="4DB0E343"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富荣基金管理有限公司关于旗下部分基金参加泛华普益基金销售有限公司基金申购及定期定额投资申购费率优惠活动的公告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vAlign w:val="center"/>
          </w:tcPr>
          <w:p w14:paraId="160B5749"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2021-07-23</w:t>
            </w:r>
          </w:p>
        </w:tc>
      </w:tr>
      <w:tr w:rsidR="00FA6998" w14:paraId="0F538F75"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0E1497AE"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9</w:t>
            </w:r>
          </w:p>
        </w:tc>
        <w:tc>
          <w:tcPr>
            <w:tcW w:w="5709" w:type="dxa"/>
            <w:tcBorders>
              <w:top w:val="single" w:sz="4" w:space="0" w:color="auto"/>
              <w:left w:val="single" w:sz="4" w:space="0" w:color="auto"/>
              <w:bottom w:val="single" w:sz="4" w:space="0" w:color="auto"/>
              <w:right w:val="single" w:sz="4" w:space="0" w:color="auto"/>
            </w:tcBorders>
            <w:vAlign w:val="bottom"/>
          </w:tcPr>
          <w:p w14:paraId="470BA8F4"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富荣基金管理有限公司关于恢复泰信财富基金销售有限公司办理旗下基金相关销售业务的公告</w:t>
            </w:r>
          </w:p>
        </w:tc>
        <w:tc>
          <w:tcPr>
            <w:tcW w:w="1662" w:type="dxa"/>
            <w:tcBorders>
              <w:top w:val="single" w:sz="4" w:space="0" w:color="auto"/>
              <w:left w:val="single" w:sz="4" w:space="0" w:color="auto"/>
              <w:bottom w:val="single" w:sz="4" w:space="0" w:color="auto"/>
              <w:right w:val="single" w:sz="4" w:space="0" w:color="auto"/>
            </w:tcBorders>
            <w:vAlign w:val="center"/>
          </w:tcPr>
          <w:p w14:paraId="255D8211"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2021-08-27</w:t>
            </w:r>
          </w:p>
        </w:tc>
      </w:tr>
      <w:tr w:rsidR="00FA6998" w14:paraId="72A1A16A"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13B347B6"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0</w:t>
            </w:r>
          </w:p>
        </w:tc>
        <w:tc>
          <w:tcPr>
            <w:tcW w:w="5709" w:type="dxa"/>
            <w:tcBorders>
              <w:top w:val="single" w:sz="4" w:space="0" w:color="auto"/>
              <w:left w:val="single" w:sz="4" w:space="0" w:color="auto"/>
              <w:bottom w:val="single" w:sz="4" w:space="0" w:color="auto"/>
              <w:right w:val="single" w:sz="4" w:space="0" w:color="auto"/>
            </w:tcBorders>
            <w:vAlign w:val="bottom"/>
          </w:tcPr>
          <w:p w14:paraId="5FD2BA2D"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富荣基金管理有限公司旗下全部基金</w:t>
            </w:r>
            <w:r w:rsidRPr="00772392">
              <w:rPr>
                <w:rFonts w:asciiTheme="minorEastAsia" w:hAnsiTheme="minorEastAsia" w:cs="Arial"/>
                <w:sz w:val="24"/>
                <w:szCs w:val="24"/>
              </w:rPr>
              <w:t>2021</w:t>
            </w:r>
            <w:r w:rsidRPr="00772392">
              <w:rPr>
                <w:rFonts w:asciiTheme="minorEastAsia" w:hAnsiTheme="minorEastAsia" w:cs="Arial" w:hint="eastAsia"/>
                <w:sz w:val="24"/>
                <w:szCs w:val="24"/>
              </w:rPr>
              <w:t>年中期报告提示性公告</w:t>
            </w:r>
          </w:p>
        </w:tc>
        <w:tc>
          <w:tcPr>
            <w:tcW w:w="1662" w:type="dxa"/>
            <w:tcBorders>
              <w:top w:val="single" w:sz="4" w:space="0" w:color="auto"/>
              <w:left w:val="single" w:sz="4" w:space="0" w:color="auto"/>
              <w:bottom w:val="single" w:sz="4" w:space="0" w:color="auto"/>
              <w:right w:val="single" w:sz="4" w:space="0" w:color="auto"/>
            </w:tcBorders>
            <w:vAlign w:val="center"/>
          </w:tcPr>
          <w:p w14:paraId="323D3EDE"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2021-08-31</w:t>
            </w:r>
          </w:p>
        </w:tc>
      </w:tr>
      <w:tr w:rsidR="00FA6998" w14:paraId="241DCF83"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3DBA4663"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1</w:t>
            </w:r>
          </w:p>
        </w:tc>
        <w:tc>
          <w:tcPr>
            <w:tcW w:w="5709" w:type="dxa"/>
            <w:tcBorders>
              <w:top w:val="single" w:sz="4" w:space="0" w:color="auto"/>
              <w:left w:val="single" w:sz="4" w:space="0" w:color="auto"/>
              <w:bottom w:val="single" w:sz="4" w:space="0" w:color="auto"/>
              <w:right w:val="single" w:sz="4" w:space="0" w:color="auto"/>
            </w:tcBorders>
            <w:vAlign w:val="bottom"/>
          </w:tcPr>
          <w:p w14:paraId="2E2B0694"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富荣基金管理有限公司关于旗下部分基金参加众惠基金销售有限公司基金申购及定期定额投资申购费率优惠活动的公告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vAlign w:val="center"/>
          </w:tcPr>
          <w:p w14:paraId="43A82199"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2021-09-08</w:t>
            </w:r>
          </w:p>
        </w:tc>
      </w:tr>
      <w:tr w:rsidR="00FA6998" w14:paraId="4F25A17B"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26AEA1C5"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2</w:t>
            </w:r>
          </w:p>
        </w:tc>
        <w:tc>
          <w:tcPr>
            <w:tcW w:w="5709" w:type="dxa"/>
            <w:tcBorders>
              <w:top w:val="single" w:sz="4" w:space="0" w:color="auto"/>
              <w:left w:val="single" w:sz="4" w:space="0" w:color="auto"/>
              <w:bottom w:val="single" w:sz="4" w:space="0" w:color="auto"/>
              <w:right w:val="single" w:sz="4" w:space="0" w:color="auto"/>
            </w:tcBorders>
            <w:vAlign w:val="bottom"/>
          </w:tcPr>
          <w:p w14:paraId="1480B97E"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富荣基金管理有限公司关于旗下部分基金新增众惠基金销售有限公司为销售机构并开通基金定期定额投资业务和基金转换业务的公告</w:t>
            </w:r>
          </w:p>
        </w:tc>
        <w:tc>
          <w:tcPr>
            <w:tcW w:w="1662" w:type="dxa"/>
            <w:tcBorders>
              <w:top w:val="single" w:sz="4" w:space="0" w:color="auto"/>
              <w:left w:val="single" w:sz="4" w:space="0" w:color="auto"/>
              <w:bottom w:val="single" w:sz="4" w:space="0" w:color="auto"/>
              <w:right w:val="single" w:sz="4" w:space="0" w:color="auto"/>
            </w:tcBorders>
            <w:vAlign w:val="center"/>
          </w:tcPr>
          <w:p w14:paraId="2958CFB8"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2021-09-08</w:t>
            </w:r>
          </w:p>
        </w:tc>
      </w:tr>
      <w:tr w:rsidR="00FA6998" w14:paraId="35C2264C"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71B0CB24"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3</w:t>
            </w:r>
          </w:p>
        </w:tc>
        <w:tc>
          <w:tcPr>
            <w:tcW w:w="5709" w:type="dxa"/>
            <w:tcBorders>
              <w:top w:val="single" w:sz="4" w:space="0" w:color="auto"/>
              <w:left w:val="single" w:sz="4" w:space="0" w:color="auto"/>
              <w:bottom w:val="single" w:sz="4" w:space="0" w:color="auto"/>
              <w:right w:val="single" w:sz="4" w:space="0" w:color="auto"/>
            </w:tcBorders>
            <w:vAlign w:val="bottom"/>
          </w:tcPr>
          <w:p w14:paraId="266E0DA7"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富荣基金管理有限公司旗下全部基金</w:t>
            </w:r>
            <w:r w:rsidRPr="00772392">
              <w:rPr>
                <w:rFonts w:asciiTheme="minorEastAsia" w:hAnsiTheme="minorEastAsia" w:cs="Arial"/>
                <w:sz w:val="24"/>
                <w:szCs w:val="24"/>
              </w:rPr>
              <w:t>2021</w:t>
            </w:r>
            <w:r w:rsidRPr="00772392">
              <w:rPr>
                <w:rFonts w:asciiTheme="minorEastAsia" w:hAnsiTheme="minorEastAsia" w:cs="Arial" w:hint="eastAsia"/>
                <w:sz w:val="24"/>
                <w:szCs w:val="24"/>
              </w:rPr>
              <w:t>年第</w:t>
            </w:r>
            <w:r w:rsidRPr="00772392">
              <w:rPr>
                <w:rFonts w:asciiTheme="minorEastAsia" w:hAnsiTheme="minorEastAsia" w:cs="Arial"/>
                <w:sz w:val="24"/>
                <w:szCs w:val="24"/>
              </w:rPr>
              <w:t>3</w:t>
            </w:r>
            <w:r w:rsidRPr="00772392">
              <w:rPr>
                <w:rFonts w:asciiTheme="minorEastAsia" w:hAnsiTheme="minorEastAsia" w:cs="Arial" w:hint="eastAsia"/>
                <w:sz w:val="24"/>
                <w:szCs w:val="24"/>
              </w:rPr>
              <w:t>季度报告提示性公告</w:t>
            </w:r>
          </w:p>
        </w:tc>
        <w:tc>
          <w:tcPr>
            <w:tcW w:w="1662" w:type="dxa"/>
            <w:tcBorders>
              <w:top w:val="single" w:sz="4" w:space="0" w:color="auto"/>
              <w:left w:val="single" w:sz="4" w:space="0" w:color="auto"/>
              <w:bottom w:val="single" w:sz="4" w:space="0" w:color="auto"/>
              <w:right w:val="single" w:sz="4" w:space="0" w:color="auto"/>
            </w:tcBorders>
            <w:vAlign w:val="center"/>
          </w:tcPr>
          <w:p w14:paraId="670E96F5"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2021-10-27</w:t>
            </w:r>
          </w:p>
        </w:tc>
      </w:tr>
      <w:tr w:rsidR="00FA6998" w14:paraId="3968675B"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7443FDA9"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4</w:t>
            </w:r>
          </w:p>
        </w:tc>
        <w:tc>
          <w:tcPr>
            <w:tcW w:w="5709" w:type="dxa"/>
            <w:tcBorders>
              <w:top w:val="single" w:sz="4" w:space="0" w:color="auto"/>
              <w:left w:val="single" w:sz="4" w:space="0" w:color="auto"/>
              <w:bottom w:val="single" w:sz="4" w:space="0" w:color="auto"/>
              <w:right w:val="single" w:sz="4" w:space="0" w:color="auto"/>
            </w:tcBorders>
            <w:vAlign w:val="bottom"/>
          </w:tcPr>
          <w:p w14:paraId="6F67243E"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富荣基金管理有限公司关于旗下部分基金新增腾安基金销售（深圳）有限公司为销售机构并开通基金定期定额投资业务和基金转换业务的公告</w:t>
            </w:r>
          </w:p>
        </w:tc>
        <w:tc>
          <w:tcPr>
            <w:tcW w:w="1662" w:type="dxa"/>
            <w:tcBorders>
              <w:top w:val="single" w:sz="4" w:space="0" w:color="auto"/>
              <w:left w:val="single" w:sz="4" w:space="0" w:color="auto"/>
              <w:bottom w:val="single" w:sz="4" w:space="0" w:color="auto"/>
              <w:right w:val="single" w:sz="4" w:space="0" w:color="auto"/>
            </w:tcBorders>
            <w:vAlign w:val="center"/>
          </w:tcPr>
          <w:p w14:paraId="62E6556F"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2021-11-19</w:t>
            </w:r>
          </w:p>
        </w:tc>
      </w:tr>
      <w:tr w:rsidR="00FA6998" w14:paraId="2BB98E0B"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7551D457"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5</w:t>
            </w:r>
          </w:p>
        </w:tc>
        <w:tc>
          <w:tcPr>
            <w:tcW w:w="5709" w:type="dxa"/>
            <w:tcBorders>
              <w:top w:val="single" w:sz="4" w:space="0" w:color="auto"/>
              <w:left w:val="single" w:sz="4" w:space="0" w:color="auto"/>
              <w:bottom w:val="single" w:sz="4" w:space="0" w:color="auto"/>
              <w:right w:val="single" w:sz="4" w:space="0" w:color="auto"/>
            </w:tcBorders>
            <w:vAlign w:val="bottom"/>
          </w:tcPr>
          <w:p w14:paraId="5F4BF5FB"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富荣基金管理有限公司关于旗下部分基金参加腾安基金销售（深圳）有限公司基金申购及定期定额投资申购费率优惠活动的公告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vAlign w:val="center"/>
          </w:tcPr>
          <w:p w14:paraId="00287913"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2021-11-19</w:t>
            </w:r>
          </w:p>
        </w:tc>
      </w:tr>
      <w:tr w:rsidR="00FA6998" w14:paraId="7F728E41"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088B020F"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6</w:t>
            </w:r>
          </w:p>
        </w:tc>
        <w:tc>
          <w:tcPr>
            <w:tcW w:w="5709" w:type="dxa"/>
            <w:tcBorders>
              <w:top w:val="single" w:sz="4" w:space="0" w:color="auto"/>
              <w:left w:val="single" w:sz="4" w:space="0" w:color="auto"/>
              <w:bottom w:val="single" w:sz="4" w:space="0" w:color="auto"/>
              <w:right w:val="single" w:sz="4" w:space="0" w:color="auto"/>
            </w:tcBorders>
            <w:vAlign w:val="bottom"/>
          </w:tcPr>
          <w:p w14:paraId="57DAB4F1"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富荣基金管理有限公司关于旗下部分基金新增宁波银行股份有限公司为销售机构并开通基金定期定额投资业务和基金转换业务的公告</w:t>
            </w:r>
          </w:p>
        </w:tc>
        <w:tc>
          <w:tcPr>
            <w:tcW w:w="1662" w:type="dxa"/>
            <w:tcBorders>
              <w:top w:val="single" w:sz="4" w:space="0" w:color="auto"/>
              <w:left w:val="single" w:sz="4" w:space="0" w:color="auto"/>
              <w:bottom w:val="single" w:sz="4" w:space="0" w:color="auto"/>
              <w:right w:val="single" w:sz="4" w:space="0" w:color="auto"/>
            </w:tcBorders>
            <w:vAlign w:val="center"/>
          </w:tcPr>
          <w:p w14:paraId="7C5C63EE"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2021-11-26</w:t>
            </w:r>
          </w:p>
        </w:tc>
      </w:tr>
      <w:tr w:rsidR="00FA6998" w14:paraId="7FC235CE"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68C849EC"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7</w:t>
            </w:r>
          </w:p>
        </w:tc>
        <w:tc>
          <w:tcPr>
            <w:tcW w:w="5709" w:type="dxa"/>
            <w:tcBorders>
              <w:top w:val="single" w:sz="4" w:space="0" w:color="auto"/>
              <w:left w:val="single" w:sz="4" w:space="0" w:color="auto"/>
              <w:bottom w:val="single" w:sz="4" w:space="0" w:color="auto"/>
              <w:right w:val="single" w:sz="4" w:space="0" w:color="auto"/>
            </w:tcBorders>
            <w:vAlign w:val="bottom"/>
          </w:tcPr>
          <w:p w14:paraId="66C8DBBE"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富荣基金管理有限公司关于旗下部分基金参加宁波银行股份有限公司基金申购及定期定额投资申购费率优惠活动的公告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vAlign w:val="center"/>
          </w:tcPr>
          <w:p w14:paraId="42A2EF46" w14:textId="77777777" w:rsidR="00FA6998" w:rsidRPr="00885E28"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2021-11-26</w:t>
            </w:r>
          </w:p>
        </w:tc>
      </w:tr>
      <w:tr w:rsidR="00FA6998" w14:paraId="6CBC22DA"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589716D2"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8</w:t>
            </w:r>
          </w:p>
        </w:tc>
        <w:tc>
          <w:tcPr>
            <w:tcW w:w="5709" w:type="dxa"/>
            <w:tcBorders>
              <w:top w:val="single" w:sz="4" w:space="0" w:color="auto"/>
              <w:left w:val="single" w:sz="4" w:space="0" w:color="auto"/>
              <w:bottom w:val="single" w:sz="4" w:space="0" w:color="auto"/>
              <w:right w:val="single" w:sz="4" w:space="0" w:color="auto"/>
            </w:tcBorders>
            <w:vAlign w:val="bottom"/>
          </w:tcPr>
          <w:p w14:paraId="37536136" w14:textId="77777777" w:rsidR="00FA6998" w:rsidRPr="00772392"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富荣基金管理有限公司关于旗下公开募集证券投资基金执行新金融工具相关会计准则的公告</w:t>
            </w:r>
          </w:p>
        </w:tc>
        <w:tc>
          <w:tcPr>
            <w:tcW w:w="1662" w:type="dxa"/>
            <w:tcBorders>
              <w:top w:val="single" w:sz="4" w:space="0" w:color="auto"/>
              <w:left w:val="single" w:sz="4" w:space="0" w:color="auto"/>
              <w:bottom w:val="single" w:sz="4" w:space="0" w:color="auto"/>
              <w:right w:val="single" w:sz="4" w:space="0" w:color="auto"/>
            </w:tcBorders>
            <w:vAlign w:val="center"/>
          </w:tcPr>
          <w:p w14:paraId="14C5362D" w14:textId="77777777" w:rsidR="00FA6998" w:rsidRPr="00772392"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2022-01-01</w:t>
            </w:r>
          </w:p>
        </w:tc>
      </w:tr>
      <w:tr w:rsidR="00FA6998" w14:paraId="4FB0CEAF"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0892027B"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9</w:t>
            </w:r>
          </w:p>
        </w:tc>
        <w:tc>
          <w:tcPr>
            <w:tcW w:w="5709" w:type="dxa"/>
            <w:tcBorders>
              <w:top w:val="single" w:sz="4" w:space="0" w:color="auto"/>
              <w:left w:val="single" w:sz="4" w:space="0" w:color="auto"/>
              <w:bottom w:val="single" w:sz="4" w:space="0" w:color="auto"/>
              <w:right w:val="single" w:sz="4" w:space="0" w:color="auto"/>
            </w:tcBorders>
            <w:vAlign w:val="bottom"/>
          </w:tcPr>
          <w:p w14:paraId="6475D0C5" w14:textId="77777777" w:rsidR="00FA6998" w:rsidRPr="00772392"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富荣基金管理有限公司旗下全部基金</w:t>
            </w:r>
            <w:r w:rsidRPr="00772392">
              <w:rPr>
                <w:rFonts w:asciiTheme="minorEastAsia" w:hAnsiTheme="minorEastAsia" w:cs="Arial"/>
                <w:sz w:val="24"/>
                <w:szCs w:val="24"/>
              </w:rPr>
              <w:t>2021</w:t>
            </w:r>
            <w:r w:rsidRPr="00772392">
              <w:rPr>
                <w:rFonts w:asciiTheme="minorEastAsia" w:hAnsiTheme="minorEastAsia" w:cs="Arial" w:hint="eastAsia"/>
                <w:sz w:val="24"/>
                <w:szCs w:val="24"/>
              </w:rPr>
              <w:t>年第</w:t>
            </w:r>
            <w:r w:rsidRPr="00772392">
              <w:rPr>
                <w:rFonts w:asciiTheme="minorEastAsia" w:hAnsiTheme="minorEastAsia" w:cs="Arial"/>
                <w:sz w:val="24"/>
                <w:szCs w:val="24"/>
              </w:rPr>
              <w:t>4</w:t>
            </w:r>
            <w:r w:rsidRPr="00772392">
              <w:rPr>
                <w:rFonts w:asciiTheme="minorEastAsia" w:hAnsiTheme="minorEastAsia" w:cs="Arial" w:hint="eastAsia"/>
                <w:sz w:val="24"/>
                <w:szCs w:val="24"/>
              </w:rPr>
              <w:t>季度报告提示性公告</w:t>
            </w:r>
          </w:p>
        </w:tc>
        <w:tc>
          <w:tcPr>
            <w:tcW w:w="1662" w:type="dxa"/>
            <w:tcBorders>
              <w:top w:val="single" w:sz="4" w:space="0" w:color="auto"/>
              <w:left w:val="single" w:sz="4" w:space="0" w:color="auto"/>
              <w:bottom w:val="single" w:sz="4" w:space="0" w:color="auto"/>
              <w:right w:val="single" w:sz="4" w:space="0" w:color="auto"/>
            </w:tcBorders>
            <w:vAlign w:val="center"/>
          </w:tcPr>
          <w:p w14:paraId="16D6F63A" w14:textId="77777777" w:rsidR="00FA6998" w:rsidRPr="00772392"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2022-01-24</w:t>
            </w:r>
          </w:p>
        </w:tc>
      </w:tr>
      <w:tr w:rsidR="00FA6998" w14:paraId="3731C0C6"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4CF5F194"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0</w:t>
            </w:r>
          </w:p>
        </w:tc>
        <w:tc>
          <w:tcPr>
            <w:tcW w:w="5709" w:type="dxa"/>
            <w:tcBorders>
              <w:top w:val="single" w:sz="4" w:space="0" w:color="auto"/>
              <w:left w:val="single" w:sz="4" w:space="0" w:color="auto"/>
              <w:bottom w:val="single" w:sz="4" w:space="0" w:color="auto"/>
              <w:right w:val="single" w:sz="4" w:space="0" w:color="auto"/>
            </w:tcBorders>
            <w:vAlign w:val="bottom"/>
          </w:tcPr>
          <w:p w14:paraId="1241AB16" w14:textId="77777777" w:rsidR="00FA6998" w:rsidRPr="00772392"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富荣基金管理有限公司旗下全部基金</w:t>
            </w:r>
            <w:r w:rsidRPr="00772392">
              <w:rPr>
                <w:rFonts w:asciiTheme="minorEastAsia" w:hAnsiTheme="minorEastAsia" w:cs="Arial"/>
                <w:sz w:val="24"/>
                <w:szCs w:val="24"/>
              </w:rPr>
              <w:t>2021</w:t>
            </w:r>
            <w:r w:rsidRPr="00772392">
              <w:rPr>
                <w:rFonts w:asciiTheme="minorEastAsia" w:hAnsiTheme="minorEastAsia" w:cs="Arial" w:hint="eastAsia"/>
                <w:sz w:val="24"/>
                <w:szCs w:val="24"/>
              </w:rPr>
              <w:t>年年度报告提示性公告</w:t>
            </w:r>
          </w:p>
        </w:tc>
        <w:tc>
          <w:tcPr>
            <w:tcW w:w="1662" w:type="dxa"/>
            <w:tcBorders>
              <w:top w:val="single" w:sz="4" w:space="0" w:color="auto"/>
              <w:left w:val="single" w:sz="4" w:space="0" w:color="auto"/>
              <w:bottom w:val="single" w:sz="4" w:space="0" w:color="auto"/>
              <w:right w:val="single" w:sz="4" w:space="0" w:color="auto"/>
            </w:tcBorders>
            <w:vAlign w:val="center"/>
          </w:tcPr>
          <w:p w14:paraId="7C4D292E" w14:textId="77777777" w:rsidR="00FA6998" w:rsidRPr="00772392"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2022-03-31</w:t>
            </w:r>
          </w:p>
        </w:tc>
      </w:tr>
      <w:tr w:rsidR="00FA6998" w14:paraId="351CF9EC"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0ABD3789"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1</w:t>
            </w:r>
          </w:p>
        </w:tc>
        <w:tc>
          <w:tcPr>
            <w:tcW w:w="5709" w:type="dxa"/>
            <w:tcBorders>
              <w:top w:val="single" w:sz="4" w:space="0" w:color="auto"/>
              <w:left w:val="single" w:sz="4" w:space="0" w:color="auto"/>
              <w:bottom w:val="single" w:sz="4" w:space="0" w:color="auto"/>
              <w:right w:val="single" w:sz="4" w:space="0" w:color="auto"/>
            </w:tcBorders>
            <w:vAlign w:val="bottom"/>
          </w:tcPr>
          <w:p w14:paraId="180840D0" w14:textId="77777777" w:rsidR="00FA6998" w:rsidRPr="00772392"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富荣基金管理有限公司旗下全部基金</w:t>
            </w:r>
            <w:r w:rsidRPr="00772392">
              <w:rPr>
                <w:rFonts w:asciiTheme="minorEastAsia" w:hAnsiTheme="minorEastAsia" w:cs="Arial"/>
                <w:sz w:val="24"/>
                <w:szCs w:val="24"/>
              </w:rPr>
              <w:t>2022</w:t>
            </w:r>
            <w:r w:rsidRPr="00772392">
              <w:rPr>
                <w:rFonts w:asciiTheme="minorEastAsia" w:hAnsiTheme="minorEastAsia" w:cs="Arial" w:hint="eastAsia"/>
                <w:sz w:val="24"/>
                <w:szCs w:val="24"/>
              </w:rPr>
              <w:t>年第</w:t>
            </w:r>
            <w:r w:rsidRPr="00772392">
              <w:rPr>
                <w:rFonts w:asciiTheme="minorEastAsia" w:hAnsiTheme="minorEastAsia" w:cs="Arial"/>
                <w:sz w:val="24"/>
                <w:szCs w:val="24"/>
              </w:rPr>
              <w:t>1</w:t>
            </w:r>
            <w:r w:rsidRPr="00772392">
              <w:rPr>
                <w:rFonts w:asciiTheme="minorEastAsia" w:hAnsiTheme="minorEastAsia" w:cs="Arial" w:hint="eastAsia"/>
                <w:sz w:val="24"/>
                <w:szCs w:val="24"/>
              </w:rPr>
              <w:t>季度报告提示性公告</w:t>
            </w:r>
          </w:p>
        </w:tc>
        <w:tc>
          <w:tcPr>
            <w:tcW w:w="1662" w:type="dxa"/>
            <w:tcBorders>
              <w:top w:val="single" w:sz="4" w:space="0" w:color="auto"/>
              <w:left w:val="single" w:sz="4" w:space="0" w:color="auto"/>
              <w:bottom w:val="single" w:sz="4" w:space="0" w:color="auto"/>
              <w:right w:val="single" w:sz="4" w:space="0" w:color="auto"/>
            </w:tcBorders>
            <w:vAlign w:val="center"/>
          </w:tcPr>
          <w:p w14:paraId="0FAB2E54" w14:textId="77777777" w:rsidR="00FA6998" w:rsidRPr="00772392"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2022-04-22</w:t>
            </w:r>
          </w:p>
        </w:tc>
      </w:tr>
      <w:tr w:rsidR="00FA6998" w14:paraId="5DDC5A2D"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33ACAF6C"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2</w:t>
            </w:r>
          </w:p>
        </w:tc>
        <w:tc>
          <w:tcPr>
            <w:tcW w:w="5709" w:type="dxa"/>
            <w:tcBorders>
              <w:top w:val="single" w:sz="4" w:space="0" w:color="auto"/>
              <w:left w:val="single" w:sz="4" w:space="0" w:color="auto"/>
              <w:bottom w:val="single" w:sz="4" w:space="0" w:color="auto"/>
              <w:right w:val="single" w:sz="4" w:space="0" w:color="auto"/>
            </w:tcBorders>
            <w:vAlign w:val="bottom"/>
          </w:tcPr>
          <w:p w14:paraId="02D2902A" w14:textId="77777777" w:rsidR="00FA6998" w:rsidRPr="00772392"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富荣基金管理有限公司关于旗下基金参加北京创金启富基金销售有限公司基金认购、申购及定期定额投资申购费率优惠活动的公告</w:t>
            </w:r>
          </w:p>
        </w:tc>
        <w:tc>
          <w:tcPr>
            <w:tcW w:w="1662" w:type="dxa"/>
            <w:tcBorders>
              <w:top w:val="single" w:sz="4" w:space="0" w:color="auto"/>
              <w:left w:val="single" w:sz="4" w:space="0" w:color="auto"/>
              <w:bottom w:val="single" w:sz="4" w:space="0" w:color="auto"/>
              <w:right w:val="single" w:sz="4" w:space="0" w:color="auto"/>
            </w:tcBorders>
            <w:vAlign w:val="center"/>
          </w:tcPr>
          <w:p w14:paraId="62F14B23" w14:textId="77777777" w:rsidR="00FA6998" w:rsidRPr="00772392"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2022-04-25</w:t>
            </w:r>
          </w:p>
        </w:tc>
      </w:tr>
      <w:tr w:rsidR="00FA6998" w14:paraId="4DB38BCB"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697C66BB"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3</w:t>
            </w:r>
          </w:p>
        </w:tc>
        <w:tc>
          <w:tcPr>
            <w:tcW w:w="5709" w:type="dxa"/>
            <w:tcBorders>
              <w:top w:val="single" w:sz="4" w:space="0" w:color="auto"/>
              <w:left w:val="single" w:sz="4" w:space="0" w:color="auto"/>
              <w:bottom w:val="single" w:sz="4" w:space="0" w:color="auto"/>
              <w:right w:val="single" w:sz="4" w:space="0" w:color="auto"/>
            </w:tcBorders>
            <w:vAlign w:val="bottom"/>
          </w:tcPr>
          <w:p w14:paraId="647E13D6" w14:textId="77777777" w:rsidR="00FA6998" w:rsidRPr="00772392"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富荣基金管理有限公司关于旗下基金参加和讯信息科技有限公司基金认购、申购及定期定额投资申购</w:t>
            </w:r>
            <w:r w:rsidRPr="00772392">
              <w:rPr>
                <w:rFonts w:asciiTheme="minorEastAsia" w:hAnsiTheme="minorEastAsia" w:cs="Arial" w:hint="eastAsia"/>
                <w:sz w:val="24"/>
                <w:szCs w:val="24"/>
              </w:rPr>
              <w:lastRenderedPageBreak/>
              <w:t>费率优惠活动的公告</w:t>
            </w:r>
          </w:p>
        </w:tc>
        <w:tc>
          <w:tcPr>
            <w:tcW w:w="1662" w:type="dxa"/>
            <w:tcBorders>
              <w:top w:val="single" w:sz="4" w:space="0" w:color="auto"/>
              <w:left w:val="single" w:sz="4" w:space="0" w:color="auto"/>
              <w:bottom w:val="single" w:sz="4" w:space="0" w:color="auto"/>
              <w:right w:val="single" w:sz="4" w:space="0" w:color="auto"/>
            </w:tcBorders>
            <w:vAlign w:val="center"/>
          </w:tcPr>
          <w:p w14:paraId="53CBD4E7" w14:textId="77777777" w:rsidR="00FA6998" w:rsidRPr="00772392"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lastRenderedPageBreak/>
              <w:t>2022-04-25</w:t>
            </w:r>
          </w:p>
        </w:tc>
      </w:tr>
      <w:tr w:rsidR="00FA6998" w14:paraId="5A5E4EEA"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7C06B778"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4</w:t>
            </w:r>
          </w:p>
        </w:tc>
        <w:tc>
          <w:tcPr>
            <w:tcW w:w="5709" w:type="dxa"/>
            <w:tcBorders>
              <w:top w:val="single" w:sz="4" w:space="0" w:color="auto"/>
              <w:left w:val="single" w:sz="4" w:space="0" w:color="auto"/>
              <w:bottom w:val="single" w:sz="4" w:space="0" w:color="auto"/>
              <w:right w:val="single" w:sz="4" w:space="0" w:color="auto"/>
            </w:tcBorders>
            <w:vAlign w:val="bottom"/>
          </w:tcPr>
          <w:p w14:paraId="28B976CC" w14:textId="77777777" w:rsidR="00FA6998" w:rsidRPr="00772392"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富荣基金管理有限公司关于旗下基金新增北京创金启富基金销售有限公司为销售机构、开通基金定期定额投资业务和基金转换业务的公告</w:t>
            </w:r>
          </w:p>
        </w:tc>
        <w:tc>
          <w:tcPr>
            <w:tcW w:w="1662" w:type="dxa"/>
            <w:tcBorders>
              <w:top w:val="single" w:sz="4" w:space="0" w:color="auto"/>
              <w:left w:val="single" w:sz="4" w:space="0" w:color="auto"/>
              <w:bottom w:val="single" w:sz="4" w:space="0" w:color="auto"/>
              <w:right w:val="single" w:sz="4" w:space="0" w:color="auto"/>
            </w:tcBorders>
            <w:vAlign w:val="center"/>
          </w:tcPr>
          <w:p w14:paraId="6E0F41DB" w14:textId="77777777" w:rsidR="00FA6998" w:rsidRPr="00772392"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2022-04-25</w:t>
            </w:r>
          </w:p>
        </w:tc>
      </w:tr>
      <w:tr w:rsidR="00FA6998" w14:paraId="6D760538" w14:textId="77777777" w:rsidTr="00FA6998">
        <w:trPr>
          <w:trHeight w:val="261"/>
        </w:trPr>
        <w:tc>
          <w:tcPr>
            <w:tcW w:w="817" w:type="dxa"/>
            <w:tcBorders>
              <w:top w:val="single" w:sz="4" w:space="0" w:color="auto"/>
              <w:left w:val="single" w:sz="4" w:space="0" w:color="auto"/>
              <w:bottom w:val="single" w:sz="4" w:space="0" w:color="auto"/>
              <w:right w:val="single" w:sz="4" w:space="0" w:color="auto"/>
            </w:tcBorders>
          </w:tcPr>
          <w:p w14:paraId="6F06579F" w14:textId="77777777" w:rsidR="00FA6998" w:rsidRDefault="00FA6998" w:rsidP="00772392">
            <w:pPr>
              <w:jc w:val="left"/>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5</w:t>
            </w:r>
          </w:p>
        </w:tc>
        <w:tc>
          <w:tcPr>
            <w:tcW w:w="5709" w:type="dxa"/>
            <w:tcBorders>
              <w:top w:val="single" w:sz="4" w:space="0" w:color="auto"/>
              <w:left w:val="single" w:sz="4" w:space="0" w:color="auto"/>
              <w:bottom w:val="single" w:sz="4" w:space="0" w:color="auto"/>
              <w:right w:val="single" w:sz="4" w:space="0" w:color="auto"/>
            </w:tcBorders>
            <w:vAlign w:val="bottom"/>
          </w:tcPr>
          <w:p w14:paraId="615C6F30" w14:textId="77777777" w:rsidR="00FA6998" w:rsidRPr="00772392" w:rsidRDefault="00FA6998" w:rsidP="00772392">
            <w:pPr>
              <w:jc w:val="left"/>
              <w:rPr>
                <w:rFonts w:asciiTheme="minorEastAsia" w:hAnsiTheme="minorEastAsia" w:cs="Arial"/>
                <w:sz w:val="24"/>
                <w:szCs w:val="24"/>
              </w:rPr>
            </w:pPr>
            <w:r w:rsidRPr="00772392">
              <w:rPr>
                <w:rFonts w:asciiTheme="minorEastAsia" w:hAnsiTheme="minorEastAsia" w:cs="Arial" w:hint="eastAsia"/>
                <w:sz w:val="24"/>
                <w:szCs w:val="24"/>
              </w:rPr>
              <w:t>富荣基金管理有限公司关于旗下基金新增和讯信息科技有限公司为销售机构、开通基金定期定额投资业务和基金转换业务的公告</w:t>
            </w:r>
          </w:p>
        </w:tc>
        <w:tc>
          <w:tcPr>
            <w:tcW w:w="1662" w:type="dxa"/>
            <w:tcBorders>
              <w:top w:val="single" w:sz="4" w:space="0" w:color="auto"/>
              <w:left w:val="single" w:sz="4" w:space="0" w:color="auto"/>
              <w:bottom w:val="single" w:sz="4" w:space="0" w:color="auto"/>
              <w:right w:val="single" w:sz="4" w:space="0" w:color="auto"/>
            </w:tcBorders>
            <w:vAlign w:val="center"/>
          </w:tcPr>
          <w:p w14:paraId="32226B2A" w14:textId="77777777" w:rsidR="00FA6998" w:rsidRPr="00772392" w:rsidRDefault="00FA6998" w:rsidP="00772392">
            <w:pPr>
              <w:jc w:val="left"/>
              <w:rPr>
                <w:rFonts w:asciiTheme="minorEastAsia" w:hAnsiTheme="minorEastAsia" w:cs="Arial"/>
                <w:sz w:val="24"/>
                <w:szCs w:val="24"/>
              </w:rPr>
            </w:pPr>
            <w:r w:rsidRPr="00772392">
              <w:rPr>
                <w:rFonts w:asciiTheme="minorEastAsia" w:hAnsiTheme="minorEastAsia" w:cs="Arial"/>
                <w:sz w:val="24"/>
                <w:szCs w:val="24"/>
              </w:rPr>
              <w:t>2022-04-25</w:t>
            </w:r>
          </w:p>
        </w:tc>
      </w:tr>
    </w:tbl>
    <w:p w14:paraId="6870640D" w14:textId="77777777" w:rsidR="00AC3A9B" w:rsidRDefault="00AC3A9B">
      <w:pPr>
        <w:rPr>
          <w:rFonts w:ascii="宋体" w:eastAsia="宋体" w:hAnsi="Times New Roman" w:cs="Times New Roman"/>
          <w:b/>
          <w:color w:val="000000"/>
          <w:kern w:val="0"/>
          <w:sz w:val="30"/>
          <w:szCs w:val="30"/>
        </w:rPr>
      </w:pPr>
    </w:p>
    <w:p w14:paraId="3ABB2582" w14:textId="77777777" w:rsidR="00AC3A9B" w:rsidRDefault="00AC3A9B">
      <w:pPr>
        <w:rPr>
          <w:rFonts w:ascii="宋体" w:eastAsia="宋体" w:hAnsi="Times New Roman" w:cs="Times New Roman"/>
          <w:b/>
          <w:color w:val="000000"/>
          <w:kern w:val="0"/>
          <w:sz w:val="30"/>
          <w:szCs w:val="30"/>
        </w:rPr>
      </w:pPr>
    </w:p>
    <w:p w14:paraId="389ABD73" w14:textId="77777777" w:rsidR="00AC3A9B" w:rsidRDefault="00AC3A9B">
      <w:pPr>
        <w:rPr>
          <w:rFonts w:ascii="宋体" w:eastAsia="宋体" w:hAnsi="Times New Roman" w:cs="Times New Roman"/>
          <w:b/>
          <w:color w:val="000000"/>
          <w:kern w:val="0"/>
          <w:sz w:val="30"/>
          <w:szCs w:val="30"/>
        </w:rPr>
      </w:pPr>
    </w:p>
    <w:p w14:paraId="2362BAB9" w14:textId="77777777" w:rsidR="00AC3A9B" w:rsidRDefault="00AC3A9B">
      <w:pPr>
        <w:rPr>
          <w:rFonts w:ascii="宋体" w:eastAsia="宋体" w:hAnsi="Times New Roman" w:cs="Times New Roman"/>
          <w:b/>
          <w:color w:val="000000"/>
          <w:kern w:val="0"/>
          <w:sz w:val="30"/>
          <w:szCs w:val="30"/>
        </w:rPr>
      </w:pPr>
    </w:p>
    <w:p w14:paraId="1DA20BCC" w14:textId="77777777" w:rsidR="00AC3A9B" w:rsidRDefault="002C3C29">
      <w:pPr>
        <w:pStyle w:val="1"/>
        <w:jc w:val="center"/>
        <w:rPr>
          <w:sz w:val="30"/>
          <w:szCs w:val="30"/>
        </w:rPr>
      </w:pPr>
      <w:r>
        <w:rPr>
          <w:sz w:val="30"/>
          <w:szCs w:val="30"/>
        </w:rPr>
        <w:br w:type="page"/>
      </w:r>
      <w:bookmarkStart w:id="434" w:name="_Toc37770225"/>
      <w:r>
        <w:rPr>
          <w:rFonts w:hint="eastAsia"/>
          <w:sz w:val="30"/>
          <w:szCs w:val="30"/>
        </w:rPr>
        <w:lastRenderedPageBreak/>
        <w:t>第二十二部分</w:t>
      </w:r>
      <w:r>
        <w:rPr>
          <w:sz w:val="30"/>
          <w:szCs w:val="30"/>
        </w:rPr>
        <w:t xml:space="preserve">  </w:t>
      </w:r>
      <w:r>
        <w:rPr>
          <w:rFonts w:hint="eastAsia"/>
          <w:sz w:val="30"/>
          <w:szCs w:val="30"/>
        </w:rPr>
        <w:t>招募说明书存放及查阅方式</w:t>
      </w:r>
      <w:bookmarkEnd w:id="430"/>
      <w:bookmarkEnd w:id="431"/>
      <w:bookmarkEnd w:id="432"/>
      <w:bookmarkEnd w:id="433"/>
      <w:bookmarkEnd w:id="434"/>
    </w:p>
    <w:p w14:paraId="6CAB5A9D"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04C01A25"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投资人还可以直接登录基金管理人的网站（www.furamc.com.cn）查阅和下载招募说明书。</w:t>
      </w:r>
    </w:p>
    <w:p w14:paraId="58B7C080" w14:textId="77777777" w:rsidR="00AC3A9B"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C60DE25" w14:textId="77777777" w:rsidR="00AC3A9B" w:rsidRDefault="00AC3A9B">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AC3A9B">
          <w:footerReference w:type="default" r:id="rId45"/>
          <w:pgSz w:w="11906" w:h="16838"/>
          <w:pgMar w:top="1440" w:right="1800" w:bottom="1440" w:left="1800" w:header="851" w:footer="992" w:gutter="0"/>
          <w:cols w:space="425"/>
          <w:docGrid w:type="lines" w:linePitch="312"/>
        </w:sectPr>
      </w:pPr>
      <w:bookmarkStart w:id="435" w:name="_Toc263092330"/>
      <w:bookmarkStart w:id="436" w:name="_Toc416268879"/>
    </w:p>
    <w:p w14:paraId="4B36FDA5" w14:textId="77777777" w:rsidR="00AC3A9B" w:rsidRDefault="002C3C29">
      <w:pPr>
        <w:pStyle w:val="1"/>
        <w:jc w:val="center"/>
      </w:pPr>
      <w:bookmarkStart w:id="437" w:name="_Toc37770226"/>
      <w:bookmarkEnd w:id="60"/>
      <w:bookmarkEnd w:id="61"/>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35"/>
      <w:bookmarkEnd w:id="436"/>
      <w:r>
        <w:rPr>
          <w:sz w:val="30"/>
          <w:szCs w:val="30"/>
        </w:rPr>
        <w:lastRenderedPageBreak/>
        <w:t>第二十</w:t>
      </w:r>
      <w:r>
        <w:rPr>
          <w:rFonts w:hint="eastAsia"/>
          <w:sz w:val="30"/>
          <w:szCs w:val="30"/>
        </w:rPr>
        <w:t>三</w:t>
      </w:r>
      <w:r>
        <w:rPr>
          <w:sz w:val="30"/>
          <w:szCs w:val="30"/>
        </w:rPr>
        <w:t>部分  备查文件</w:t>
      </w:r>
      <w:bookmarkEnd w:id="437"/>
    </w:p>
    <w:p w14:paraId="17AD725E"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7409484D"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Pr>
          <w:rFonts w:asciiTheme="minorEastAsia" w:hAnsiTheme="minorEastAsia" w:cs="Arial"/>
          <w:kern w:val="0"/>
          <w:sz w:val="24"/>
          <w:szCs w:val="24"/>
        </w:rPr>
        <w:t>富荣福锦混合型证券投资基金</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2327AF1B"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（二）《富荣福锦混合型证券投资基金基金合同》 </w:t>
      </w:r>
    </w:p>
    <w:p w14:paraId="44755F79"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（三）《富荣福锦混合型证券投资基金托管协议》 </w:t>
      </w:r>
    </w:p>
    <w:p w14:paraId="65DC756E"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5591D9F2"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576302B6"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（六）关于申请募集</w:t>
      </w:r>
      <w:r>
        <w:rPr>
          <w:rFonts w:asciiTheme="minorEastAsia" w:hAnsiTheme="minorEastAsia" w:cs="Arial" w:hint="eastAsia"/>
          <w:kern w:val="0"/>
          <w:sz w:val="24"/>
          <w:szCs w:val="24"/>
        </w:rPr>
        <w:t>注册</w:t>
      </w:r>
      <w:r>
        <w:rPr>
          <w:rFonts w:asciiTheme="minorEastAsia" w:hAnsiTheme="minorEastAsia" w:cs="Arial"/>
          <w:kern w:val="0"/>
          <w:sz w:val="24"/>
          <w:szCs w:val="24"/>
        </w:rPr>
        <w:t>富荣福锦混合型证券投资基金</w:t>
      </w:r>
      <w:r>
        <w:rPr>
          <w:rFonts w:asciiTheme="minorEastAsia" w:hAnsiTheme="minorEastAsia" w:cs="Arial" w:hint="eastAsia"/>
          <w:kern w:val="0"/>
          <w:sz w:val="24"/>
          <w:szCs w:val="24"/>
        </w:rPr>
        <w:t>的</w:t>
      </w:r>
      <w:r>
        <w:rPr>
          <w:rFonts w:asciiTheme="minorEastAsia" w:hAnsiTheme="minorEastAsia" w:cs="Arial"/>
          <w:kern w:val="0"/>
          <w:sz w:val="24"/>
          <w:szCs w:val="24"/>
        </w:rPr>
        <w:t>法律意见书</w:t>
      </w:r>
    </w:p>
    <w:p w14:paraId="0C6BEC3E"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2352BE1F" w14:textId="77777777" w:rsidR="00AC3A9B"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38547C8F" w14:textId="77777777" w:rsidR="00AC3A9B"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C3B56DD" w14:textId="77777777" w:rsidR="00AC3A9B"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2B8018C1"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C426DFD"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B8286DC"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97C7AD0"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780760C"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63D8732"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1786507"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2C88B8B"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229E30B6"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29BF6819"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2F09407A"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10FB6768" w14:textId="77777777" w:rsidR="00AC3A9B"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17BAC784" w14:textId="77777777" w:rsidR="00AC3A9B" w:rsidRDefault="002C3C29">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 xml:space="preserve">富荣基金管理有限公司 </w:t>
      </w:r>
    </w:p>
    <w:p w14:paraId="7384D869" w14:textId="0D6A800D" w:rsidR="00AC3A9B" w:rsidRDefault="000653A7">
      <w:pPr>
        <w:widowControl/>
        <w:adjustRightInd w:val="0"/>
        <w:snapToGrid w:val="0"/>
        <w:spacing w:line="360" w:lineRule="auto"/>
        <w:ind w:rightChars="-85" w:right="-178"/>
        <w:jc w:val="right"/>
      </w:pPr>
      <w:r>
        <w:rPr>
          <w:rFonts w:asciiTheme="minorEastAsia" w:hAnsiTheme="minorEastAsia" w:cs="Arial" w:hint="eastAsia"/>
          <w:kern w:val="0"/>
          <w:sz w:val="24"/>
          <w:szCs w:val="24"/>
        </w:rPr>
        <w:t>202</w:t>
      </w:r>
      <w:r>
        <w:rPr>
          <w:rFonts w:asciiTheme="minorEastAsia" w:hAnsiTheme="minorEastAsia" w:cs="Arial"/>
          <w:kern w:val="0"/>
          <w:sz w:val="24"/>
          <w:szCs w:val="24"/>
        </w:rPr>
        <w:t>2</w:t>
      </w:r>
      <w:r w:rsidR="002C3C29">
        <w:rPr>
          <w:rFonts w:asciiTheme="minorEastAsia" w:hAnsiTheme="minorEastAsia" w:cs="Arial" w:hint="eastAsia"/>
          <w:kern w:val="0"/>
          <w:sz w:val="24"/>
          <w:szCs w:val="24"/>
        </w:rPr>
        <w:t>年</w:t>
      </w:r>
      <w:r w:rsidR="00913831">
        <w:rPr>
          <w:rFonts w:asciiTheme="minorEastAsia" w:hAnsiTheme="minorEastAsia" w:cs="Arial"/>
          <w:kern w:val="0"/>
          <w:sz w:val="24"/>
          <w:szCs w:val="24"/>
        </w:rPr>
        <w:t>5</w:t>
      </w:r>
      <w:r w:rsidR="002C3C29">
        <w:rPr>
          <w:rFonts w:asciiTheme="minorEastAsia" w:hAnsiTheme="minorEastAsia" w:cs="Arial" w:hint="eastAsia"/>
          <w:kern w:val="0"/>
          <w:sz w:val="24"/>
          <w:szCs w:val="24"/>
        </w:rPr>
        <w:t>月</w:t>
      </w:r>
      <w:r w:rsidR="00913831">
        <w:rPr>
          <w:rFonts w:asciiTheme="minorEastAsia" w:hAnsiTheme="minorEastAsia" w:cs="Arial" w:hint="eastAsia"/>
          <w:kern w:val="0"/>
          <w:sz w:val="24"/>
          <w:szCs w:val="24"/>
        </w:rPr>
        <w:t>2</w:t>
      </w:r>
      <w:r w:rsidR="00913831">
        <w:rPr>
          <w:rFonts w:asciiTheme="minorEastAsia" w:hAnsiTheme="minorEastAsia" w:cs="Arial"/>
          <w:kern w:val="0"/>
          <w:sz w:val="24"/>
          <w:szCs w:val="24"/>
        </w:rPr>
        <w:t>1</w:t>
      </w:r>
      <w:r w:rsidR="00913831">
        <w:rPr>
          <w:rFonts w:asciiTheme="minorEastAsia" w:hAnsiTheme="minorEastAsia" w:cs="Arial" w:hint="eastAsia"/>
          <w:kern w:val="0"/>
          <w:sz w:val="24"/>
          <w:szCs w:val="24"/>
        </w:rPr>
        <w:t>日</w:t>
      </w:r>
    </w:p>
    <w:sectPr w:rsidR="00AC3A9B">
      <w:footerReference w:type="default" r:id="rId46"/>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AD1C" w14:textId="77777777" w:rsidR="002C0796" w:rsidRDefault="002C0796">
      <w:r>
        <w:separator/>
      </w:r>
    </w:p>
  </w:endnote>
  <w:endnote w:type="continuationSeparator" w:id="0">
    <w:p w14:paraId="68268D9D" w14:textId="77777777" w:rsidR="002C0796" w:rsidRDefault="002C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微软雅黑"/>
    <w:charset w:val="00"/>
    <w:family w:val="auto"/>
    <w:pitch w:val="default"/>
    <w:sig w:usb0="00000000" w:usb1="00000000" w:usb2="00000000" w:usb3="00000000" w:csb0="00040001" w:csb1="00000000"/>
  </w:font>
  <w:font w:name="方正仿宋简体">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4151"/>
    </w:sdtPr>
    <w:sdtEndPr/>
    <w:sdtContent>
      <w:p w14:paraId="7FC40BD3"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2</w:t>
        </w:r>
        <w:r>
          <w:rPr>
            <w:lang w:val="zh-CN"/>
          </w:rPr>
          <w:fldChar w:fldCharType="end"/>
        </w:r>
      </w:p>
    </w:sdtContent>
  </w:sdt>
  <w:p w14:paraId="1F069B76" w14:textId="77777777" w:rsidR="00C91C24" w:rsidRDefault="00C91C24">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92790"/>
    </w:sdtPr>
    <w:sdtEndPr/>
    <w:sdtContent>
      <w:p w14:paraId="6973216B"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57</w:t>
        </w:r>
        <w:r>
          <w:rPr>
            <w:lang w:val="zh-CN"/>
          </w:rPr>
          <w:fldChar w:fldCharType="end"/>
        </w:r>
      </w:p>
    </w:sdtContent>
  </w:sdt>
  <w:p w14:paraId="00D5E4BC" w14:textId="77777777" w:rsidR="00C91C24" w:rsidRDefault="00C91C24">
    <w:pPr>
      <w:pStyle w:val="af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31260"/>
    </w:sdtPr>
    <w:sdtEndPr/>
    <w:sdtContent>
      <w:p w14:paraId="37224773"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67</w:t>
        </w:r>
        <w:r>
          <w:rPr>
            <w:lang w:val="zh-CN"/>
          </w:rPr>
          <w:fldChar w:fldCharType="end"/>
        </w:r>
      </w:p>
    </w:sdtContent>
  </w:sdt>
  <w:p w14:paraId="391BD33E" w14:textId="77777777" w:rsidR="00C91C24" w:rsidRDefault="00C91C24">
    <w:pPr>
      <w:pStyle w:val="af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935810"/>
    </w:sdtPr>
    <w:sdtEndPr/>
    <w:sdtContent>
      <w:p w14:paraId="09572962"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69</w:t>
        </w:r>
        <w:r>
          <w:rPr>
            <w:lang w:val="zh-CN"/>
          </w:rPr>
          <w:fldChar w:fldCharType="end"/>
        </w:r>
      </w:p>
    </w:sdtContent>
  </w:sdt>
  <w:p w14:paraId="6FDB5783" w14:textId="77777777" w:rsidR="00C91C24" w:rsidRDefault="00C91C24">
    <w:pPr>
      <w:pStyle w:val="af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709484"/>
    </w:sdtPr>
    <w:sdtEndPr/>
    <w:sdtContent>
      <w:p w14:paraId="74CC1E0D"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72</w:t>
        </w:r>
        <w:r>
          <w:rPr>
            <w:lang w:val="zh-CN"/>
          </w:rPr>
          <w:fldChar w:fldCharType="end"/>
        </w:r>
      </w:p>
    </w:sdtContent>
  </w:sdt>
  <w:p w14:paraId="55A9CDC2" w14:textId="77777777" w:rsidR="00C91C24" w:rsidRDefault="00C91C24">
    <w:pPr>
      <w:pStyle w:val="af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238106"/>
    </w:sdtPr>
    <w:sdtEndPr/>
    <w:sdtContent>
      <w:p w14:paraId="4833F5FD"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73</w:t>
        </w:r>
        <w:r>
          <w:rPr>
            <w:lang w:val="zh-CN"/>
          </w:rPr>
          <w:fldChar w:fldCharType="end"/>
        </w:r>
      </w:p>
    </w:sdtContent>
  </w:sdt>
  <w:p w14:paraId="0C70C5F4" w14:textId="77777777" w:rsidR="00C91C24" w:rsidRDefault="00C91C24">
    <w:pPr>
      <w:pStyle w:val="af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208776"/>
    </w:sdtPr>
    <w:sdtEndPr/>
    <w:sdtContent>
      <w:p w14:paraId="4B4765E0"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80</w:t>
        </w:r>
        <w:r>
          <w:rPr>
            <w:lang w:val="zh-CN"/>
          </w:rPr>
          <w:fldChar w:fldCharType="end"/>
        </w:r>
      </w:p>
    </w:sdtContent>
  </w:sdt>
  <w:p w14:paraId="0D1C1699" w14:textId="77777777" w:rsidR="00C91C24" w:rsidRDefault="00C91C24">
    <w:pPr>
      <w:pStyle w:val="af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280055"/>
    </w:sdtPr>
    <w:sdtEndPr/>
    <w:sdtContent>
      <w:p w14:paraId="33234942"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84</w:t>
        </w:r>
        <w:r>
          <w:rPr>
            <w:lang w:val="zh-CN"/>
          </w:rPr>
          <w:fldChar w:fldCharType="end"/>
        </w:r>
      </w:p>
    </w:sdtContent>
  </w:sdt>
  <w:p w14:paraId="6BBE4177" w14:textId="77777777" w:rsidR="00C91C24" w:rsidRDefault="00C91C24">
    <w:pPr>
      <w:pStyle w:val="af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14526"/>
    </w:sdtPr>
    <w:sdtEndPr/>
    <w:sdtContent>
      <w:p w14:paraId="1386DDF1"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86</w:t>
        </w:r>
        <w:r>
          <w:rPr>
            <w:lang w:val="zh-CN"/>
          </w:rPr>
          <w:fldChar w:fldCharType="end"/>
        </w:r>
      </w:p>
    </w:sdtContent>
  </w:sdt>
  <w:p w14:paraId="37FD2E1C" w14:textId="77777777" w:rsidR="00C91C24" w:rsidRDefault="00C91C24">
    <w:pPr>
      <w:pStyle w:val="af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163986"/>
    </w:sdtPr>
    <w:sdtEndPr/>
    <w:sdtContent>
      <w:p w14:paraId="27B50212"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102</w:t>
        </w:r>
        <w:r>
          <w:rPr>
            <w:lang w:val="zh-CN"/>
          </w:rPr>
          <w:fldChar w:fldCharType="end"/>
        </w:r>
      </w:p>
    </w:sdtContent>
  </w:sdt>
  <w:p w14:paraId="661D2C14" w14:textId="77777777" w:rsidR="00C91C24" w:rsidRDefault="00C91C24">
    <w:pPr>
      <w:pStyle w:val="af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91200"/>
    </w:sdtPr>
    <w:sdtEndPr/>
    <w:sdtContent>
      <w:p w14:paraId="549A3C69"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117</w:t>
        </w:r>
        <w:r>
          <w:rPr>
            <w:lang w:val="zh-CN"/>
          </w:rPr>
          <w:fldChar w:fldCharType="end"/>
        </w:r>
      </w:p>
    </w:sdtContent>
  </w:sdt>
  <w:p w14:paraId="3C0C6C53" w14:textId="77777777" w:rsidR="00C91C24" w:rsidRDefault="00C91C2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73134"/>
    </w:sdtPr>
    <w:sdtEndPr/>
    <w:sdtContent>
      <w:p w14:paraId="592BD031"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4</w:t>
        </w:r>
        <w:r>
          <w:rPr>
            <w:lang w:val="zh-CN"/>
          </w:rPr>
          <w:fldChar w:fldCharType="end"/>
        </w:r>
      </w:p>
    </w:sdtContent>
  </w:sdt>
  <w:p w14:paraId="00DECC49" w14:textId="77777777" w:rsidR="00C91C24" w:rsidRDefault="00C91C24">
    <w:pPr>
      <w:pStyle w:val="af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491673"/>
    </w:sdtPr>
    <w:sdtEndPr/>
    <w:sdtContent>
      <w:p w14:paraId="18DD9CA6"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119</w:t>
        </w:r>
        <w:r>
          <w:rPr>
            <w:lang w:val="zh-CN"/>
          </w:rPr>
          <w:fldChar w:fldCharType="end"/>
        </w:r>
      </w:p>
    </w:sdtContent>
  </w:sdt>
  <w:p w14:paraId="08CF4182" w14:textId="77777777" w:rsidR="00C91C24" w:rsidRDefault="00C91C24">
    <w:pPr>
      <w:pStyle w:val="af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23160"/>
    </w:sdtPr>
    <w:sdtEndPr/>
    <w:sdtContent>
      <w:p w14:paraId="292FCC64"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0F7BD8">
          <w:rPr>
            <w:noProof/>
            <w:lang w:val="zh-CN"/>
          </w:rPr>
          <w:t>124</w:t>
        </w:r>
        <w:r>
          <w:rPr>
            <w:lang w:val="zh-CN"/>
          </w:rPr>
          <w:fldChar w:fldCharType="end"/>
        </w:r>
      </w:p>
    </w:sdtContent>
  </w:sdt>
  <w:p w14:paraId="29C0EF2C" w14:textId="77777777" w:rsidR="00C91C24" w:rsidRDefault="00C91C24">
    <w:pPr>
      <w:pStyle w:val="af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E402" w14:textId="77777777" w:rsidR="00C91C24" w:rsidRDefault="00C91C24">
    <w:pPr>
      <w:pStyle w:val="af0"/>
      <w:jc w:val="center"/>
    </w:pPr>
    <w:r>
      <w:rPr>
        <w:rFonts w:hint="eastAsia"/>
      </w:rPr>
      <w:t>127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9397"/>
    </w:sdtPr>
    <w:sdtEndPr/>
    <w:sdtContent>
      <w:p w14:paraId="521B671D"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5</w:t>
        </w:r>
        <w:r>
          <w:rPr>
            <w:lang w:val="zh-CN"/>
          </w:rPr>
          <w:fldChar w:fldCharType="end"/>
        </w:r>
      </w:p>
    </w:sdtContent>
  </w:sdt>
  <w:p w14:paraId="004FAC37" w14:textId="77777777" w:rsidR="00C91C24" w:rsidRDefault="00C91C24">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737179"/>
    </w:sdtPr>
    <w:sdtEndPr/>
    <w:sdtContent>
      <w:p w14:paraId="709CE399"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19</w:t>
        </w:r>
        <w:r>
          <w:rPr>
            <w:lang w:val="zh-CN"/>
          </w:rPr>
          <w:fldChar w:fldCharType="end"/>
        </w:r>
      </w:p>
    </w:sdtContent>
  </w:sdt>
  <w:p w14:paraId="4DD46500" w14:textId="77777777" w:rsidR="00C91C24" w:rsidRDefault="00C91C24">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030533"/>
    </w:sdtPr>
    <w:sdtEndPr/>
    <w:sdtContent>
      <w:p w14:paraId="1C062FEB"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22</w:t>
        </w:r>
        <w:r>
          <w:rPr>
            <w:lang w:val="zh-CN"/>
          </w:rPr>
          <w:fldChar w:fldCharType="end"/>
        </w:r>
      </w:p>
    </w:sdtContent>
  </w:sdt>
  <w:p w14:paraId="34690E2F" w14:textId="77777777" w:rsidR="00C91C24" w:rsidRDefault="00C91C24">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926321"/>
    </w:sdtPr>
    <w:sdtEndPr/>
    <w:sdtContent>
      <w:p w14:paraId="098A3D6C"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25</w:t>
        </w:r>
        <w:r>
          <w:rPr>
            <w:lang w:val="zh-CN"/>
          </w:rPr>
          <w:fldChar w:fldCharType="end"/>
        </w:r>
      </w:p>
    </w:sdtContent>
  </w:sdt>
  <w:p w14:paraId="1763050B" w14:textId="77777777" w:rsidR="00C91C24" w:rsidRDefault="00C91C24">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677094"/>
    </w:sdtPr>
    <w:sdtEndPr/>
    <w:sdtContent>
      <w:p w14:paraId="468D4C81"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30</w:t>
        </w:r>
        <w:r>
          <w:rPr>
            <w:lang w:val="zh-CN"/>
          </w:rPr>
          <w:fldChar w:fldCharType="end"/>
        </w:r>
      </w:p>
    </w:sdtContent>
  </w:sdt>
  <w:p w14:paraId="35BCC41C" w14:textId="77777777" w:rsidR="00C91C24" w:rsidRDefault="00C91C24">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824264"/>
    </w:sdtPr>
    <w:sdtEndPr/>
    <w:sdtContent>
      <w:p w14:paraId="40CE31D3"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31</w:t>
        </w:r>
        <w:r>
          <w:rPr>
            <w:lang w:val="zh-CN"/>
          </w:rPr>
          <w:fldChar w:fldCharType="end"/>
        </w:r>
      </w:p>
    </w:sdtContent>
  </w:sdt>
  <w:p w14:paraId="415A3F46" w14:textId="77777777" w:rsidR="00C91C24" w:rsidRDefault="00C91C24">
    <w:pPr>
      <w:pStyle w:val="af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271876"/>
    </w:sdtPr>
    <w:sdtEndPr/>
    <w:sdtContent>
      <w:p w14:paraId="5930CDE1" w14:textId="77777777" w:rsidR="00C91C24" w:rsidRDefault="00C91C24">
        <w:pPr>
          <w:pStyle w:val="af0"/>
          <w:jc w:val="center"/>
        </w:pPr>
        <w:r>
          <w:rPr>
            <w:lang w:val="zh-CN"/>
          </w:rPr>
          <w:fldChar w:fldCharType="begin"/>
        </w:r>
        <w:r>
          <w:rPr>
            <w:lang w:val="zh-CN"/>
          </w:rPr>
          <w:instrText>PAGE   \* MERGEFORMAT</w:instrText>
        </w:r>
        <w:r>
          <w:rPr>
            <w:lang w:val="zh-CN"/>
          </w:rPr>
          <w:fldChar w:fldCharType="separate"/>
        </w:r>
        <w:r w:rsidR="001611B4">
          <w:rPr>
            <w:noProof/>
            <w:lang w:val="zh-CN"/>
          </w:rPr>
          <w:t>42</w:t>
        </w:r>
        <w:r>
          <w:rPr>
            <w:lang w:val="zh-CN"/>
          </w:rPr>
          <w:fldChar w:fldCharType="end"/>
        </w:r>
      </w:p>
    </w:sdtContent>
  </w:sdt>
  <w:p w14:paraId="4057063B" w14:textId="77777777" w:rsidR="00C91C24" w:rsidRDefault="00C91C2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E66D" w14:textId="77777777" w:rsidR="002C0796" w:rsidRDefault="002C0796">
      <w:r>
        <w:separator/>
      </w:r>
    </w:p>
  </w:footnote>
  <w:footnote w:type="continuationSeparator" w:id="0">
    <w:p w14:paraId="397B030B" w14:textId="77777777" w:rsidR="002C0796" w:rsidRDefault="002C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5BAD" w14:textId="19A34C92" w:rsidR="00C91C24" w:rsidRDefault="00C91C24">
    <w:pPr>
      <w:pStyle w:val="af2"/>
      <w:jc w:val="both"/>
    </w:pPr>
    <w:r>
      <w:rPr>
        <w:rFonts w:ascii="Arial" w:hAnsi="Arial" w:cs="Arial" w:hint="eastAsia"/>
        <w:szCs w:val="21"/>
      </w:rPr>
      <w:t>富荣福锦混合型证券投资基金更新的</w:t>
    </w:r>
    <w:r>
      <w:rPr>
        <w:rFonts w:hint="eastAsia"/>
      </w:rPr>
      <w:t>招募说明书（</w:t>
    </w:r>
    <w:r w:rsidR="00761273">
      <w:rPr>
        <w:rFonts w:hint="eastAsia"/>
      </w:rPr>
      <w:t>2022</w:t>
    </w:r>
    <w:r w:rsidR="00761273">
      <w:rPr>
        <w:rFonts w:hint="eastAsia"/>
      </w:rPr>
      <w:t>年第</w:t>
    </w:r>
    <w:r w:rsidR="00761273">
      <w:rPr>
        <w:rFonts w:hint="eastAsia"/>
      </w:rPr>
      <w:t>1</w:t>
    </w:r>
    <w:r w:rsidR="00761273">
      <w:rPr>
        <w:rFonts w:hint="eastAsia"/>
      </w:rPr>
      <w:t>号</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693915299">
    <w:abstractNumId w:val="0"/>
  </w:num>
  <w:num w:numId="2" w16cid:durableId="1310785987">
    <w:abstractNumId w:val="1"/>
  </w:num>
  <w:num w:numId="3" w16cid:durableId="11354835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0473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CC"/>
    <w:rsid w:val="00002C39"/>
    <w:rsid w:val="0000336D"/>
    <w:rsid w:val="00007E80"/>
    <w:rsid w:val="00011E0C"/>
    <w:rsid w:val="000150A1"/>
    <w:rsid w:val="00016B2F"/>
    <w:rsid w:val="00021C6F"/>
    <w:rsid w:val="00024EED"/>
    <w:rsid w:val="00026A47"/>
    <w:rsid w:val="00032C15"/>
    <w:rsid w:val="00036415"/>
    <w:rsid w:val="000417AB"/>
    <w:rsid w:val="00043AE3"/>
    <w:rsid w:val="00043E2F"/>
    <w:rsid w:val="000455CE"/>
    <w:rsid w:val="00045DF2"/>
    <w:rsid w:val="000470CA"/>
    <w:rsid w:val="000507C1"/>
    <w:rsid w:val="00050E32"/>
    <w:rsid w:val="000515D1"/>
    <w:rsid w:val="0005270F"/>
    <w:rsid w:val="0005295B"/>
    <w:rsid w:val="00053F56"/>
    <w:rsid w:val="00055889"/>
    <w:rsid w:val="000570B2"/>
    <w:rsid w:val="000579D5"/>
    <w:rsid w:val="0006090B"/>
    <w:rsid w:val="00061EFE"/>
    <w:rsid w:val="00062C1B"/>
    <w:rsid w:val="00063460"/>
    <w:rsid w:val="00063887"/>
    <w:rsid w:val="00063FB4"/>
    <w:rsid w:val="000653A7"/>
    <w:rsid w:val="00065FA9"/>
    <w:rsid w:val="00066597"/>
    <w:rsid w:val="00070358"/>
    <w:rsid w:val="00072066"/>
    <w:rsid w:val="00072559"/>
    <w:rsid w:val="000740F2"/>
    <w:rsid w:val="00076E9C"/>
    <w:rsid w:val="000776EE"/>
    <w:rsid w:val="000807B7"/>
    <w:rsid w:val="000817BB"/>
    <w:rsid w:val="00084A9D"/>
    <w:rsid w:val="00092FE3"/>
    <w:rsid w:val="00093B11"/>
    <w:rsid w:val="00094942"/>
    <w:rsid w:val="0009505B"/>
    <w:rsid w:val="0009610D"/>
    <w:rsid w:val="00096D0E"/>
    <w:rsid w:val="000A1798"/>
    <w:rsid w:val="000A2809"/>
    <w:rsid w:val="000A34E4"/>
    <w:rsid w:val="000A53A9"/>
    <w:rsid w:val="000B0075"/>
    <w:rsid w:val="000B0476"/>
    <w:rsid w:val="000B467C"/>
    <w:rsid w:val="000B4DA0"/>
    <w:rsid w:val="000B6836"/>
    <w:rsid w:val="000B720D"/>
    <w:rsid w:val="000B7428"/>
    <w:rsid w:val="000B7ACE"/>
    <w:rsid w:val="000C00C5"/>
    <w:rsid w:val="000C0BDF"/>
    <w:rsid w:val="000C1E78"/>
    <w:rsid w:val="000C2A62"/>
    <w:rsid w:val="000C3020"/>
    <w:rsid w:val="000C36FD"/>
    <w:rsid w:val="000C4C8F"/>
    <w:rsid w:val="000D1C20"/>
    <w:rsid w:val="000D2A86"/>
    <w:rsid w:val="000D3337"/>
    <w:rsid w:val="000D525E"/>
    <w:rsid w:val="000E1E9B"/>
    <w:rsid w:val="000E3D34"/>
    <w:rsid w:val="000E4187"/>
    <w:rsid w:val="000E7BCA"/>
    <w:rsid w:val="000F4000"/>
    <w:rsid w:val="000F5C40"/>
    <w:rsid w:val="000F63F5"/>
    <w:rsid w:val="000F7BD8"/>
    <w:rsid w:val="00100EB0"/>
    <w:rsid w:val="00101ED0"/>
    <w:rsid w:val="00102D5B"/>
    <w:rsid w:val="0010455F"/>
    <w:rsid w:val="00105BC6"/>
    <w:rsid w:val="00107B18"/>
    <w:rsid w:val="00110756"/>
    <w:rsid w:val="00111FD3"/>
    <w:rsid w:val="00112609"/>
    <w:rsid w:val="00112ACF"/>
    <w:rsid w:val="00115947"/>
    <w:rsid w:val="0012019B"/>
    <w:rsid w:val="001225F3"/>
    <w:rsid w:val="0012332B"/>
    <w:rsid w:val="00127ED5"/>
    <w:rsid w:val="00127EE7"/>
    <w:rsid w:val="00132839"/>
    <w:rsid w:val="00135275"/>
    <w:rsid w:val="001369D9"/>
    <w:rsid w:val="001431F8"/>
    <w:rsid w:val="00145063"/>
    <w:rsid w:val="00147C35"/>
    <w:rsid w:val="00150AFC"/>
    <w:rsid w:val="0015138A"/>
    <w:rsid w:val="00151DB5"/>
    <w:rsid w:val="001548F6"/>
    <w:rsid w:val="001569AD"/>
    <w:rsid w:val="00157AF8"/>
    <w:rsid w:val="001609F9"/>
    <w:rsid w:val="001611B4"/>
    <w:rsid w:val="001635EE"/>
    <w:rsid w:val="00166406"/>
    <w:rsid w:val="00166FE9"/>
    <w:rsid w:val="0016706A"/>
    <w:rsid w:val="00171B39"/>
    <w:rsid w:val="001745C9"/>
    <w:rsid w:val="001756AE"/>
    <w:rsid w:val="00175EFD"/>
    <w:rsid w:val="001815D7"/>
    <w:rsid w:val="00181F45"/>
    <w:rsid w:val="00182072"/>
    <w:rsid w:val="00184AAE"/>
    <w:rsid w:val="00184E9F"/>
    <w:rsid w:val="00185938"/>
    <w:rsid w:val="00186FFA"/>
    <w:rsid w:val="001939DE"/>
    <w:rsid w:val="00196862"/>
    <w:rsid w:val="00197F8C"/>
    <w:rsid w:val="001A0D71"/>
    <w:rsid w:val="001A1315"/>
    <w:rsid w:val="001A1C76"/>
    <w:rsid w:val="001A3539"/>
    <w:rsid w:val="001A41F8"/>
    <w:rsid w:val="001A4CAD"/>
    <w:rsid w:val="001A6505"/>
    <w:rsid w:val="001A670B"/>
    <w:rsid w:val="001B101B"/>
    <w:rsid w:val="001B1C13"/>
    <w:rsid w:val="001B23ED"/>
    <w:rsid w:val="001B598D"/>
    <w:rsid w:val="001B716E"/>
    <w:rsid w:val="001C08B6"/>
    <w:rsid w:val="001C275F"/>
    <w:rsid w:val="001C404F"/>
    <w:rsid w:val="001C71D3"/>
    <w:rsid w:val="001C79DE"/>
    <w:rsid w:val="001C7D92"/>
    <w:rsid w:val="001D3C2F"/>
    <w:rsid w:val="001D4772"/>
    <w:rsid w:val="001D5B6E"/>
    <w:rsid w:val="001E05E8"/>
    <w:rsid w:val="001E3B99"/>
    <w:rsid w:val="001F029F"/>
    <w:rsid w:val="001F0DEC"/>
    <w:rsid w:val="001F141D"/>
    <w:rsid w:val="001F222C"/>
    <w:rsid w:val="001F2A1F"/>
    <w:rsid w:val="001F2EE0"/>
    <w:rsid w:val="001F32BF"/>
    <w:rsid w:val="001F4508"/>
    <w:rsid w:val="001F670C"/>
    <w:rsid w:val="001F6CAF"/>
    <w:rsid w:val="001F7354"/>
    <w:rsid w:val="001F7512"/>
    <w:rsid w:val="00201AB5"/>
    <w:rsid w:val="00202627"/>
    <w:rsid w:val="00203D74"/>
    <w:rsid w:val="002078F3"/>
    <w:rsid w:val="00207CD5"/>
    <w:rsid w:val="00211085"/>
    <w:rsid w:val="00212167"/>
    <w:rsid w:val="002138DB"/>
    <w:rsid w:val="002210DF"/>
    <w:rsid w:val="00224418"/>
    <w:rsid w:val="00224EE1"/>
    <w:rsid w:val="0022597A"/>
    <w:rsid w:val="00225DB5"/>
    <w:rsid w:val="002275A8"/>
    <w:rsid w:val="00227859"/>
    <w:rsid w:val="00227AD6"/>
    <w:rsid w:val="00227AFA"/>
    <w:rsid w:val="00230271"/>
    <w:rsid w:val="0023113A"/>
    <w:rsid w:val="00232510"/>
    <w:rsid w:val="00232779"/>
    <w:rsid w:val="00235392"/>
    <w:rsid w:val="0023618C"/>
    <w:rsid w:val="0023759E"/>
    <w:rsid w:val="0023788E"/>
    <w:rsid w:val="00241ACA"/>
    <w:rsid w:val="002430FE"/>
    <w:rsid w:val="002472F8"/>
    <w:rsid w:val="002507FE"/>
    <w:rsid w:val="0025184A"/>
    <w:rsid w:val="002518DB"/>
    <w:rsid w:val="00252C86"/>
    <w:rsid w:val="0025398C"/>
    <w:rsid w:val="002601E9"/>
    <w:rsid w:val="00260A84"/>
    <w:rsid w:val="00260AE0"/>
    <w:rsid w:val="002622A9"/>
    <w:rsid w:val="00263BCA"/>
    <w:rsid w:val="00266917"/>
    <w:rsid w:val="00266A12"/>
    <w:rsid w:val="002701CE"/>
    <w:rsid w:val="00272867"/>
    <w:rsid w:val="00272F3A"/>
    <w:rsid w:val="00273FCA"/>
    <w:rsid w:val="002752C2"/>
    <w:rsid w:val="002775A2"/>
    <w:rsid w:val="00282732"/>
    <w:rsid w:val="002834CB"/>
    <w:rsid w:val="00283A8E"/>
    <w:rsid w:val="00283F15"/>
    <w:rsid w:val="002863C8"/>
    <w:rsid w:val="00291943"/>
    <w:rsid w:val="00291D52"/>
    <w:rsid w:val="00293582"/>
    <w:rsid w:val="002940A2"/>
    <w:rsid w:val="00294C41"/>
    <w:rsid w:val="00295C02"/>
    <w:rsid w:val="00295EF8"/>
    <w:rsid w:val="002966EC"/>
    <w:rsid w:val="002A18EC"/>
    <w:rsid w:val="002A1DD0"/>
    <w:rsid w:val="002A6E10"/>
    <w:rsid w:val="002B01D8"/>
    <w:rsid w:val="002B1A83"/>
    <w:rsid w:val="002B435D"/>
    <w:rsid w:val="002B4DD9"/>
    <w:rsid w:val="002B64A8"/>
    <w:rsid w:val="002C0796"/>
    <w:rsid w:val="002C36B6"/>
    <w:rsid w:val="002C385C"/>
    <w:rsid w:val="002C3C29"/>
    <w:rsid w:val="002C438F"/>
    <w:rsid w:val="002D3234"/>
    <w:rsid w:val="002D32E2"/>
    <w:rsid w:val="002D33E0"/>
    <w:rsid w:val="002D581C"/>
    <w:rsid w:val="002E2B52"/>
    <w:rsid w:val="002E342B"/>
    <w:rsid w:val="002E3582"/>
    <w:rsid w:val="002E4399"/>
    <w:rsid w:val="002E7690"/>
    <w:rsid w:val="002E7B2F"/>
    <w:rsid w:val="002F0AEB"/>
    <w:rsid w:val="002F3DFB"/>
    <w:rsid w:val="00300107"/>
    <w:rsid w:val="0030418D"/>
    <w:rsid w:val="003042BB"/>
    <w:rsid w:val="00305747"/>
    <w:rsid w:val="00307617"/>
    <w:rsid w:val="003079B5"/>
    <w:rsid w:val="00307AB6"/>
    <w:rsid w:val="003155E3"/>
    <w:rsid w:val="00315D57"/>
    <w:rsid w:val="00326A72"/>
    <w:rsid w:val="00327DF4"/>
    <w:rsid w:val="00327F7E"/>
    <w:rsid w:val="0033271C"/>
    <w:rsid w:val="0033347C"/>
    <w:rsid w:val="00333E36"/>
    <w:rsid w:val="0033564F"/>
    <w:rsid w:val="00336927"/>
    <w:rsid w:val="00340466"/>
    <w:rsid w:val="00341D19"/>
    <w:rsid w:val="00344461"/>
    <w:rsid w:val="003464BC"/>
    <w:rsid w:val="003464D5"/>
    <w:rsid w:val="00352C16"/>
    <w:rsid w:val="00353591"/>
    <w:rsid w:val="00354A44"/>
    <w:rsid w:val="00355E38"/>
    <w:rsid w:val="003567DD"/>
    <w:rsid w:val="00357378"/>
    <w:rsid w:val="00357882"/>
    <w:rsid w:val="00361458"/>
    <w:rsid w:val="00361F09"/>
    <w:rsid w:val="00365C58"/>
    <w:rsid w:val="0036675B"/>
    <w:rsid w:val="0036697D"/>
    <w:rsid w:val="00367074"/>
    <w:rsid w:val="00367E2C"/>
    <w:rsid w:val="00370B4F"/>
    <w:rsid w:val="00371EC6"/>
    <w:rsid w:val="00371ED5"/>
    <w:rsid w:val="00376750"/>
    <w:rsid w:val="00377542"/>
    <w:rsid w:val="00381F92"/>
    <w:rsid w:val="003832FA"/>
    <w:rsid w:val="00386A86"/>
    <w:rsid w:val="00390719"/>
    <w:rsid w:val="003928DF"/>
    <w:rsid w:val="00392C0F"/>
    <w:rsid w:val="003962D5"/>
    <w:rsid w:val="00397AF5"/>
    <w:rsid w:val="003A1C92"/>
    <w:rsid w:val="003A3022"/>
    <w:rsid w:val="003A6148"/>
    <w:rsid w:val="003A733C"/>
    <w:rsid w:val="003A78F9"/>
    <w:rsid w:val="003B2407"/>
    <w:rsid w:val="003B2B86"/>
    <w:rsid w:val="003B2C1E"/>
    <w:rsid w:val="003B318D"/>
    <w:rsid w:val="003B374D"/>
    <w:rsid w:val="003B3D76"/>
    <w:rsid w:val="003C0A28"/>
    <w:rsid w:val="003C3BD4"/>
    <w:rsid w:val="003C4E68"/>
    <w:rsid w:val="003C6950"/>
    <w:rsid w:val="003C71FB"/>
    <w:rsid w:val="003D25AE"/>
    <w:rsid w:val="003D32C5"/>
    <w:rsid w:val="003D3E7F"/>
    <w:rsid w:val="003D4F54"/>
    <w:rsid w:val="003E33DE"/>
    <w:rsid w:val="003E7547"/>
    <w:rsid w:val="003F024E"/>
    <w:rsid w:val="003F07F0"/>
    <w:rsid w:val="003F0D6B"/>
    <w:rsid w:val="003F1495"/>
    <w:rsid w:val="003F1645"/>
    <w:rsid w:val="003F2C03"/>
    <w:rsid w:val="003F2F14"/>
    <w:rsid w:val="003F3EBD"/>
    <w:rsid w:val="003F7179"/>
    <w:rsid w:val="003F71BA"/>
    <w:rsid w:val="00402349"/>
    <w:rsid w:val="004052E3"/>
    <w:rsid w:val="004055CF"/>
    <w:rsid w:val="00407289"/>
    <w:rsid w:val="0041206B"/>
    <w:rsid w:val="00412850"/>
    <w:rsid w:val="00413B26"/>
    <w:rsid w:val="00416668"/>
    <w:rsid w:val="0041693E"/>
    <w:rsid w:val="00416A03"/>
    <w:rsid w:val="00417728"/>
    <w:rsid w:val="00417E3F"/>
    <w:rsid w:val="004212FB"/>
    <w:rsid w:val="00423971"/>
    <w:rsid w:val="004254CB"/>
    <w:rsid w:val="00427D57"/>
    <w:rsid w:val="004307A3"/>
    <w:rsid w:val="00432722"/>
    <w:rsid w:val="004334EC"/>
    <w:rsid w:val="004344F1"/>
    <w:rsid w:val="00434ACE"/>
    <w:rsid w:val="004353E6"/>
    <w:rsid w:val="0043660A"/>
    <w:rsid w:val="004366F9"/>
    <w:rsid w:val="00440CA4"/>
    <w:rsid w:val="004419FB"/>
    <w:rsid w:val="00447A84"/>
    <w:rsid w:val="00451F4D"/>
    <w:rsid w:val="004570E4"/>
    <w:rsid w:val="00457A75"/>
    <w:rsid w:val="00463AC0"/>
    <w:rsid w:val="00463D15"/>
    <w:rsid w:val="004657EA"/>
    <w:rsid w:val="004665F2"/>
    <w:rsid w:val="00467F0E"/>
    <w:rsid w:val="00470701"/>
    <w:rsid w:val="00476243"/>
    <w:rsid w:val="00480219"/>
    <w:rsid w:val="00481714"/>
    <w:rsid w:val="00481E25"/>
    <w:rsid w:val="004820BD"/>
    <w:rsid w:val="004822FB"/>
    <w:rsid w:val="0048357D"/>
    <w:rsid w:val="0048715E"/>
    <w:rsid w:val="00487357"/>
    <w:rsid w:val="00490E64"/>
    <w:rsid w:val="004922D1"/>
    <w:rsid w:val="00493840"/>
    <w:rsid w:val="00494FA6"/>
    <w:rsid w:val="004A4445"/>
    <w:rsid w:val="004A65D7"/>
    <w:rsid w:val="004B45FA"/>
    <w:rsid w:val="004B5F31"/>
    <w:rsid w:val="004B617B"/>
    <w:rsid w:val="004C13D9"/>
    <w:rsid w:val="004C1FB1"/>
    <w:rsid w:val="004C27F1"/>
    <w:rsid w:val="004C42FE"/>
    <w:rsid w:val="004C4A0F"/>
    <w:rsid w:val="004C4BF6"/>
    <w:rsid w:val="004D2D86"/>
    <w:rsid w:val="004D3208"/>
    <w:rsid w:val="004D5A0E"/>
    <w:rsid w:val="004D693A"/>
    <w:rsid w:val="004D719C"/>
    <w:rsid w:val="004D73CA"/>
    <w:rsid w:val="004D7A1C"/>
    <w:rsid w:val="004E08FD"/>
    <w:rsid w:val="004E3FD5"/>
    <w:rsid w:val="004E4409"/>
    <w:rsid w:val="004E5BE5"/>
    <w:rsid w:val="004F02E3"/>
    <w:rsid w:val="004F4E5A"/>
    <w:rsid w:val="004F7007"/>
    <w:rsid w:val="00501B74"/>
    <w:rsid w:val="00503979"/>
    <w:rsid w:val="005043F9"/>
    <w:rsid w:val="005067A5"/>
    <w:rsid w:val="00506A9D"/>
    <w:rsid w:val="00513369"/>
    <w:rsid w:val="00516A76"/>
    <w:rsid w:val="00517167"/>
    <w:rsid w:val="00520016"/>
    <w:rsid w:val="005266D4"/>
    <w:rsid w:val="0053132E"/>
    <w:rsid w:val="00532478"/>
    <w:rsid w:val="005339D1"/>
    <w:rsid w:val="00540285"/>
    <w:rsid w:val="00540E2F"/>
    <w:rsid w:val="005435FB"/>
    <w:rsid w:val="00550B96"/>
    <w:rsid w:val="00552750"/>
    <w:rsid w:val="0055353E"/>
    <w:rsid w:val="00555BA2"/>
    <w:rsid w:val="00556041"/>
    <w:rsid w:val="0055734F"/>
    <w:rsid w:val="005622B6"/>
    <w:rsid w:val="0056275F"/>
    <w:rsid w:val="00562DCF"/>
    <w:rsid w:val="00563324"/>
    <w:rsid w:val="00563426"/>
    <w:rsid w:val="00564640"/>
    <w:rsid w:val="00565760"/>
    <w:rsid w:val="00566F0E"/>
    <w:rsid w:val="005677AD"/>
    <w:rsid w:val="00571308"/>
    <w:rsid w:val="005730A9"/>
    <w:rsid w:val="0057704C"/>
    <w:rsid w:val="005803F4"/>
    <w:rsid w:val="00581D26"/>
    <w:rsid w:val="00585A88"/>
    <w:rsid w:val="0059102D"/>
    <w:rsid w:val="005916C4"/>
    <w:rsid w:val="00592B7E"/>
    <w:rsid w:val="00593DBE"/>
    <w:rsid w:val="0059486A"/>
    <w:rsid w:val="00595A44"/>
    <w:rsid w:val="00597B85"/>
    <w:rsid w:val="005A098B"/>
    <w:rsid w:val="005A304E"/>
    <w:rsid w:val="005A3605"/>
    <w:rsid w:val="005A4328"/>
    <w:rsid w:val="005A4D49"/>
    <w:rsid w:val="005A7A85"/>
    <w:rsid w:val="005B1DAC"/>
    <w:rsid w:val="005B766D"/>
    <w:rsid w:val="005C0239"/>
    <w:rsid w:val="005C5145"/>
    <w:rsid w:val="005D19A9"/>
    <w:rsid w:val="005D51A1"/>
    <w:rsid w:val="005E29FB"/>
    <w:rsid w:val="005F0253"/>
    <w:rsid w:val="005F27B9"/>
    <w:rsid w:val="005F3AD5"/>
    <w:rsid w:val="005F4F71"/>
    <w:rsid w:val="005F62D9"/>
    <w:rsid w:val="005F6C53"/>
    <w:rsid w:val="00601DA1"/>
    <w:rsid w:val="00601E16"/>
    <w:rsid w:val="00602B88"/>
    <w:rsid w:val="006038C3"/>
    <w:rsid w:val="00611CEA"/>
    <w:rsid w:val="006132D5"/>
    <w:rsid w:val="00613D11"/>
    <w:rsid w:val="006140CC"/>
    <w:rsid w:val="0061438B"/>
    <w:rsid w:val="006162F5"/>
    <w:rsid w:val="006212EC"/>
    <w:rsid w:val="006218FD"/>
    <w:rsid w:val="00621934"/>
    <w:rsid w:val="00622A23"/>
    <w:rsid w:val="00624228"/>
    <w:rsid w:val="006259CB"/>
    <w:rsid w:val="00626C8D"/>
    <w:rsid w:val="00626D65"/>
    <w:rsid w:val="00627DBF"/>
    <w:rsid w:val="00627E38"/>
    <w:rsid w:val="00632249"/>
    <w:rsid w:val="00634E01"/>
    <w:rsid w:val="00635709"/>
    <w:rsid w:val="006367A1"/>
    <w:rsid w:val="00636857"/>
    <w:rsid w:val="00637A2B"/>
    <w:rsid w:val="006404E1"/>
    <w:rsid w:val="00641394"/>
    <w:rsid w:val="006424F1"/>
    <w:rsid w:val="006447F2"/>
    <w:rsid w:val="0064498B"/>
    <w:rsid w:val="006459AC"/>
    <w:rsid w:val="0064649E"/>
    <w:rsid w:val="00646DF1"/>
    <w:rsid w:val="00647036"/>
    <w:rsid w:val="00647B84"/>
    <w:rsid w:val="006504A9"/>
    <w:rsid w:val="00656F9A"/>
    <w:rsid w:val="006610F6"/>
    <w:rsid w:val="006620BA"/>
    <w:rsid w:val="00662717"/>
    <w:rsid w:val="00664560"/>
    <w:rsid w:val="006662A1"/>
    <w:rsid w:val="00666ACE"/>
    <w:rsid w:val="00673746"/>
    <w:rsid w:val="00673BD7"/>
    <w:rsid w:val="006748D6"/>
    <w:rsid w:val="00675885"/>
    <w:rsid w:val="00680CCC"/>
    <w:rsid w:val="0068149E"/>
    <w:rsid w:val="0068156F"/>
    <w:rsid w:val="006827D6"/>
    <w:rsid w:val="006845DD"/>
    <w:rsid w:val="00686670"/>
    <w:rsid w:val="0069362E"/>
    <w:rsid w:val="006A1FB2"/>
    <w:rsid w:val="006A3AEA"/>
    <w:rsid w:val="006A609D"/>
    <w:rsid w:val="006A62A6"/>
    <w:rsid w:val="006B231F"/>
    <w:rsid w:val="006B2EB8"/>
    <w:rsid w:val="006B324A"/>
    <w:rsid w:val="006B5E4E"/>
    <w:rsid w:val="006B6220"/>
    <w:rsid w:val="006B788D"/>
    <w:rsid w:val="006C2816"/>
    <w:rsid w:val="006C4A63"/>
    <w:rsid w:val="006C632A"/>
    <w:rsid w:val="006C688D"/>
    <w:rsid w:val="006D0194"/>
    <w:rsid w:val="006D11CD"/>
    <w:rsid w:val="006D4512"/>
    <w:rsid w:val="006D6E03"/>
    <w:rsid w:val="006E4865"/>
    <w:rsid w:val="006E55E8"/>
    <w:rsid w:val="006E567D"/>
    <w:rsid w:val="006E7CCA"/>
    <w:rsid w:val="006F0F3C"/>
    <w:rsid w:val="006F0F6A"/>
    <w:rsid w:val="006F36D3"/>
    <w:rsid w:val="006F4194"/>
    <w:rsid w:val="006F4638"/>
    <w:rsid w:val="006F5C33"/>
    <w:rsid w:val="006F741E"/>
    <w:rsid w:val="006F7E1A"/>
    <w:rsid w:val="007021F5"/>
    <w:rsid w:val="00702DD7"/>
    <w:rsid w:val="00703058"/>
    <w:rsid w:val="007032EB"/>
    <w:rsid w:val="00703F25"/>
    <w:rsid w:val="00704D7F"/>
    <w:rsid w:val="007066B5"/>
    <w:rsid w:val="00707B95"/>
    <w:rsid w:val="00710D35"/>
    <w:rsid w:val="0071206F"/>
    <w:rsid w:val="00713346"/>
    <w:rsid w:val="00716B55"/>
    <w:rsid w:val="00716D3B"/>
    <w:rsid w:val="00720080"/>
    <w:rsid w:val="00722704"/>
    <w:rsid w:val="00723B1D"/>
    <w:rsid w:val="007270B2"/>
    <w:rsid w:val="00732DA2"/>
    <w:rsid w:val="00733830"/>
    <w:rsid w:val="00736608"/>
    <w:rsid w:val="00736F54"/>
    <w:rsid w:val="00740060"/>
    <w:rsid w:val="00740CBA"/>
    <w:rsid w:val="00741DBB"/>
    <w:rsid w:val="00742372"/>
    <w:rsid w:val="00743C6B"/>
    <w:rsid w:val="0074463C"/>
    <w:rsid w:val="00746029"/>
    <w:rsid w:val="00746174"/>
    <w:rsid w:val="00746D8F"/>
    <w:rsid w:val="00750314"/>
    <w:rsid w:val="00750772"/>
    <w:rsid w:val="007530DC"/>
    <w:rsid w:val="007546AB"/>
    <w:rsid w:val="0075534A"/>
    <w:rsid w:val="00760DC1"/>
    <w:rsid w:val="00761273"/>
    <w:rsid w:val="00762387"/>
    <w:rsid w:val="00766DBF"/>
    <w:rsid w:val="00767E9E"/>
    <w:rsid w:val="00771C0C"/>
    <w:rsid w:val="00771D0E"/>
    <w:rsid w:val="00773E87"/>
    <w:rsid w:val="00774210"/>
    <w:rsid w:val="007743FF"/>
    <w:rsid w:val="00774BE4"/>
    <w:rsid w:val="00775ABC"/>
    <w:rsid w:val="00780A15"/>
    <w:rsid w:val="0078316E"/>
    <w:rsid w:val="007834DB"/>
    <w:rsid w:val="00785310"/>
    <w:rsid w:val="00785A76"/>
    <w:rsid w:val="00787C08"/>
    <w:rsid w:val="00787D48"/>
    <w:rsid w:val="00790FC7"/>
    <w:rsid w:val="007929DD"/>
    <w:rsid w:val="007942D9"/>
    <w:rsid w:val="00795893"/>
    <w:rsid w:val="00795A6A"/>
    <w:rsid w:val="00796706"/>
    <w:rsid w:val="007A354C"/>
    <w:rsid w:val="007A559F"/>
    <w:rsid w:val="007A57BE"/>
    <w:rsid w:val="007A6409"/>
    <w:rsid w:val="007A659F"/>
    <w:rsid w:val="007A6F07"/>
    <w:rsid w:val="007A708A"/>
    <w:rsid w:val="007B0165"/>
    <w:rsid w:val="007B0530"/>
    <w:rsid w:val="007B11A4"/>
    <w:rsid w:val="007B1A77"/>
    <w:rsid w:val="007C09AB"/>
    <w:rsid w:val="007C30A7"/>
    <w:rsid w:val="007C384C"/>
    <w:rsid w:val="007C51A5"/>
    <w:rsid w:val="007C5BF3"/>
    <w:rsid w:val="007C7D83"/>
    <w:rsid w:val="007D3B33"/>
    <w:rsid w:val="007E0DDF"/>
    <w:rsid w:val="007E174A"/>
    <w:rsid w:val="007E36BF"/>
    <w:rsid w:val="007E6165"/>
    <w:rsid w:val="007E6BA9"/>
    <w:rsid w:val="007E7483"/>
    <w:rsid w:val="007F0C2B"/>
    <w:rsid w:val="007F0F86"/>
    <w:rsid w:val="007F3034"/>
    <w:rsid w:val="007F3452"/>
    <w:rsid w:val="007F5FFE"/>
    <w:rsid w:val="007F610C"/>
    <w:rsid w:val="007F72A0"/>
    <w:rsid w:val="007F7416"/>
    <w:rsid w:val="007F7827"/>
    <w:rsid w:val="00800633"/>
    <w:rsid w:val="0080091B"/>
    <w:rsid w:val="008101DA"/>
    <w:rsid w:val="0081243C"/>
    <w:rsid w:val="00815169"/>
    <w:rsid w:val="008170B0"/>
    <w:rsid w:val="00817FFC"/>
    <w:rsid w:val="0082084A"/>
    <w:rsid w:val="0082089D"/>
    <w:rsid w:val="00821726"/>
    <w:rsid w:val="00824FDE"/>
    <w:rsid w:val="008253FA"/>
    <w:rsid w:val="008266F8"/>
    <w:rsid w:val="00826E64"/>
    <w:rsid w:val="00827213"/>
    <w:rsid w:val="00827565"/>
    <w:rsid w:val="008276B4"/>
    <w:rsid w:val="00827AF1"/>
    <w:rsid w:val="00827F46"/>
    <w:rsid w:val="0083059C"/>
    <w:rsid w:val="00831A98"/>
    <w:rsid w:val="0083500F"/>
    <w:rsid w:val="00836A83"/>
    <w:rsid w:val="00842CCB"/>
    <w:rsid w:val="008437A5"/>
    <w:rsid w:val="0084566E"/>
    <w:rsid w:val="00847C44"/>
    <w:rsid w:val="00853093"/>
    <w:rsid w:val="00855EC3"/>
    <w:rsid w:val="00861559"/>
    <w:rsid w:val="00864D27"/>
    <w:rsid w:val="0086578E"/>
    <w:rsid w:val="00865A22"/>
    <w:rsid w:val="008667D3"/>
    <w:rsid w:val="00871622"/>
    <w:rsid w:val="008733D4"/>
    <w:rsid w:val="00874DD2"/>
    <w:rsid w:val="00884B02"/>
    <w:rsid w:val="0088622D"/>
    <w:rsid w:val="00886530"/>
    <w:rsid w:val="0088667C"/>
    <w:rsid w:val="00886EAA"/>
    <w:rsid w:val="00887898"/>
    <w:rsid w:val="00890371"/>
    <w:rsid w:val="0089172A"/>
    <w:rsid w:val="00892060"/>
    <w:rsid w:val="00892775"/>
    <w:rsid w:val="008929A7"/>
    <w:rsid w:val="0089384B"/>
    <w:rsid w:val="00896041"/>
    <w:rsid w:val="008A06C3"/>
    <w:rsid w:val="008A2FA6"/>
    <w:rsid w:val="008A35AA"/>
    <w:rsid w:val="008B23EF"/>
    <w:rsid w:val="008B2FEF"/>
    <w:rsid w:val="008B3FD5"/>
    <w:rsid w:val="008B4D5A"/>
    <w:rsid w:val="008B4D9A"/>
    <w:rsid w:val="008B6C7F"/>
    <w:rsid w:val="008B7004"/>
    <w:rsid w:val="008B7206"/>
    <w:rsid w:val="008B7336"/>
    <w:rsid w:val="008C3F19"/>
    <w:rsid w:val="008C72FF"/>
    <w:rsid w:val="008C7978"/>
    <w:rsid w:val="008D2EA1"/>
    <w:rsid w:val="008D355E"/>
    <w:rsid w:val="008D4429"/>
    <w:rsid w:val="008D62D7"/>
    <w:rsid w:val="008D682A"/>
    <w:rsid w:val="008D696E"/>
    <w:rsid w:val="008D769B"/>
    <w:rsid w:val="008E12EB"/>
    <w:rsid w:val="008E59EB"/>
    <w:rsid w:val="008F3918"/>
    <w:rsid w:val="008F412E"/>
    <w:rsid w:val="008F6E8B"/>
    <w:rsid w:val="008F7348"/>
    <w:rsid w:val="00900E8E"/>
    <w:rsid w:val="00902224"/>
    <w:rsid w:val="00903CB1"/>
    <w:rsid w:val="00904611"/>
    <w:rsid w:val="009046B4"/>
    <w:rsid w:val="00904EB3"/>
    <w:rsid w:val="0090511D"/>
    <w:rsid w:val="00905381"/>
    <w:rsid w:val="00906588"/>
    <w:rsid w:val="00907531"/>
    <w:rsid w:val="00911C03"/>
    <w:rsid w:val="009127E2"/>
    <w:rsid w:val="00913831"/>
    <w:rsid w:val="00913D49"/>
    <w:rsid w:val="00916A1B"/>
    <w:rsid w:val="00917135"/>
    <w:rsid w:val="009202B7"/>
    <w:rsid w:val="00922978"/>
    <w:rsid w:val="009249C5"/>
    <w:rsid w:val="00927495"/>
    <w:rsid w:val="009277AE"/>
    <w:rsid w:val="00932586"/>
    <w:rsid w:val="00933594"/>
    <w:rsid w:val="00942509"/>
    <w:rsid w:val="00943D86"/>
    <w:rsid w:val="00943E94"/>
    <w:rsid w:val="0095094F"/>
    <w:rsid w:val="00953446"/>
    <w:rsid w:val="00955037"/>
    <w:rsid w:val="00955C3E"/>
    <w:rsid w:val="00961263"/>
    <w:rsid w:val="00961907"/>
    <w:rsid w:val="00961F52"/>
    <w:rsid w:val="009639D8"/>
    <w:rsid w:val="00965D95"/>
    <w:rsid w:val="00965E53"/>
    <w:rsid w:val="00970058"/>
    <w:rsid w:val="00971061"/>
    <w:rsid w:val="00975061"/>
    <w:rsid w:val="00977E6D"/>
    <w:rsid w:val="00980EE0"/>
    <w:rsid w:val="00981EA6"/>
    <w:rsid w:val="0098279D"/>
    <w:rsid w:val="00982F8A"/>
    <w:rsid w:val="00986F18"/>
    <w:rsid w:val="0098753F"/>
    <w:rsid w:val="00990375"/>
    <w:rsid w:val="00990719"/>
    <w:rsid w:val="00992BC7"/>
    <w:rsid w:val="00994C45"/>
    <w:rsid w:val="009974C2"/>
    <w:rsid w:val="00997664"/>
    <w:rsid w:val="00997906"/>
    <w:rsid w:val="009A1160"/>
    <w:rsid w:val="009A4AE9"/>
    <w:rsid w:val="009A5C6A"/>
    <w:rsid w:val="009B2161"/>
    <w:rsid w:val="009B33F0"/>
    <w:rsid w:val="009B41BB"/>
    <w:rsid w:val="009B47DE"/>
    <w:rsid w:val="009B5534"/>
    <w:rsid w:val="009C148D"/>
    <w:rsid w:val="009C1ADC"/>
    <w:rsid w:val="009C4CCC"/>
    <w:rsid w:val="009C5CAD"/>
    <w:rsid w:val="009D11EF"/>
    <w:rsid w:val="009D2B1D"/>
    <w:rsid w:val="009D39E5"/>
    <w:rsid w:val="009D6C7B"/>
    <w:rsid w:val="009D7B45"/>
    <w:rsid w:val="009E0008"/>
    <w:rsid w:val="009E0EA7"/>
    <w:rsid w:val="009E19E9"/>
    <w:rsid w:val="009E2D8D"/>
    <w:rsid w:val="009E71B1"/>
    <w:rsid w:val="009F05AC"/>
    <w:rsid w:val="009F2352"/>
    <w:rsid w:val="009F527B"/>
    <w:rsid w:val="00A01319"/>
    <w:rsid w:val="00A0497F"/>
    <w:rsid w:val="00A10026"/>
    <w:rsid w:val="00A105D3"/>
    <w:rsid w:val="00A10B82"/>
    <w:rsid w:val="00A13228"/>
    <w:rsid w:val="00A233EB"/>
    <w:rsid w:val="00A24011"/>
    <w:rsid w:val="00A25BD3"/>
    <w:rsid w:val="00A25F53"/>
    <w:rsid w:val="00A268F2"/>
    <w:rsid w:val="00A27A58"/>
    <w:rsid w:val="00A36D05"/>
    <w:rsid w:val="00A406B6"/>
    <w:rsid w:val="00A40719"/>
    <w:rsid w:val="00A41DC4"/>
    <w:rsid w:val="00A4419B"/>
    <w:rsid w:val="00A441D8"/>
    <w:rsid w:val="00A515EC"/>
    <w:rsid w:val="00A52083"/>
    <w:rsid w:val="00A56D34"/>
    <w:rsid w:val="00A617C7"/>
    <w:rsid w:val="00A64091"/>
    <w:rsid w:val="00A66633"/>
    <w:rsid w:val="00A70800"/>
    <w:rsid w:val="00A70CD3"/>
    <w:rsid w:val="00A737CD"/>
    <w:rsid w:val="00A73B4E"/>
    <w:rsid w:val="00A76477"/>
    <w:rsid w:val="00A80A75"/>
    <w:rsid w:val="00A8232E"/>
    <w:rsid w:val="00A83C51"/>
    <w:rsid w:val="00A84DEF"/>
    <w:rsid w:val="00A85BF2"/>
    <w:rsid w:val="00A86555"/>
    <w:rsid w:val="00A902FD"/>
    <w:rsid w:val="00A90C15"/>
    <w:rsid w:val="00A90E33"/>
    <w:rsid w:val="00A919E1"/>
    <w:rsid w:val="00A91A75"/>
    <w:rsid w:val="00A94EE3"/>
    <w:rsid w:val="00A9733E"/>
    <w:rsid w:val="00AA00C1"/>
    <w:rsid w:val="00AA06B3"/>
    <w:rsid w:val="00AA1B86"/>
    <w:rsid w:val="00AA1D46"/>
    <w:rsid w:val="00AA1DCC"/>
    <w:rsid w:val="00AA23F2"/>
    <w:rsid w:val="00AB7A62"/>
    <w:rsid w:val="00AC0F33"/>
    <w:rsid w:val="00AC3A9B"/>
    <w:rsid w:val="00AC48B9"/>
    <w:rsid w:val="00AC6648"/>
    <w:rsid w:val="00AC6ACB"/>
    <w:rsid w:val="00AC76DE"/>
    <w:rsid w:val="00AC7FFA"/>
    <w:rsid w:val="00AD2515"/>
    <w:rsid w:val="00AD2934"/>
    <w:rsid w:val="00AD352B"/>
    <w:rsid w:val="00AD4A06"/>
    <w:rsid w:val="00AD5119"/>
    <w:rsid w:val="00AD7C5A"/>
    <w:rsid w:val="00AE3BBE"/>
    <w:rsid w:val="00AE58E1"/>
    <w:rsid w:val="00AE760D"/>
    <w:rsid w:val="00AF0459"/>
    <w:rsid w:val="00AF0CC0"/>
    <w:rsid w:val="00AF2EDB"/>
    <w:rsid w:val="00AF46AF"/>
    <w:rsid w:val="00AF666B"/>
    <w:rsid w:val="00AF7806"/>
    <w:rsid w:val="00B00CB2"/>
    <w:rsid w:val="00B00E64"/>
    <w:rsid w:val="00B01097"/>
    <w:rsid w:val="00B013D2"/>
    <w:rsid w:val="00B05F2B"/>
    <w:rsid w:val="00B06B61"/>
    <w:rsid w:val="00B11BD0"/>
    <w:rsid w:val="00B17162"/>
    <w:rsid w:val="00B208BE"/>
    <w:rsid w:val="00B230AC"/>
    <w:rsid w:val="00B2537D"/>
    <w:rsid w:val="00B257F8"/>
    <w:rsid w:val="00B26126"/>
    <w:rsid w:val="00B26AC4"/>
    <w:rsid w:val="00B30835"/>
    <w:rsid w:val="00B3218B"/>
    <w:rsid w:val="00B378E1"/>
    <w:rsid w:val="00B45AFD"/>
    <w:rsid w:val="00B462B0"/>
    <w:rsid w:val="00B51CC3"/>
    <w:rsid w:val="00B53466"/>
    <w:rsid w:val="00B550E5"/>
    <w:rsid w:val="00B57A86"/>
    <w:rsid w:val="00B60CAE"/>
    <w:rsid w:val="00B6151A"/>
    <w:rsid w:val="00B6279C"/>
    <w:rsid w:val="00B6572D"/>
    <w:rsid w:val="00B657B2"/>
    <w:rsid w:val="00B66964"/>
    <w:rsid w:val="00B701CC"/>
    <w:rsid w:val="00B713F9"/>
    <w:rsid w:val="00B725B9"/>
    <w:rsid w:val="00B7394E"/>
    <w:rsid w:val="00B75320"/>
    <w:rsid w:val="00B762B2"/>
    <w:rsid w:val="00B76A24"/>
    <w:rsid w:val="00B8145F"/>
    <w:rsid w:val="00B8243F"/>
    <w:rsid w:val="00B841A9"/>
    <w:rsid w:val="00B84727"/>
    <w:rsid w:val="00B874F3"/>
    <w:rsid w:val="00B91090"/>
    <w:rsid w:val="00B9537A"/>
    <w:rsid w:val="00BA6526"/>
    <w:rsid w:val="00BA6A61"/>
    <w:rsid w:val="00BB0E10"/>
    <w:rsid w:val="00BB3BBE"/>
    <w:rsid w:val="00BB6706"/>
    <w:rsid w:val="00BC634A"/>
    <w:rsid w:val="00BE059D"/>
    <w:rsid w:val="00BE3049"/>
    <w:rsid w:val="00BE31E8"/>
    <w:rsid w:val="00BE52BC"/>
    <w:rsid w:val="00BF1CE5"/>
    <w:rsid w:val="00BF303E"/>
    <w:rsid w:val="00BF5CAD"/>
    <w:rsid w:val="00BF600C"/>
    <w:rsid w:val="00BF7B8F"/>
    <w:rsid w:val="00C01DB3"/>
    <w:rsid w:val="00C02B65"/>
    <w:rsid w:val="00C03236"/>
    <w:rsid w:val="00C04900"/>
    <w:rsid w:val="00C056B1"/>
    <w:rsid w:val="00C07554"/>
    <w:rsid w:val="00C079CB"/>
    <w:rsid w:val="00C07F89"/>
    <w:rsid w:val="00C126A1"/>
    <w:rsid w:val="00C13C8B"/>
    <w:rsid w:val="00C169CD"/>
    <w:rsid w:val="00C16FCA"/>
    <w:rsid w:val="00C2125F"/>
    <w:rsid w:val="00C3180D"/>
    <w:rsid w:val="00C325B9"/>
    <w:rsid w:val="00C32A46"/>
    <w:rsid w:val="00C33B54"/>
    <w:rsid w:val="00C43018"/>
    <w:rsid w:val="00C43F36"/>
    <w:rsid w:val="00C4420B"/>
    <w:rsid w:val="00C45E81"/>
    <w:rsid w:val="00C4686F"/>
    <w:rsid w:val="00C47192"/>
    <w:rsid w:val="00C47BA9"/>
    <w:rsid w:val="00C50456"/>
    <w:rsid w:val="00C50BC0"/>
    <w:rsid w:val="00C5449B"/>
    <w:rsid w:val="00C553BF"/>
    <w:rsid w:val="00C5687A"/>
    <w:rsid w:val="00C569CB"/>
    <w:rsid w:val="00C61360"/>
    <w:rsid w:val="00C61A87"/>
    <w:rsid w:val="00C62978"/>
    <w:rsid w:val="00C63530"/>
    <w:rsid w:val="00C63584"/>
    <w:rsid w:val="00C638B8"/>
    <w:rsid w:val="00C70DA5"/>
    <w:rsid w:val="00C71655"/>
    <w:rsid w:val="00C716C4"/>
    <w:rsid w:val="00C71CCE"/>
    <w:rsid w:val="00C722E3"/>
    <w:rsid w:val="00C735C3"/>
    <w:rsid w:val="00C73B18"/>
    <w:rsid w:val="00C756DC"/>
    <w:rsid w:val="00C76B96"/>
    <w:rsid w:val="00C7780F"/>
    <w:rsid w:val="00C8745B"/>
    <w:rsid w:val="00C87F34"/>
    <w:rsid w:val="00C91C24"/>
    <w:rsid w:val="00C96251"/>
    <w:rsid w:val="00CA3D1C"/>
    <w:rsid w:val="00CA6AE2"/>
    <w:rsid w:val="00CA7D51"/>
    <w:rsid w:val="00CB483E"/>
    <w:rsid w:val="00CB6322"/>
    <w:rsid w:val="00CB7CC8"/>
    <w:rsid w:val="00CB7FDF"/>
    <w:rsid w:val="00CC016C"/>
    <w:rsid w:val="00CC1524"/>
    <w:rsid w:val="00CC38BC"/>
    <w:rsid w:val="00CC3DEA"/>
    <w:rsid w:val="00CC3FD6"/>
    <w:rsid w:val="00CC4646"/>
    <w:rsid w:val="00CC4BBF"/>
    <w:rsid w:val="00CC65D6"/>
    <w:rsid w:val="00CC6F62"/>
    <w:rsid w:val="00CD0E38"/>
    <w:rsid w:val="00CD37FC"/>
    <w:rsid w:val="00CD3951"/>
    <w:rsid w:val="00CD6407"/>
    <w:rsid w:val="00CE0741"/>
    <w:rsid w:val="00CE087B"/>
    <w:rsid w:val="00CE33BB"/>
    <w:rsid w:val="00CE433D"/>
    <w:rsid w:val="00CE5C34"/>
    <w:rsid w:val="00CF1BA6"/>
    <w:rsid w:val="00CF1D49"/>
    <w:rsid w:val="00CF2220"/>
    <w:rsid w:val="00CF48EF"/>
    <w:rsid w:val="00CF5831"/>
    <w:rsid w:val="00D00216"/>
    <w:rsid w:val="00D0390E"/>
    <w:rsid w:val="00D03BF9"/>
    <w:rsid w:val="00D05AD2"/>
    <w:rsid w:val="00D076A0"/>
    <w:rsid w:val="00D12E4A"/>
    <w:rsid w:val="00D153A1"/>
    <w:rsid w:val="00D15D01"/>
    <w:rsid w:val="00D201F4"/>
    <w:rsid w:val="00D20D5E"/>
    <w:rsid w:val="00D21C3E"/>
    <w:rsid w:val="00D22C99"/>
    <w:rsid w:val="00D26BDA"/>
    <w:rsid w:val="00D27438"/>
    <w:rsid w:val="00D31CFA"/>
    <w:rsid w:val="00D32E0A"/>
    <w:rsid w:val="00D3314C"/>
    <w:rsid w:val="00D3588A"/>
    <w:rsid w:val="00D37186"/>
    <w:rsid w:val="00D40F56"/>
    <w:rsid w:val="00D42938"/>
    <w:rsid w:val="00D436A2"/>
    <w:rsid w:val="00D4394D"/>
    <w:rsid w:val="00D43FF0"/>
    <w:rsid w:val="00D5008E"/>
    <w:rsid w:val="00D51F1D"/>
    <w:rsid w:val="00D5367C"/>
    <w:rsid w:val="00D54704"/>
    <w:rsid w:val="00D56867"/>
    <w:rsid w:val="00D579D9"/>
    <w:rsid w:val="00D60C57"/>
    <w:rsid w:val="00D61184"/>
    <w:rsid w:val="00D62676"/>
    <w:rsid w:val="00D62D7A"/>
    <w:rsid w:val="00D643C0"/>
    <w:rsid w:val="00D646EF"/>
    <w:rsid w:val="00D65943"/>
    <w:rsid w:val="00D678EB"/>
    <w:rsid w:val="00D67A9A"/>
    <w:rsid w:val="00D67B99"/>
    <w:rsid w:val="00D72F9D"/>
    <w:rsid w:val="00D73195"/>
    <w:rsid w:val="00D73D18"/>
    <w:rsid w:val="00D74935"/>
    <w:rsid w:val="00D80B74"/>
    <w:rsid w:val="00D879F9"/>
    <w:rsid w:val="00D87E19"/>
    <w:rsid w:val="00D90250"/>
    <w:rsid w:val="00D9048A"/>
    <w:rsid w:val="00D92401"/>
    <w:rsid w:val="00D9445F"/>
    <w:rsid w:val="00D9458E"/>
    <w:rsid w:val="00D94904"/>
    <w:rsid w:val="00D963EA"/>
    <w:rsid w:val="00D97EAA"/>
    <w:rsid w:val="00DA019A"/>
    <w:rsid w:val="00DA1D15"/>
    <w:rsid w:val="00DA3702"/>
    <w:rsid w:val="00DA3803"/>
    <w:rsid w:val="00DA3916"/>
    <w:rsid w:val="00DA3E33"/>
    <w:rsid w:val="00DA40AA"/>
    <w:rsid w:val="00DA4881"/>
    <w:rsid w:val="00DA53A0"/>
    <w:rsid w:val="00DA5FBF"/>
    <w:rsid w:val="00DA6765"/>
    <w:rsid w:val="00DA79A0"/>
    <w:rsid w:val="00DB36A1"/>
    <w:rsid w:val="00DB6A8E"/>
    <w:rsid w:val="00DC09FD"/>
    <w:rsid w:val="00DC18B9"/>
    <w:rsid w:val="00DC7978"/>
    <w:rsid w:val="00DD0A4B"/>
    <w:rsid w:val="00DD0C64"/>
    <w:rsid w:val="00DD1AFB"/>
    <w:rsid w:val="00DD27F1"/>
    <w:rsid w:val="00DD4528"/>
    <w:rsid w:val="00DD53A7"/>
    <w:rsid w:val="00DD56A4"/>
    <w:rsid w:val="00DD5DCA"/>
    <w:rsid w:val="00DD6105"/>
    <w:rsid w:val="00DD72CD"/>
    <w:rsid w:val="00DE3476"/>
    <w:rsid w:val="00DE4379"/>
    <w:rsid w:val="00DE50F1"/>
    <w:rsid w:val="00DE633F"/>
    <w:rsid w:val="00DF0229"/>
    <w:rsid w:val="00DF304F"/>
    <w:rsid w:val="00DF38F8"/>
    <w:rsid w:val="00DF45B1"/>
    <w:rsid w:val="00DF6319"/>
    <w:rsid w:val="00DF6BD8"/>
    <w:rsid w:val="00DF783A"/>
    <w:rsid w:val="00E02857"/>
    <w:rsid w:val="00E106B1"/>
    <w:rsid w:val="00E10CD8"/>
    <w:rsid w:val="00E11B05"/>
    <w:rsid w:val="00E12766"/>
    <w:rsid w:val="00E141FF"/>
    <w:rsid w:val="00E14466"/>
    <w:rsid w:val="00E174CD"/>
    <w:rsid w:val="00E176A7"/>
    <w:rsid w:val="00E240DA"/>
    <w:rsid w:val="00E2460D"/>
    <w:rsid w:val="00E24BAE"/>
    <w:rsid w:val="00E26015"/>
    <w:rsid w:val="00E2653C"/>
    <w:rsid w:val="00E30609"/>
    <w:rsid w:val="00E33B1F"/>
    <w:rsid w:val="00E355E6"/>
    <w:rsid w:val="00E365A5"/>
    <w:rsid w:val="00E40F3D"/>
    <w:rsid w:val="00E41248"/>
    <w:rsid w:val="00E420B8"/>
    <w:rsid w:val="00E43134"/>
    <w:rsid w:val="00E441CE"/>
    <w:rsid w:val="00E47675"/>
    <w:rsid w:val="00E51132"/>
    <w:rsid w:val="00E5173A"/>
    <w:rsid w:val="00E52137"/>
    <w:rsid w:val="00E52A7D"/>
    <w:rsid w:val="00E54E26"/>
    <w:rsid w:val="00E55E4E"/>
    <w:rsid w:val="00E57235"/>
    <w:rsid w:val="00E62684"/>
    <w:rsid w:val="00E63ED8"/>
    <w:rsid w:val="00E669D9"/>
    <w:rsid w:val="00E66FED"/>
    <w:rsid w:val="00E674AD"/>
    <w:rsid w:val="00E70940"/>
    <w:rsid w:val="00E7129C"/>
    <w:rsid w:val="00E717B9"/>
    <w:rsid w:val="00E748C9"/>
    <w:rsid w:val="00E74B49"/>
    <w:rsid w:val="00E76519"/>
    <w:rsid w:val="00E80778"/>
    <w:rsid w:val="00E80F55"/>
    <w:rsid w:val="00E82762"/>
    <w:rsid w:val="00E85501"/>
    <w:rsid w:val="00E86E07"/>
    <w:rsid w:val="00E91FD1"/>
    <w:rsid w:val="00E94FCE"/>
    <w:rsid w:val="00E954C7"/>
    <w:rsid w:val="00E96579"/>
    <w:rsid w:val="00EA303A"/>
    <w:rsid w:val="00EA48DF"/>
    <w:rsid w:val="00EB099E"/>
    <w:rsid w:val="00EB1AAB"/>
    <w:rsid w:val="00EB4E35"/>
    <w:rsid w:val="00EB59F8"/>
    <w:rsid w:val="00EB7500"/>
    <w:rsid w:val="00EB7A6E"/>
    <w:rsid w:val="00EC00EA"/>
    <w:rsid w:val="00EC055C"/>
    <w:rsid w:val="00EC1AE2"/>
    <w:rsid w:val="00EC3E30"/>
    <w:rsid w:val="00EC42CA"/>
    <w:rsid w:val="00EC5578"/>
    <w:rsid w:val="00ED00EB"/>
    <w:rsid w:val="00ED161A"/>
    <w:rsid w:val="00ED215A"/>
    <w:rsid w:val="00ED28A0"/>
    <w:rsid w:val="00ED4018"/>
    <w:rsid w:val="00ED759A"/>
    <w:rsid w:val="00ED7EC6"/>
    <w:rsid w:val="00EE2CAD"/>
    <w:rsid w:val="00EE2DDB"/>
    <w:rsid w:val="00EE3223"/>
    <w:rsid w:val="00EE32AB"/>
    <w:rsid w:val="00EE361C"/>
    <w:rsid w:val="00EE769B"/>
    <w:rsid w:val="00EF005C"/>
    <w:rsid w:val="00EF0BA8"/>
    <w:rsid w:val="00EF23BF"/>
    <w:rsid w:val="00EF388D"/>
    <w:rsid w:val="00EF4FA9"/>
    <w:rsid w:val="00EF666F"/>
    <w:rsid w:val="00EF7526"/>
    <w:rsid w:val="00F00F4C"/>
    <w:rsid w:val="00F0312E"/>
    <w:rsid w:val="00F07C7F"/>
    <w:rsid w:val="00F1136A"/>
    <w:rsid w:val="00F121FD"/>
    <w:rsid w:val="00F123C7"/>
    <w:rsid w:val="00F13903"/>
    <w:rsid w:val="00F152EA"/>
    <w:rsid w:val="00F16B98"/>
    <w:rsid w:val="00F21671"/>
    <w:rsid w:val="00F225F5"/>
    <w:rsid w:val="00F24306"/>
    <w:rsid w:val="00F31116"/>
    <w:rsid w:val="00F32B8F"/>
    <w:rsid w:val="00F36309"/>
    <w:rsid w:val="00F36E5E"/>
    <w:rsid w:val="00F37574"/>
    <w:rsid w:val="00F40B47"/>
    <w:rsid w:val="00F414AC"/>
    <w:rsid w:val="00F46DF6"/>
    <w:rsid w:val="00F4785D"/>
    <w:rsid w:val="00F47904"/>
    <w:rsid w:val="00F52598"/>
    <w:rsid w:val="00F53671"/>
    <w:rsid w:val="00F559B1"/>
    <w:rsid w:val="00F562CC"/>
    <w:rsid w:val="00F5696E"/>
    <w:rsid w:val="00F579C1"/>
    <w:rsid w:val="00F57AF4"/>
    <w:rsid w:val="00F57BAE"/>
    <w:rsid w:val="00F6167C"/>
    <w:rsid w:val="00F61F55"/>
    <w:rsid w:val="00F80437"/>
    <w:rsid w:val="00F8118C"/>
    <w:rsid w:val="00F81A31"/>
    <w:rsid w:val="00F81B60"/>
    <w:rsid w:val="00F82480"/>
    <w:rsid w:val="00F8348C"/>
    <w:rsid w:val="00F84167"/>
    <w:rsid w:val="00F86EA6"/>
    <w:rsid w:val="00F87422"/>
    <w:rsid w:val="00F919AC"/>
    <w:rsid w:val="00F92CCB"/>
    <w:rsid w:val="00F974D6"/>
    <w:rsid w:val="00F978F4"/>
    <w:rsid w:val="00FA073A"/>
    <w:rsid w:val="00FA20B1"/>
    <w:rsid w:val="00FA20E0"/>
    <w:rsid w:val="00FA6603"/>
    <w:rsid w:val="00FA6998"/>
    <w:rsid w:val="00FA6BC6"/>
    <w:rsid w:val="00FB3241"/>
    <w:rsid w:val="00FB360B"/>
    <w:rsid w:val="00FB389B"/>
    <w:rsid w:val="00FB5322"/>
    <w:rsid w:val="00FB5917"/>
    <w:rsid w:val="00FC0FC7"/>
    <w:rsid w:val="00FC3827"/>
    <w:rsid w:val="00FC761C"/>
    <w:rsid w:val="00FD13AE"/>
    <w:rsid w:val="00FD2447"/>
    <w:rsid w:val="00FD3125"/>
    <w:rsid w:val="00FD40A6"/>
    <w:rsid w:val="00FE09BA"/>
    <w:rsid w:val="00FE0A3A"/>
    <w:rsid w:val="00FE351A"/>
    <w:rsid w:val="00FE6303"/>
    <w:rsid w:val="00FE71D4"/>
    <w:rsid w:val="00FE7430"/>
    <w:rsid w:val="00FF171F"/>
    <w:rsid w:val="00FF1AC9"/>
    <w:rsid w:val="00FF284A"/>
    <w:rsid w:val="00FF2BD7"/>
    <w:rsid w:val="00FF5B67"/>
    <w:rsid w:val="00FF5EAD"/>
    <w:rsid w:val="00FF6F38"/>
    <w:rsid w:val="355D284F"/>
    <w:rsid w:val="3A9D031B"/>
    <w:rsid w:val="5E741D82"/>
    <w:rsid w:val="62860977"/>
    <w:rsid w:val="747E58DC"/>
    <w:rsid w:val="76BE0AA2"/>
    <w:rsid w:val="777B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97823"/>
  <w15:docId w15:val="{164E9504-5E12-4127-AC92-C5C2EAC9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pPr>
      <w:ind w:firstLineChars="200" w:firstLine="420"/>
    </w:pPr>
    <w:rPr>
      <w:rFonts w:ascii="Times New Roman" w:eastAsia="宋体" w:hAnsi="Times New Roman" w:cs="Times New Roman"/>
      <w:szCs w:val="20"/>
    </w:rPr>
  </w:style>
  <w:style w:type="paragraph" w:styleId="a4">
    <w:name w:val="Document Map"/>
    <w:basedOn w:val="a"/>
    <w:link w:val="a5"/>
    <w:semiHidden/>
    <w:unhideWhenUsed/>
    <w:pPr>
      <w:shd w:val="clear" w:color="auto" w:fill="000080"/>
    </w:pPr>
    <w:rPr>
      <w:rFonts w:ascii="Times New Roman" w:eastAsia="宋体" w:hAnsi="Times New Roman" w:cs="Times New Roman"/>
      <w:szCs w:val="20"/>
    </w:rPr>
  </w:style>
  <w:style w:type="paragraph" w:styleId="a6">
    <w:name w:val="annotation text"/>
    <w:basedOn w:val="a"/>
    <w:link w:val="a7"/>
    <w:unhideWhenUsed/>
    <w:qFormat/>
    <w:pPr>
      <w:jc w:val="left"/>
    </w:pPr>
    <w:rPr>
      <w:rFonts w:ascii="Times New Roman" w:eastAsia="宋体" w:hAnsi="Times New Roman" w:cs="Times New Roman"/>
      <w:szCs w:val="20"/>
    </w:rPr>
  </w:style>
  <w:style w:type="paragraph" w:styleId="a8">
    <w:name w:val="Body Text"/>
    <w:basedOn w:val="a"/>
    <w:link w:val="a9"/>
    <w:semiHidden/>
    <w:unhideWhenUsed/>
    <w:pPr>
      <w:autoSpaceDE w:val="0"/>
      <w:autoSpaceDN w:val="0"/>
      <w:adjustRightInd w:val="0"/>
      <w:spacing w:line="360" w:lineRule="auto"/>
      <w:jc w:val="left"/>
    </w:pPr>
    <w:rPr>
      <w:rFonts w:ascii="宋体" w:eastAsia="宋体" w:hAnsi="Calibri" w:cs="Times New Roman"/>
      <w:kern w:val="0"/>
    </w:rPr>
  </w:style>
  <w:style w:type="paragraph" w:styleId="aa">
    <w:name w:val="Body Text Indent"/>
    <w:basedOn w:val="a"/>
    <w:link w:val="ab"/>
    <w:uiPriority w:val="99"/>
    <w:semiHidden/>
    <w:unhideWhenUsed/>
    <w:pPr>
      <w:spacing w:after="120"/>
      <w:ind w:leftChars="200" w:left="420"/>
    </w:p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c">
    <w:name w:val="Plain Text"/>
    <w:basedOn w:val="a"/>
    <w:link w:val="ad"/>
    <w:semiHidden/>
    <w:unhideWhenUsed/>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Pr>
      <w:rFonts w:ascii="Times New Roman" w:eastAsia="宋体" w:hAnsi="Times New Roman" w:cs="Times New Roman"/>
      <w:sz w:val="18"/>
      <w:szCs w:val="20"/>
    </w:rPr>
  </w:style>
  <w:style w:type="paragraph" w:styleId="af0">
    <w:name w:val="footer"/>
    <w:basedOn w:val="a"/>
    <w:link w:val="af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pPr>
      <w:spacing w:before="240" w:after="60"/>
      <w:jc w:val="center"/>
      <w:outlineLvl w:val="0"/>
    </w:pPr>
    <w:rPr>
      <w:rFonts w:ascii="Cambria" w:eastAsia="宋体" w:hAnsi="Cambria" w:cs="Times New Roman"/>
      <w:b/>
      <w:sz w:val="32"/>
    </w:rPr>
  </w:style>
  <w:style w:type="paragraph" w:styleId="af8">
    <w:name w:val="annotation subject"/>
    <w:basedOn w:val="a6"/>
    <w:next w:val="a6"/>
    <w:link w:val="af9"/>
    <w:semiHidden/>
    <w:unhideWhenUsed/>
    <w:rPr>
      <w:b/>
    </w:rPr>
  </w:style>
  <w:style w:type="table" w:styleId="afa">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basedOn w:val="a0"/>
    <w:uiPriority w:val="99"/>
    <w:semiHidden/>
    <w:unhideWhenUsed/>
    <w:qFormat/>
    <w:rPr>
      <w:color w:val="800080" w:themeColor="followedHyperlink"/>
      <w:u w:val="single"/>
    </w:rPr>
  </w:style>
  <w:style w:type="character" w:styleId="afc">
    <w:name w:val="Hyperlink"/>
    <w:aliases w:val="超级链接"/>
    <w:uiPriority w:val="99"/>
    <w:unhideWhenUsed/>
    <w:qFormat/>
    <w:rPr>
      <w:color w:val="0000FF"/>
      <w:u w:val="single"/>
    </w:rPr>
  </w:style>
  <w:style w:type="character" w:styleId="afd">
    <w:name w:val="annotation reference"/>
    <w:unhideWhenUsed/>
    <w:qFormat/>
    <w:rPr>
      <w:sz w:val="21"/>
    </w:rPr>
  </w:style>
  <w:style w:type="character" w:styleId="afe">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5">
    <w:name w:val="脚注文本 字符"/>
    <w:basedOn w:val="a0"/>
    <w:link w:val="af4"/>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f7">
    <w:name w:val="标题 字符"/>
    <w:basedOn w:val="a0"/>
    <w:link w:val="af6"/>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Pr>
      <w:rFonts w:ascii="宋体" w:eastAsia="宋体" w:hAnsi="Courier New" w:cs="Times New Roman"/>
      <w:kern w:val="0"/>
      <w:szCs w:val="20"/>
    </w:rPr>
  </w:style>
  <w:style w:type="character" w:customStyle="1" w:styleId="af9">
    <w:name w:val="批注主题 字符"/>
    <w:basedOn w:val="Char"/>
    <w:link w:val="af8"/>
    <w:semiHidden/>
    <w:qFormat/>
    <w:rPr>
      <w:rFonts w:ascii="Times New Roman" w:eastAsia="宋体" w:hAnsi="Times New Roman" w:cs="Times New Roman"/>
      <w:b/>
      <w:szCs w:val="20"/>
    </w:rPr>
  </w:style>
  <w:style w:type="character" w:customStyle="1" w:styleId="af">
    <w:name w:val="批注框文本 字符"/>
    <w:basedOn w:val="a0"/>
    <w:link w:val="ae"/>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f">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0">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1">
    <w:name w:val="List Paragraph"/>
    <w:basedOn w:val="a"/>
    <w:uiPriority w:val="34"/>
    <w:qFormat/>
    <w:pPr>
      <w:ind w:firstLineChars="200" w:firstLine="420"/>
    </w:p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Pr>
      <w:rFonts w:ascii="宋体" w:eastAsia="宋体" w:hAnsi="宋体" w:hint="eastAsia"/>
      <w:color w:val="000000"/>
      <w:sz w:val="24"/>
      <w:szCs w:val="24"/>
    </w:rPr>
  </w:style>
  <w:style w:type="character" w:customStyle="1" w:styleId="ab">
    <w:name w:val="正文文本缩进 字符"/>
    <w:basedOn w:val="a0"/>
    <w:link w:val="aa"/>
    <w:uiPriority w:val="99"/>
    <w:semiHidden/>
  </w:style>
  <w:style w:type="paragraph" w:customStyle="1" w:styleId="zhangjiep">
    <w:name w:val="zhangjie_p"/>
    <w:basedOn w:val="a"/>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rPr>
      <w:rFonts w:asciiTheme="minorHAnsi" w:eastAsiaTheme="minorEastAsia" w:hAnsiTheme="minorHAnsi" w:cstheme="minorBidi"/>
      <w:kern w:val="2"/>
      <w:sz w:val="21"/>
      <w:szCs w:val="22"/>
    </w:rPr>
  </w:style>
  <w:style w:type="paragraph" w:customStyle="1" w:styleId="33">
    <w:name w:val="修订3"/>
    <w:hidden/>
    <w:uiPriority w:val="99"/>
    <w:unhideWhenUsed/>
    <w:rPr>
      <w:rFonts w:asciiTheme="minorHAnsi" w:eastAsiaTheme="minorEastAsia" w:hAnsiTheme="minorHAnsi" w:cstheme="minorBidi"/>
      <w:kern w:val="2"/>
      <w:sz w:val="21"/>
      <w:szCs w:val="22"/>
    </w:rPr>
  </w:style>
  <w:style w:type="paragraph" w:styleId="aff2">
    <w:name w:val="Revision"/>
    <w:hidden/>
    <w:uiPriority w:val="99"/>
    <w:semiHidden/>
    <w:rsid w:val="0084566E"/>
    <w:rPr>
      <w:rFonts w:asciiTheme="minorHAnsi" w:eastAsiaTheme="minorEastAsia" w:hAnsiTheme="minorHAnsi" w:cstheme="minorBidi"/>
      <w:kern w:val="2"/>
      <w:sz w:val="21"/>
      <w:szCs w:val="22"/>
    </w:rPr>
  </w:style>
  <w:style w:type="table" w:customStyle="1" w:styleId="12">
    <w:name w:val="网格型1"/>
    <w:basedOn w:val="a1"/>
    <w:next w:val="afa"/>
    <w:qFormat/>
    <w:rsid w:val="005313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56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yingmi.cn" TargetMode="External"/><Relationship Id="rId26" Type="http://schemas.openxmlformats.org/officeDocument/2006/relationships/hyperlink" Target="http://www.licaike.com" TargetMode="External"/><Relationship Id="rId39" Type="http://schemas.openxmlformats.org/officeDocument/2006/relationships/footer" Target="footer15.xml"/><Relationship Id="rId21" Type="http://schemas.openxmlformats.org/officeDocument/2006/relationships/hyperlink" Target="http://www.jjmmw.com" TargetMode="External"/><Relationship Id="rId34" Type="http://schemas.openxmlformats.org/officeDocument/2006/relationships/footer" Target="footer10.xml"/><Relationship Id="rId42" Type="http://schemas.openxmlformats.org/officeDocument/2006/relationships/footer" Target="footer18.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fund123.cn"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tonghuafund.com" TargetMode="External"/><Relationship Id="rId32" Type="http://schemas.openxmlformats.org/officeDocument/2006/relationships/image" Target="media/image1.jpeg"/><Relationship Id="rId37" Type="http://schemas.openxmlformats.org/officeDocument/2006/relationships/footer" Target="footer13.xml"/><Relationship Id="rId40" Type="http://schemas.openxmlformats.org/officeDocument/2006/relationships/footer" Target="footer16.xml"/><Relationship Id="rId45" Type="http://schemas.openxmlformats.org/officeDocument/2006/relationships/footer" Target="footer21.xml"/><Relationship Id="rId5" Type="http://schemas.openxmlformats.org/officeDocument/2006/relationships/settings" Target="settings.xml"/><Relationship Id="rId15" Type="http://schemas.openxmlformats.org/officeDocument/2006/relationships/hyperlink" Target="http://www.csco.com.cn" TargetMode="External"/><Relationship Id="rId23" Type="http://schemas.openxmlformats.org/officeDocument/2006/relationships/hyperlink" Target="http://www.snjijin" TargetMode="External"/><Relationship Id="rId28" Type="http://schemas.openxmlformats.org/officeDocument/2006/relationships/footer" Target="footer6.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yperlink" Target="http://www.jianfortune.com" TargetMode="External"/><Relationship Id="rId31" Type="http://schemas.openxmlformats.org/officeDocument/2006/relationships/footer" Target="footer9.xml"/><Relationship Id="rId44" Type="http://schemas.openxmlformats.org/officeDocument/2006/relationships/footer" Target="footer2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http://www.wacaijijin.com" TargetMode="External"/><Relationship Id="rId27" Type="http://schemas.openxmlformats.org/officeDocument/2006/relationships/hyperlink" Target="https://www.e-chinalife.com/" TargetMode="Externa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9.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yperlink" Target="http://www.5ifund.com" TargetMode="External"/><Relationship Id="rId25" Type="http://schemas.openxmlformats.org/officeDocument/2006/relationships/hyperlink" Target="http://www.puyifund.com" TargetMode="External"/><Relationship Id="rId33" Type="http://schemas.openxmlformats.org/officeDocument/2006/relationships/image" Target="media/image2.jpeg"/><Relationship Id="rId38" Type="http://schemas.openxmlformats.org/officeDocument/2006/relationships/footer" Target="footer14.xml"/><Relationship Id="rId46" Type="http://schemas.openxmlformats.org/officeDocument/2006/relationships/footer" Target="footer22.xml"/><Relationship Id="rId20" Type="http://schemas.openxmlformats.org/officeDocument/2006/relationships/hyperlink" Target="http://www.zlfund.cn" TargetMode="External"/><Relationship Id="rId41" Type="http://schemas.openxmlformats.org/officeDocument/2006/relationships/footer" Target="footer1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F1C2A02D-3DF7-429C-9345-EB994AD880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122</Pages>
  <Words>12723</Words>
  <Characters>72524</Characters>
  <Application>Microsoft Office Word</Application>
  <DocSecurity>0</DocSecurity>
  <Lines>604</Lines>
  <Paragraphs>170</Paragraphs>
  <ScaleCrop>false</ScaleCrop>
  <LinksUpToDate>false</LinksUpToDate>
  <CharactersWithSpaces>85077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徐铮</cp:lastModifiedBy>
  <cp:lastPrinted>2019-11-22T01:50:00Z</cp:lastPrinted>
  <dcterms:created xsi:type="dcterms:W3CDTF">2022-05-12T04:18:00Z</dcterms:created>
  <dcterms:modified xsi:type="dcterms:W3CDTF">2022-05-19T01:29:00Z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