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0.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0390" w14:textId="77777777" w:rsidR="004614AE" w:rsidRDefault="004614AE">
      <w:pPr>
        <w:tabs>
          <w:tab w:val="left" w:pos="6660"/>
        </w:tabs>
        <w:spacing w:line="360" w:lineRule="auto"/>
        <w:jc w:val="center"/>
        <w:rPr>
          <w:rFonts w:asciiTheme="minorEastAsia" w:hAnsiTheme="minorEastAsia" w:cs="Times New Roman"/>
          <w:bCs/>
          <w:sz w:val="48"/>
          <w:szCs w:val="48"/>
        </w:rPr>
      </w:pPr>
    </w:p>
    <w:p w14:paraId="6C008A18" w14:textId="77777777" w:rsidR="004614AE" w:rsidRDefault="004614AE">
      <w:pPr>
        <w:spacing w:line="360" w:lineRule="auto"/>
        <w:jc w:val="center"/>
        <w:rPr>
          <w:rFonts w:asciiTheme="minorEastAsia" w:hAnsiTheme="minorEastAsia" w:cs="Times New Roman"/>
          <w:b/>
          <w:sz w:val="48"/>
          <w:szCs w:val="48"/>
        </w:rPr>
      </w:pPr>
    </w:p>
    <w:p w14:paraId="6BBEB24D" w14:textId="77777777" w:rsidR="004614AE" w:rsidRDefault="004614AE">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23112227"/>
      <w:bookmarkStart w:id="3" w:name="_Toc139991729"/>
    </w:p>
    <w:p w14:paraId="0DCB3048" w14:textId="77777777" w:rsidR="004614AE"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富荣福耀混合型证券投资基金更新的</w:t>
      </w:r>
    </w:p>
    <w:p w14:paraId="4707FAD2" w14:textId="77777777" w:rsidR="004614AE"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招募说明书</w:t>
      </w:r>
    </w:p>
    <w:p w14:paraId="182E1AC4" w14:textId="77777777" w:rsidR="004614AE" w:rsidRDefault="00000000">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w:t>
      </w:r>
      <w:r>
        <w:rPr>
          <w:rFonts w:ascii="Arial" w:eastAsia="宋体" w:hAnsi="宋体" w:cs="Arial" w:hint="eastAsia"/>
          <w:b/>
          <w:sz w:val="48"/>
          <w:szCs w:val="48"/>
        </w:rPr>
        <w:t>2022</w:t>
      </w:r>
      <w:r>
        <w:rPr>
          <w:rFonts w:ascii="Arial" w:eastAsia="宋体" w:hAnsi="宋体" w:cs="Arial" w:hint="eastAsia"/>
          <w:b/>
          <w:sz w:val="48"/>
          <w:szCs w:val="48"/>
        </w:rPr>
        <w:t>年第</w:t>
      </w:r>
      <w:r>
        <w:rPr>
          <w:rFonts w:ascii="Arial" w:eastAsia="宋体" w:hAnsi="宋体" w:cs="Arial" w:hint="eastAsia"/>
          <w:b/>
          <w:sz w:val="48"/>
          <w:szCs w:val="48"/>
        </w:rPr>
        <w:t>2</w:t>
      </w:r>
      <w:r>
        <w:rPr>
          <w:rFonts w:ascii="Arial" w:eastAsia="宋体" w:hAnsi="宋体" w:cs="Arial" w:hint="eastAsia"/>
          <w:b/>
          <w:sz w:val="48"/>
          <w:szCs w:val="48"/>
        </w:rPr>
        <w:t>号）</w:t>
      </w:r>
    </w:p>
    <w:p w14:paraId="3BC587D4" w14:textId="77777777" w:rsidR="004614AE" w:rsidRDefault="004614AE">
      <w:pPr>
        <w:adjustRightInd w:val="0"/>
        <w:snapToGrid w:val="0"/>
        <w:spacing w:line="360" w:lineRule="auto"/>
        <w:jc w:val="center"/>
        <w:rPr>
          <w:rFonts w:asciiTheme="minorEastAsia" w:hAnsiTheme="minorEastAsia" w:cs="Arial"/>
          <w:sz w:val="36"/>
          <w:szCs w:val="36"/>
        </w:rPr>
      </w:pPr>
    </w:p>
    <w:p w14:paraId="23F89374" w14:textId="77777777" w:rsidR="004614AE" w:rsidRDefault="004614AE">
      <w:pPr>
        <w:adjustRightInd w:val="0"/>
        <w:snapToGrid w:val="0"/>
        <w:spacing w:line="360" w:lineRule="auto"/>
        <w:jc w:val="center"/>
        <w:rPr>
          <w:rFonts w:asciiTheme="minorEastAsia" w:hAnsiTheme="minorEastAsia" w:cs="Arial"/>
          <w:sz w:val="36"/>
          <w:szCs w:val="36"/>
        </w:rPr>
      </w:pPr>
    </w:p>
    <w:p w14:paraId="123D8EE7" w14:textId="77777777" w:rsidR="004614AE" w:rsidRDefault="004614AE">
      <w:pPr>
        <w:adjustRightInd w:val="0"/>
        <w:snapToGrid w:val="0"/>
        <w:spacing w:line="360" w:lineRule="auto"/>
        <w:jc w:val="center"/>
        <w:rPr>
          <w:rFonts w:asciiTheme="minorEastAsia" w:hAnsiTheme="minorEastAsia" w:cs="Arial"/>
          <w:sz w:val="36"/>
          <w:szCs w:val="36"/>
        </w:rPr>
      </w:pPr>
    </w:p>
    <w:p w14:paraId="5E9FEB83" w14:textId="77777777" w:rsidR="004614AE" w:rsidRDefault="004614AE">
      <w:pPr>
        <w:adjustRightInd w:val="0"/>
        <w:snapToGrid w:val="0"/>
        <w:spacing w:line="360" w:lineRule="auto"/>
        <w:jc w:val="center"/>
        <w:rPr>
          <w:rFonts w:asciiTheme="minorEastAsia" w:hAnsiTheme="minorEastAsia" w:cs="Arial"/>
          <w:sz w:val="36"/>
          <w:szCs w:val="36"/>
        </w:rPr>
      </w:pPr>
    </w:p>
    <w:p w14:paraId="381AF840" w14:textId="77777777" w:rsidR="004614AE" w:rsidRDefault="004614AE">
      <w:pPr>
        <w:adjustRightInd w:val="0"/>
        <w:snapToGrid w:val="0"/>
        <w:spacing w:line="360" w:lineRule="auto"/>
        <w:jc w:val="center"/>
        <w:rPr>
          <w:rFonts w:asciiTheme="minorEastAsia" w:hAnsiTheme="minorEastAsia" w:cs="Arial"/>
          <w:sz w:val="36"/>
          <w:szCs w:val="36"/>
        </w:rPr>
      </w:pPr>
    </w:p>
    <w:p w14:paraId="7DB28C28" w14:textId="77777777" w:rsidR="004614AE" w:rsidRDefault="004614AE">
      <w:pPr>
        <w:adjustRightInd w:val="0"/>
        <w:snapToGrid w:val="0"/>
        <w:spacing w:line="360" w:lineRule="auto"/>
        <w:jc w:val="center"/>
        <w:rPr>
          <w:rFonts w:asciiTheme="minorEastAsia" w:hAnsiTheme="minorEastAsia" w:cs="Arial"/>
          <w:sz w:val="36"/>
          <w:szCs w:val="36"/>
        </w:rPr>
      </w:pPr>
    </w:p>
    <w:p w14:paraId="45B7E3BA" w14:textId="77777777" w:rsidR="004614AE" w:rsidRDefault="00000000">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23701383"/>
      <w:bookmarkStart w:id="7" w:name="_Toc139992301"/>
      <w:bookmarkStart w:id="8" w:name="_Toc139991726"/>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3AA82086" w14:textId="77777777" w:rsidR="004614AE" w:rsidRDefault="00000000">
      <w:pPr>
        <w:autoSpaceDE w:val="0"/>
        <w:autoSpaceDN w:val="0"/>
        <w:adjustRightInd w:val="0"/>
        <w:snapToGrid w:val="0"/>
        <w:spacing w:line="360" w:lineRule="auto"/>
        <w:jc w:val="center"/>
        <w:rPr>
          <w:rFonts w:ascii="Arial" w:eastAsia="宋体" w:hAnsi="Arial" w:cs="Arial"/>
          <w:b/>
          <w:bCs/>
          <w:sz w:val="36"/>
          <w:szCs w:val="36"/>
        </w:rPr>
      </w:pPr>
      <w:bookmarkStart w:id="9" w:name="_Toc123112225"/>
      <w:bookmarkStart w:id="10" w:name="_Toc123112264"/>
      <w:bookmarkStart w:id="11" w:name="_Toc123701384"/>
      <w:bookmarkStart w:id="12" w:name="_Toc139992302"/>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国泰君安证券股份有限公司</w:t>
      </w:r>
    </w:p>
    <w:p w14:paraId="5EF4993B" w14:textId="77777777" w:rsidR="004614AE" w:rsidRDefault="004614AE">
      <w:pPr>
        <w:autoSpaceDE w:val="0"/>
        <w:autoSpaceDN w:val="0"/>
        <w:adjustRightInd w:val="0"/>
        <w:snapToGrid w:val="0"/>
        <w:spacing w:line="360" w:lineRule="auto"/>
        <w:jc w:val="center"/>
        <w:rPr>
          <w:rFonts w:asciiTheme="minorEastAsia" w:hAnsiTheme="minorEastAsia" w:cs="Arial"/>
          <w:b/>
          <w:bCs/>
          <w:sz w:val="28"/>
          <w:szCs w:val="28"/>
        </w:rPr>
      </w:pPr>
    </w:p>
    <w:p w14:paraId="68A7637E" w14:textId="77777777" w:rsidR="004614AE" w:rsidRDefault="004614AE">
      <w:pPr>
        <w:autoSpaceDE w:val="0"/>
        <w:autoSpaceDN w:val="0"/>
        <w:adjustRightInd w:val="0"/>
        <w:snapToGrid w:val="0"/>
        <w:spacing w:line="360" w:lineRule="auto"/>
        <w:jc w:val="center"/>
        <w:rPr>
          <w:rFonts w:asciiTheme="minorEastAsia" w:hAnsiTheme="minorEastAsia" w:cs="Arial"/>
          <w:b/>
          <w:bCs/>
          <w:sz w:val="28"/>
          <w:szCs w:val="28"/>
        </w:rPr>
      </w:pPr>
    </w:p>
    <w:p w14:paraId="78A0CAA9" w14:textId="77777777" w:rsidR="004614AE" w:rsidRDefault="004614AE">
      <w:pPr>
        <w:widowControl/>
        <w:spacing w:line="360" w:lineRule="auto"/>
        <w:rPr>
          <w:rFonts w:ascii="Arial" w:eastAsia="宋体" w:hAnsi="Arial" w:cs="Arial"/>
          <w:b/>
          <w:bCs/>
          <w:kern w:val="0"/>
          <w:sz w:val="28"/>
          <w:szCs w:val="28"/>
        </w:rPr>
        <w:sectPr w:rsidR="004614AE">
          <w:headerReference w:type="even" r:id="rId8"/>
          <w:headerReference w:type="default" r:id="rId9"/>
          <w:footerReference w:type="default" r:id="rId10"/>
          <w:headerReference w:type="first" r:id="rId11"/>
          <w:pgSz w:w="11906" w:h="16838"/>
          <w:pgMar w:top="1440" w:right="1800" w:bottom="1440" w:left="1800" w:header="851" w:footer="992" w:gutter="0"/>
          <w:pgNumType w:start="1"/>
          <w:cols w:space="720"/>
          <w:titlePg/>
          <w:docGrid w:type="lines" w:linePitch="312"/>
        </w:sectPr>
      </w:pPr>
    </w:p>
    <w:p w14:paraId="4B8BB931" w14:textId="77777777" w:rsidR="004614AE" w:rsidRDefault="00000000">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4A4C7A1F" w14:textId="77777777" w:rsidR="004614AE" w:rsidRDefault="004614AE">
      <w:pPr>
        <w:autoSpaceDE w:val="0"/>
        <w:autoSpaceDN w:val="0"/>
        <w:adjustRightInd w:val="0"/>
        <w:snapToGrid w:val="0"/>
        <w:spacing w:line="360" w:lineRule="auto"/>
        <w:rPr>
          <w:rFonts w:ascii="Arial" w:eastAsia="宋体" w:hAnsi="Arial" w:cs="Arial"/>
          <w:b/>
          <w:bCs/>
          <w:szCs w:val="21"/>
        </w:rPr>
      </w:pPr>
    </w:p>
    <w:p w14:paraId="72F5D19F"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1、本基金根据</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年</w:t>
      </w:r>
      <w:r>
        <w:rPr>
          <w:rFonts w:asciiTheme="minorEastAsia" w:hAnsiTheme="minorEastAsia" w:cs="Arial"/>
          <w:bCs/>
          <w:color w:val="000000"/>
          <w:sz w:val="24"/>
          <w:szCs w:val="24"/>
        </w:rPr>
        <w:t>6</w:t>
      </w:r>
      <w:r>
        <w:rPr>
          <w:rFonts w:asciiTheme="minorEastAsia" w:hAnsiTheme="minorEastAsia" w:cs="Arial" w:hint="eastAsia"/>
          <w:bCs/>
          <w:color w:val="000000"/>
          <w:sz w:val="24"/>
          <w:szCs w:val="24"/>
        </w:rPr>
        <w:t>月</w:t>
      </w:r>
      <w:r>
        <w:rPr>
          <w:rFonts w:asciiTheme="minorEastAsia" w:hAnsiTheme="minorEastAsia" w:cs="Arial"/>
          <w:bCs/>
          <w:color w:val="000000"/>
          <w:sz w:val="24"/>
          <w:szCs w:val="24"/>
        </w:rPr>
        <w:t>21</w:t>
      </w:r>
      <w:r>
        <w:rPr>
          <w:rFonts w:asciiTheme="minorEastAsia" w:hAnsiTheme="minorEastAsia" w:cs="Arial" w:hint="eastAsia"/>
          <w:bCs/>
          <w:color w:val="000000"/>
          <w:sz w:val="24"/>
          <w:szCs w:val="24"/>
        </w:rPr>
        <w:t>日</w:t>
      </w:r>
      <w:r>
        <w:rPr>
          <w:rFonts w:asciiTheme="minorEastAsia" w:hAnsiTheme="minorEastAsia" w:cs="Arial" w:hint="eastAsia"/>
          <w:kern w:val="0"/>
          <w:sz w:val="24"/>
          <w:szCs w:val="24"/>
        </w:rPr>
        <w:t>中国证券监督管理委员会（以下简称“中国证监会”）《关于准予富荣福耀混合型证券投资基金注册的批复》（</w:t>
      </w:r>
      <w:r>
        <w:rPr>
          <w:rFonts w:asciiTheme="minorEastAsia" w:hAnsiTheme="minorEastAsia" w:cs="Arial" w:hint="eastAsia"/>
          <w:bCs/>
          <w:color w:val="000000"/>
          <w:kern w:val="0"/>
          <w:sz w:val="24"/>
          <w:szCs w:val="24"/>
        </w:rPr>
        <w:t>证监许可</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2021</w:t>
      </w:r>
      <w:r>
        <w:rPr>
          <w:rFonts w:asciiTheme="minorEastAsia" w:hAnsiTheme="minorEastAsia" w:cs="Arial" w:hint="eastAsia"/>
          <w:bCs/>
          <w:color w:val="000000"/>
          <w:sz w:val="24"/>
          <w:szCs w:val="24"/>
        </w:rPr>
        <w:t>]</w:t>
      </w:r>
      <w:r>
        <w:rPr>
          <w:rFonts w:asciiTheme="minorEastAsia" w:hAnsiTheme="minorEastAsia" w:cs="Arial"/>
          <w:bCs/>
          <w:color w:val="000000"/>
          <w:sz w:val="24"/>
          <w:szCs w:val="24"/>
        </w:rPr>
        <w:t>2091</w:t>
      </w:r>
      <w:r>
        <w:rPr>
          <w:rFonts w:asciiTheme="minorEastAsia" w:hAnsiTheme="minorEastAsia" w:cs="Arial" w:hint="eastAsia"/>
          <w:bCs/>
          <w:color w:val="000000"/>
          <w:sz w:val="24"/>
          <w:szCs w:val="24"/>
        </w:rPr>
        <w:t>号</w:t>
      </w:r>
      <w:r>
        <w:rPr>
          <w:rFonts w:asciiTheme="minorEastAsia" w:hAnsiTheme="minorEastAsia" w:cs="Arial" w:hint="eastAsia"/>
          <w:bCs/>
          <w:color w:val="000000"/>
          <w:kern w:val="0"/>
          <w:sz w:val="24"/>
          <w:szCs w:val="24"/>
        </w:rPr>
        <w:t>）进行募集。</w:t>
      </w:r>
    </w:p>
    <w:p w14:paraId="5B77C336"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2、本基金管理人保证招募说明书的内容真实、准确、完整。本招募说明书经中国证监会注册，但中国证监会对本基金募集的注册，并不表明其对本基金的投资价值、市场前景和收益</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实质性判断或保证，也不表明投资于本基金没有风险。</w:t>
      </w:r>
    </w:p>
    <w:p w14:paraId="1C88D19A"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w:t>
      </w:r>
    </w:p>
    <w:p w14:paraId="47DDB266"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Pr>
          <w:rFonts w:asciiTheme="minorEastAsia" w:hAnsiTheme="minorEastAsia" w:cs="Arial" w:hint="eastAsia"/>
          <w:sz w:val="24"/>
          <w:szCs w:val="24"/>
        </w:rPr>
        <w:t>流预测</w:t>
      </w:r>
      <w:proofErr w:type="gramEnd"/>
      <w:r>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1F11C866"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0841C6A0"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当本基金持有特定资产且存在或潜在大额赎回申请时，基金管理人履行相应程序后，可以</w:t>
      </w:r>
      <w:proofErr w:type="gramStart"/>
      <w:r>
        <w:rPr>
          <w:rFonts w:asciiTheme="minorEastAsia" w:hAnsiTheme="minorEastAsia" w:cs="Arial" w:hint="eastAsia"/>
          <w:sz w:val="24"/>
          <w:szCs w:val="24"/>
        </w:rPr>
        <w:t>启用侧袋机制</w:t>
      </w:r>
      <w:proofErr w:type="gramEnd"/>
      <w:r>
        <w:rPr>
          <w:rFonts w:asciiTheme="minorEastAsia" w:hAnsiTheme="minorEastAsia" w:cs="Arial" w:hint="eastAsia"/>
          <w:sz w:val="24"/>
          <w:szCs w:val="24"/>
        </w:rPr>
        <w:t>，具体详见基金合同和本招募说明书“侧袋机制”等有关章节。</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实施期间，基金管理人将对基金简称进行特殊标识，并不</w:t>
      </w:r>
      <w:proofErr w:type="gramStart"/>
      <w:r>
        <w:rPr>
          <w:rFonts w:asciiTheme="minorEastAsia" w:hAnsiTheme="minorEastAsia" w:cs="Arial" w:hint="eastAsia"/>
          <w:sz w:val="24"/>
          <w:szCs w:val="24"/>
        </w:rPr>
        <w:t>办理侧袋账户</w:t>
      </w:r>
      <w:proofErr w:type="gramEnd"/>
      <w:r>
        <w:rPr>
          <w:rFonts w:asciiTheme="minorEastAsia" w:hAnsiTheme="minorEastAsia" w:cs="Arial" w:hint="eastAsia"/>
          <w:sz w:val="24"/>
          <w:szCs w:val="24"/>
        </w:rPr>
        <w:t>的申购赎回。</w:t>
      </w:r>
      <w:proofErr w:type="gramStart"/>
      <w:r>
        <w:rPr>
          <w:rFonts w:asciiTheme="minorEastAsia" w:hAnsiTheme="minorEastAsia" w:cs="Arial" w:hint="eastAsia"/>
          <w:sz w:val="24"/>
          <w:szCs w:val="24"/>
        </w:rPr>
        <w:t>请基金</w:t>
      </w:r>
      <w:proofErr w:type="gramEnd"/>
      <w:r>
        <w:rPr>
          <w:rFonts w:asciiTheme="minorEastAsia" w:hAnsiTheme="minorEastAsia" w:cs="Arial" w:hint="eastAsia"/>
          <w:sz w:val="24"/>
          <w:szCs w:val="24"/>
        </w:rPr>
        <w:t>份额持有人仔细阅读相关内容并关注本基金启用</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时的特定风险。</w:t>
      </w:r>
    </w:p>
    <w:p w14:paraId="5E6DAC3C"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本基金的投资范围包括股指期货、国债期货、股票期权，可能面临市场风险、流动性风险、</w:t>
      </w:r>
      <w:proofErr w:type="gramStart"/>
      <w:r>
        <w:rPr>
          <w:rFonts w:asciiTheme="minorEastAsia" w:hAnsiTheme="minorEastAsia" w:cs="Arial" w:hint="eastAsia"/>
          <w:sz w:val="24"/>
          <w:szCs w:val="24"/>
        </w:rPr>
        <w:t>基差风险</w:t>
      </w:r>
      <w:proofErr w:type="gramEnd"/>
      <w:r>
        <w:rPr>
          <w:rFonts w:asciiTheme="minorEastAsia" w:hAnsiTheme="minorEastAsia" w:cs="Arial" w:hint="eastAsia"/>
          <w:sz w:val="24"/>
          <w:szCs w:val="24"/>
        </w:rPr>
        <w:t>、保证金风险、信用风险和操作风险等。</w:t>
      </w:r>
    </w:p>
    <w:p w14:paraId="307557E8"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4、本基金以</w:t>
      </w:r>
      <w:r>
        <w:rPr>
          <w:rFonts w:asciiTheme="minorEastAsia" w:hAnsiTheme="minorEastAsia" w:cs="Arial"/>
          <w:sz w:val="24"/>
          <w:szCs w:val="24"/>
        </w:rPr>
        <w:t>1.00</w:t>
      </w:r>
      <w:r>
        <w:rPr>
          <w:rFonts w:asciiTheme="minorEastAsia" w:hAnsiTheme="minorEastAsia" w:cs="Arial" w:hint="eastAsia"/>
          <w:sz w:val="24"/>
          <w:szCs w:val="24"/>
        </w:rPr>
        <w:t>元发售面值募集基金份额，在市场波动等因素的影响下，</w:t>
      </w:r>
      <w:r>
        <w:rPr>
          <w:rFonts w:asciiTheme="minorEastAsia" w:hAnsiTheme="minorEastAsia" w:cs="Arial" w:hint="eastAsia"/>
          <w:sz w:val="24"/>
          <w:szCs w:val="24"/>
        </w:rPr>
        <w:lastRenderedPageBreak/>
        <w:t>基金投资有可能出现亏损或基金份额净值低于初始面值。</w:t>
      </w:r>
    </w:p>
    <w:p w14:paraId="20BA3E84"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3FD22A0"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w:t>
      </w:r>
      <w:proofErr w:type="gramStart"/>
      <w:r>
        <w:rPr>
          <w:rFonts w:asciiTheme="minorEastAsia" w:hAnsiTheme="minorEastAsia" w:cs="Arial" w:hint="eastAsia"/>
          <w:sz w:val="24"/>
          <w:szCs w:val="24"/>
        </w:rPr>
        <w:t>作出</w:t>
      </w:r>
      <w:proofErr w:type="gramEnd"/>
      <w:r>
        <w:rPr>
          <w:rFonts w:asciiTheme="minorEastAsia" w:hAnsiTheme="minorEastAsia" w:cs="Arial" w:hint="eastAsia"/>
          <w:sz w:val="24"/>
          <w:szCs w:val="24"/>
        </w:rPr>
        <w:t>投资决策后，基金运营状况与基金净值变化引致的投资风险，由投资者自行承担。</w:t>
      </w:r>
    </w:p>
    <w:p w14:paraId="41261157"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本招募说明书所载内容截止日为202</w:t>
      </w:r>
      <w:r>
        <w:rPr>
          <w:rFonts w:asciiTheme="minorEastAsia" w:hAnsiTheme="minorEastAsia" w:cs="Arial"/>
          <w:sz w:val="24"/>
          <w:szCs w:val="24"/>
        </w:rPr>
        <w:t>2</w:t>
      </w:r>
      <w:r>
        <w:rPr>
          <w:rFonts w:asciiTheme="minorEastAsia" w:hAnsiTheme="minorEastAsia" w:cs="Arial" w:hint="eastAsia"/>
          <w:sz w:val="24"/>
          <w:szCs w:val="24"/>
        </w:rPr>
        <w:t>年</w:t>
      </w:r>
      <w:r>
        <w:rPr>
          <w:rFonts w:asciiTheme="minorEastAsia" w:hAnsiTheme="minorEastAsia" w:cs="Arial"/>
          <w:sz w:val="24"/>
          <w:szCs w:val="24"/>
        </w:rPr>
        <w:t>10</w:t>
      </w:r>
      <w:r>
        <w:rPr>
          <w:rFonts w:asciiTheme="minorEastAsia" w:hAnsiTheme="minorEastAsia" w:cs="Arial" w:hint="eastAsia"/>
          <w:sz w:val="24"/>
          <w:szCs w:val="24"/>
        </w:rPr>
        <w:t>月</w:t>
      </w:r>
      <w:r>
        <w:rPr>
          <w:rFonts w:asciiTheme="minorEastAsia" w:hAnsiTheme="minorEastAsia" w:cs="Arial"/>
          <w:sz w:val="24"/>
          <w:szCs w:val="24"/>
        </w:rPr>
        <w:t>9</w:t>
      </w:r>
      <w:r>
        <w:rPr>
          <w:rFonts w:asciiTheme="minorEastAsia" w:hAnsiTheme="minorEastAsia" w:cs="Arial" w:hint="eastAsia"/>
          <w:sz w:val="24"/>
          <w:szCs w:val="24"/>
        </w:rPr>
        <w:t>日，有关财务数据截止日为202</w:t>
      </w:r>
      <w:r>
        <w:rPr>
          <w:rFonts w:asciiTheme="minorEastAsia" w:hAnsiTheme="minorEastAsia" w:cs="Arial"/>
          <w:sz w:val="24"/>
          <w:szCs w:val="24"/>
        </w:rPr>
        <w:t>2</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月30日，净值表现截止日为202</w:t>
      </w:r>
      <w:r>
        <w:rPr>
          <w:rFonts w:asciiTheme="minorEastAsia" w:hAnsiTheme="minorEastAsia" w:cs="Arial"/>
          <w:sz w:val="24"/>
          <w:szCs w:val="24"/>
        </w:rPr>
        <w:t>2</w:t>
      </w:r>
      <w:r>
        <w:rPr>
          <w:rFonts w:asciiTheme="minorEastAsia" w:hAnsiTheme="minorEastAsia" w:cs="Arial" w:hint="eastAsia"/>
          <w:sz w:val="24"/>
          <w:szCs w:val="24"/>
        </w:rPr>
        <w:t>年</w:t>
      </w:r>
      <w:r>
        <w:rPr>
          <w:rFonts w:asciiTheme="minorEastAsia" w:hAnsiTheme="minorEastAsia" w:cs="Arial"/>
          <w:sz w:val="24"/>
          <w:szCs w:val="24"/>
        </w:rPr>
        <w:t>9</w:t>
      </w:r>
      <w:r>
        <w:rPr>
          <w:rFonts w:asciiTheme="minorEastAsia" w:hAnsiTheme="minorEastAsia" w:cs="Arial" w:hint="eastAsia"/>
          <w:sz w:val="24"/>
          <w:szCs w:val="24"/>
        </w:rPr>
        <w:t>月30日。（财务数据未经审计）。</w:t>
      </w:r>
    </w:p>
    <w:p w14:paraId="6C741FCD" w14:textId="77777777" w:rsidR="004614AE" w:rsidRDefault="00000000">
      <w:pPr>
        <w:autoSpaceDE w:val="0"/>
        <w:autoSpaceDN w:val="0"/>
        <w:adjustRightInd w:val="0"/>
        <w:snapToGrid w:val="0"/>
        <w:spacing w:line="360" w:lineRule="auto"/>
        <w:jc w:val="center"/>
        <w:rPr>
          <w:rFonts w:ascii="Arial" w:eastAsia="宋体" w:hAnsi="Arial" w:cs="Arial"/>
          <w:b/>
          <w:bCs/>
          <w:sz w:val="28"/>
          <w:szCs w:val="28"/>
        </w:rPr>
      </w:pPr>
      <w:r>
        <w:rPr>
          <w:rFonts w:asciiTheme="minorEastAsia" w:hAnsiTheme="minorEastAsia" w:cs="Arial" w:hint="eastAsia"/>
          <w:sz w:val="24"/>
          <w:szCs w:val="24"/>
        </w:rPr>
        <w:t xml:space="preserve"> </w:t>
      </w:r>
      <w:r>
        <w:rPr>
          <w:rFonts w:asciiTheme="minorEastAsia" w:hAnsiTheme="minorEastAsia" w:cs="Arial"/>
          <w:sz w:val="24"/>
          <w:szCs w:val="24"/>
        </w:rPr>
        <w:t xml:space="preserve">   </w:t>
      </w:r>
      <w:r>
        <w:rPr>
          <w:rFonts w:asciiTheme="minorEastAsia" w:hAnsiTheme="minorEastAsia" w:cs="Arial" w:hint="eastAsia"/>
          <w:sz w:val="24"/>
          <w:szCs w:val="24"/>
        </w:rPr>
        <w:t>本基金托管人</w:t>
      </w:r>
      <w:r>
        <w:rPr>
          <w:rFonts w:asciiTheme="minorEastAsia" w:hAnsiTheme="minorEastAsia" w:hint="eastAsia"/>
          <w:color w:val="000000"/>
          <w:kern w:val="0"/>
          <w:sz w:val="24"/>
        </w:rPr>
        <w:t>国泰君安证券股份有限公司</w:t>
      </w:r>
      <w:r>
        <w:rPr>
          <w:rFonts w:asciiTheme="minorEastAsia" w:hAnsiTheme="minorEastAsia" w:cs="Arial" w:hint="eastAsia"/>
          <w:sz w:val="24"/>
          <w:szCs w:val="24"/>
        </w:rPr>
        <w:t>已复核了本次更新的招募说明书。</w:t>
      </w:r>
    </w:p>
    <w:p w14:paraId="3DF4FC93" w14:textId="77777777" w:rsidR="004614AE" w:rsidRDefault="004614AE">
      <w:pPr>
        <w:widowControl/>
        <w:spacing w:line="360" w:lineRule="auto"/>
        <w:jc w:val="left"/>
        <w:rPr>
          <w:rFonts w:ascii="Times New Roman" w:eastAsia="宋体" w:hAnsi="Times New Roman" w:cs="Times New Roman"/>
          <w:b/>
          <w:kern w:val="0"/>
          <w:sz w:val="30"/>
          <w:szCs w:val="30"/>
        </w:rPr>
        <w:sectPr w:rsidR="004614AE">
          <w:headerReference w:type="even" r:id="rId12"/>
          <w:headerReference w:type="default" r:id="rId13"/>
          <w:headerReference w:type="first" r:id="rId14"/>
          <w:pgSz w:w="11906" w:h="16838"/>
          <w:pgMar w:top="1440" w:right="1800" w:bottom="1440" w:left="1800" w:header="851" w:footer="992" w:gutter="0"/>
          <w:pgNumType w:start="1"/>
          <w:cols w:space="720"/>
          <w:docGrid w:type="lines" w:linePitch="312"/>
        </w:sectPr>
      </w:pPr>
      <w:bookmarkStart w:id="14" w:name="_Toc141703880"/>
      <w:bookmarkStart w:id="15" w:name="_Toc23386"/>
      <w:bookmarkStart w:id="16" w:name="_Toc8727"/>
      <w:bookmarkStart w:id="17" w:name="_Toc30935"/>
      <w:bookmarkStart w:id="18" w:name="_Toc11660"/>
      <w:bookmarkStart w:id="19" w:name="_Toc352229746"/>
      <w:bookmarkStart w:id="20" w:name="_Toc29629"/>
      <w:bookmarkStart w:id="21" w:name="_Toc4867"/>
      <w:bookmarkStart w:id="22" w:name="_Toc4966"/>
      <w:bookmarkStart w:id="23" w:name="_Toc123112229"/>
      <w:bookmarkStart w:id="24" w:name="_Toc15517"/>
      <w:bookmarkStart w:id="25" w:name="_Toc6306"/>
      <w:bookmarkStart w:id="26" w:name="_Toc26897"/>
      <w:bookmarkStart w:id="27" w:name="_Toc123701389"/>
      <w:bookmarkStart w:id="28" w:name="_Toc32639"/>
      <w:bookmarkStart w:id="29" w:name="_Toc123112268"/>
      <w:bookmarkStart w:id="30" w:name="_Toc139991730"/>
      <w:bookmarkStart w:id="31" w:name="_Toc233456271"/>
      <w:bookmarkEnd w:id="0"/>
      <w:bookmarkEnd w:id="1"/>
      <w:bookmarkEnd w:id="2"/>
      <w:bookmarkEnd w:id="3"/>
    </w:p>
    <w:p w14:paraId="7A8A6C0A" w14:textId="77777777" w:rsidR="004614AE" w:rsidRDefault="00000000">
      <w:pPr>
        <w:jc w:val="center"/>
        <w:rPr>
          <w:b/>
          <w:bCs/>
          <w:sz w:val="24"/>
        </w:rPr>
      </w:pPr>
      <w:r>
        <w:rPr>
          <w:b/>
          <w:bCs/>
          <w:sz w:val="24"/>
        </w:rPr>
        <w:lastRenderedPageBreak/>
        <w:t>目</w:t>
      </w:r>
      <w:r>
        <w:rPr>
          <w:b/>
          <w:bCs/>
          <w:sz w:val="24"/>
        </w:rPr>
        <w:t xml:space="preserve">    </w:t>
      </w:r>
      <w:r>
        <w:rPr>
          <w:b/>
          <w:bCs/>
          <w:sz w:val="24"/>
        </w:rPr>
        <w:t>录</w:t>
      </w:r>
    </w:p>
    <w:p w14:paraId="185B2F4A" w14:textId="4C1470CF" w:rsidR="007033A4" w:rsidRDefault="00000000">
      <w:pPr>
        <w:pStyle w:val="TOC1"/>
        <w:rPr>
          <w:rFonts w:asciiTheme="minorHAnsi" w:eastAsiaTheme="minorEastAsia" w:hAnsiTheme="minorHAnsi" w:cstheme="minorBidi"/>
          <w:noProof/>
          <w:szCs w:val="22"/>
        </w:rPr>
      </w:pPr>
      <w:r>
        <w:rPr>
          <w:bCs/>
        </w:rPr>
        <w:fldChar w:fldCharType="begin"/>
      </w:r>
      <w:r>
        <w:rPr>
          <w:bCs/>
        </w:rPr>
        <w:instrText xml:space="preserve"> TOC \o "1-1" \h \z \u </w:instrText>
      </w:r>
      <w:r>
        <w:rPr>
          <w:bCs/>
        </w:rPr>
        <w:fldChar w:fldCharType="separate"/>
      </w:r>
      <w:hyperlink w:anchor="_Toc119568457" w:history="1">
        <w:r w:rsidR="007033A4" w:rsidRPr="00EF0D17">
          <w:rPr>
            <w:rStyle w:val="afc"/>
            <w:noProof/>
          </w:rPr>
          <w:t>第一部分</w:t>
        </w:r>
        <w:r w:rsidR="007033A4" w:rsidRPr="00EF0D17">
          <w:rPr>
            <w:rStyle w:val="afc"/>
            <w:noProof/>
          </w:rPr>
          <w:t xml:space="preserve">  </w:t>
        </w:r>
        <w:r w:rsidR="007033A4" w:rsidRPr="00EF0D17">
          <w:rPr>
            <w:rStyle w:val="afc"/>
            <w:noProof/>
          </w:rPr>
          <w:t>绪言</w:t>
        </w:r>
        <w:r w:rsidR="007033A4">
          <w:rPr>
            <w:noProof/>
            <w:webHidden/>
          </w:rPr>
          <w:tab/>
        </w:r>
        <w:r w:rsidR="007033A4">
          <w:rPr>
            <w:noProof/>
            <w:webHidden/>
          </w:rPr>
          <w:fldChar w:fldCharType="begin"/>
        </w:r>
        <w:r w:rsidR="007033A4">
          <w:rPr>
            <w:noProof/>
            <w:webHidden/>
          </w:rPr>
          <w:instrText xml:space="preserve"> PAGEREF _Toc119568457 \h </w:instrText>
        </w:r>
        <w:r w:rsidR="007033A4">
          <w:rPr>
            <w:noProof/>
            <w:webHidden/>
          </w:rPr>
        </w:r>
        <w:r w:rsidR="007033A4">
          <w:rPr>
            <w:noProof/>
            <w:webHidden/>
          </w:rPr>
          <w:fldChar w:fldCharType="separate"/>
        </w:r>
        <w:r w:rsidR="00887660">
          <w:rPr>
            <w:noProof/>
            <w:webHidden/>
          </w:rPr>
          <w:t>4</w:t>
        </w:r>
        <w:r w:rsidR="007033A4">
          <w:rPr>
            <w:noProof/>
            <w:webHidden/>
          </w:rPr>
          <w:fldChar w:fldCharType="end"/>
        </w:r>
      </w:hyperlink>
    </w:p>
    <w:p w14:paraId="7D31E2FA" w14:textId="60F0D780" w:rsidR="007033A4" w:rsidRDefault="00000000">
      <w:pPr>
        <w:pStyle w:val="TOC1"/>
        <w:rPr>
          <w:rFonts w:asciiTheme="minorHAnsi" w:eastAsiaTheme="minorEastAsia" w:hAnsiTheme="minorHAnsi" w:cstheme="minorBidi"/>
          <w:noProof/>
          <w:szCs w:val="22"/>
        </w:rPr>
      </w:pPr>
      <w:hyperlink w:anchor="_Toc119568458" w:history="1">
        <w:r w:rsidR="007033A4" w:rsidRPr="00EF0D17">
          <w:rPr>
            <w:rStyle w:val="afc"/>
            <w:noProof/>
          </w:rPr>
          <w:t>第二部分</w:t>
        </w:r>
        <w:r w:rsidR="007033A4" w:rsidRPr="00EF0D17">
          <w:rPr>
            <w:rStyle w:val="afc"/>
            <w:noProof/>
          </w:rPr>
          <w:t xml:space="preserve">  </w:t>
        </w:r>
        <w:r w:rsidR="007033A4" w:rsidRPr="00EF0D17">
          <w:rPr>
            <w:rStyle w:val="afc"/>
            <w:noProof/>
          </w:rPr>
          <w:t>释义</w:t>
        </w:r>
        <w:r w:rsidR="007033A4">
          <w:rPr>
            <w:noProof/>
            <w:webHidden/>
          </w:rPr>
          <w:tab/>
        </w:r>
        <w:r w:rsidR="007033A4">
          <w:rPr>
            <w:noProof/>
            <w:webHidden/>
          </w:rPr>
          <w:fldChar w:fldCharType="begin"/>
        </w:r>
        <w:r w:rsidR="007033A4">
          <w:rPr>
            <w:noProof/>
            <w:webHidden/>
          </w:rPr>
          <w:instrText xml:space="preserve"> PAGEREF _Toc119568458 \h </w:instrText>
        </w:r>
        <w:r w:rsidR="007033A4">
          <w:rPr>
            <w:noProof/>
            <w:webHidden/>
          </w:rPr>
        </w:r>
        <w:r w:rsidR="007033A4">
          <w:rPr>
            <w:noProof/>
            <w:webHidden/>
          </w:rPr>
          <w:fldChar w:fldCharType="separate"/>
        </w:r>
        <w:r w:rsidR="00887660">
          <w:rPr>
            <w:noProof/>
            <w:webHidden/>
          </w:rPr>
          <w:t>5</w:t>
        </w:r>
        <w:r w:rsidR="007033A4">
          <w:rPr>
            <w:noProof/>
            <w:webHidden/>
          </w:rPr>
          <w:fldChar w:fldCharType="end"/>
        </w:r>
      </w:hyperlink>
    </w:p>
    <w:p w14:paraId="7DDD7A64" w14:textId="0DC8DADF" w:rsidR="007033A4" w:rsidRDefault="00000000">
      <w:pPr>
        <w:pStyle w:val="TOC1"/>
        <w:rPr>
          <w:rFonts w:asciiTheme="minorHAnsi" w:eastAsiaTheme="minorEastAsia" w:hAnsiTheme="minorHAnsi" w:cstheme="minorBidi"/>
          <w:noProof/>
          <w:szCs w:val="22"/>
        </w:rPr>
      </w:pPr>
      <w:hyperlink w:anchor="_Toc119568459" w:history="1">
        <w:r w:rsidR="007033A4" w:rsidRPr="00EF0D17">
          <w:rPr>
            <w:rStyle w:val="afc"/>
            <w:noProof/>
          </w:rPr>
          <w:t>第三部分</w:t>
        </w:r>
        <w:r w:rsidR="007033A4" w:rsidRPr="00EF0D17">
          <w:rPr>
            <w:rStyle w:val="afc"/>
            <w:noProof/>
          </w:rPr>
          <w:t xml:space="preserve">  </w:t>
        </w:r>
        <w:r w:rsidR="007033A4" w:rsidRPr="00EF0D17">
          <w:rPr>
            <w:rStyle w:val="afc"/>
            <w:noProof/>
          </w:rPr>
          <w:t>基金管理人</w:t>
        </w:r>
        <w:r w:rsidR="007033A4">
          <w:rPr>
            <w:noProof/>
            <w:webHidden/>
          </w:rPr>
          <w:tab/>
        </w:r>
        <w:r w:rsidR="007033A4">
          <w:rPr>
            <w:noProof/>
            <w:webHidden/>
          </w:rPr>
          <w:fldChar w:fldCharType="begin"/>
        </w:r>
        <w:r w:rsidR="007033A4">
          <w:rPr>
            <w:noProof/>
            <w:webHidden/>
          </w:rPr>
          <w:instrText xml:space="preserve"> PAGEREF _Toc119568459 \h </w:instrText>
        </w:r>
        <w:r w:rsidR="007033A4">
          <w:rPr>
            <w:noProof/>
            <w:webHidden/>
          </w:rPr>
        </w:r>
        <w:r w:rsidR="007033A4">
          <w:rPr>
            <w:noProof/>
            <w:webHidden/>
          </w:rPr>
          <w:fldChar w:fldCharType="separate"/>
        </w:r>
        <w:r w:rsidR="00887660">
          <w:rPr>
            <w:noProof/>
            <w:webHidden/>
          </w:rPr>
          <w:t>10</w:t>
        </w:r>
        <w:r w:rsidR="007033A4">
          <w:rPr>
            <w:noProof/>
            <w:webHidden/>
          </w:rPr>
          <w:fldChar w:fldCharType="end"/>
        </w:r>
      </w:hyperlink>
    </w:p>
    <w:p w14:paraId="34AD4BFC" w14:textId="181B9901" w:rsidR="007033A4" w:rsidRDefault="00000000">
      <w:pPr>
        <w:pStyle w:val="TOC1"/>
        <w:rPr>
          <w:rFonts w:asciiTheme="minorHAnsi" w:eastAsiaTheme="minorEastAsia" w:hAnsiTheme="minorHAnsi" w:cstheme="minorBidi"/>
          <w:noProof/>
          <w:szCs w:val="22"/>
        </w:rPr>
      </w:pPr>
      <w:hyperlink w:anchor="_Toc119568460" w:history="1">
        <w:r w:rsidR="007033A4" w:rsidRPr="00EF0D17">
          <w:rPr>
            <w:rStyle w:val="afc"/>
            <w:noProof/>
          </w:rPr>
          <w:t>第四部分</w:t>
        </w:r>
        <w:r w:rsidR="007033A4" w:rsidRPr="00EF0D17">
          <w:rPr>
            <w:rStyle w:val="afc"/>
            <w:noProof/>
          </w:rPr>
          <w:t xml:space="preserve">  </w:t>
        </w:r>
        <w:r w:rsidR="007033A4" w:rsidRPr="00EF0D17">
          <w:rPr>
            <w:rStyle w:val="afc"/>
            <w:noProof/>
          </w:rPr>
          <w:t>基金托管人</w:t>
        </w:r>
        <w:r w:rsidR="007033A4">
          <w:rPr>
            <w:noProof/>
            <w:webHidden/>
          </w:rPr>
          <w:tab/>
        </w:r>
        <w:r w:rsidR="007033A4">
          <w:rPr>
            <w:noProof/>
            <w:webHidden/>
          </w:rPr>
          <w:fldChar w:fldCharType="begin"/>
        </w:r>
        <w:r w:rsidR="007033A4">
          <w:rPr>
            <w:noProof/>
            <w:webHidden/>
          </w:rPr>
          <w:instrText xml:space="preserve"> PAGEREF _Toc119568460 \h </w:instrText>
        </w:r>
        <w:r w:rsidR="007033A4">
          <w:rPr>
            <w:noProof/>
            <w:webHidden/>
          </w:rPr>
        </w:r>
        <w:r w:rsidR="007033A4">
          <w:rPr>
            <w:noProof/>
            <w:webHidden/>
          </w:rPr>
          <w:fldChar w:fldCharType="separate"/>
        </w:r>
        <w:r w:rsidR="00887660">
          <w:rPr>
            <w:noProof/>
            <w:webHidden/>
          </w:rPr>
          <w:t>21</w:t>
        </w:r>
        <w:r w:rsidR="007033A4">
          <w:rPr>
            <w:noProof/>
            <w:webHidden/>
          </w:rPr>
          <w:fldChar w:fldCharType="end"/>
        </w:r>
      </w:hyperlink>
    </w:p>
    <w:p w14:paraId="7748CD8C" w14:textId="4BCABE7C" w:rsidR="007033A4" w:rsidRDefault="00000000">
      <w:pPr>
        <w:pStyle w:val="TOC1"/>
        <w:rPr>
          <w:rFonts w:asciiTheme="minorHAnsi" w:eastAsiaTheme="minorEastAsia" w:hAnsiTheme="minorHAnsi" w:cstheme="minorBidi"/>
          <w:noProof/>
          <w:szCs w:val="22"/>
        </w:rPr>
      </w:pPr>
      <w:hyperlink w:anchor="_Toc119568461" w:history="1">
        <w:r w:rsidR="007033A4" w:rsidRPr="00EF0D17">
          <w:rPr>
            <w:rStyle w:val="afc"/>
            <w:noProof/>
          </w:rPr>
          <w:t>第五部分</w:t>
        </w:r>
        <w:r w:rsidR="007033A4" w:rsidRPr="00EF0D17">
          <w:rPr>
            <w:rStyle w:val="afc"/>
            <w:noProof/>
          </w:rPr>
          <w:t xml:space="preserve">  </w:t>
        </w:r>
        <w:r w:rsidR="007033A4" w:rsidRPr="00EF0D17">
          <w:rPr>
            <w:rStyle w:val="afc"/>
            <w:noProof/>
          </w:rPr>
          <w:t>相关服务机构</w:t>
        </w:r>
        <w:r w:rsidR="007033A4">
          <w:rPr>
            <w:noProof/>
            <w:webHidden/>
          </w:rPr>
          <w:tab/>
        </w:r>
        <w:r w:rsidR="007033A4">
          <w:rPr>
            <w:noProof/>
            <w:webHidden/>
          </w:rPr>
          <w:fldChar w:fldCharType="begin"/>
        </w:r>
        <w:r w:rsidR="007033A4">
          <w:rPr>
            <w:noProof/>
            <w:webHidden/>
          </w:rPr>
          <w:instrText xml:space="preserve"> PAGEREF _Toc119568461 \h </w:instrText>
        </w:r>
        <w:r w:rsidR="007033A4">
          <w:rPr>
            <w:noProof/>
            <w:webHidden/>
          </w:rPr>
        </w:r>
        <w:r w:rsidR="007033A4">
          <w:rPr>
            <w:noProof/>
            <w:webHidden/>
          </w:rPr>
          <w:fldChar w:fldCharType="separate"/>
        </w:r>
        <w:r w:rsidR="00887660">
          <w:rPr>
            <w:noProof/>
            <w:webHidden/>
          </w:rPr>
          <w:t>25</w:t>
        </w:r>
        <w:r w:rsidR="007033A4">
          <w:rPr>
            <w:noProof/>
            <w:webHidden/>
          </w:rPr>
          <w:fldChar w:fldCharType="end"/>
        </w:r>
      </w:hyperlink>
    </w:p>
    <w:p w14:paraId="3F026D3E" w14:textId="11E47FD5" w:rsidR="007033A4" w:rsidRDefault="00000000">
      <w:pPr>
        <w:pStyle w:val="TOC1"/>
        <w:rPr>
          <w:rFonts w:asciiTheme="minorHAnsi" w:eastAsiaTheme="minorEastAsia" w:hAnsiTheme="minorHAnsi" w:cstheme="minorBidi"/>
          <w:noProof/>
          <w:szCs w:val="22"/>
        </w:rPr>
      </w:pPr>
      <w:hyperlink w:anchor="_Toc119568462" w:history="1">
        <w:r w:rsidR="007033A4" w:rsidRPr="00EF0D17">
          <w:rPr>
            <w:rStyle w:val="afc"/>
            <w:noProof/>
          </w:rPr>
          <w:t>第六部分</w:t>
        </w:r>
        <w:r w:rsidR="007033A4" w:rsidRPr="00EF0D17">
          <w:rPr>
            <w:rStyle w:val="afc"/>
            <w:noProof/>
          </w:rPr>
          <w:t xml:space="preserve">  </w:t>
        </w:r>
        <w:r w:rsidR="007033A4" w:rsidRPr="00EF0D17">
          <w:rPr>
            <w:rStyle w:val="afc"/>
            <w:rFonts w:asciiTheme="minorEastAsia" w:hAnsiTheme="minorEastAsia"/>
            <w:noProof/>
          </w:rPr>
          <w:t>基金的募集</w:t>
        </w:r>
        <w:r w:rsidR="007033A4">
          <w:rPr>
            <w:noProof/>
            <w:webHidden/>
          </w:rPr>
          <w:tab/>
        </w:r>
        <w:r w:rsidR="007033A4">
          <w:rPr>
            <w:noProof/>
            <w:webHidden/>
          </w:rPr>
          <w:fldChar w:fldCharType="begin"/>
        </w:r>
        <w:r w:rsidR="007033A4">
          <w:rPr>
            <w:noProof/>
            <w:webHidden/>
          </w:rPr>
          <w:instrText xml:space="preserve"> PAGEREF _Toc119568462 \h </w:instrText>
        </w:r>
        <w:r w:rsidR="007033A4">
          <w:rPr>
            <w:noProof/>
            <w:webHidden/>
          </w:rPr>
        </w:r>
        <w:r w:rsidR="007033A4">
          <w:rPr>
            <w:noProof/>
            <w:webHidden/>
          </w:rPr>
          <w:fldChar w:fldCharType="separate"/>
        </w:r>
        <w:r w:rsidR="00887660">
          <w:rPr>
            <w:noProof/>
            <w:webHidden/>
          </w:rPr>
          <w:t>32</w:t>
        </w:r>
        <w:r w:rsidR="007033A4">
          <w:rPr>
            <w:noProof/>
            <w:webHidden/>
          </w:rPr>
          <w:fldChar w:fldCharType="end"/>
        </w:r>
      </w:hyperlink>
    </w:p>
    <w:p w14:paraId="5B25C740" w14:textId="175E131D" w:rsidR="007033A4" w:rsidRDefault="00000000">
      <w:pPr>
        <w:pStyle w:val="TOC1"/>
        <w:rPr>
          <w:rFonts w:asciiTheme="minorHAnsi" w:eastAsiaTheme="minorEastAsia" w:hAnsiTheme="minorHAnsi" w:cstheme="minorBidi"/>
          <w:noProof/>
          <w:szCs w:val="22"/>
        </w:rPr>
      </w:pPr>
      <w:hyperlink w:anchor="_Toc119568463" w:history="1">
        <w:r w:rsidR="007033A4" w:rsidRPr="00EF0D17">
          <w:rPr>
            <w:rStyle w:val="afc"/>
            <w:noProof/>
          </w:rPr>
          <w:t>第七部分</w:t>
        </w:r>
        <w:r w:rsidR="007033A4" w:rsidRPr="00EF0D17">
          <w:rPr>
            <w:rStyle w:val="afc"/>
            <w:noProof/>
          </w:rPr>
          <w:t xml:space="preserve">  </w:t>
        </w:r>
        <w:r w:rsidR="007033A4" w:rsidRPr="00EF0D17">
          <w:rPr>
            <w:rStyle w:val="afc"/>
            <w:noProof/>
          </w:rPr>
          <w:t>基金合同的生效</w:t>
        </w:r>
        <w:r w:rsidR="007033A4">
          <w:rPr>
            <w:noProof/>
            <w:webHidden/>
          </w:rPr>
          <w:tab/>
        </w:r>
        <w:r w:rsidR="007033A4">
          <w:rPr>
            <w:noProof/>
            <w:webHidden/>
          </w:rPr>
          <w:fldChar w:fldCharType="begin"/>
        </w:r>
        <w:r w:rsidR="007033A4">
          <w:rPr>
            <w:noProof/>
            <w:webHidden/>
          </w:rPr>
          <w:instrText xml:space="preserve"> PAGEREF _Toc119568463 \h </w:instrText>
        </w:r>
        <w:r w:rsidR="007033A4">
          <w:rPr>
            <w:noProof/>
            <w:webHidden/>
          </w:rPr>
        </w:r>
        <w:r w:rsidR="007033A4">
          <w:rPr>
            <w:noProof/>
            <w:webHidden/>
          </w:rPr>
          <w:fldChar w:fldCharType="separate"/>
        </w:r>
        <w:r w:rsidR="00887660">
          <w:rPr>
            <w:noProof/>
            <w:webHidden/>
          </w:rPr>
          <w:t>33</w:t>
        </w:r>
        <w:r w:rsidR="007033A4">
          <w:rPr>
            <w:noProof/>
            <w:webHidden/>
          </w:rPr>
          <w:fldChar w:fldCharType="end"/>
        </w:r>
      </w:hyperlink>
    </w:p>
    <w:p w14:paraId="5359D963" w14:textId="75C75F45" w:rsidR="007033A4" w:rsidRDefault="00000000">
      <w:pPr>
        <w:pStyle w:val="TOC1"/>
        <w:rPr>
          <w:rFonts w:asciiTheme="minorHAnsi" w:eastAsiaTheme="minorEastAsia" w:hAnsiTheme="minorHAnsi" w:cstheme="minorBidi"/>
          <w:noProof/>
          <w:szCs w:val="22"/>
        </w:rPr>
      </w:pPr>
      <w:hyperlink w:anchor="_Toc119568464" w:history="1">
        <w:r w:rsidR="007033A4" w:rsidRPr="00EF0D17">
          <w:rPr>
            <w:rStyle w:val="afc"/>
            <w:noProof/>
          </w:rPr>
          <w:t>第八部分</w:t>
        </w:r>
        <w:r w:rsidR="007033A4" w:rsidRPr="00EF0D17">
          <w:rPr>
            <w:rStyle w:val="afc"/>
            <w:noProof/>
          </w:rPr>
          <w:t xml:space="preserve">  </w:t>
        </w:r>
        <w:r w:rsidR="007033A4" w:rsidRPr="00EF0D17">
          <w:rPr>
            <w:rStyle w:val="afc"/>
            <w:noProof/>
          </w:rPr>
          <w:t>基金份额的申购与赎回</w:t>
        </w:r>
        <w:r w:rsidR="007033A4">
          <w:rPr>
            <w:noProof/>
            <w:webHidden/>
          </w:rPr>
          <w:tab/>
        </w:r>
        <w:r w:rsidR="007033A4">
          <w:rPr>
            <w:noProof/>
            <w:webHidden/>
          </w:rPr>
          <w:fldChar w:fldCharType="begin"/>
        </w:r>
        <w:r w:rsidR="007033A4">
          <w:rPr>
            <w:noProof/>
            <w:webHidden/>
          </w:rPr>
          <w:instrText xml:space="preserve"> PAGEREF _Toc119568464 \h </w:instrText>
        </w:r>
        <w:r w:rsidR="007033A4">
          <w:rPr>
            <w:noProof/>
            <w:webHidden/>
          </w:rPr>
        </w:r>
        <w:r w:rsidR="007033A4">
          <w:rPr>
            <w:noProof/>
            <w:webHidden/>
          </w:rPr>
          <w:fldChar w:fldCharType="separate"/>
        </w:r>
        <w:r w:rsidR="00887660">
          <w:rPr>
            <w:noProof/>
            <w:webHidden/>
          </w:rPr>
          <w:t>34</w:t>
        </w:r>
        <w:r w:rsidR="007033A4">
          <w:rPr>
            <w:noProof/>
            <w:webHidden/>
          </w:rPr>
          <w:fldChar w:fldCharType="end"/>
        </w:r>
      </w:hyperlink>
    </w:p>
    <w:p w14:paraId="38F57D76" w14:textId="755C187B" w:rsidR="007033A4" w:rsidRDefault="00000000">
      <w:pPr>
        <w:pStyle w:val="TOC1"/>
        <w:rPr>
          <w:rFonts w:asciiTheme="minorHAnsi" w:eastAsiaTheme="minorEastAsia" w:hAnsiTheme="minorHAnsi" w:cstheme="minorBidi"/>
          <w:noProof/>
          <w:szCs w:val="22"/>
        </w:rPr>
      </w:pPr>
      <w:hyperlink w:anchor="_Toc119568465" w:history="1">
        <w:r w:rsidR="007033A4" w:rsidRPr="00EF0D17">
          <w:rPr>
            <w:rStyle w:val="afc"/>
            <w:noProof/>
          </w:rPr>
          <w:t>第九部分</w:t>
        </w:r>
        <w:r w:rsidR="007033A4" w:rsidRPr="00EF0D17">
          <w:rPr>
            <w:rStyle w:val="afc"/>
            <w:noProof/>
          </w:rPr>
          <w:t xml:space="preserve">  </w:t>
        </w:r>
        <w:r w:rsidR="007033A4" w:rsidRPr="00EF0D17">
          <w:rPr>
            <w:rStyle w:val="afc"/>
            <w:noProof/>
          </w:rPr>
          <w:t>基金的投资</w:t>
        </w:r>
        <w:r w:rsidR="007033A4">
          <w:rPr>
            <w:noProof/>
            <w:webHidden/>
          </w:rPr>
          <w:tab/>
        </w:r>
        <w:r w:rsidR="007033A4">
          <w:rPr>
            <w:noProof/>
            <w:webHidden/>
          </w:rPr>
          <w:fldChar w:fldCharType="begin"/>
        </w:r>
        <w:r w:rsidR="007033A4">
          <w:rPr>
            <w:noProof/>
            <w:webHidden/>
          </w:rPr>
          <w:instrText xml:space="preserve"> PAGEREF _Toc119568465 \h </w:instrText>
        </w:r>
        <w:r w:rsidR="007033A4">
          <w:rPr>
            <w:noProof/>
            <w:webHidden/>
          </w:rPr>
        </w:r>
        <w:r w:rsidR="007033A4">
          <w:rPr>
            <w:noProof/>
            <w:webHidden/>
          </w:rPr>
          <w:fldChar w:fldCharType="separate"/>
        </w:r>
        <w:r w:rsidR="00887660">
          <w:rPr>
            <w:noProof/>
            <w:webHidden/>
          </w:rPr>
          <w:t>45</w:t>
        </w:r>
        <w:r w:rsidR="007033A4">
          <w:rPr>
            <w:noProof/>
            <w:webHidden/>
          </w:rPr>
          <w:fldChar w:fldCharType="end"/>
        </w:r>
      </w:hyperlink>
    </w:p>
    <w:p w14:paraId="3CDAF12F" w14:textId="2C53546F" w:rsidR="007033A4" w:rsidRDefault="00000000">
      <w:pPr>
        <w:pStyle w:val="TOC1"/>
        <w:rPr>
          <w:rFonts w:asciiTheme="minorHAnsi" w:eastAsiaTheme="minorEastAsia" w:hAnsiTheme="minorHAnsi" w:cstheme="minorBidi"/>
          <w:noProof/>
          <w:szCs w:val="22"/>
        </w:rPr>
      </w:pPr>
      <w:hyperlink w:anchor="_Toc119568466" w:history="1">
        <w:r w:rsidR="007033A4" w:rsidRPr="00EF0D17">
          <w:rPr>
            <w:rStyle w:val="afc"/>
            <w:noProof/>
          </w:rPr>
          <w:t>第十部分</w:t>
        </w:r>
        <w:r w:rsidR="007033A4" w:rsidRPr="00EF0D17">
          <w:rPr>
            <w:rStyle w:val="afc"/>
            <w:noProof/>
          </w:rPr>
          <w:t xml:space="preserve">  </w:t>
        </w:r>
        <w:r w:rsidR="007033A4" w:rsidRPr="00EF0D17">
          <w:rPr>
            <w:rStyle w:val="afc"/>
            <w:noProof/>
          </w:rPr>
          <w:t>基金的财产</w:t>
        </w:r>
        <w:r w:rsidR="007033A4">
          <w:rPr>
            <w:noProof/>
            <w:webHidden/>
          </w:rPr>
          <w:tab/>
        </w:r>
        <w:r w:rsidR="007033A4">
          <w:rPr>
            <w:noProof/>
            <w:webHidden/>
          </w:rPr>
          <w:fldChar w:fldCharType="begin"/>
        </w:r>
        <w:r w:rsidR="007033A4">
          <w:rPr>
            <w:noProof/>
            <w:webHidden/>
          </w:rPr>
          <w:instrText xml:space="preserve"> PAGEREF _Toc119568466 \h </w:instrText>
        </w:r>
        <w:r w:rsidR="007033A4">
          <w:rPr>
            <w:noProof/>
            <w:webHidden/>
          </w:rPr>
        </w:r>
        <w:r w:rsidR="007033A4">
          <w:rPr>
            <w:noProof/>
            <w:webHidden/>
          </w:rPr>
          <w:fldChar w:fldCharType="separate"/>
        </w:r>
        <w:r w:rsidR="00887660">
          <w:rPr>
            <w:noProof/>
            <w:webHidden/>
          </w:rPr>
          <w:t>60</w:t>
        </w:r>
        <w:r w:rsidR="007033A4">
          <w:rPr>
            <w:noProof/>
            <w:webHidden/>
          </w:rPr>
          <w:fldChar w:fldCharType="end"/>
        </w:r>
      </w:hyperlink>
    </w:p>
    <w:p w14:paraId="36635F55" w14:textId="5400F8A9" w:rsidR="007033A4" w:rsidRDefault="00000000">
      <w:pPr>
        <w:pStyle w:val="TOC1"/>
        <w:rPr>
          <w:rFonts w:asciiTheme="minorHAnsi" w:eastAsiaTheme="minorEastAsia" w:hAnsiTheme="minorHAnsi" w:cstheme="minorBidi"/>
          <w:noProof/>
          <w:szCs w:val="22"/>
        </w:rPr>
      </w:pPr>
      <w:hyperlink w:anchor="_Toc119568467" w:history="1">
        <w:r w:rsidR="007033A4" w:rsidRPr="00EF0D17">
          <w:rPr>
            <w:rStyle w:val="afc"/>
            <w:noProof/>
          </w:rPr>
          <w:t>第十一部分</w:t>
        </w:r>
        <w:r w:rsidR="007033A4" w:rsidRPr="00EF0D17">
          <w:rPr>
            <w:rStyle w:val="afc"/>
            <w:noProof/>
          </w:rPr>
          <w:t xml:space="preserve">  </w:t>
        </w:r>
        <w:r w:rsidR="007033A4" w:rsidRPr="00EF0D17">
          <w:rPr>
            <w:rStyle w:val="afc"/>
            <w:noProof/>
          </w:rPr>
          <w:t>基金资产的估值</w:t>
        </w:r>
        <w:r w:rsidR="007033A4">
          <w:rPr>
            <w:noProof/>
            <w:webHidden/>
          </w:rPr>
          <w:tab/>
        </w:r>
        <w:r w:rsidR="007033A4">
          <w:rPr>
            <w:noProof/>
            <w:webHidden/>
          </w:rPr>
          <w:fldChar w:fldCharType="begin"/>
        </w:r>
        <w:r w:rsidR="007033A4">
          <w:rPr>
            <w:noProof/>
            <w:webHidden/>
          </w:rPr>
          <w:instrText xml:space="preserve"> PAGEREF _Toc119568467 \h </w:instrText>
        </w:r>
        <w:r w:rsidR="007033A4">
          <w:rPr>
            <w:noProof/>
            <w:webHidden/>
          </w:rPr>
        </w:r>
        <w:r w:rsidR="007033A4">
          <w:rPr>
            <w:noProof/>
            <w:webHidden/>
          </w:rPr>
          <w:fldChar w:fldCharType="separate"/>
        </w:r>
        <w:r w:rsidR="00887660">
          <w:rPr>
            <w:noProof/>
            <w:webHidden/>
          </w:rPr>
          <w:t>61</w:t>
        </w:r>
        <w:r w:rsidR="007033A4">
          <w:rPr>
            <w:noProof/>
            <w:webHidden/>
          </w:rPr>
          <w:fldChar w:fldCharType="end"/>
        </w:r>
      </w:hyperlink>
    </w:p>
    <w:p w14:paraId="1D4D0FC1" w14:textId="5909631C" w:rsidR="007033A4" w:rsidRDefault="00000000">
      <w:pPr>
        <w:pStyle w:val="TOC1"/>
        <w:rPr>
          <w:rFonts w:asciiTheme="minorHAnsi" w:eastAsiaTheme="minorEastAsia" w:hAnsiTheme="minorHAnsi" w:cstheme="minorBidi"/>
          <w:noProof/>
          <w:szCs w:val="22"/>
        </w:rPr>
      </w:pPr>
      <w:hyperlink w:anchor="_Toc119568468" w:history="1">
        <w:r w:rsidR="007033A4" w:rsidRPr="00EF0D17">
          <w:rPr>
            <w:rStyle w:val="afc"/>
            <w:noProof/>
          </w:rPr>
          <w:t>第十二部分</w:t>
        </w:r>
        <w:r w:rsidR="007033A4" w:rsidRPr="00EF0D17">
          <w:rPr>
            <w:rStyle w:val="afc"/>
            <w:noProof/>
          </w:rPr>
          <w:t xml:space="preserve">  </w:t>
        </w:r>
        <w:r w:rsidR="007033A4" w:rsidRPr="00EF0D17">
          <w:rPr>
            <w:rStyle w:val="afc"/>
            <w:noProof/>
          </w:rPr>
          <w:t>基金的收益分配</w:t>
        </w:r>
        <w:r w:rsidR="007033A4">
          <w:rPr>
            <w:noProof/>
            <w:webHidden/>
          </w:rPr>
          <w:tab/>
        </w:r>
        <w:r w:rsidR="007033A4">
          <w:rPr>
            <w:noProof/>
            <w:webHidden/>
          </w:rPr>
          <w:fldChar w:fldCharType="begin"/>
        </w:r>
        <w:r w:rsidR="007033A4">
          <w:rPr>
            <w:noProof/>
            <w:webHidden/>
          </w:rPr>
          <w:instrText xml:space="preserve"> PAGEREF _Toc119568468 \h </w:instrText>
        </w:r>
        <w:r w:rsidR="007033A4">
          <w:rPr>
            <w:noProof/>
            <w:webHidden/>
          </w:rPr>
        </w:r>
        <w:r w:rsidR="007033A4">
          <w:rPr>
            <w:noProof/>
            <w:webHidden/>
          </w:rPr>
          <w:fldChar w:fldCharType="separate"/>
        </w:r>
        <w:r w:rsidR="00887660">
          <w:rPr>
            <w:noProof/>
            <w:webHidden/>
          </w:rPr>
          <w:t>67</w:t>
        </w:r>
        <w:r w:rsidR="007033A4">
          <w:rPr>
            <w:noProof/>
            <w:webHidden/>
          </w:rPr>
          <w:fldChar w:fldCharType="end"/>
        </w:r>
      </w:hyperlink>
    </w:p>
    <w:p w14:paraId="30622AB8" w14:textId="2EF493CD" w:rsidR="007033A4" w:rsidRDefault="00000000">
      <w:pPr>
        <w:pStyle w:val="TOC1"/>
        <w:rPr>
          <w:rFonts w:asciiTheme="minorHAnsi" w:eastAsiaTheme="minorEastAsia" w:hAnsiTheme="minorHAnsi" w:cstheme="minorBidi"/>
          <w:noProof/>
          <w:szCs w:val="22"/>
        </w:rPr>
      </w:pPr>
      <w:hyperlink w:anchor="_Toc119568469" w:history="1">
        <w:r w:rsidR="007033A4" w:rsidRPr="00EF0D17">
          <w:rPr>
            <w:rStyle w:val="afc"/>
            <w:noProof/>
          </w:rPr>
          <w:t>第十三部分</w:t>
        </w:r>
        <w:r w:rsidR="007033A4" w:rsidRPr="00EF0D17">
          <w:rPr>
            <w:rStyle w:val="afc"/>
            <w:noProof/>
          </w:rPr>
          <w:t xml:space="preserve">  </w:t>
        </w:r>
        <w:r w:rsidR="007033A4" w:rsidRPr="00EF0D17">
          <w:rPr>
            <w:rStyle w:val="afc"/>
            <w:noProof/>
          </w:rPr>
          <w:t>基金费用与税收</w:t>
        </w:r>
        <w:r w:rsidR="007033A4">
          <w:rPr>
            <w:noProof/>
            <w:webHidden/>
          </w:rPr>
          <w:tab/>
        </w:r>
        <w:r w:rsidR="007033A4">
          <w:rPr>
            <w:noProof/>
            <w:webHidden/>
          </w:rPr>
          <w:fldChar w:fldCharType="begin"/>
        </w:r>
        <w:r w:rsidR="007033A4">
          <w:rPr>
            <w:noProof/>
            <w:webHidden/>
          </w:rPr>
          <w:instrText xml:space="preserve"> PAGEREF _Toc119568469 \h </w:instrText>
        </w:r>
        <w:r w:rsidR="007033A4">
          <w:rPr>
            <w:noProof/>
            <w:webHidden/>
          </w:rPr>
        </w:r>
        <w:r w:rsidR="007033A4">
          <w:rPr>
            <w:noProof/>
            <w:webHidden/>
          </w:rPr>
          <w:fldChar w:fldCharType="separate"/>
        </w:r>
        <w:r w:rsidR="00887660">
          <w:rPr>
            <w:noProof/>
            <w:webHidden/>
          </w:rPr>
          <w:t>69</w:t>
        </w:r>
        <w:r w:rsidR="007033A4">
          <w:rPr>
            <w:noProof/>
            <w:webHidden/>
          </w:rPr>
          <w:fldChar w:fldCharType="end"/>
        </w:r>
      </w:hyperlink>
    </w:p>
    <w:p w14:paraId="410D92E2" w14:textId="0BF97151" w:rsidR="007033A4" w:rsidRDefault="00000000">
      <w:pPr>
        <w:pStyle w:val="TOC1"/>
        <w:rPr>
          <w:rFonts w:asciiTheme="minorHAnsi" w:eastAsiaTheme="minorEastAsia" w:hAnsiTheme="minorHAnsi" w:cstheme="minorBidi"/>
          <w:noProof/>
          <w:szCs w:val="22"/>
        </w:rPr>
      </w:pPr>
      <w:hyperlink w:anchor="_Toc119568470" w:history="1">
        <w:r w:rsidR="007033A4" w:rsidRPr="00EF0D17">
          <w:rPr>
            <w:rStyle w:val="afc"/>
            <w:noProof/>
          </w:rPr>
          <w:t>第十四部分</w:t>
        </w:r>
        <w:r w:rsidR="007033A4" w:rsidRPr="00EF0D17">
          <w:rPr>
            <w:rStyle w:val="afc"/>
            <w:noProof/>
          </w:rPr>
          <w:t xml:space="preserve">  </w:t>
        </w:r>
        <w:r w:rsidR="007033A4" w:rsidRPr="00EF0D17">
          <w:rPr>
            <w:rStyle w:val="afc"/>
            <w:noProof/>
          </w:rPr>
          <w:t>基金的会计与审计</w:t>
        </w:r>
        <w:r w:rsidR="007033A4">
          <w:rPr>
            <w:noProof/>
            <w:webHidden/>
          </w:rPr>
          <w:tab/>
        </w:r>
        <w:r w:rsidR="007033A4">
          <w:rPr>
            <w:noProof/>
            <w:webHidden/>
          </w:rPr>
          <w:fldChar w:fldCharType="begin"/>
        </w:r>
        <w:r w:rsidR="007033A4">
          <w:rPr>
            <w:noProof/>
            <w:webHidden/>
          </w:rPr>
          <w:instrText xml:space="preserve"> PAGEREF _Toc119568470 \h </w:instrText>
        </w:r>
        <w:r w:rsidR="007033A4">
          <w:rPr>
            <w:noProof/>
            <w:webHidden/>
          </w:rPr>
        </w:r>
        <w:r w:rsidR="007033A4">
          <w:rPr>
            <w:noProof/>
            <w:webHidden/>
          </w:rPr>
          <w:fldChar w:fldCharType="separate"/>
        </w:r>
        <w:r w:rsidR="00887660">
          <w:rPr>
            <w:noProof/>
            <w:webHidden/>
          </w:rPr>
          <w:t>72</w:t>
        </w:r>
        <w:r w:rsidR="007033A4">
          <w:rPr>
            <w:noProof/>
            <w:webHidden/>
          </w:rPr>
          <w:fldChar w:fldCharType="end"/>
        </w:r>
      </w:hyperlink>
    </w:p>
    <w:p w14:paraId="40C8D13A" w14:textId="02CC94BF" w:rsidR="007033A4" w:rsidRDefault="00000000">
      <w:pPr>
        <w:pStyle w:val="TOC1"/>
        <w:rPr>
          <w:rFonts w:asciiTheme="minorHAnsi" w:eastAsiaTheme="minorEastAsia" w:hAnsiTheme="minorHAnsi" w:cstheme="minorBidi"/>
          <w:noProof/>
          <w:szCs w:val="22"/>
        </w:rPr>
      </w:pPr>
      <w:hyperlink w:anchor="_Toc119568471" w:history="1">
        <w:r w:rsidR="007033A4" w:rsidRPr="00EF0D17">
          <w:rPr>
            <w:rStyle w:val="afc"/>
            <w:noProof/>
          </w:rPr>
          <w:t>第十五部分</w:t>
        </w:r>
        <w:r w:rsidR="007033A4" w:rsidRPr="00EF0D17">
          <w:rPr>
            <w:rStyle w:val="afc"/>
            <w:noProof/>
          </w:rPr>
          <w:t xml:space="preserve">  </w:t>
        </w:r>
        <w:r w:rsidR="007033A4" w:rsidRPr="00EF0D17">
          <w:rPr>
            <w:rStyle w:val="afc"/>
            <w:noProof/>
          </w:rPr>
          <w:t>基金的信息披露</w:t>
        </w:r>
        <w:r w:rsidR="007033A4">
          <w:rPr>
            <w:noProof/>
            <w:webHidden/>
          </w:rPr>
          <w:tab/>
        </w:r>
        <w:r w:rsidR="007033A4">
          <w:rPr>
            <w:noProof/>
            <w:webHidden/>
          </w:rPr>
          <w:fldChar w:fldCharType="begin"/>
        </w:r>
        <w:r w:rsidR="007033A4">
          <w:rPr>
            <w:noProof/>
            <w:webHidden/>
          </w:rPr>
          <w:instrText xml:space="preserve"> PAGEREF _Toc119568471 \h </w:instrText>
        </w:r>
        <w:r w:rsidR="007033A4">
          <w:rPr>
            <w:noProof/>
            <w:webHidden/>
          </w:rPr>
        </w:r>
        <w:r w:rsidR="007033A4">
          <w:rPr>
            <w:noProof/>
            <w:webHidden/>
          </w:rPr>
          <w:fldChar w:fldCharType="separate"/>
        </w:r>
        <w:r w:rsidR="00887660">
          <w:rPr>
            <w:noProof/>
            <w:webHidden/>
          </w:rPr>
          <w:t>73</w:t>
        </w:r>
        <w:r w:rsidR="007033A4">
          <w:rPr>
            <w:noProof/>
            <w:webHidden/>
          </w:rPr>
          <w:fldChar w:fldCharType="end"/>
        </w:r>
      </w:hyperlink>
    </w:p>
    <w:p w14:paraId="730F71D6" w14:textId="44326319" w:rsidR="007033A4" w:rsidRDefault="00000000">
      <w:pPr>
        <w:pStyle w:val="TOC1"/>
        <w:rPr>
          <w:rFonts w:asciiTheme="minorHAnsi" w:eastAsiaTheme="minorEastAsia" w:hAnsiTheme="minorHAnsi" w:cstheme="minorBidi"/>
          <w:noProof/>
          <w:szCs w:val="22"/>
        </w:rPr>
      </w:pPr>
      <w:hyperlink w:anchor="_Toc119568472" w:history="1">
        <w:r w:rsidR="007033A4" w:rsidRPr="00EF0D17">
          <w:rPr>
            <w:rStyle w:val="afc"/>
            <w:rFonts w:cs="Arial"/>
            <w:noProof/>
          </w:rPr>
          <w:t>第十六部分</w:t>
        </w:r>
        <w:r w:rsidR="007033A4" w:rsidRPr="00EF0D17">
          <w:rPr>
            <w:rStyle w:val="afc"/>
            <w:rFonts w:cs="Arial"/>
            <w:noProof/>
          </w:rPr>
          <w:t xml:space="preserve"> </w:t>
        </w:r>
        <w:r w:rsidR="007033A4" w:rsidRPr="00EF0D17">
          <w:rPr>
            <w:rStyle w:val="afc"/>
            <w:rFonts w:cs="Arial"/>
            <w:noProof/>
          </w:rPr>
          <w:t>侧袋机制</w:t>
        </w:r>
        <w:r w:rsidR="007033A4">
          <w:rPr>
            <w:noProof/>
            <w:webHidden/>
          </w:rPr>
          <w:tab/>
        </w:r>
        <w:r w:rsidR="007033A4">
          <w:rPr>
            <w:noProof/>
            <w:webHidden/>
          </w:rPr>
          <w:fldChar w:fldCharType="begin"/>
        </w:r>
        <w:r w:rsidR="007033A4">
          <w:rPr>
            <w:noProof/>
            <w:webHidden/>
          </w:rPr>
          <w:instrText xml:space="preserve"> PAGEREF _Toc119568472 \h </w:instrText>
        </w:r>
        <w:r w:rsidR="007033A4">
          <w:rPr>
            <w:noProof/>
            <w:webHidden/>
          </w:rPr>
        </w:r>
        <w:r w:rsidR="007033A4">
          <w:rPr>
            <w:noProof/>
            <w:webHidden/>
          </w:rPr>
          <w:fldChar w:fldCharType="separate"/>
        </w:r>
        <w:r w:rsidR="00887660">
          <w:rPr>
            <w:noProof/>
            <w:webHidden/>
          </w:rPr>
          <w:t>80</w:t>
        </w:r>
        <w:r w:rsidR="007033A4">
          <w:rPr>
            <w:noProof/>
            <w:webHidden/>
          </w:rPr>
          <w:fldChar w:fldCharType="end"/>
        </w:r>
      </w:hyperlink>
    </w:p>
    <w:p w14:paraId="328F21CB" w14:textId="7FEFFF1D" w:rsidR="007033A4" w:rsidRDefault="00000000">
      <w:pPr>
        <w:pStyle w:val="TOC1"/>
        <w:rPr>
          <w:rFonts w:asciiTheme="minorHAnsi" w:eastAsiaTheme="minorEastAsia" w:hAnsiTheme="minorHAnsi" w:cstheme="minorBidi"/>
          <w:noProof/>
          <w:szCs w:val="22"/>
        </w:rPr>
      </w:pPr>
      <w:hyperlink w:anchor="_Toc119568473" w:history="1">
        <w:r w:rsidR="007033A4" w:rsidRPr="00EF0D17">
          <w:rPr>
            <w:rStyle w:val="afc"/>
            <w:noProof/>
          </w:rPr>
          <w:t>第十七部分</w:t>
        </w:r>
        <w:r w:rsidR="007033A4" w:rsidRPr="00EF0D17">
          <w:rPr>
            <w:rStyle w:val="afc"/>
            <w:noProof/>
          </w:rPr>
          <w:t xml:space="preserve">  </w:t>
        </w:r>
        <w:r w:rsidR="007033A4" w:rsidRPr="00EF0D17">
          <w:rPr>
            <w:rStyle w:val="afc"/>
            <w:noProof/>
          </w:rPr>
          <w:t>风险揭示</w:t>
        </w:r>
        <w:r w:rsidR="007033A4">
          <w:rPr>
            <w:noProof/>
            <w:webHidden/>
          </w:rPr>
          <w:tab/>
        </w:r>
        <w:r w:rsidR="007033A4">
          <w:rPr>
            <w:noProof/>
            <w:webHidden/>
          </w:rPr>
          <w:fldChar w:fldCharType="begin"/>
        </w:r>
        <w:r w:rsidR="007033A4">
          <w:rPr>
            <w:noProof/>
            <w:webHidden/>
          </w:rPr>
          <w:instrText xml:space="preserve"> PAGEREF _Toc119568473 \h </w:instrText>
        </w:r>
        <w:r w:rsidR="007033A4">
          <w:rPr>
            <w:noProof/>
            <w:webHidden/>
          </w:rPr>
        </w:r>
        <w:r w:rsidR="007033A4">
          <w:rPr>
            <w:noProof/>
            <w:webHidden/>
          </w:rPr>
          <w:fldChar w:fldCharType="separate"/>
        </w:r>
        <w:r w:rsidR="00887660">
          <w:rPr>
            <w:noProof/>
            <w:webHidden/>
          </w:rPr>
          <w:t>83</w:t>
        </w:r>
        <w:r w:rsidR="007033A4">
          <w:rPr>
            <w:noProof/>
            <w:webHidden/>
          </w:rPr>
          <w:fldChar w:fldCharType="end"/>
        </w:r>
      </w:hyperlink>
    </w:p>
    <w:p w14:paraId="381036BF" w14:textId="6646DE45" w:rsidR="007033A4" w:rsidRDefault="00000000">
      <w:pPr>
        <w:pStyle w:val="TOC1"/>
        <w:rPr>
          <w:rFonts w:asciiTheme="minorHAnsi" w:eastAsiaTheme="minorEastAsia" w:hAnsiTheme="minorHAnsi" w:cstheme="minorBidi"/>
          <w:noProof/>
          <w:szCs w:val="22"/>
        </w:rPr>
      </w:pPr>
      <w:hyperlink w:anchor="_Toc119568474" w:history="1">
        <w:r w:rsidR="007033A4" w:rsidRPr="00EF0D17">
          <w:rPr>
            <w:rStyle w:val="afc"/>
            <w:noProof/>
          </w:rPr>
          <w:t>第十八部分</w:t>
        </w:r>
        <w:r w:rsidR="007033A4" w:rsidRPr="00EF0D17">
          <w:rPr>
            <w:rStyle w:val="afc"/>
            <w:noProof/>
          </w:rPr>
          <w:t xml:space="preserve">  </w:t>
        </w:r>
        <w:r w:rsidR="007033A4" w:rsidRPr="00EF0D17">
          <w:rPr>
            <w:rStyle w:val="afc"/>
            <w:noProof/>
          </w:rPr>
          <w:t>基金合同的变更、终止与基金财产的清算</w:t>
        </w:r>
        <w:r w:rsidR="007033A4">
          <w:rPr>
            <w:noProof/>
            <w:webHidden/>
          </w:rPr>
          <w:tab/>
        </w:r>
        <w:r w:rsidR="007033A4">
          <w:rPr>
            <w:noProof/>
            <w:webHidden/>
          </w:rPr>
          <w:fldChar w:fldCharType="begin"/>
        </w:r>
        <w:r w:rsidR="007033A4">
          <w:rPr>
            <w:noProof/>
            <w:webHidden/>
          </w:rPr>
          <w:instrText xml:space="preserve"> PAGEREF _Toc119568474 \h </w:instrText>
        </w:r>
        <w:r w:rsidR="007033A4">
          <w:rPr>
            <w:noProof/>
            <w:webHidden/>
          </w:rPr>
        </w:r>
        <w:r w:rsidR="007033A4">
          <w:rPr>
            <w:noProof/>
            <w:webHidden/>
          </w:rPr>
          <w:fldChar w:fldCharType="separate"/>
        </w:r>
        <w:r w:rsidR="00887660">
          <w:rPr>
            <w:noProof/>
            <w:webHidden/>
          </w:rPr>
          <w:t>88</w:t>
        </w:r>
        <w:r w:rsidR="007033A4">
          <w:rPr>
            <w:noProof/>
            <w:webHidden/>
          </w:rPr>
          <w:fldChar w:fldCharType="end"/>
        </w:r>
      </w:hyperlink>
    </w:p>
    <w:p w14:paraId="61111A99" w14:textId="2662E727" w:rsidR="007033A4" w:rsidRDefault="00000000">
      <w:pPr>
        <w:pStyle w:val="TOC1"/>
        <w:rPr>
          <w:rFonts w:asciiTheme="minorHAnsi" w:eastAsiaTheme="minorEastAsia" w:hAnsiTheme="minorHAnsi" w:cstheme="minorBidi"/>
          <w:noProof/>
          <w:szCs w:val="22"/>
        </w:rPr>
      </w:pPr>
      <w:hyperlink w:anchor="_Toc119568475" w:history="1">
        <w:r w:rsidR="007033A4" w:rsidRPr="00EF0D17">
          <w:rPr>
            <w:rStyle w:val="afc"/>
            <w:noProof/>
          </w:rPr>
          <w:t>第十九部分</w:t>
        </w:r>
        <w:r w:rsidR="007033A4" w:rsidRPr="00EF0D17">
          <w:rPr>
            <w:rStyle w:val="afc"/>
            <w:noProof/>
          </w:rPr>
          <w:t xml:space="preserve">  </w:t>
        </w:r>
        <w:r w:rsidR="007033A4" w:rsidRPr="00EF0D17">
          <w:rPr>
            <w:rStyle w:val="afc"/>
            <w:noProof/>
          </w:rPr>
          <w:t>基金合同的内容摘要</w:t>
        </w:r>
        <w:r w:rsidR="007033A4">
          <w:rPr>
            <w:noProof/>
            <w:webHidden/>
          </w:rPr>
          <w:tab/>
        </w:r>
        <w:r w:rsidR="007033A4">
          <w:rPr>
            <w:noProof/>
            <w:webHidden/>
          </w:rPr>
          <w:fldChar w:fldCharType="begin"/>
        </w:r>
        <w:r w:rsidR="007033A4">
          <w:rPr>
            <w:noProof/>
            <w:webHidden/>
          </w:rPr>
          <w:instrText xml:space="preserve"> PAGEREF _Toc119568475 \h </w:instrText>
        </w:r>
        <w:r w:rsidR="007033A4">
          <w:rPr>
            <w:noProof/>
            <w:webHidden/>
          </w:rPr>
        </w:r>
        <w:r w:rsidR="007033A4">
          <w:rPr>
            <w:noProof/>
            <w:webHidden/>
          </w:rPr>
          <w:fldChar w:fldCharType="separate"/>
        </w:r>
        <w:r w:rsidR="00887660">
          <w:rPr>
            <w:noProof/>
            <w:webHidden/>
          </w:rPr>
          <w:t>90</w:t>
        </w:r>
        <w:r w:rsidR="007033A4">
          <w:rPr>
            <w:noProof/>
            <w:webHidden/>
          </w:rPr>
          <w:fldChar w:fldCharType="end"/>
        </w:r>
      </w:hyperlink>
    </w:p>
    <w:p w14:paraId="683637EC" w14:textId="34BEB235" w:rsidR="007033A4" w:rsidRDefault="00000000">
      <w:pPr>
        <w:pStyle w:val="TOC1"/>
        <w:rPr>
          <w:rFonts w:asciiTheme="minorHAnsi" w:eastAsiaTheme="minorEastAsia" w:hAnsiTheme="minorHAnsi" w:cstheme="minorBidi"/>
          <w:noProof/>
          <w:szCs w:val="22"/>
        </w:rPr>
      </w:pPr>
      <w:hyperlink w:anchor="_Toc119568476" w:history="1">
        <w:r w:rsidR="007033A4" w:rsidRPr="00EF0D17">
          <w:rPr>
            <w:rStyle w:val="afc"/>
            <w:noProof/>
          </w:rPr>
          <w:t>第二十部分</w:t>
        </w:r>
        <w:r w:rsidR="007033A4" w:rsidRPr="00EF0D17">
          <w:rPr>
            <w:rStyle w:val="afc"/>
            <w:noProof/>
          </w:rPr>
          <w:t xml:space="preserve">  </w:t>
        </w:r>
        <w:r w:rsidR="007033A4" w:rsidRPr="00EF0D17">
          <w:rPr>
            <w:rStyle w:val="afc"/>
            <w:noProof/>
          </w:rPr>
          <w:t>基金托管协议的内容摘要</w:t>
        </w:r>
        <w:r w:rsidR="007033A4">
          <w:rPr>
            <w:noProof/>
            <w:webHidden/>
          </w:rPr>
          <w:tab/>
        </w:r>
        <w:r w:rsidR="007033A4">
          <w:rPr>
            <w:noProof/>
            <w:webHidden/>
          </w:rPr>
          <w:fldChar w:fldCharType="begin"/>
        </w:r>
        <w:r w:rsidR="007033A4">
          <w:rPr>
            <w:noProof/>
            <w:webHidden/>
          </w:rPr>
          <w:instrText xml:space="preserve"> PAGEREF _Toc119568476 \h </w:instrText>
        </w:r>
        <w:r w:rsidR="007033A4">
          <w:rPr>
            <w:noProof/>
            <w:webHidden/>
          </w:rPr>
        </w:r>
        <w:r w:rsidR="007033A4">
          <w:rPr>
            <w:noProof/>
            <w:webHidden/>
          </w:rPr>
          <w:fldChar w:fldCharType="separate"/>
        </w:r>
        <w:r w:rsidR="00887660">
          <w:rPr>
            <w:noProof/>
            <w:webHidden/>
          </w:rPr>
          <w:t>107</w:t>
        </w:r>
        <w:r w:rsidR="007033A4">
          <w:rPr>
            <w:noProof/>
            <w:webHidden/>
          </w:rPr>
          <w:fldChar w:fldCharType="end"/>
        </w:r>
      </w:hyperlink>
    </w:p>
    <w:p w14:paraId="030C387F" w14:textId="06462987" w:rsidR="007033A4" w:rsidRDefault="00000000">
      <w:pPr>
        <w:pStyle w:val="TOC1"/>
        <w:rPr>
          <w:rFonts w:asciiTheme="minorHAnsi" w:eastAsiaTheme="minorEastAsia" w:hAnsiTheme="minorHAnsi" w:cstheme="minorBidi"/>
          <w:noProof/>
          <w:szCs w:val="22"/>
        </w:rPr>
      </w:pPr>
      <w:hyperlink w:anchor="_Toc119568477" w:history="1">
        <w:r w:rsidR="007033A4" w:rsidRPr="00EF0D17">
          <w:rPr>
            <w:rStyle w:val="afc"/>
            <w:noProof/>
          </w:rPr>
          <w:t>第二十一部分</w:t>
        </w:r>
        <w:r w:rsidR="007033A4" w:rsidRPr="00EF0D17">
          <w:rPr>
            <w:rStyle w:val="afc"/>
            <w:noProof/>
          </w:rPr>
          <w:t xml:space="preserve">  </w:t>
        </w:r>
        <w:r w:rsidR="007033A4" w:rsidRPr="00EF0D17">
          <w:rPr>
            <w:rStyle w:val="afc"/>
            <w:noProof/>
          </w:rPr>
          <w:t>对基金份额持有人的服务</w:t>
        </w:r>
        <w:r w:rsidR="007033A4">
          <w:rPr>
            <w:noProof/>
            <w:webHidden/>
          </w:rPr>
          <w:tab/>
        </w:r>
        <w:r w:rsidR="007033A4">
          <w:rPr>
            <w:noProof/>
            <w:webHidden/>
          </w:rPr>
          <w:fldChar w:fldCharType="begin"/>
        </w:r>
        <w:r w:rsidR="007033A4">
          <w:rPr>
            <w:noProof/>
            <w:webHidden/>
          </w:rPr>
          <w:instrText xml:space="preserve"> PAGEREF _Toc119568477 \h </w:instrText>
        </w:r>
        <w:r w:rsidR="007033A4">
          <w:rPr>
            <w:noProof/>
            <w:webHidden/>
          </w:rPr>
        </w:r>
        <w:r w:rsidR="007033A4">
          <w:rPr>
            <w:noProof/>
            <w:webHidden/>
          </w:rPr>
          <w:fldChar w:fldCharType="separate"/>
        </w:r>
        <w:r w:rsidR="00887660">
          <w:rPr>
            <w:noProof/>
            <w:webHidden/>
          </w:rPr>
          <w:t>129</w:t>
        </w:r>
        <w:r w:rsidR="007033A4">
          <w:rPr>
            <w:noProof/>
            <w:webHidden/>
          </w:rPr>
          <w:fldChar w:fldCharType="end"/>
        </w:r>
      </w:hyperlink>
    </w:p>
    <w:p w14:paraId="06E018DC" w14:textId="29E045D3" w:rsidR="007033A4" w:rsidRDefault="00000000">
      <w:pPr>
        <w:pStyle w:val="TOC1"/>
        <w:rPr>
          <w:rFonts w:asciiTheme="minorHAnsi" w:eastAsiaTheme="minorEastAsia" w:hAnsiTheme="minorHAnsi" w:cstheme="minorBidi"/>
          <w:noProof/>
          <w:szCs w:val="22"/>
        </w:rPr>
      </w:pPr>
      <w:hyperlink w:anchor="_Toc119568478" w:history="1">
        <w:r w:rsidR="007033A4" w:rsidRPr="00EF0D17">
          <w:rPr>
            <w:rStyle w:val="afc"/>
            <w:rFonts w:asciiTheme="minorEastAsia" w:hAnsiTheme="minorEastAsia"/>
            <w:noProof/>
          </w:rPr>
          <w:t>第二十二部分  其他应披露事项</w:t>
        </w:r>
        <w:r w:rsidR="007033A4">
          <w:rPr>
            <w:noProof/>
            <w:webHidden/>
          </w:rPr>
          <w:tab/>
        </w:r>
        <w:r w:rsidR="007033A4">
          <w:rPr>
            <w:noProof/>
            <w:webHidden/>
          </w:rPr>
          <w:fldChar w:fldCharType="begin"/>
        </w:r>
        <w:r w:rsidR="007033A4">
          <w:rPr>
            <w:noProof/>
            <w:webHidden/>
          </w:rPr>
          <w:instrText xml:space="preserve"> PAGEREF _Toc119568478 \h </w:instrText>
        </w:r>
        <w:r w:rsidR="007033A4">
          <w:rPr>
            <w:noProof/>
            <w:webHidden/>
          </w:rPr>
        </w:r>
        <w:r w:rsidR="007033A4">
          <w:rPr>
            <w:noProof/>
            <w:webHidden/>
          </w:rPr>
          <w:fldChar w:fldCharType="separate"/>
        </w:r>
        <w:r w:rsidR="00887660">
          <w:rPr>
            <w:noProof/>
            <w:webHidden/>
          </w:rPr>
          <w:t>131</w:t>
        </w:r>
        <w:r w:rsidR="007033A4">
          <w:rPr>
            <w:noProof/>
            <w:webHidden/>
          </w:rPr>
          <w:fldChar w:fldCharType="end"/>
        </w:r>
      </w:hyperlink>
    </w:p>
    <w:p w14:paraId="5E2676A8" w14:textId="033E1707" w:rsidR="007033A4" w:rsidRDefault="00000000">
      <w:pPr>
        <w:pStyle w:val="TOC1"/>
        <w:rPr>
          <w:rFonts w:asciiTheme="minorHAnsi" w:eastAsiaTheme="minorEastAsia" w:hAnsiTheme="minorHAnsi" w:cstheme="minorBidi"/>
          <w:noProof/>
          <w:szCs w:val="22"/>
        </w:rPr>
      </w:pPr>
      <w:hyperlink w:anchor="_Toc119568479" w:history="1">
        <w:r w:rsidR="007033A4" w:rsidRPr="00EF0D17">
          <w:rPr>
            <w:rStyle w:val="afc"/>
            <w:noProof/>
          </w:rPr>
          <w:t>第二十三部分</w:t>
        </w:r>
        <w:r w:rsidR="007033A4" w:rsidRPr="00EF0D17">
          <w:rPr>
            <w:rStyle w:val="afc"/>
            <w:noProof/>
          </w:rPr>
          <w:t xml:space="preserve">  </w:t>
        </w:r>
        <w:r w:rsidR="007033A4" w:rsidRPr="00EF0D17">
          <w:rPr>
            <w:rStyle w:val="afc"/>
            <w:noProof/>
          </w:rPr>
          <w:t>招募说明书存放及查阅方式</w:t>
        </w:r>
        <w:r w:rsidR="007033A4">
          <w:rPr>
            <w:noProof/>
            <w:webHidden/>
          </w:rPr>
          <w:tab/>
        </w:r>
        <w:r w:rsidR="007033A4">
          <w:rPr>
            <w:noProof/>
            <w:webHidden/>
          </w:rPr>
          <w:fldChar w:fldCharType="begin"/>
        </w:r>
        <w:r w:rsidR="007033A4">
          <w:rPr>
            <w:noProof/>
            <w:webHidden/>
          </w:rPr>
          <w:instrText xml:space="preserve"> PAGEREF _Toc119568479 \h </w:instrText>
        </w:r>
        <w:r w:rsidR="007033A4">
          <w:rPr>
            <w:noProof/>
            <w:webHidden/>
          </w:rPr>
        </w:r>
        <w:r w:rsidR="007033A4">
          <w:rPr>
            <w:noProof/>
            <w:webHidden/>
          </w:rPr>
          <w:fldChar w:fldCharType="separate"/>
        </w:r>
        <w:r w:rsidR="00887660">
          <w:rPr>
            <w:noProof/>
            <w:webHidden/>
          </w:rPr>
          <w:t>134</w:t>
        </w:r>
        <w:r w:rsidR="007033A4">
          <w:rPr>
            <w:noProof/>
            <w:webHidden/>
          </w:rPr>
          <w:fldChar w:fldCharType="end"/>
        </w:r>
      </w:hyperlink>
    </w:p>
    <w:p w14:paraId="04A2E77D" w14:textId="042ACD4C" w:rsidR="007033A4" w:rsidRDefault="00000000">
      <w:pPr>
        <w:pStyle w:val="TOC1"/>
        <w:rPr>
          <w:rFonts w:asciiTheme="minorHAnsi" w:eastAsiaTheme="minorEastAsia" w:hAnsiTheme="minorHAnsi" w:cstheme="minorBidi"/>
          <w:noProof/>
          <w:szCs w:val="22"/>
        </w:rPr>
      </w:pPr>
      <w:hyperlink w:anchor="_Toc119568480" w:history="1">
        <w:r w:rsidR="007033A4" w:rsidRPr="00EF0D17">
          <w:rPr>
            <w:rStyle w:val="afc"/>
            <w:noProof/>
          </w:rPr>
          <w:t>第二十四部分</w:t>
        </w:r>
        <w:r w:rsidR="007033A4" w:rsidRPr="00EF0D17">
          <w:rPr>
            <w:rStyle w:val="afc"/>
            <w:noProof/>
          </w:rPr>
          <w:t xml:space="preserve">  </w:t>
        </w:r>
        <w:r w:rsidR="007033A4" w:rsidRPr="00EF0D17">
          <w:rPr>
            <w:rStyle w:val="afc"/>
            <w:noProof/>
          </w:rPr>
          <w:t>备查文件</w:t>
        </w:r>
        <w:r w:rsidR="007033A4">
          <w:rPr>
            <w:noProof/>
            <w:webHidden/>
          </w:rPr>
          <w:tab/>
        </w:r>
        <w:r w:rsidR="007033A4">
          <w:rPr>
            <w:noProof/>
            <w:webHidden/>
          </w:rPr>
          <w:fldChar w:fldCharType="begin"/>
        </w:r>
        <w:r w:rsidR="007033A4">
          <w:rPr>
            <w:noProof/>
            <w:webHidden/>
          </w:rPr>
          <w:instrText xml:space="preserve"> PAGEREF _Toc119568480 \h </w:instrText>
        </w:r>
        <w:r w:rsidR="007033A4">
          <w:rPr>
            <w:noProof/>
            <w:webHidden/>
          </w:rPr>
        </w:r>
        <w:r w:rsidR="007033A4">
          <w:rPr>
            <w:noProof/>
            <w:webHidden/>
          </w:rPr>
          <w:fldChar w:fldCharType="separate"/>
        </w:r>
        <w:r w:rsidR="00887660">
          <w:rPr>
            <w:noProof/>
            <w:webHidden/>
          </w:rPr>
          <w:t>135</w:t>
        </w:r>
        <w:r w:rsidR="007033A4">
          <w:rPr>
            <w:noProof/>
            <w:webHidden/>
          </w:rPr>
          <w:fldChar w:fldCharType="end"/>
        </w:r>
      </w:hyperlink>
    </w:p>
    <w:p w14:paraId="36E62745" w14:textId="78975024" w:rsidR="004614AE" w:rsidRDefault="00000000">
      <w:pPr>
        <w:sectPr w:rsidR="004614AE">
          <w:headerReference w:type="even" r:id="rId15"/>
          <w:headerReference w:type="default" r:id="rId16"/>
          <w:headerReference w:type="first" r:id="rId17"/>
          <w:pgSz w:w="11906" w:h="16838"/>
          <w:pgMar w:top="1440" w:right="1800" w:bottom="1440" w:left="1800" w:header="851" w:footer="992" w:gutter="0"/>
          <w:pgNumType w:chapStyle="1"/>
          <w:cols w:space="720"/>
          <w:docGrid w:type="lines" w:linePitch="312"/>
        </w:sectPr>
      </w:pPr>
      <w:r>
        <w:fldChar w:fldCharType="end"/>
      </w:r>
      <w:bookmarkStart w:id="32" w:name="_Toc416264537"/>
      <w:bookmarkStart w:id="33" w:name="_Toc263092309"/>
      <w:bookmarkStart w:id="34" w:name="_Toc352229747"/>
      <w:bookmarkStart w:id="35" w:name="_Toc2465"/>
      <w:bookmarkStart w:id="36" w:name="_Toc24860"/>
      <w:bookmarkStart w:id="37" w:name="_Toc13020"/>
      <w:bookmarkStart w:id="38" w:name="_Toc6617"/>
      <w:bookmarkStart w:id="39" w:name="_Toc31551"/>
      <w:bookmarkStart w:id="40" w:name="_Toc3224"/>
      <w:bookmarkStart w:id="41" w:name="_Toc258829399"/>
      <w:bookmarkStart w:id="42" w:name="_Toc22864"/>
      <w:bookmarkStart w:id="43" w:name="_Toc19592"/>
      <w:bookmarkStart w:id="44" w:name="_Toc21301"/>
      <w:bookmarkStart w:id="45" w:name="_Toc81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67D601A" w14:textId="77777777" w:rsidR="004614AE" w:rsidRDefault="00000000">
      <w:pPr>
        <w:pStyle w:val="1"/>
        <w:jc w:val="center"/>
        <w:rPr>
          <w:sz w:val="30"/>
          <w:szCs w:val="30"/>
        </w:rPr>
      </w:pPr>
      <w:bookmarkStart w:id="47" w:name="_Toc68266288"/>
      <w:bookmarkStart w:id="48" w:name="_Toc119568457"/>
      <w:r>
        <w:rPr>
          <w:rFonts w:hint="eastAsia"/>
          <w:sz w:val="30"/>
          <w:szCs w:val="30"/>
        </w:rPr>
        <w:lastRenderedPageBreak/>
        <w:t>第一部分</w:t>
      </w:r>
      <w:r>
        <w:rPr>
          <w:sz w:val="30"/>
          <w:szCs w:val="30"/>
        </w:rPr>
        <w:t xml:space="preserve">  </w:t>
      </w:r>
      <w:r>
        <w:rPr>
          <w:rFonts w:hint="eastAsia"/>
          <w:sz w:val="30"/>
          <w:szCs w:val="30"/>
        </w:rPr>
        <w:t>绪言</w:t>
      </w:r>
      <w:bookmarkEnd w:id="32"/>
      <w:bookmarkEnd w:id="33"/>
      <w:bookmarkEnd w:id="47"/>
      <w:bookmarkEnd w:id="48"/>
    </w:p>
    <w:p w14:paraId="02DC9DB7"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招募说明书》（以下简称“招募说明书”或“本招募说明书”）依照《中华人民共和国证券投资基金法》（以下简称“《基金法》”）、《公开募集证券投资基金运作管理办法》（以下简称“《运作办法》”）、《公开募集证券投资基金销售机构监督管理办法》（以下简称“《销售办法》”）、《</w:t>
      </w:r>
      <w:r>
        <w:rPr>
          <w:rFonts w:hint="eastAsia"/>
          <w:bCs/>
          <w:kern w:val="0"/>
          <w:sz w:val="24"/>
        </w:rPr>
        <w:t>公开募集证券投资基金信息披露管理办法</w:t>
      </w:r>
      <w:r>
        <w:rPr>
          <w:rFonts w:asciiTheme="minorEastAsia" w:hAnsiTheme="minorEastAsia" w:cs="Arial" w:hint="eastAsia"/>
          <w:sz w:val="24"/>
          <w:szCs w:val="24"/>
        </w:rPr>
        <w:t>》（以下简称“《信息披露办法》”）、《公开募集开放式证券投资基金流动性风险管理规定》（以下简称“《管理规定》”）以及《富荣福耀混合型证券投资基金基金合同》（以下简称“基金合同”）编写。</w:t>
      </w:r>
    </w:p>
    <w:p w14:paraId="649B27E8"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2F56D27D"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耀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0D5E2C6" w14:textId="77777777" w:rsidR="004614AE" w:rsidRDefault="00000000">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Pr>
          <w:rFonts w:asciiTheme="minorEastAsia" w:hAnsiTheme="minorEastAsia" w:cs="Arial" w:hint="eastAsia"/>
          <w:sz w:val="24"/>
          <w:szCs w:val="24"/>
        </w:rPr>
        <w:t>投资人自依基金</w:t>
      </w:r>
      <w:proofErr w:type="gramEnd"/>
      <w:r>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186985D9" w14:textId="77777777" w:rsidR="004614AE" w:rsidRDefault="004614AE">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4614AE">
          <w:headerReference w:type="even" r:id="rId18"/>
          <w:headerReference w:type="default" r:id="rId19"/>
          <w:footerReference w:type="default" r:id="rId20"/>
          <w:headerReference w:type="first" r:id="rId21"/>
          <w:pgSz w:w="11906" w:h="16838"/>
          <w:pgMar w:top="1440" w:right="1800" w:bottom="1440" w:left="1800" w:header="851" w:footer="992" w:gutter="0"/>
          <w:pgNumType w:chapStyle="1"/>
          <w:cols w:space="720"/>
          <w:docGrid w:type="lines" w:linePitch="312"/>
        </w:sectPr>
      </w:pPr>
      <w:bookmarkStart w:id="49" w:name="_Toc22708"/>
      <w:bookmarkStart w:id="50" w:name="_Toc6683"/>
      <w:bookmarkStart w:id="51" w:name="_Toc24571"/>
      <w:bookmarkStart w:id="52" w:name="_Toc20318"/>
      <w:bookmarkStart w:id="53" w:name="_Toc545"/>
      <w:bookmarkStart w:id="54" w:name="_Toc20627"/>
      <w:bookmarkStart w:id="55" w:name="_Toc13288"/>
      <w:bookmarkStart w:id="56" w:name="_Toc18631"/>
      <w:bookmarkStart w:id="57" w:name="_Toc6149"/>
      <w:bookmarkStart w:id="58" w:name="_Toc733"/>
      <w:bookmarkStart w:id="59" w:name="_Toc352229748"/>
      <w:bookmarkStart w:id="60" w:name="_Toc5246"/>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234086FD" w14:textId="77777777" w:rsidR="004614AE" w:rsidRDefault="00000000">
      <w:pPr>
        <w:pStyle w:val="1"/>
        <w:jc w:val="center"/>
        <w:rPr>
          <w:sz w:val="30"/>
          <w:szCs w:val="30"/>
        </w:rPr>
      </w:pPr>
      <w:bookmarkStart w:id="63" w:name="_Toc68266289"/>
      <w:bookmarkStart w:id="64" w:name="_Toc119568458"/>
      <w:r>
        <w:rPr>
          <w:rFonts w:hint="eastAsia"/>
          <w:sz w:val="30"/>
          <w:szCs w:val="30"/>
        </w:rPr>
        <w:lastRenderedPageBreak/>
        <w:t>第二部分</w:t>
      </w:r>
      <w:r>
        <w:rPr>
          <w:sz w:val="30"/>
          <w:szCs w:val="30"/>
        </w:rPr>
        <w:t xml:space="preserve">  </w:t>
      </w:r>
      <w:r>
        <w:rPr>
          <w:rFonts w:hint="eastAsia"/>
          <w:sz w:val="30"/>
          <w:szCs w:val="30"/>
        </w:rPr>
        <w:t>释义</w:t>
      </w:r>
      <w:bookmarkEnd w:id="63"/>
      <w:bookmarkEnd w:id="64"/>
    </w:p>
    <w:p w14:paraId="7D875160"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4B49DC4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、基金或本基金：指富荣福耀混合型证券投资基金</w:t>
      </w:r>
    </w:p>
    <w:p w14:paraId="6B94EC01"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4B2EDC7F"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、基金托管人：指国泰君安证券股份有限公司</w:t>
      </w:r>
    </w:p>
    <w:p w14:paraId="5FCDD0F9"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、基金合同：指《富荣福耀混合型证券投资基金基金合同》及对基金合同的任何有效修订和补充</w:t>
      </w:r>
    </w:p>
    <w:p w14:paraId="75D6BC51"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、托管协议：指基金管理人与基金托管人就本基金签订之《富荣福耀混合型证券投资基金托管协议》及对该托管协议的任何有效修订和补充</w:t>
      </w:r>
    </w:p>
    <w:p w14:paraId="4A0363C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、招募说明书或本招募说明书：指《富荣福耀混合型证券投资基金招募说明书》及其更新</w:t>
      </w:r>
    </w:p>
    <w:p w14:paraId="7F1819A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w:t>
      </w:r>
      <w:r>
        <w:rPr>
          <w:rFonts w:asciiTheme="minorEastAsia" w:hAnsiTheme="minorEastAsia" w:cs="Times New Roman" w:hint="eastAsia"/>
          <w:sz w:val="24"/>
          <w:szCs w:val="24"/>
        </w:rPr>
        <w:t>、基金份额发售公告：指《富荣福耀混合型证券投资基金基金份额发售公告》</w:t>
      </w:r>
    </w:p>
    <w:p w14:paraId="5A9D946E"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A541B99"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37B39C0B"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 指中国证监会2020年8月28日颁布、同年10月1日实施的《公开募集证券投资基金销售机构监督管理办法》及颁布机关对其不时做出的修订</w:t>
      </w:r>
    </w:p>
    <w:p w14:paraId="00761536"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w:t>
      </w:r>
      <w:r>
        <w:rPr>
          <w:rFonts w:hint="eastAsia"/>
          <w:bCs/>
          <w:kern w:val="0"/>
          <w:sz w:val="24"/>
        </w:rPr>
        <w:t>指中国证监会</w:t>
      </w:r>
      <w:r>
        <w:rPr>
          <w:bCs/>
          <w:kern w:val="0"/>
          <w:sz w:val="24"/>
        </w:rPr>
        <w:t>2019</w:t>
      </w:r>
      <w:r>
        <w:rPr>
          <w:rFonts w:hint="eastAsia"/>
          <w:bCs/>
          <w:kern w:val="0"/>
          <w:sz w:val="24"/>
        </w:rPr>
        <w:t>年</w:t>
      </w:r>
      <w:r>
        <w:rPr>
          <w:bCs/>
          <w:kern w:val="0"/>
          <w:sz w:val="24"/>
        </w:rPr>
        <w:t>7</w:t>
      </w:r>
      <w:r>
        <w:rPr>
          <w:rFonts w:hint="eastAsia"/>
          <w:bCs/>
          <w:kern w:val="0"/>
          <w:sz w:val="24"/>
        </w:rPr>
        <w:t>月</w:t>
      </w:r>
      <w:r>
        <w:rPr>
          <w:bCs/>
          <w:kern w:val="0"/>
          <w:sz w:val="24"/>
        </w:rPr>
        <w:t>26</w:t>
      </w:r>
      <w:r>
        <w:rPr>
          <w:rFonts w:hint="eastAsia"/>
          <w:bCs/>
          <w:kern w:val="0"/>
          <w:sz w:val="24"/>
        </w:rPr>
        <w:t>日颁布、同年</w:t>
      </w:r>
      <w:r>
        <w:rPr>
          <w:bCs/>
          <w:kern w:val="0"/>
          <w:sz w:val="24"/>
        </w:rPr>
        <w:t>9</w:t>
      </w:r>
      <w:r>
        <w:rPr>
          <w:rFonts w:hint="eastAsia"/>
          <w:bCs/>
          <w:kern w:val="0"/>
          <w:sz w:val="24"/>
        </w:rPr>
        <w:t>月</w:t>
      </w:r>
      <w:r>
        <w:rPr>
          <w:bCs/>
          <w:kern w:val="0"/>
          <w:sz w:val="24"/>
        </w:rPr>
        <w:t>1</w:t>
      </w:r>
      <w:r>
        <w:rPr>
          <w:rFonts w:hint="eastAsia"/>
          <w:bCs/>
          <w:kern w:val="0"/>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rFonts w:hint="eastAsia"/>
          <w:bCs/>
          <w:kern w:val="0"/>
          <w:sz w:val="24"/>
        </w:rPr>
        <w:t>《公开募集证券投资基金信息披露管理办法》</w:t>
      </w:r>
      <w:r>
        <w:rPr>
          <w:rFonts w:asciiTheme="minorEastAsia" w:hAnsiTheme="minorEastAsia" w:cs="Times New Roman" w:hint="eastAsia"/>
          <w:sz w:val="24"/>
          <w:szCs w:val="24"/>
        </w:rPr>
        <w:t>及颁布机关对其不时做出的修订</w:t>
      </w:r>
    </w:p>
    <w:p w14:paraId="4D186978"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w:t>
      </w:r>
      <w:r>
        <w:rPr>
          <w:rFonts w:asciiTheme="minorEastAsia" w:hAnsiTheme="minorEastAsia" w:cs="Times New Roman" w:hint="eastAsia"/>
          <w:sz w:val="24"/>
          <w:szCs w:val="24"/>
        </w:rPr>
        <w:lastRenderedPageBreak/>
        <w:t>的《公开募集证券投资基金运作管理办法》及颁布机关对其不时做出的修订</w:t>
      </w:r>
    </w:p>
    <w:p w14:paraId="3C930AEB"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13</w:t>
      </w:r>
      <w:r>
        <w:rPr>
          <w:rFonts w:asciiTheme="minorEastAsia" w:hAnsiTheme="minorEastAsia" w:cs="Times New Roman" w:hint="eastAsia"/>
          <w:sz w:val="24"/>
          <w:szCs w:val="24"/>
        </w:rPr>
        <w:t>、《流动性风险管理规定》：指中国证监会2017年8月31日颁布、同年10月1日实施的《公开募集开放式证券投资基金流动性风险管理规定》及颁布机关对其不时做出的修订</w:t>
      </w:r>
    </w:p>
    <w:p w14:paraId="7016B501"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14</w:t>
      </w:r>
      <w:r>
        <w:rPr>
          <w:rFonts w:asciiTheme="minorEastAsia" w:hAnsiTheme="minorEastAsia" w:cs="Times New Roman" w:hint="eastAsia"/>
          <w:sz w:val="24"/>
          <w:szCs w:val="24"/>
        </w:rPr>
        <w:t>、中国证监会：指中国证券监督管理委员会</w:t>
      </w:r>
    </w:p>
    <w:p w14:paraId="322AED30"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33DA0DCD"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16</w:t>
      </w:r>
      <w:r>
        <w:rPr>
          <w:rFonts w:asciiTheme="minorEastAsia" w:hAnsiTheme="minorEastAsia" w:cs="Times New Roman" w:hint="eastAsia"/>
          <w:sz w:val="24"/>
          <w:szCs w:val="24"/>
        </w:rPr>
        <w:t>、个人投资者：指依据有关法律法规规定可投资于证券投资基金的自然人</w:t>
      </w:r>
    </w:p>
    <w:p w14:paraId="4F503043"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17</w:t>
      </w:r>
      <w:r>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52585C6C" w14:textId="77777777" w:rsidR="004614AE" w:rsidRDefault="00000000">
      <w:pPr>
        <w:spacing w:line="360" w:lineRule="auto"/>
        <w:ind w:firstLineChars="200" w:firstLine="480"/>
        <w:rPr>
          <w:bCs/>
          <w:sz w:val="24"/>
        </w:rPr>
      </w:pPr>
      <w:r>
        <w:rPr>
          <w:rFonts w:asciiTheme="minorEastAsia" w:hAnsiTheme="minorEastAsia" w:cs="Times New Roman"/>
          <w:sz w:val="24"/>
          <w:szCs w:val="24"/>
        </w:rPr>
        <w:t>18</w:t>
      </w:r>
      <w:r>
        <w:rPr>
          <w:rFonts w:asciiTheme="minorEastAsia" w:hAnsiTheme="minorEastAsia" w:cs="Times New Roman" w:hint="eastAsia"/>
          <w:sz w:val="24"/>
          <w:szCs w:val="24"/>
        </w:rPr>
        <w:t>、</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Pr>
          <w:bCs/>
          <w:sz w:val="24"/>
        </w:rPr>
        <w:t xml:space="preserve"> </w:t>
      </w:r>
    </w:p>
    <w:p w14:paraId="22DE6C29"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19</w:t>
      </w:r>
      <w:r>
        <w:rPr>
          <w:rFonts w:asciiTheme="minorEastAsia" w:hAnsiTheme="minorEastAsia" w:cs="Times New Roman" w:hint="eastAsia"/>
          <w:sz w:val="24"/>
          <w:szCs w:val="24"/>
        </w:rPr>
        <w:t>、投资人、投资者：指个人投资者、机构投资者、合格境外投资者以及法律法规或中国证监会允许购买证券投资基金的其他投资人的合称</w:t>
      </w:r>
    </w:p>
    <w:p w14:paraId="49E81AF7"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Pr>
          <w:rFonts w:asciiTheme="minorEastAsia" w:hAnsiTheme="minorEastAsia" w:cs="Times New Roman" w:hint="eastAsia"/>
          <w:sz w:val="24"/>
          <w:szCs w:val="24"/>
        </w:rPr>
        <w:t>、基金份额持有人：指依基金合同和招募说明书合法取得基金份额的投资人</w:t>
      </w:r>
    </w:p>
    <w:p w14:paraId="685F46CD"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21</w:t>
      </w:r>
      <w:r>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2A2C14D8"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Pr>
          <w:rFonts w:asciiTheme="minorEastAsia" w:hAnsiTheme="minorEastAsia" w:cs="Times New Roman" w:hint="eastAsia"/>
          <w:sz w:val="24"/>
          <w:szCs w:val="24"/>
        </w:rPr>
        <w:t>、销售机构：指富荣基金管理有限公司以及符合《销售办法》和中国证监会规定的其他条件，取得基金销售业务资格并与基金管理人签订了基金销售服务协议，办理基金销售业务的机构</w:t>
      </w:r>
    </w:p>
    <w:p w14:paraId="78286B4C"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asciiTheme="minorEastAsia" w:hAnsiTheme="minorEastAsia" w:cs="Times New Roman" w:hint="eastAsia"/>
          <w:sz w:val="24"/>
          <w:szCs w:val="24"/>
        </w:rPr>
        <w:t>非交易</w:t>
      </w:r>
      <w:proofErr w:type="gramEnd"/>
      <w:r>
        <w:rPr>
          <w:rFonts w:asciiTheme="minorEastAsia" w:hAnsiTheme="minorEastAsia" w:cs="Times New Roman" w:hint="eastAsia"/>
          <w:sz w:val="24"/>
          <w:szCs w:val="24"/>
        </w:rPr>
        <w:t>过户等</w:t>
      </w:r>
    </w:p>
    <w:p w14:paraId="41A931B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Pr>
          <w:rFonts w:asciiTheme="minorEastAsia" w:hAnsiTheme="minorEastAsia" w:cs="Times New Roman" w:hint="eastAsia"/>
          <w:sz w:val="24"/>
          <w:szCs w:val="24"/>
        </w:rPr>
        <w:t>、登记机构：</w:t>
      </w:r>
      <w:proofErr w:type="gramStart"/>
      <w:r>
        <w:rPr>
          <w:rFonts w:asciiTheme="minorEastAsia" w:hAnsiTheme="minorEastAsia" w:cs="Times New Roman" w:hint="eastAsia"/>
          <w:sz w:val="24"/>
          <w:szCs w:val="24"/>
        </w:rPr>
        <w:t>指办理</w:t>
      </w:r>
      <w:proofErr w:type="gramEnd"/>
      <w:r>
        <w:rPr>
          <w:rFonts w:asciiTheme="minorEastAsia" w:hAnsiTheme="minorEastAsia" w:cs="Times New Roman" w:hint="eastAsia"/>
          <w:sz w:val="24"/>
          <w:szCs w:val="24"/>
        </w:rPr>
        <w:t>登记业务的机构。基金登记机构为富荣基金管理有限公司或接受富荣基金管理有限公司委托代为办理登记业务的机构</w:t>
      </w:r>
    </w:p>
    <w:p w14:paraId="12E594CC"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Pr>
          <w:rFonts w:asciiTheme="minorEastAsia" w:hAnsiTheme="minorEastAsia" w:cs="Times New Roman" w:hint="eastAsia"/>
          <w:sz w:val="24"/>
          <w:szCs w:val="24"/>
        </w:rPr>
        <w:t>、基金账户：指登记机构为投资人开立的、记录其持有的、基金管理人所</w:t>
      </w:r>
      <w:r>
        <w:rPr>
          <w:rFonts w:asciiTheme="minorEastAsia" w:hAnsiTheme="minorEastAsia" w:cs="Times New Roman" w:hint="eastAsia"/>
          <w:sz w:val="24"/>
          <w:szCs w:val="24"/>
        </w:rPr>
        <w:lastRenderedPageBreak/>
        <w:t>管理的基金份额余额及其变动情况的账户</w:t>
      </w:r>
    </w:p>
    <w:p w14:paraId="0C8A22FD"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2A6D0553"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33720A95"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390CD045"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29</w:t>
      </w:r>
      <w:r>
        <w:rPr>
          <w:rFonts w:asciiTheme="minorEastAsia" w:hAnsiTheme="minorEastAsia" w:cs="Times New Roman" w:hint="eastAsia"/>
          <w:sz w:val="24"/>
          <w:szCs w:val="24"/>
        </w:rPr>
        <w:t>、基金募集期：指自基金份额发售之日起至发售结束之日止的期间，最长不得超过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3B9EAE40"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Pr>
          <w:rFonts w:asciiTheme="minorEastAsia" w:hAnsiTheme="minorEastAsia" w:cs="Times New Roman" w:hint="eastAsia"/>
          <w:sz w:val="24"/>
          <w:szCs w:val="24"/>
        </w:rPr>
        <w:t>、存续期：指基金合同生效至终止之间的不定期期限</w:t>
      </w:r>
    </w:p>
    <w:p w14:paraId="518F9628"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31</w:t>
      </w:r>
      <w:r>
        <w:rPr>
          <w:rFonts w:asciiTheme="minorEastAsia" w:hAnsiTheme="minorEastAsia" w:cs="Times New Roman" w:hint="eastAsia"/>
          <w:sz w:val="24"/>
          <w:szCs w:val="24"/>
        </w:rPr>
        <w:t>、工作日：指上海证券交易所、深圳证券交易所的正常交易日</w:t>
      </w:r>
    </w:p>
    <w:p w14:paraId="0C804C42"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32</w:t>
      </w:r>
      <w:r>
        <w:rPr>
          <w:rFonts w:asciiTheme="minorEastAsia" w:hAnsiTheme="minorEastAsia" w:cs="Times New Roman" w:hint="eastAsia"/>
          <w:sz w:val="24"/>
          <w:szCs w:val="24"/>
        </w:rPr>
        <w:t>、</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30FA3DA5"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33</w:t>
      </w:r>
      <w:r>
        <w:rPr>
          <w:rFonts w:asciiTheme="minorEastAsia" w:hAnsiTheme="minorEastAsia" w:cs="Times New Roman" w:hint="eastAsia"/>
          <w:sz w:val="24"/>
          <w:szCs w:val="24"/>
        </w:rPr>
        <w:t>、</w:t>
      </w:r>
      <w:proofErr w:type="spellStart"/>
      <w:r>
        <w:rPr>
          <w:rFonts w:asciiTheme="minorEastAsia" w:hAnsiTheme="minorEastAsia" w:cs="Times New Roman"/>
          <w:sz w:val="24"/>
          <w:szCs w:val="24"/>
        </w:rPr>
        <w:t>T+n</w:t>
      </w:r>
      <w:proofErr w:type="spellEnd"/>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proofErr w:type="gramStart"/>
      <w:r>
        <w:rPr>
          <w:rFonts w:asciiTheme="minorEastAsia" w:hAnsiTheme="minorEastAsia" w:cs="Times New Roman" w:hint="eastAsia"/>
          <w:sz w:val="24"/>
          <w:szCs w:val="24"/>
        </w:rPr>
        <w:t>个</w:t>
      </w:r>
      <w:proofErr w:type="gramEnd"/>
      <w:r>
        <w:rPr>
          <w:rFonts w:asciiTheme="minorEastAsia" w:hAnsiTheme="minorEastAsia" w:cs="Times New Roman" w:hint="eastAsia"/>
          <w:sz w:val="24"/>
          <w:szCs w:val="24"/>
        </w:rPr>
        <w:t>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日），n为自然数</w:t>
      </w:r>
    </w:p>
    <w:p w14:paraId="0B1BA93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34</w:t>
      </w:r>
      <w:r>
        <w:rPr>
          <w:rFonts w:asciiTheme="minorEastAsia" w:hAnsiTheme="minorEastAsia" w:cs="Times New Roman" w:hint="eastAsia"/>
          <w:sz w:val="24"/>
          <w:szCs w:val="24"/>
        </w:rPr>
        <w:t>、开放日：指为投资人办理基金份额申购、赎回或其他业务的工作日</w:t>
      </w:r>
    </w:p>
    <w:p w14:paraId="3F37D815"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35</w:t>
      </w:r>
      <w:r>
        <w:rPr>
          <w:rFonts w:asciiTheme="minorEastAsia" w:hAnsiTheme="minorEastAsia" w:cs="Times New Roman" w:hint="eastAsia"/>
          <w:sz w:val="24"/>
          <w:szCs w:val="24"/>
        </w:rPr>
        <w:t>、开放时间：指开放日基金接受申购、赎回或其他交易的时间段</w:t>
      </w:r>
    </w:p>
    <w:p w14:paraId="5C697871"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36</w:t>
      </w:r>
      <w:r>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553E6695"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Pr>
          <w:rFonts w:asciiTheme="minorEastAsia" w:hAnsiTheme="minorEastAsia" w:cs="Times New Roman" w:hint="eastAsia"/>
          <w:sz w:val="24"/>
          <w:szCs w:val="24"/>
        </w:rPr>
        <w:t>、认购：指在基金募集期内，投资人根据基金合同和招募说明书的规定申请购买基金份额的行为</w:t>
      </w:r>
    </w:p>
    <w:p w14:paraId="55F252AC"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Pr>
          <w:rFonts w:asciiTheme="minorEastAsia" w:hAnsiTheme="minorEastAsia" w:cs="Times New Roman" w:hint="eastAsia"/>
          <w:sz w:val="24"/>
          <w:szCs w:val="24"/>
        </w:rPr>
        <w:t>、申购：指基金合同生效后，投资人根据基金合同和招募说明书的规定申请购买基金份额的行为</w:t>
      </w:r>
    </w:p>
    <w:p w14:paraId="4C5A6394"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42AB0F77"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份额的行为</w:t>
      </w:r>
    </w:p>
    <w:p w14:paraId="377D14E2"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lastRenderedPageBreak/>
        <w:t>41</w:t>
      </w:r>
      <w:r>
        <w:rPr>
          <w:rFonts w:asciiTheme="minorEastAsia" w:hAnsiTheme="minorEastAsia" w:cs="Times New Roman" w:hint="eastAsia"/>
          <w:sz w:val="24"/>
          <w:szCs w:val="24"/>
        </w:rPr>
        <w:t>、转托管：指基金份额持有人在本基金的不同销售机构之间实施的变更所持基金份额销售机构的操作</w:t>
      </w:r>
    </w:p>
    <w:p w14:paraId="5496F4F9"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42</w:t>
      </w:r>
      <w:r>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3E40CA40"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43</w:t>
      </w:r>
      <w:r>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569BD244"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44</w:t>
      </w:r>
      <w:r>
        <w:rPr>
          <w:rFonts w:asciiTheme="minorEastAsia" w:hAnsiTheme="minorEastAsia" w:cs="Times New Roman" w:hint="eastAsia"/>
          <w:sz w:val="24"/>
          <w:szCs w:val="24"/>
        </w:rPr>
        <w:t>、元：指人民币元</w:t>
      </w:r>
    </w:p>
    <w:p w14:paraId="32DE4C73"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45</w:t>
      </w:r>
      <w:r>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527B823"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46</w:t>
      </w:r>
      <w:r>
        <w:rPr>
          <w:rFonts w:asciiTheme="minorEastAsia" w:hAnsiTheme="minorEastAsia" w:cs="Times New Roman" w:hint="eastAsia"/>
          <w:sz w:val="24"/>
          <w:szCs w:val="24"/>
        </w:rPr>
        <w:t>、基金资产总值：指基金拥有的各类有价证券、银行存款本息、基金应收款项及其他资产的价值总和</w:t>
      </w:r>
    </w:p>
    <w:p w14:paraId="2FCFE0D2"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47</w:t>
      </w:r>
      <w:r>
        <w:rPr>
          <w:rFonts w:asciiTheme="minorEastAsia" w:hAnsiTheme="minorEastAsia" w:cs="Times New Roman" w:hint="eastAsia"/>
          <w:sz w:val="24"/>
          <w:szCs w:val="24"/>
        </w:rPr>
        <w:t>、基金资产净值：指基金资产总值减去基金负债后的价值</w:t>
      </w:r>
    </w:p>
    <w:p w14:paraId="54F0A46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48</w:t>
      </w:r>
      <w:r>
        <w:rPr>
          <w:rFonts w:asciiTheme="minorEastAsia" w:hAnsiTheme="minorEastAsia" w:cs="Times New Roman" w:hint="eastAsia"/>
          <w:sz w:val="24"/>
          <w:szCs w:val="24"/>
        </w:rPr>
        <w:t>、基金份额净值：指计算日基金资产净值除以计算日基金份额总数</w:t>
      </w:r>
    </w:p>
    <w:p w14:paraId="2EE06554"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49</w:t>
      </w:r>
      <w:r>
        <w:rPr>
          <w:rFonts w:asciiTheme="minorEastAsia" w:hAnsiTheme="minorEastAsia" w:cs="Times New Roman" w:hint="eastAsia"/>
          <w:sz w:val="24"/>
          <w:szCs w:val="24"/>
        </w:rPr>
        <w:t>、基金资产估值：指计算评估基金资产和负债的价值，以确定基金资产净值和基金份额净值的过程</w:t>
      </w:r>
    </w:p>
    <w:p w14:paraId="719C13CA"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0BB02924"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51、不可抗力：指基金合同当事人不能预见、不能避免且不能克服的客观事件</w:t>
      </w:r>
    </w:p>
    <w:p w14:paraId="00270E31"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52、流动性受限资产：指由于法律法规、监管、合同或操作障碍等原因无法以合理价格予以变现的资产，包括但不限于到期日在10个交易日以上的逆回购与银行定期存款（</w:t>
      </w:r>
      <w:proofErr w:type="gramStart"/>
      <w:r>
        <w:rPr>
          <w:rFonts w:asciiTheme="minorEastAsia" w:hAnsiTheme="minorEastAsia" w:cs="Times New Roman" w:hint="eastAsia"/>
          <w:sz w:val="24"/>
          <w:szCs w:val="24"/>
        </w:rPr>
        <w:t>含协议</w:t>
      </w:r>
      <w:proofErr w:type="gramEnd"/>
      <w:r>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7558258B"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53、摆动定价机制：指当开放式基金遭遇大额申购赎回时，通过调整基金份额净值的方式，将基金调整投资组合的市场冲击成本分配给实际申购、赎回的投</w:t>
      </w:r>
      <w:r>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51A54B18"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54、基金份额类别：指根据认购/申购费用、赎回费用、销售服务费用收取方式的不同将本</w:t>
      </w:r>
      <w:proofErr w:type="gramStart"/>
      <w:r>
        <w:rPr>
          <w:rFonts w:asciiTheme="minorEastAsia" w:hAnsiTheme="minorEastAsia" w:cs="Times New Roman" w:hint="eastAsia"/>
          <w:sz w:val="24"/>
          <w:szCs w:val="24"/>
        </w:rPr>
        <w:t>基金基金</w:t>
      </w:r>
      <w:proofErr w:type="gramEnd"/>
      <w:r>
        <w:rPr>
          <w:rFonts w:asciiTheme="minorEastAsia" w:hAnsiTheme="minorEastAsia" w:cs="Times New Roman" w:hint="eastAsia"/>
          <w:sz w:val="24"/>
          <w:szCs w:val="24"/>
        </w:rPr>
        <w:t>份额分为不同的类别，各基金份额类别分别设置代码，并分别计算和公告基金份额净值</w:t>
      </w:r>
    </w:p>
    <w:p w14:paraId="4D3EBAD9"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55、A类基金份额：指在投资人认购/申购时收取认购/申购费用但不从本类别基金资产中计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服务费、赎回时根据持有期限收取赎回费用的基金份额类别</w:t>
      </w:r>
    </w:p>
    <w:p w14:paraId="7A92FC95"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56、C类基金份额：指从本类别基金资产中计</w:t>
      </w:r>
      <w:proofErr w:type="gramStart"/>
      <w:r>
        <w:rPr>
          <w:rFonts w:asciiTheme="minorEastAsia" w:hAnsiTheme="minorEastAsia" w:cs="Times New Roman" w:hint="eastAsia"/>
          <w:sz w:val="24"/>
          <w:szCs w:val="24"/>
        </w:rPr>
        <w:t>提销售</w:t>
      </w:r>
      <w:proofErr w:type="gramEnd"/>
      <w:r>
        <w:rPr>
          <w:rFonts w:asciiTheme="minorEastAsia" w:hAnsiTheme="minorEastAsia" w:cs="Times New Roman" w:hint="eastAsia"/>
          <w:sz w:val="24"/>
          <w:szCs w:val="24"/>
        </w:rPr>
        <w:t>服务费而不收取认购/申购费用、赎回时根据持有期限收取赎回费用的基金份额类别</w:t>
      </w:r>
    </w:p>
    <w:p w14:paraId="73F0D397"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57、销售服务费：指从基金资产中计提的，用于本基金市场推广、销售以及基金份额持有人服务的费用</w:t>
      </w:r>
    </w:p>
    <w:p w14:paraId="78F2449C"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58、基金产品资料概要：指《富荣福耀混合型证券投资基金基金产品资料概要》及其更新</w:t>
      </w:r>
    </w:p>
    <w:p w14:paraId="013EFF26"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59、</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Pr>
          <w:rFonts w:asciiTheme="minorEastAsia" w:hAnsiTheme="minorEastAsia" w:cs="Times New Roman" w:hint="eastAsia"/>
          <w:sz w:val="24"/>
          <w:szCs w:val="24"/>
        </w:rPr>
        <w:t>侧袋机制</w:t>
      </w:r>
      <w:proofErr w:type="gramEnd"/>
      <w:r>
        <w:rPr>
          <w:rFonts w:asciiTheme="minorEastAsia" w:hAnsiTheme="minorEastAsia" w:cs="Times New Roman" w:hint="eastAsia"/>
          <w:sz w:val="24"/>
          <w:szCs w:val="24"/>
        </w:rPr>
        <w:t>实施期间，原有账户称为主袋账户，专门账户</w:t>
      </w:r>
      <w:proofErr w:type="gramStart"/>
      <w:r>
        <w:rPr>
          <w:rFonts w:asciiTheme="minorEastAsia" w:hAnsiTheme="minorEastAsia" w:cs="Times New Roman" w:hint="eastAsia"/>
          <w:sz w:val="24"/>
          <w:szCs w:val="24"/>
        </w:rPr>
        <w:t>称为侧袋账户</w:t>
      </w:r>
      <w:proofErr w:type="gramEnd"/>
    </w:p>
    <w:p w14:paraId="68CF0CA0"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60、特定资产：包括：（一）无可参考的活跃市场价格且采用估值技术</w:t>
      </w:r>
      <w:proofErr w:type="gramStart"/>
      <w:r>
        <w:rPr>
          <w:rFonts w:asciiTheme="minorEastAsia" w:hAnsiTheme="minorEastAsia" w:cs="Times New Roman" w:hint="eastAsia"/>
          <w:sz w:val="24"/>
          <w:szCs w:val="24"/>
        </w:rPr>
        <w:t>仍导致</w:t>
      </w:r>
      <w:proofErr w:type="gramEnd"/>
      <w:r>
        <w:rPr>
          <w:rFonts w:asciiTheme="minorEastAsia" w:hAnsiTheme="minorEastAsia" w:cs="Times New Roman" w:hint="eastAsia"/>
          <w:sz w:val="24"/>
          <w:szCs w:val="24"/>
        </w:rPr>
        <w:t>公允价值存在重大不确定性的资产；（二）</w:t>
      </w:r>
      <w:proofErr w:type="gramStart"/>
      <w:r>
        <w:rPr>
          <w:rFonts w:asciiTheme="minorEastAsia" w:hAnsiTheme="minorEastAsia" w:cs="Times New Roman" w:hint="eastAsia"/>
          <w:sz w:val="24"/>
          <w:szCs w:val="24"/>
        </w:rPr>
        <w:t>按摊余成本</w:t>
      </w:r>
      <w:proofErr w:type="gramEnd"/>
      <w:r>
        <w:rPr>
          <w:rFonts w:asciiTheme="minorEastAsia" w:hAnsiTheme="minorEastAsia" w:cs="Times New Roman" w:hint="eastAsia"/>
          <w:sz w:val="24"/>
          <w:szCs w:val="24"/>
        </w:rPr>
        <w:t>计量且计提资产减值</w:t>
      </w:r>
      <w:proofErr w:type="gramStart"/>
      <w:r>
        <w:rPr>
          <w:rFonts w:asciiTheme="minorEastAsia" w:hAnsiTheme="minorEastAsia" w:cs="Times New Roman" w:hint="eastAsia"/>
          <w:sz w:val="24"/>
          <w:szCs w:val="24"/>
        </w:rPr>
        <w:t>准备仍导致</w:t>
      </w:r>
      <w:proofErr w:type="gramEnd"/>
      <w:r>
        <w:rPr>
          <w:rFonts w:asciiTheme="minorEastAsia" w:hAnsiTheme="minorEastAsia" w:cs="Times New Roman" w:hint="eastAsia"/>
          <w:sz w:val="24"/>
          <w:szCs w:val="24"/>
        </w:rPr>
        <w:t>资产价值存在重大不确定性的资产；（三）其他资产价值存在重大不确定性的资产</w:t>
      </w:r>
    </w:p>
    <w:p w14:paraId="6A243C53" w14:textId="77777777" w:rsidR="004614AE" w:rsidRDefault="00000000">
      <w:pPr>
        <w:spacing w:line="360" w:lineRule="auto"/>
        <w:ind w:firstLineChars="200" w:firstLine="480"/>
        <w:rPr>
          <w:b/>
          <w:bCs/>
        </w:rPr>
        <w:sectPr w:rsidR="004614AE">
          <w:headerReference w:type="even" r:id="rId22"/>
          <w:headerReference w:type="default" r:id="rId23"/>
          <w:footerReference w:type="default" r:id="rId24"/>
          <w:headerReference w:type="first" r:id="rId25"/>
          <w:pgSz w:w="11906" w:h="16838"/>
          <w:pgMar w:top="1440" w:right="1800" w:bottom="1440" w:left="1800" w:header="851" w:footer="992" w:gutter="0"/>
          <w:pgNumType w:start="5" w:chapStyle="1"/>
          <w:cols w:space="720"/>
          <w:docGrid w:type="lines" w:linePitch="312"/>
        </w:sectPr>
      </w:pPr>
      <w:r>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0B2B3E88" w14:textId="77777777" w:rsidR="004614AE" w:rsidRDefault="00000000">
      <w:pPr>
        <w:pStyle w:val="1"/>
        <w:jc w:val="center"/>
        <w:rPr>
          <w:sz w:val="30"/>
          <w:szCs w:val="30"/>
        </w:rPr>
      </w:pPr>
      <w:bookmarkStart w:id="65" w:name="_Toc68266290"/>
      <w:bookmarkStart w:id="66" w:name="_Toc416264539"/>
      <w:bookmarkStart w:id="67" w:name="_Toc263092311"/>
      <w:bookmarkStart w:id="68" w:name="_Toc119568459"/>
      <w:bookmarkStart w:id="69" w:name="_Toc24682"/>
      <w:bookmarkStart w:id="70" w:name="_Toc410197817"/>
      <w:bookmarkStart w:id="71" w:name="_Toc352229749"/>
      <w:bookmarkStart w:id="72" w:name="_Toc90742688"/>
      <w:bookmarkStart w:id="73" w:name="_Toc27226"/>
      <w:bookmarkStart w:id="74" w:name="_Toc3266"/>
      <w:bookmarkStart w:id="75" w:name="_Toc27189"/>
      <w:bookmarkStart w:id="76" w:name="_Toc29948"/>
      <w:bookmarkStart w:id="77" w:name="_Toc6714"/>
      <w:bookmarkStart w:id="78" w:name="_Toc15203"/>
      <w:bookmarkStart w:id="79" w:name="_Toc29784"/>
      <w:bookmarkStart w:id="80" w:name="_Toc90742321"/>
      <w:bookmarkStart w:id="81" w:name="_Toc7151"/>
      <w:bookmarkStart w:id="82" w:name="_Toc16265"/>
      <w:bookmarkStart w:id="83" w:name="_Toc22074"/>
      <w:bookmarkStart w:id="84" w:name="_Toc90742390"/>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lastRenderedPageBreak/>
        <w:t>第三部分</w:t>
      </w:r>
      <w:r>
        <w:rPr>
          <w:sz w:val="30"/>
          <w:szCs w:val="30"/>
        </w:rPr>
        <w:t xml:space="preserve">  </w:t>
      </w:r>
      <w:r>
        <w:rPr>
          <w:rFonts w:hint="eastAsia"/>
          <w:sz w:val="30"/>
          <w:szCs w:val="30"/>
        </w:rPr>
        <w:t>基金管理人</w:t>
      </w:r>
      <w:bookmarkEnd w:id="65"/>
      <w:bookmarkEnd w:id="66"/>
      <w:bookmarkEnd w:id="67"/>
      <w:bookmarkEnd w:id="68"/>
    </w:p>
    <w:p w14:paraId="150A9CFC" w14:textId="77777777" w:rsidR="004614AE" w:rsidRDefault="00000000">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53351E27"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37D29742"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250197B2"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办公地址：深圳市福田区八卦四路</w:t>
      </w:r>
      <w:r>
        <w:rPr>
          <w:rFonts w:asciiTheme="minorEastAsia" w:hAnsiTheme="minorEastAsia" w:cs="Times New Roman"/>
          <w:kern w:val="0"/>
          <w:sz w:val="24"/>
          <w:szCs w:val="24"/>
        </w:rPr>
        <w:t>52</w:t>
      </w:r>
      <w:r>
        <w:rPr>
          <w:rFonts w:asciiTheme="minorEastAsia" w:hAnsiTheme="minorEastAsia" w:cs="Times New Roman" w:hint="eastAsia"/>
          <w:kern w:val="0"/>
          <w:sz w:val="24"/>
          <w:szCs w:val="24"/>
        </w:rPr>
        <w:t>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层</w:t>
      </w:r>
    </w:p>
    <w:p w14:paraId="49253D8A"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Pr>
          <w:rFonts w:ascii="Arial Unicode MS" w:hAnsi="Arial Unicode MS" w:cs="Arial" w:hint="eastAsia"/>
          <w:kern w:val="0"/>
          <w:sz w:val="24"/>
        </w:rPr>
        <w:t>杨小舟</w:t>
      </w:r>
    </w:p>
    <w:p w14:paraId="34B6A19D"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5D62CCA4"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325189CB"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7D1FFEE5"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联系人：蔡晓忠</w:t>
      </w:r>
    </w:p>
    <w:p w14:paraId="4F828257" w14:textId="77777777" w:rsidR="004614AE"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w:t>
      </w:r>
      <w:r>
        <w:rPr>
          <w:rFonts w:asciiTheme="minorEastAsia" w:hAnsiTheme="minorEastAsia" w:cs="Times New Roman" w:hint="eastAsia"/>
          <w:kern w:val="0"/>
          <w:sz w:val="24"/>
          <w:szCs w:val="24"/>
        </w:rPr>
        <w:t xml:space="preserve"> </w:t>
      </w:r>
      <w:r>
        <w:rPr>
          <w:rFonts w:asciiTheme="minorEastAsia" w:hAnsiTheme="minorEastAsia" w:cs="Times New Roman"/>
          <w:kern w:val="0"/>
          <w:sz w:val="24"/>
          <w:szCs w:val="24"/>
        </w:rPr>
        <w:t>663</w:t>
      </w:r>
      <w:r>
        <w:rPr>
          <w:rFonts w:asciiTheme="minorEastAsia" w:hAnsiTheme="minorEastAsia" w:cs="Times New Roman" w:hint="eastAsia"/>
          <w:kern w:val="0"/>
          <w:sz w:val="24"/>
          <w:szCs w:val="24"/>
        </w:rPr>
        <w:t>6</w:t>
      </w:r>
    </w:p>
    <w:p w14:paraId="5CCF13DA" w14:textId="77777777" w:rsidR="004614AE" w:rsidRDefault="00000000">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4614AE" w14:paraId="6C07C4DF"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F3980A5"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2C08E361"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4614AE" w14:paraId="1DD654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118878A"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25147B99"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4614AE" w14:paraId="6C147E09"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273C4FE"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6E591F59"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4614AE" w14:paraId="480E28B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933FDE7" w14:textId="77777777" w:rsidR="004614AE" w:rsidRDefault="00000000">
            <w:pPr>
              <w:spacing w:line="360" w:lineRule="auto"/>
              <w:jc w:val="center"/>
              <w:rPr>
                <w:rFonts w:asciiTheme="minorEastAsia" w:hAnsiTheme="minorEastAsia" w:cs="Arial"/>
                <w:kern w:val="0"/>
                <w:sz w:val="24"/>
                <w:szCs w:val="24"/>
              </w:rPr>
            </w:pPr>
            <w:proofErr w:type="gramStart"/>
            <w:r>
              <w:rPr>
                <w:rFonts w:asciiTheme="minorEastAsia" w:hAnsiTheme="minorEastAsia" w:cs="Arial" w:hint="eastAsia"/>
                <w:kern w:val="0"/>
                <w:sz w:val="24"/>
                <w:szCs w:val="24"/>
              </w:rPr>
              <w:t>湖南省典勤投资</w:t>
            </w:r>
            <w:proofErr w:type="gramEnd"/>
            <w:r>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AA070A5" w14:textId="77777777" w:rsidR="004614AE" w:rsidRDefault="00000000">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623D7003" w14:textId="77777777" w:rsidR="004614AE" w:rsidRDefault="004614AE">
      <w:pPr>
        <w:adjustRightInd w:val="0"/>
        <w:snapToGrid w:val="0"/>
        <w:spacing w:line="360" w:lineRule="auto"/>
        <w:ind w:firstLineChars="200" w:firstLine="480"/>
        <w:rPr>
          <w:rFonts w:asciiTheme="minorEastAsia" w:hAnsiTheme="minorEastAsia" w:cs="Arial"/>
          <w:kern w:val="0"/>
          <w:sz w:val="24"/>
          <w:szCs w:val="24"/>
        </w:rPr>
      </w:pPr>
    </w:p>
    <w:p w14:paraId="69FF1A60" w14:textId="77777777" w:rsidR="004614AE" w:rsidRDefault="00000000">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7AA3B54E"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756F68C5"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代行总经理，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4E133C16"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52F4EED5"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Pr>
          <w:rFonts w:asciiTheme="minorEastAsia" w:hAnsiTheme="minorEastAsia" w:cs="Arial" w:hint="eastAsia"/>
          <w:kern w:val="0"/>
          <w:sz w:val="24"/>
          <w:szCs w:val="24"/>
        </w:rPr>
        <w:t>深圳融博融资租赁</w:t>
      </w:r>
      <w:proofErr w:type="gramEnd"/>
      <w:r>
        <w:rPr>
          <w:rFonts w:asciiTheme="minorEastAsia" w:hAnsiTheme="minorEastAsia" w:cs="Arial" w:hint="eastAsia"/>
          <w:kern w:val="0"/>
          <w:sz w:val="24"/>
          <w:szCs w:val="24"/>
        </w:rPr>
        <w:t>有限公司董事长兼总经理、深圳市天汇</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达担保有限公司总经理、</w:t>
      </w:r>
      <w:proofErr w:type="gramStart"/>
      <w:r>
        <w:rPr>
          <w:rFonts w:asciiTheme="minorEastAsia" w:hAnsiTheme="minorEastAsia" w:cs="Arial" w:hint="eastAsia"/>
          <w:kern w:val="0"/>
          <w:sz w:val="24"/>
          <w:szCs w:val="24"/>
        </w:rPr>
        <w:t>深圳市亿尔德</w:t>
      </w:r>
      <w:proofErr w:type="gramEnd"/>
      <w:r>
        <w:rPr>
          <w:rFonts w:asciiTheme="minorEastAsia" w:hAnsiTheme="minorEastAsia" w:cs="Arial" w:hint="eastAsia"/>
          <w:kern w:val="0"/>
          <w:sz w:val="24"/>
          <w:szCs w:val="24"/>
        </w:rPr>
        <w:lastRenderedPageBreak/>
        <w:t>投资有限公司法人、嘉年实业股份有限公司董事、富荣基金管理有限公司董事。</w:t>
      </w:r>
    </w:p>
    <w:p w14:paraId="197B4F3A"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w:t>
      </w:r>
      <w:proofErr w:type="gramStart"/>
      <w:r>
        <w:rPr>
          <w:rFonts w:asciiTheme="minorEastAsia" w:hAnsiTheme="minorEastAsia" w:cs="Arial" w:hint="eastAsia"/>
          <w:kern w:val="0"/>
          <w:sz w:val="24"/>
          <w:szCs w:val="24"/>
        </w:rPr>
        <w:t>关健</w:t>
      </w:r>
      <w:proofErr w:type="gramEnd"/>
      <w:r>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Pr>
          <w:rFonts w:asciiTheme="minorEastAsia" w:hAnsiTheme="minorEastAsia" w:cs="Arial" w:hint="eastAsia"/>
          <w:kern w:val="0"/>
          <w:sz w:val="24"/>
          <w:szCs w:val="24"/>
        </w:rPr>
        <w:t>邦</w:t>
      </w:r>
      <w:proofErr w:type="gramEnd"/>
      <w:r>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2A9B227D"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C86D4A7"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B98C9D4"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2F83CEF1"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6EA6B004"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郑廉明先生，监事，硕士。原广发银行副行长（已退休），现任富荣基金管理有限公司监事。</w:t>
      </w:r>
    </w:p>
    <w:p w14:paraId="0BBB79B3"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魏丽红女士，职工监事，大专。现任富荣基金管理有限公司职工监事。</w:t>
      </w:r>
    </w:p>
    <w:p w14:paraId="32387F67"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3C7C4ED0"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杨小舟先生，董事长，代行总经理，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7E8447A"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7497B7A9"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w:t>
      </w:r>
    </w:p>
    <w:p w14:paraId="7B6DC933"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邓宇翔先生，中国科学技术大学硕士，12年以上投资与研究工作经验。历</w:t>
      </w:r>
      <w:r>
        <w:rPr>
          <w:rFonts w:asciiTheme="minorEastAsia" w:hAnsiTheme="minorEastAsia" w:cs="Arial" w:hint="eastAsia"/>
          <w:kern w:val="0"/>
          <w:sz w:val="24"/>
          <w:szCs w:val="24"/>
        </w:rPr>
        <w:lastRenderedPageBreak/>
        <w:t>任西南证券证券投资部投资经理、私募机构投资经理、投资经理助理。现任富荣基金管理有限公司权益投资部总经理、代行投资决策委员会主任委员、富荣福</w:t>
      </w:r>
      <w:proofErr w:type="gramStart"/>
      <w:r>
        <w:rPr>
          <w:rFonts w:asciiTheme="minorEastAsia" w:hAnsiTheme="minorEastAsia" w:cs="Arial" w:hint="eastAsia"/>
          <w:kern w:val="0"/>
          <w:sz w:val="24"/>
          <w:szCs w:val="24"/>
        </w:rPr>
        <w:t>鑫</w:t>
      </w:r>
      <w:proofErr w:type="gramEnd"/>
      <w:r>
        <w:rPr>
          <w:rFonts w:asciiTheme="minorEastAsia" w:hAnsiTheme="minorEastAsia" w:cs="Arial" w:hint="eastAsia"/>
          <w:kern w:val="0"/>
          <w:sz w:val="24"/>
          <w:szCs w:val="24"/>
        </w:rPr>
        <w:t>灵活配置混合型证券投资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经理（自2018年3月30日起任职）、富荣福锦混合型证券投资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经理（自2018年3月30日起任职）、富荣中证500指数增强型证券投资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经理（自2018年3月30日至</w:t>
      </w:r>
      <w:r>
        <w:rPr>
          <w:rFonts w:asciiTheme="minorEastAsia" w:hAnsiTheme="minorEastAsia" w:cs="Arial"/>
          <w:kern w:val="0"/>
          <w:sz w:val="24"/>
          <w:szCs w:val="24"/>
        </w:rPr>
        <w:t>2020</w:t>
      </w:r>
      <w:r>
        <w:rPr>
          <w:rFonts w:asciiTheme="minorEastAsia" w:hAnsiTheme="minorEastAsia" w:cs="Arial" w:hint="eastAsia"/>
          <w:kern w:val="0"/>
          <w:sz w:val="24"/>
          <w:szCs w:val="24"/>
        </w:rPr>
        <w:t>年</w:t>
      </w:r>
      <w:r>
        <w:rPr>
          <w:rFonts w:asciiTheme="minorEastAsia" w:hAnsiTheme="minorEastAsia" w:cs="Arial"/>
          <w:kern w:val="0"/>
          <w:sz w:val="24"/>
          <w:szCs w:val="24"/>
        </w:rPr>
        <w:t>10</w:t>
      </w:r>
      <w:r>
        <w:rPr>
          <w:rFonts w:asciiTheme="minorEastAsia" w:hAnsiTheme="minorEastAsia" w:cs="Arial" w:hint="eastAsia"/>
          <w:kern w:val="0"/>
          <w:sz w:val="24"/>
          <w:szCs w:val="24"/>
        </w:rPr>
        <w:t>月</w:t>
      </w:r>
      <w:r>
        <w:rPr>
          <w:rFonts w:asciiTheme="minorEastAsia" w:hAnsiTheme="minorEastAsia" w:cs="Arial"/>
          <w:kern w:val="0"/>
          <w:sz w:val="24"/>
          <w:szCs w:val="24"/>
        </w:rPr>
        <w:t>15日</w:t>
      </w:r>
      <w:r>
        <w:rPr>
          <w:rFonts w:asciiTheme="minorEastAsia" w:hAnsiTheme="minorEastAsia" w:cs="Arial" w:hint="eastAsia"/>
          <w:kern w:val="0"/>
          <w:sz w:val="24"/>
          <w:szCs w:val="24"/>
        </w:rPr>
        <w:t>）、富荣福康混合型证券投资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11月6日至2020</w:t>
      </w:r>
      <w:r>
        <w:rPr>
          <w:rFonts w:asciiTheme="minorEastAsia" w:hAnsiTheme="minorEastAsia" w:cs="Arial" w:hint="eastAsia"/>
          <w:kern w:val="0"/>
          <w:sz w:val="24"/>
          <w:szCs w:val="24"/>
        </w:rPr>
        <w:t>年</w:t>
      </w:r>
      <w:r>
        <w:rPr>
          <w:rFonts w:asciiTheme="minorEastAsia" w:hAnsiTheme="minorEastAsia" w:cs="Arial"/>
          <w:kern w:val="0"/>
          <w:sz w:val="24"/>
          <w:szCs w:val="24"/>
        </w:rPr>
        <w:t>10</w:t>
      </w:r>
      <w:r>
        <w:rPr>
          <w:rFonts w:asciiTheme="minorEastAsia" w:hAnsiTheme="minorEastAsia" w:cs="Arial" w:hint="eastAsia"/>
          <w:kern w:val="0"/>
          <w:sz w:val="24"/>
          <w:szCs w:val="24"/>
        </w:rPr>
        <w:t>月</w:t>
      </w:r>
      <w:r>
        <w:rPr>
          <w:rFonts w:asciiTheme="minorEastAsia" w:hAnsiTheme="minorEastAsia" w:cs="Arial"/>
          <w:kern w:val="0"/>
          <w:sz w:val="24"/>
          <w:szCs w:val="24"/>
        </w:rPr>
        <w:t>15日</w:t>
      </w:r>
      <w:r>
        <w:rPr>
          <w:rFonts w:asciiTheme="minorEastAsia" w:hAnsiTheme="minorEastAsia" w:cs="Arial" w:hint="eastAsia"/>
          <w:kern w:val="0"/>
          <w:sz w:val="24"/>
          <w:szCs w:val="24"/>
        </w:rPr>
        <w:t>）、富荣价值精选灵活配置混合型发起式证券投资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w:t>
      </w:r>
      <w:r>
        <w:rPr>
          <w:rFonts w:asciiTheme="minorEastAsia" w:hAnsiTheme="minorEastAsia" w:cs="Arial" w:hint="eastAsia"/>
          <w:kern w:val="0"/>
          <w:sz w:val="24"/>
          <w:szCs w:val="24"/>
        </w:rPr>
        <w:t>0年10月23</w:t>
      </w:r>
      <w:r>
        <w:rPr>
          <w:rFonts w:asciiTheme="minorEastAsia" w:hAnsiTheme="minorEastAsia" w:cs="Arial"/>
          <w:kern w:val="0"/>
          <w:sz w:val="24"/>
          <w:szCs w:val="24"/>
        </w:rPr>
        <w:t>日</w:t>
      </w:r>
      <w:r>
        <w:rPr>
          <w:rFonts w:asciiTheme="minorEastAsia" w:hAnsiTheme="minorEastAsia" w:cs="Arial" w:hint="eastAsia"/>
          <w:kern w:val="0"/>
          <w:sz w:val="24"/>
          <w:szCs w:val="24"/>
        </w:rPr>
        <w:t>）、富荣沪深300指数增强型证券投资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2018</w:t>
      </w:r>
      <w:r>
        <w:rPr>
          <w:rFonts w:asciiTheme="minorEastAsia" w:hAnsiTheme="minorEastAsia" w:cs="Arial" w:hint="eastAsia"/>
          <w:kern w:val="0"/>
          <w:sz w:val="24"/>
          <w:szCs w:val="24"/>
        </w:rPr>
        <w:t>年</w:t>
      </w:r>
      <w:r>
        <w:rPr>
          <w:rFonts w:asciiTheme="minorEastAsia" w:hAnsiTheme="minorEastAsia" w:cs="Arial"/>
          <w:kern w:val="0"/>
          <w:sz w:val="24"/>
          <w:szCs w:val="24"/>
        </w:rPr>
        <w:t>11月6日至202</w:t>
      </w:r>
      <w:r>
        <w:rPr>
          <w:rFonts w:asciiTheme="minorEastAsia" w:hAnsiTheme="minorEastAsia" w:cs="Arial" w:hint="eastAsia"/>
          <w:kern w:val="0"/>
          <w:sz w:val="24"/>
          <w:szCs w:val="24"/>
        </w:rPr>
        <w:t>2年8月</w:t>
      </w:r>
      <w:r>
        <w:rPr>
          <w:rFonts w:asciiTheme="minorEastAsia" w:hAnsiTheme="minorEastAsia" w:cs="Arial"/>
          <w:kern w:val="0"/>
          <w:sz w:val="24"/>
          <w:szCs w:val="24"/>
        </w:rPr>
        <w:t>5日</w:t>
      </w:r>
      <w:r>
        <w:rPr>
          <w:rFonts w:asciiTheme="minorEastAsia" w:hAnsiTheme="minorEastAsia" w:cs="Arial" w:hint="eastAsia"/>
          <w:kern w:val="0"/>
          <w:sz w:val="24"/>
          <w:szCs w:val="24"/>
        </w:rPr>
        <w:t>）、富荣福耀混合型证券投资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w:t>
      </w:r>
      <w:r>
        <w:rPr>
          <w:rFonts w:asciiTheme="minorEastAsia" w:hAnsiTheme="minorEastAsia" w:cs="Arial"/>
          <w:kern w:val="0"/>
          <w:sz w:val="24"/>
          <w:szCs w:val="24"/>
        </w:rPr>
        <w:t>2021年12月27日</w:t>
      </w:r>
      <w:r>
        <w:rPr>
          <w:rFonts w:asciiTheme="minorEastAsia" w:hAnsiTheme="minorEastAsia" w:cs="Arial" w:hint="eastAsia"/>
          <w:kern w:val="0"/>
          <w:sz w:val="24"/>
          <w:szCs w:val="24"/>
        </w:rPr>
        <w:t>起任职）、富荣量化精选混合型发起式证券投资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经理（自2022年8月5日起任职）。</w:t>
      </w:r>
    </w:p>
    <w:p w14:paraId="3DCC9EA4"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黄祥斌先生，武汉大学产业经济学硕士，拥有丰富的投</w:t>
      </w:r>
      <w:proofErr w:type="gramStart"/>
      <w:r>
        <w:rPr>
          <w:rFonts w:asciiTheme="minorEastAsia" w:hAnsiTheme="minorEastAsia" w:cs="Arial" w:hint="eastAsia"/>
          <w:kern w:val="0"/>
          <w:sz w:val="24"/>
          <w:szCs w:val="24"/>
        </w:rPr>
        <w:t>研</w:t>
      </w:r>
      <w:proofErr w:type="gramEnd"/>
      <w:r>
        <w:rPr>
          <w:rFonts w:asciiTheme="minorEastAsia" w:hAnsiTheme="minorEastAsia" w:cs="Arial" w:hint="eastAsia"/>
          <w:kern w:val="0"/>
          <w:sz w:val="24"/>
          <w:szCs w:val="24"/>
        </w:rPr>
        <w:t>经验，以均衡的投资风格见长。过往投资业绩优秀，管理产品曾获“一年期开放式混合型金牛基金”、“一年平衡混合型明星基金奖”。历任北信瑞丰基金权益投资二部总经理、公司投资决策委员会委员，九泰</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经理、权益投资部总监、投资决策委员会委员，益民</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经理、投资决策委员会委员，信</w:t>
      </w:r>
      <w:proofErr w:type="gramStart"/>
      <w:r>
        <w:rPr>
          <w:rFonts w:asciiTheme="minorEastAsia" w:hAnsiTheme="minorEastAsia" w:cs="Arial" w:hint="eastAsia"/>
          <w:kern w:val="0"/>
          <w:sz w:val="24"/>
          <w:szCs w:val="24"/>
        </w:rPr>
        <w:t>达证券</w:t>
      </w:r>
      <w:proofErr w:type="gramEnd"/>
      <w:r>
        <w:rPr>
          <w:rFonts w:asciiTheme="minorEastAsia" w:hAnsiTheme="minorEastAsia" w:cs="Arial" w:hint="eastAsia"/>
          <w:kern w:val="0"/>
          <w:sz w:val="24"/>
          <w:szCs w:val="24"/>
        </w:rPr>
        <w:t>研究所首席策略分析师、资产管理部投资经理。现任富荣基金管理有限公司投资一部总经理、投资决策委员会委员、富荣价值精选灵活配置混合型发起式证券投资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经理（自2021年11月12日起任职）、</w:t>
      </w:r>
      <w:proofErr w:type="gramStart"/>
      <w:r>
        <w:rPr>
          <w:rFonts w:asciiTheme="minorEastAsia" w:hAnsiTheme="minorEastAsia" w:cs="Arial" w:hint="eastAsia"/>
          <w:kern w:val="0"/>
          <w:sz w:val="24"/>
          <w:szCs w:val="24"/>
        </w:rPr>
        <w:t>富荣富乾债券</w:t>
      </w:r>
      <w:proofErr w:type="gramEnd"/>
      <w:r>
        <w:rPr>
          <w:rFonts w:asciiTheme="minorEastAsia" w:hAnsiTheme="minorEastAsia" w:cs="Arial" w:hint="eastAsia"/>
          <w:kern w:val="0"/>
          <w:sz w:val="24"/>
          <w:szCs w:val="24"/>
        </w:rPr>
        <w:t>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经理(自2021年12月27日起任职)、富荣福耀混合型证券投资</w:t>
      </w:r>
      <w:proofErr w:type="gramStart"/>
      <w:r>
        <w:rPr>
          <w:rFonts w:asciiTheme="minorEastAsia" w:hAnsiTheme="minorEastAsia" w:cs="Arial" w:hint="eastAsia"/>
          <w:kern w:val="0"/>
          <w:sz w:val="24"/>
          <w:szCs w:val="24"/>
        </w:rPr>
        <w:t>基金基金</w:t>
      </w:r>
      <w:proofErr w:type="gramEnd"/>
      <w:r>
        <w:rPr>
          <w:rFonts w:asciiTheme="minorEastAsia" w:hAnsiTheme="minorEastAsia" w:cs="Arial" w:hint="eastAsia"/>
          <w:kern w:val="0"/>
          <w:sz w:val="24"/>
          <w:szCs w:val="24"/>
        </w:rPr>
        <w:t>经理（自2021年12月29日起任职）。</w:t>
      </w:r>
    </w:p>
    <w:p w14:paraId="6DEECFD1"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t>5、投资决策委员会成员的姓名、</w:t>
      </w:r>
      <w:r>
        <w:rPr>
          <w:rFonts w:asciiTheme="minorEastAsia" w:hAnsiTheme="minorEastAsia" w:cs="Arial" w:hint="eastAsia"/>
          <w:kern w:val="0"/>
          <w:sz w:val="24"/>
          <w:szCs w:val="24"/>
        </w:rPr>
        <w:t>职务</w:t>
      </w:r>
    </w:p>
    <w:p w14:paraId="7DA787BF"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邓宇翔先生，代行投资决策委员会主任委员、权益投资部总经理、基金经理。</w:t>
      </w:r>
    </w:p>
    <w:p w14:paraId="1F0FB049"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郎骋成先生，投资决策委员会委员、研究部总经理、基金经理。</w:t>
      </w:r>
    </w:p>
    <w:p w14:paraId="37EAAAC6"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黄祥斌先生，投资决策委员会委员、投资一部总经理、基金经理。</w:t>
      </w:r>
    </w:p>
    <w:p w14:paraId="40A647FE"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唐奥先生，投资决策委员会委员、基金经理。</w:t>
      </w:r>
    </w:p>
    <w:p w14:paraId="4624C1DA"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王丹女士，投资决策委员会委员、固定收益部总经理助理、基金经理。</w:t>
      </w:r>
    </w:p>
    <w:p w14:paraId="0B2D953A"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李延峥先生，投资决策委员会委员、投资决策委员会秘书、基金经理。</w:t>
      </w:r>
    </w:p>
    <w:p w14:paraId="6EC27B0E" w14:textId="77777777" w:rsidR="004614AE" w:rsidRDefault="00000000">
      <w:pPr>
        <w:adjustRightInd w:val="0"/>
        <w:snapToGrid w:val="0"/>
        <w:spacing w:line="360" w:lineRule="auto"/>
        <w:ind w:firstLineChars="200" w:firstLine="480"/>
        <w:rPr>
          <w:rFonts w:asciiTheme="minorEastAsia" w:hAnsiTheme="minorEastAsia" w:cs="Arial"/>
          <w:color w:val="FF0000"/>
          <w:sz w:val="24"/>
          <w:szCs w:val="24"/>
        </w:rPr>
      </w:pPr>
      <w:r>
        <w:rPr>
          <w:rFonts w:asciiTheme="minorEastAsia" w:hAnsiTheme="minorEastAsia" w:cs="Arial"/>
          <w:kern w:val="0"/>
          <w:sz w:val="24"/>
          <w:szCs w:val="24"/>
        </w:rPr>
        <w:t>6、上述人员之间不存在近亲属关系。</w:t>
      </w:r>
    </w:p>
    <w:p w14:paraId="35F7AFA3" w14:textId="77777777" w:rsidR="004614AE"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7A19DB40"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1、依法募集资金，办理或者委托经中国证监会认定的其他机构代为办理基金份额的发售、申购、赎回和登记事宜；</w:t>
      </w:r>
    </w:p>
    <w:p w14:paraId="4CFD1AB0"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24F5B645"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015E30DD"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15853FD1"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33EDEAE0"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49587053"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60D9F349"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8、采取适当合理的措施使计算基金份额认购、申购、赎回和注销价格的方法符合《基金合同》等法律文件的规定，按有关规定计算并公告基金净值信息，确定基金份额申购、赎回的价格；</w:t>
      </w:r>
    </w:p>
    <w:p w14:paraId="2457127C"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3B6CE628"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10、编制季度报告、中期报告和年度报告；</w:t>
      </w:r>
    </w:p>
    <w:p w14:paraId="5BC64E77"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61BD2570"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0521D58"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593C82C6"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0171BC8D"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35B1FCE"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16、按规定保存基金财产管理业务活动的会计账册、报表、记录和其他相关资料，保存期限不低于法律法规规定的最低期限；</w:t>
      </w:r>
    </w:p>
    <w:p w14:paraId="59DFC640"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8C57539"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4A2F02D8"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088CEB1E"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21249ECA"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14EC6A67"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4CBA9BAD"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2DF326C6"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6423351F"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35B9D322"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34E59645"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66C2A384" w14:textId="77777777" w:rsidR="004614AE"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5407DF9C"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4D1A49A6"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w:t>
      </w:r>
      <w:r>
        <w:rPr>
          <w:rFonts w:asciiTheme="minorEastAsia" w:hAnsiTheme="minorEastAsia" w:cs="Times New Roman" w:hint="eastAsia"/>
          <w:sz w:val="24"/>
          <w:szCs w:val="24"/>
        </w:rPr>
        <w:lastRenderedPageBreak/>
        <w:t>险控制制度，采取有效措施，防止下列行为的发生：</w:t>
      </w:r>
    </w:p>
    <w:p w14:paraId="04884751"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7B249203"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45028802"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0D288594"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669931DD"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1E1AE6D8"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0916B41B"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470815CC"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1C391079"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5439B1DF"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44698F87"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20B40DE1" w14:textId="77777777" w:rsidR="004614AE"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3685306E"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2E9FAE93"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3EF9033C"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71FDF9B9" w14:textId="77777777" w:rsidR="004614AE" w:rsidRDefault="00000000">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376221BF" w14:textId="77777777" w:rsidR="004614AE" w:rsidRDefault="00000000">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4AB579D2"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352229750"/>
      <w:bookmarkStart w:id="86" w:name="_Toc410197818"/>
      <w:bookmarkStart w:id="87" w:name="_Toc416264540"/>
      <w:bookmarkStart w:id="88" w:name="_Toc263092312"/>
      <w:bookmarkEnd w:id="69"/>
      <w:bookmarkEnd w:id="70"/>
      <w:bookmarkEnd w:id="71"/>
      <w:r>
        <w:rPr>
          <w:rFonts w:asciiTheme="minorEastAsia" w:hAnsiTheme="minorEastAsia" w:cs="Arial" w:hint="eastAsia"/>
          <w:sz w:val="24"/>
          <w:szCs w:val="24"/>
        </w:rPr>
        <w:t>1、风险控制目标</w:t>
      </w:r>
    </w:p>
    <w:p w14:paraId="2F0F5A89"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7B110D29"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5832E477"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33738BC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w:t>
      </w:r>
      <w:r>
        <w:rPr>
          <w:rFonts w:asciiTheme="minorEastAsia" w:hAnsiTheme="minorEastAsia" w:cs="Arial" w:hint="eastAsia"/>
          <w:sz w:val="24"/>
          <w:szCs w:val="24"/>
        </w:rPr>
        <w:lastRenderedPageBreak/>
        <w:t>面实施，维护基金份额持有人、公司及公司股东的合法权益；</w:t>
      </w:r>
    </w:p>
    <w:p w14:paraId="72C58C35"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1FA0BB5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743F328B"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37830511"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38663FB5"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45A6D720"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2C97AE55"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5207C63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0F4B6BC5"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5B7224DB"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4FCB98E"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2E6747D1"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4B3ADE7D"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2C7638C7"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E6CFC30"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②督察</w:t>
      </w:r>
      <w:proofErr w:type="gramStart"/>
      <w:r>
        <w:rPr>
          <w:rFonts w:asciiTheme="minorEastAsia" w:hAnsiTheme="minorEastAsia" w:cs="Arial" w:hint="eastAsia"/>
          <w:sz w:val="24"/>
          <w:szCs w:val="24"/>
        </w:rPr>
        <w:t>长履行</w:t>
      </w:r>
      <w:proofErr w:type="gramEnd"/>
      <w:r>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4613ABBB"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7BB00D28" w14:textId="77777777" w:rsidR="004614AE" w:rsidRDefault="00000000">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2BF5AAC6"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咨询、合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培训、离任审查等工作。</w:t>
      </w:r>
    </w:p>
    <w:p w14:paraId="0AA52F7F"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E1BCC2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0B7352FA"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624308D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0B675D9"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lastRenderedPageBreak/>
        <w:t>（2）研究业务</w:t>
      </w:r>
    </w:p>
    <w:p w14:paraId="32D3CE97"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02A938A6"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30EED7DA"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Pr>
          <w:rFonts w:asciiTheme="minorEastAsia" w:hAnsiTheme="minorEastAsia" w:cs="Arial" w:hint="eastAsia"/>
          <w:sz w:val="24"/>
          <w:szCs w:val="24"/>
        </w:rPr>
        <w:t>限相应</w:t>
      </w:r>
      <w:proofErr w:type="gramEnd"/>
      <w:r>
        <w:rPr>
          <w:rFonts w:asciiTheme="minorEastAsia" w:hAnsiTheme="minorEastAsia" w:cs="Arial" w:hint="eastAsia"/>
          <w:sz w:val="24"/>
          <w:szCs w:val="24"/>
        </w:rPr>
        <w:t>的约束制度和考核制度；建立严格的投资禁止和投资限制制度，保证基金投资的合法合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55DB8BBB"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628C64FD"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F0B38DE"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2C91794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3E5C64C"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00F52BFA"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8A4CB8B"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45217667"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Pr>
          <w:rFonts w:asciiTheme="minorEastAsia" w:hAnsiTheme="minorEastAsia" w:cs="Arial" w:hint="eastAsia"/>
          <w:sz w:val="24"/>
          <w:szCs w:val="24"/>
        </w:rPr>
        <w:t>长依据</w:t>
      </w:r>
      <w:proofErr w:type="gramEnd"/>
      <w:r>
        <w:rPr>
          <w:rFonts w:asciiTheme="minorEastAsia" w:hAnsiTheme="minorEastAsia" w:cs="Arial" w:hint="eastAsia"/>
          <w:sz w:val="24"/>
          <w:szCs w:val="24"/>
        </w:rPr>
        <w:t>法律法规和公司章程的规定履行职责，可</w:t>
      </w:r>
      <w:r>
        <w:rPr>
          <w:rFonts w:asciiTheme="minorEastAsia" w:hAnsiTheme="minorEastAsia" w:cs="Arial" w:hint="eastAsia"/>
          <w:sz w:val="24"/>
          <w:szCs w:val="24"/>
        </w:rPr>
        <w:lastRenderedPageBreak/>
        <w:t>以列席公司任何相关会议，调阅公司任何相关制度、文件；要求被督察部门对所提出的问题提供有关材料和做出口头或书面说明；行使中国证监会赋予的其他报告权和监督权。</w:t>
      </w:r>
    </w:p>
    <w:p w14:paraId="2FC829BB"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2CF5BC62"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6A48C015"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03FDE696"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3E83ACC2"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5C876504"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13B42CA"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697E0E48"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3F6C443" w14:textId="77777777" w:rsidR="004614AE" w:rsidRDefault="00000000">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4CD40B97" w14:textId="77777777" w:rsidR="004614AE" w:rsidRDefault="00000000">
      <w:pPr>
        <w:widowControl/>
        <w:adjustRightInd w:val="0"/>
        <w:snapToGrid w:val="0"/>
        <w:spacing w:line="360" w:lineRule="auto"/>
        <w:ind w:firstLineChars="200" w:firstLine="480"/>
        <w:rPr>
          <w:rFonts w:asciiTheme="minorEastAsia" w:hAnsiTheme="minorEastAsia" w:cs="Arial"/>
          <w:b/>
          <w:bCs/>
          <w:sz w:val="24"/>
          <w:szCs w:val="24"/>
        </w:rPr>
      </w:pPr>
      <w:r>
        <w:rPr>
          <w:rFonts w:asciiTheme="minorEastAsia" w:hAnsiTheme="minorEastAsia" w:cs="Arial" w:hint="eastAsia"/>
          <w:sz w:val="24"/>
          <w:szCs w:val="24"/>
        </w:rPr>
        <w:lastRenderedPageBreak/>
        <w:t>6、基金管理人承诺上述关于内部控制的披露真实、准确，并承诺将根据市场环境的变化及公司的发展不断完善合</w:t>
      </w:r>
      <w:proofErr w:type="gramStart"/>
      <w:r>
        <w:rPr>
          <w:rFonts w:asciiTheme="minorEastAsia" w:hAnsiTheme="minorEastAsia" w:cs="Arial" w:hint="eastAsia"/>
          <w:sz w:val="24"/>
          <w:szCs w:val="24"/>
        </w:rPr>
        <w:t>规</w:t>
      </w:r>
      <w:proofErr w:type="gramEnd"/>
      <w:r>
        <w:rPr>
          <w:rFonts w:asciiTheme="minorEastAsia" w:hAnsiTheme="minorEastAsia" w:cs="Arial" w:hint="eastAsia"/>
          <w:sz w:val="24"/>
          <w:szCs w:val="24"/>
        </w:rPr>
        <w:t>控制。</w:t>
      </w:r>
      <w:bookmarkStart w:id="89" w:name="_Toc238027832"/>
      <w:bookmarkStart w:id="90" w:name="_Toc238013745"/>
      <w:bookmarkEnd w:id="89"/>
      <w:bookmarkEnd w:id="90"/>
    </w:p>
    <w:p w14:paraId="7DCD841B" w14:textId="77777777" w:rsidR="004614AE" w:rsidRDefault="004614AE">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4614AE">
          <w:headerReference w:type="even" r:id="rId26"/>
          <w:headerReference w:type="default" r:id="rId27"/>
          <w:footerReference w:type="default" r:id="rId28"/>
          <w:headerReference w:type="first" r:id="rId29"/>
          <w:pgSz w:w="11906" w:h="16838"/>
          <w:pgMar w:top="1440" w:right="1800" w:bottom="1440" w:left="1800" w:header="851" w:footer="992" w:gutter="0"/>
          <w:pgNumType w:chapStyle="1"/>
          <w:cols w:space="720"/>
          <w:docGrid w:type="lines" w:linePitch="312"/>
        </w:sectPr>
      </w:pPr>
    </w:p>
    <w:p w14:paraId="5052015C" w14:textId="77777777" w:rsidR="004614AE" w:rsidRDefault="00000000">
      <w:pPr>
        <w:pStyle w:val="1"/>
        <w:jc w:val="center"/>
        <w:rPr>
          <w:sz w:val="30"/>
          <w:szCs w:val="30"/>
        </w:rPr>
      </w:pPr>
      <w:bookmarkStart w:id="91" w:name="_Toc68266291"/>
      <w:bookmarkStart w:id="92" w:name="_Toc119568460"/>
      <w:r>
        <w:rPr>
          <w:rFonts w:hint="eastAsia"/>
          <w:sz w:val="30"/>
          <w:szCs w:val="30"/>
        </w:rPr>
        <w:lastRenderedPageBreak/>
        <w:t>第四部分</w:t>
      </w:r>
      <w:r>
        <w:rPr>
          <w:sz w:val="30"/>
          <w:szCs w:val="30"/>
        </w:rPr>
        <w:t xml:space="preserve">  </w:t>
      </w:r>
      <w:r>
        <w:rPr>
          <w:rFonts w:hint="eastAsia"/>
          <w:sz w:val="30"/>
          <w:szCs w:val="30"/>
        </w:rPr>
        <w:t>基金托管人</w:t>
      </w:r>
      <w:bookmarkEnd w:id="91"/>
      <w:bookmarkEnd w:id="92"/>
    </w:p>
    <w:p w14:paraId="750B0281" w14:textId="77777777" w:rsidR="004614AE"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b/>
          <w:bCs/>
          <w:sz w:val="24"/>
          <w:szCs w:val="24"/>
        </w:rPr>
        <w:t>一、基金托管人基本情况</w:t>
      </w:r>
    </w:p>
    <w:p w14:paraId="426C1822" w14:textId="77777777" w:rsidR="004614AE" w:rsidRDefault="00000000">
      <w:pPr>
        <w:spacing w:line="360" w:lineRule="auto"/>
        <w:ind w:firstLineChars="200" w:firstLine="480"/>
        <w:rPr>
          <w:sz w:val="24"/>
          <w:szCs w:val="24"/>
        </w:rPr>
      </w:pPr>
      <w:r>
        <w:rPr>
          <w:rFonts w:hint="eastAsia"/>
          <w:sz w:val="24"/>
          <w:szCs w:val="24"/>
        </w:rPr>
        <w:t>（一）基金托管人情况</w:t>
      </w:r>
    </w:p>
    <w:p w14:paraId="47E6A133" w14:textId="77777777" w:rsidR="004614AE" w:rsidRDefault="00000000">
      <w:pPr>
        <w:spacing w:line="360" w:lineRule="auto"/>
        <w:ind w:firstLineChars="200" w:firstLine="480"/>
        <w:rPr>
          <w:sz w:val="24"/>
          <w:szCs w:val="24"/>
        </w:rPr>
      </w:pPr>
      <w:r>
        <w:rPr>
          <w:rFonts w:hint="eastAsia"/>
          <w:sz w:val="24"/>
          <w:szCs w:val="24"/>
        </w:rPr>
        <w:t>1</w:t>
      </w:r>
      <w:r>
        <w:rPr>
          <w:rFonts w:hint="eastAsia"/>
          <w:sz w:val="24"/>
          <w:szCs w:val="24"/>
        </w:rPr>
        <w:t>、基本情况</w:t>
      </w:r>
    </w:p>
    <w:p w14:paraId="75C2FAFD" w14:textId="77777777" w:rsidR="004614AE" w:rsidRDefault="00000000">
      <w:pPr>
        <w:spacing w:line="360" w:lineRule="auto"/>
        <w:ind w:firstLineChars="200" w:firstLine="480"/>
        <w:rPr>
          <w:sz w:val="24"/>
          <w:szCs w:val="24"/>
        </w:rPr>
      </w:pPr>
      <w:r>
        <w:rPr>
          <w:rFonts w:hint="eastAsia"/>
          <w:sz w:val="24"/>
          <w:szCs w:val="24"/>
        </w:rPr>
        <w:t>名称：国泰君安证券股份有限公司</w:t>
      </w:r>
    </w:p>
    <w:p w14:paraId="5423B777" w14:textId="77777777" w:rsidR="004614AE" w:rsidRDefault="00000000">
      <w:pPr>
        <w:spacing w:line="360" w:lineRule="auto"/>
        <w:ind w:firstLineChars="200" w:firstLine="480"/>
        <w:rPr>
          <w:sz w:val="24"/>
          <w:szCs w:val="24"/>
        </w:rPr>
      </w:pPr>
      <w:r>
        <w:rPr>
          <w:rFonts w:hint="eastAsia"/>
          <w:sz w:val="24"/>
          <w:szCs w:val="24"/>
        </w:rPr>
        <w:t>住所：</w:t>
      </w:r>
      <w:r>
        <w:rPr>
          <w:rFonts w:hint="eastAsia"/>
          <w:sz w:val="24"/>
          <w:szCs w:val="24"/>
        </w:rPr>
        <w:t xml:space="preserve"> </w:t>
      </w:r>
      <w:r>
        <w:rPr>
          <w:rFonts w:hint="eastAsia"/>
          <w:bCs/>
          <w:sz w:val="24"/>
        </w:rPr>
        <w:t>中国（上海）自由贸易试验区商城路</w:t>
      </w:r>
      <w:r>
        <w:rPr>
          <w:bCs/>
          <w:sz w:val="24"/>
        </w:rPr>
        <w:t>618</w:t>
      </w:r>
      <w:r>
        <w:rPr>
          <w:rFonts w:hint="eastAsia"/>
          <w:bCs/>
          <w:sz w:val="24"/>
        </w:rPr>
        <w:t>号</w:t>
      </w:r>
    </w:p>
    <w:p w14:paraId="79423E4C" w14:textId="77777777" w:rsidR="004614AE" w:rsidRDefault="00000000">
      <w:pPr>
        <w:spacing w:line="360" w:lineRule="auto"/>
        <w:ind w:firstLineChars="200" w:firstLine="480"/>
        <w:rPr>
          <w:sz w:val="24"/>
          <w:szCs w:val="24"/>
        </w:rPr>
      </w:pPr>
      <w:r>
        <w:rPr>
          <w:rFonts w:hint="eastAsia"/>
          <w:sz w:val="24"/>
          <w:szCs w:val="24"/>
        </w:rPr>
        <w:t>办公地址：上海市静安区新闸路</w:t>
      </w:r>
      <w:r>
        <w:rPr>
          <w:rFonts w:hint="eastAsia"/>
          <w:sz w:val="24"/>
          <w:szCs w:val="24"/>
        </w:rPr>
        <w:t>669</w:t>
      </w:r>
      <w:r>
        <w:rPr>
          <w:rFonts w:hint="eastAsia"/>
          <w:sz w:val="24"/>
          <w:szCs w:val="24"/>
        </w:rPr>
        <w:t>号博华广场</w:t>
      </w:r>
      <w:r>
        <w:rPr>
          <w:rFonts w:hint="eastAsia"/>
          <w:sz w:val="24"/>
          <w:szCs w:val="24"/>
        </w:rPr>
        <w:t>19</w:t>
      </w:r>
      <w:r>
        <w:rPr>
          <w:rFonts w:hint="eastAsia"/>
          <w:sz w:val="24"/>
          <w:szCs w:val="24"/>
        </w:rPr>
        <w:t>楼</w:t>
      </w:r>
    </w:p>
    <w:p w14:paraId="7D5CE34A" w14:textId="77777777" w:rsidR="004614AE" w:rsidRDefault="00000000">
      <w:pPr>
        <w:spacing w:line="360" w:lineRule="auto"/>
        <w:ind w:firstLineChars="200" w:firstLine="480"/>
        <w:rPr>
          <w:sz w:val="24"/>
          <w:szCs w:val="24"/>
        </w:rPr>
      </w:pPr>
      <w:r>
        <w:rPr>
          <w:rFonts w:hint="eastAsia"/>
          <w:sz w:val="24"/>
          <w:szCs w:val="24"/>
        </w:rPr>
        <w:t>法定代表人：贺青</w:t>
      </w:r>
    </w:p>
    <w:p w14:paraId="6F888D7C" w14:textId="77777777" w:rsidR="004614AE" w:rsidRDefault="00000000">
      <w:pPr>
        <w:spacing w:line="360" w:lineRule="auto"/>
        <w:ind w:firstLineChars="200" w:firstLine="480"/>
        <w:rPr>
          <w:sz w:val="24"/>
          <w:szCs w:val="24"/>
        </w:rPr>
      </w:pPr>
      <w:r>
        <w:rPr>
          <w:rFonts w:hint="eastAsia"/>
          <w:sz w:val="24"/>
          <w:szCs w:val="24"/>
        </w:rPr>
        <w:t>成立时间：</w:t>
      </w:r>
      <w:r>
        <w:rPr>
          <w:rFonts w:hint="eastAsia"/>
          <w:sz w:val="24"/>
          <w:szCs w:val="24"/>
        </w:rPr>
        <w:t xml:space="preserve"> 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w:t>
      </w:r>
    </w:p>
    <w:p w14:paraId="64A8B4C6" w14:textId="77777777" w:rsidR="004614AE" w:rsidRDefault="00000000">
      <w:pPr>
        <w:spacing w:line="360" w:lineRule="auto"/>
        <w:ind w:firstLineChars="200" w:firstLine="480"/>
        <w:rPr>
          <w:sz w:val="24"/>
          <w:szCs w:val="24"/>
        </w:rPr>
      </w:pPr>
      <w:r>
        <w:rPr>
          <w:rFonts w:hint="eastAsia"/>
          <w:sz w:val="24"/>
          <w:szCs w:val="24"/>
        </w:rPr>
        <w:t>组织形式：其他股份有限公司（上市）</w:t>
      </w:r>
    </w:p>
    <w:p w14:paraId="372BEAF8" w14:textId="77777777" w:rsidR="004614AE" w:rsidRDefault="00000000">
      <w:pPr>
        <w:pStyle w:val="aff2"/>
        <w:ind w:firstLine="480"/>
      </w:pPr>
      <w:r>
        <w:t>批准设立机关及批准设立文号：</w:t>
      </w:r>
      <w:r>
        <w:rPr>
          <w:rFonts w:hint="eastAsia"/>
        </w:rPr>
        <w:t>证监机构字</w:t>
      </w:r>
      <w:r>
        <w:rPr>
          <w:rFonts w:hint="eastAsia"/>
        </w:rPr>
        <w:t>[1999]77</w:t>
      </w:r>
      <w:r>
        <w:rPr>
          <w:rFonts w:hint="eastAsia"/>
        </w:rPr>
        <w:t>号</w:t>
      </w:r>
    </w:p>
    <w:p w14:paraId="2AE1FA2C" w14:textId="77777777" w:rsidR="004614AE" w:rsidRDefault="00000000">
      <w:pPr>
        <w:spacing w:line="360" w:lineRule="auto"/>
        <w:ind w:firstLineChars="200" w:firstLine="480"/>
        <w:rPr>
          <w:sz w:val="24"/>
          <w:szCs w:val="24"/>
        </w:rPr>
      </w:pPr>
      <w:r>
        <w:rPr>
          <w:rFonts w:hint="eastAsia"/>
          <w:sz w:val="24"/>
          <w:szCs w:val="24"/>
        </w:rPr>
        <w:t>注册资本：</w:t>
      </w:r>
      <w:proofErr w:type="gramStart"/>
      <w:r>
        <w:rPr>
          <w:rFonts w:hint="eastAsia"/>
          <w:sz w:val="24"/>
          <w:szCs w:val="24"/>
        </w:rPr>
        <w:t>捌拾玖亿柒佰玖拾肆万柒仟玖佰伍拾肆</w:t>
      </w:r>
      <w:proofErr w:type="gramEnd"/>
      <w:r>
        <w:rPr>
          <w:rFonts w:hint="eastAsia"/>
          <w:sz w:val="24"/>
          <w:szCs w:val="24"/>
        </w:rPr>
        <w:t>元人民币</w:t>
      </w:r>
    </w:p>
    <w:p w14:paraId="3A4727CD" w14:textId="77777777" w:rsidR="004614AE" w:rsidRDefault="00000000">
      <w:pPr>
        <w:spacing w:line="360" w:lineRule="auto"/>
        <w:ind w:firstLineChars="200" w:firstLine="480"/>
        <w:rPr>
          <w:sz w:val="24"/>
          <w:szCs w:val="24"/>
        </w:rPr>
      </w:pPr>
      <w:r>
        <w:rPr>
          <w:rFonts w:hint="eastAsia"/>
          <w:sz w:val="24"/>
          <w:szCs w:val="24"/>
        </w:rPr>
        <w:t>存续期间：持续经营</w:t>
      </w:r>
    </w:p>
    <w:p w14:paraId="56CEB7B1" w14:textId="77777777" w:rsidR="004614AE" w:rsidRDefault="00000000">
      <w:pPr>
        <w:spacing w:line="360" w:lineRule="auto"/>
        <w:ind w:firstLineChars="200" w:firstLine="480"/>
        <w:rPr>
          <w:sz w:val="24"/>
          <w:szCs w:val="24"/>
        </w:rPr>
      </w:pPr>
      <w:r>
        <w:rPr>
          <w:rFonts w:hint="eastAsia"/>
          <w:sz w:val="24"/>
          <w:szCs w:val="24"/>
        </w:rPr>
        <w:t>基金托管业务批准文号：证监许可</w:t>
      </w:r>
      <w:r>
        <w:rPr>
          <w:rFonts w:hint="eastAsia"/>
          <w:sz w:val="24"/>
          <w:szCs w:val="24"/>
        </w:rPr>
        <w:t>[2014]511</w:t>
      </w:r>
      <w:r>
        <w:rPr>
          <w:rFonts w:hint="eastAsia"/>
          <w:sz w:val="24"/>
          <w:szCs w:val="24"/>
        </w:rPr>
        <w:t>号</w:t>
      </w:r>
    </w:p>
    <w:p w14:paraId="5369E16F" w14:textId="77777777" w:rsidR="004614AE" w:rsidRDefault="00000000">
      <w:pPr>
        <w:spacing w:line="360" w:lineRule="auto"/>
        <w:ind w:firstLineChars="200" w:firstLine="480"/>
        <w:rPr>
          <w:sz w:val="24"/>
          <w:szCs w:val="24"/>
        </w:rPr>
      </w:pPr>
      <w:r>
        <w:rPr>
          <w:rFonts w:hint="eastAsia"/>
          <w:sz w:val="24"/>
          <w:szCs w:val="24"/>
        </w:rPr>
        <w:t>联系人：帅芳</w:t>
      </w:r>
      <w:r>
        <w:rPr>
          <w:rFonts w:hint="eastAsia"/>
          <w:sz w:val="24"/>
          <w:szCs w:val="24"/>
        </w:rPr>
        <w:t xml:space="preserve"> </w:t>
      </w:r>
    </w:p>
    <w:p w14:paraId="1FFA3AE4" w14:textId="77777777" w:rsidR="004614AE" w:rsidRDefault="00000000">
      <w:pPr>
        <w:spacing w:line="360" w:lineRule="auto"/>
        <w:ind w:firstLineChars="200" w:firstLine="480"/>
        <w:rPr>
          <w:sz w:val="24"/>
          <w:szCs w:val="24"/>
        </w:rPr>
      </w:pPr>
      <w:r>
        <w:rPr>
          <w:rFonts w:hint="eastAsia"/>
          <w:sz w:val="24"/>
          <w:szCs w:val="24"/>
        </w:rPr>
        <w:t>联系电话：</w:t>
      </w:r>
      <w:r>
        <w:rPr>
          <w:rFonts w:hint="eastAsia"/>
          <w:sz w:val="24"/>
          <w:szCs w:val="24"/>
        </w:rPr>
        <w:t>021-38917599-5</w:t>
      </w:r>
    </w:p>
    <w:p w14:paraId="5DB1EEF4" w14:textId="77777777" w:rsidR="004614AE" w:rsidRDefault="00000000">
      <w:pPr>
        <w:spacing w:line="360" w:lineRule="auto"/>
        <w:ind w:firstLineChars="200" w:firstLine="480"/>
        <w:rPr>
          <w:sz w:val="24"/>
          <w:szCs w:val="24"/>
        </w:rPr>
      </w:pPr>
      <w:r>
        <w:rPr>
          <w:rFonts w:hint="eastAsia"/>
          <w:sz w:val="24"/>
          <w:szCs w:val="24"/>
        </w:rPr>
        <w:t>国泰君安证券股份有限公司前身为国泰证券和</w:t>
      </w:r>
      <w:proofErr w:type="gramStart"/>
      <w:r>
        <w:rPr>
          <w:rFonts w:hint="eastAsia"/>
          <w:sz w:val="24"/>
          <w:szCs w:val="24"/>
        </w:rPr>
        <w:t>君安</w:t>
      </w:r>
      <w:proofErr w:type="gramEnd"/>
      <w:r>
        <w:rPr>
          <w:rFonts w:hint="eastAsia"/>
          <w:sz w:val="24"/>
          <w:szCs w:val="24"/>
        </w:rPr>
        <w:t>证券，</w:t>
      </w:r>
      <w:r>
        <w:rPr>
          <w:rFonts w:hint="eastAsia"/>
          <w:sz w:val="24"/>
          <w:szCs w:val="24"/>
        </w:rPr>
        <w:t>1999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日两公司合并新设为国泰君安证券股份有限公司。</w:t>
      </w:r>
      <w:r>
        <w:rPr>
          <w:sz w:val="24"/>
          <w:szCs w:val="24"/>
        </w:rPr>
        <w:t>2015</w:t>
      </w:r>
      <w:r>
        <w:rPr>
          <w:sz w:val="24"/>
          <w:szCs w:val="24"/>
        </w:rPr>
        <w:t>年</w:t>
      </w:r>
      <w:r>
        <w:rPr>
          <w:sz w:val="24"/>
          <w:szCs w:val="24"/>
        </w:rPr>
        <w:t>6</w:t>
      </w:r>
      <w:r>
        <w:rPr>
          <w:sz w:val="24"/>
          <w:szCs w:val="24"/>
        </w:rPr>
        <w:t>月</w:t>
      </w:r>
      <w:r>
        <w:rPr>
          <w:sz w:val="24"/>
          <w:szCs w:val="24"/>
        </w:rPr>
        <w:t>26</w:t>
      </w:r>
      <w:r>
        <w:rPr>
          <w:sz w:val="24"/>
          <w:szCs w:val="24"/>
        </w:rPr>
        <w:t>日</w:t>
      </w:r>
      <w:r>
        <w:rPr>
          <w:rFonts w:hint="eastAsia"/>
          <w:sz w:val="24"/>
          <w:szCs w:val="24"/>
        </w:rPr>
        <w:t>国泰君安证券股份有限公司</w:t>
      </w:r>
      <w:r>
        <w:rPr>
          <w:sz w:val="24"/>
          <w:szCs w:val="24"/>
        </w:rPr>
        <w:t>在上交所上市交易</w:t>
      </w:r>
      <w:r>
        <w:rPr>
          <w:rFonts w:hint="eastAsia"/>
          <w:sz w:val="24"/>
          <w:szCs w:val="24"/>
        </w:rPr>
        <w:t>，</w:t>
      </w:r>
      <w:r>
        <w:rPr>
          <w:sz w:val="24"/>
          <w:szCs w:val="24"/>
        </w:rPr>
        <w:t>证券简称为</w:t>
      </w:r>
      <w:r>
        <w:rPr>
          <w:sz w:val="24"/>
          <w:szCs w:val="24"/>
        </w:rPr>
        <w:t>“</w:t>
      </w:r>
      <w:r>
        <w:rPr>
          <w:sz w:val="24"/>
          <w:szCs w:val="24"/>
        </w:rPr>
        <w:t>国泰君安</w:t>
      </w:r>
      <w:r>
        <w:rPr>
          <w:sz w:val="24"/>
          <w:szCs w:val="24"/>
        </w:rPr>
        <w:t>”</w:t>
      </w:r>
      <w:r>
        <w:rPr>
          <w:rFonts w:hint="eastAsia"/>
          <w:sz w:val="24"/>
          <w:szCs w:val="24"/>
        </w:rPr>
        <w:t>，</w:t>
      </w:r>
      <w:r>
        <w:rPr>
          <w:sz w:val="24"/>
          <w:szCs w:val="24"/>
        </w:rPr>
        <w:t>证券代码为</w:t>
      </w:r>
      <w:r>
        <w:rPr>
          <w:sz w:val="24"/>
          <w:szCs w:val="24"/>
        </w:rPr>
        <w:t>“601211”</w:t>
      </w:r>
      <w:r>
        <w:rPr>
          <w:sz w:val="24"/>
          <w:szCs w:val="24"/>
        </w:rPr>
        <w:t>。</w:t>
      </w:r>
      <w:r>
        <w:rPr>
          <w:rFonts w:hint="eastAsia"/>
          <w:sz w:val="24"/>
          <w:szCs w:val="24"/>
        </w:rPr>
        <w:t>2017</w:t>
      </w:r>
      <w:r>
        <w:rPr>
          <w:rFonts w:hint="eastAsia"/>
          <w:sz w:val="24"/>
          <w:szCs w:val="24"/>
        </w:rPr>
        <w:t>年</w:t>
      </w:r>
      <w:r>
        <w:rPr>
          <w:rFonts w:hint="eastAsia"/>
          <w:sz w:val="24"/>
          <w:szCs w:val="24"/>
        </w:rPr>
        <w:t>4</w:t>
      </w:r>
      <w:r>
        <w:rPr>
          <w:rFonts w:hint="eastAsia"/>
          <w:sz w:val="24"/>
          <w:szCs w:val="24"/>
        </w:rPr>
        <w:t>月</w:t>
      </w:r>
      <w:r>
        <w:rPr>
          <w:rFonts w:hint="eastAsia"/>
          <w:sz w:val="24"/>
          <w:szCs w:val="24"/>
        </w:rPr>
        <w:t>11</w:t>
      </w:r>
      <w:r>
        <w:rPr>
          <w:rFonts w:hint="eastAsia"/>
          <w:sz w:val="24"/>
          <w:szCs w:val="24"/>
        </w:rPr>
        <w:t>日国泰君安证券股份有限公司在香港联交所主板挂牌并上市交易，</w:t>
      </w:r>
      <w:r>
        <w:rPr>
          <w:rFonts w:hint="eastAsia"/>
          <w:sz w:val="24"/>
          <w:szCs w:val="24"/>
        </w:rPr>
        <w:t>H</w:t>
      </w:r>
      <w:r>
        <w:rPr>
          <w:rFonts w:hint="eastAsia"/>
          <w:sz w:val="24"/>
          <w:szCs w:val="24"/>
        </w:rPr>
        <w:t>股股票中文简称“</w:t>
      </w:r>
      <w:proofErr w:type="gramStart"/>
      <w:r>
        <w:rPr>
          <w:rFonts w:hint="eastAsia"/>
          <w:sz w:val="24"/>
          <w:szCs w:val="24"/>
        </w:rPr>
        <w:t>國</w:t>
      </w:r>
      <w:proofErr w:type="gramEnd"/>
      <w:r>
        <w:rPr>
          <w:rFonts w:hint="eastAsia"/>
          <w:sz w:val="24"/>
          <w:szCs w:val="24"/>
        </w:rPr>
        <w:t>泰君安”，英文简称为“</w:t>
      </w:r>
      <w:r>
        <w:rPr>
          <w:rFonts w:hint="eastAsia"/>
          <w:sz w:val="24"/>
          <w:szCs w:val="24"/>
        </w:rPr>
        <w:t>GTJA</w:t>
      </w:r>
      <w:r>
        <w:rPr>
          <w:rFonts w:hint="eastAsia"/>
          <w:sz w:val="24"/>
          <w:szCs w:val="24"/>
        </w:rPr>
        <w:t>”，股票代码为“</w:t>
      </w:r>
      <w:r>
        <w:rPr>
          <w:rFonts w:hint="eastAsia"/>
          <w:sz w:val="24"/>
          <w:szCs w:val="24"/>
        </w:rPr>
        <w:t>02611</w:t>
      </w:r>
      <w:r>
        <w:rPr>
          <w:rFonts w:hint="eastAsia"/>
          <w:sz w:val="24"/>
          <w:szCs w:val="24"/>
        </w:rPr>
        <w:t>”。截至</w:t>
      </w:r>
      <w:r>
        <w:rPr>
          <w:rFonts w:hint="eastAsia"/>
          <w:sz w:val="24"/>
          <w:szCs w:val="24"/>
        </w:rPr>
        <w:t>2021</w:t>
      </w:r>
      <w:r>
        <w:rPr>
          <w:rFonts w:hint="eastAsia"/>
          <w:sz w:val="24"/>
          <w:szCs w:val="24"/>
        </w:rPr>
        <w:t>年</w:t>
      </w:r>
      <w:r>
        <w:rPr>
          <w:rFonts w:hint="eastAsia"/>
          <w:sz w:val="24"/>
          <w:szCs w:val="24"/>
        </w:rPr>
        <w:t>12</w:t>
      </w:r>
      <w:r>
        <w:rPr>
          <w:rFonts w:hint="eastAsia"/>
          <w:sz w:val="24"/>
          <w:szCs w:val="24"/>
        </w:rPr>
        <w:t>月</w:t>
      </w:r>
      <w:r>
        <w:rPr>
          <w:rFonts w:hint="eastAsia"/>
          <w:sz w:val="24"/>
          <w:szCs w:val="24"/>
        </w:rPr>
        <w:t>31</w:t>
      </w:r>
      <w:r>
        <w:rPr>
          <w:rFonts w:hint="eastAsia"/>
          <w:sz w:val="24"/>
          <w:szCs w:val="24"/>
        </w:rPr>
        <w:t>日，国泰君安证券股份有限公司注册资本为</w:t>
      </w:r>
      <w:r>
        <w:rPr>
          <w:rFonts w:hint="eastAsia"/>
          <w:sz w:val="24"/>
          <w:szCs w:val="24"/>
        </w:rPr>
        <w:t>89.07947954</w:t>
      </w:r>
      <w:r>
        <w:rPr>
          <w:rFonts w:hint="eastAsia"/>
          <w:sz w:val="24"/>
          <w:szCs w:val="24"/>
        </w:rPr>
        <w:t>亿元人民币，</w:t>
      </w:r>
      <w:r>
        <w:rPr>
          <w:rFonts w:hint="eastAsia"/>
          <w:bCs/>
          <w:sz w:val="24"/>
        </w:rPr>
        <w:t>直接设有</w:t>
      </w:r>
      <w:r>
        <w:rPr>
          <w:rFonts w:hint="eastAsia"/>
          <w:bCs/>
          <w:sz w:val="24"/>
        </w:rPr>
        <w:t>5</w:t>
      </w:r>
      <w:r>
        <w:rPr>
          <w:rFonts w:hint="eastAsia"/>
          <w:bCs/>
          <w:sz w:val="24"/>
        </w:rPr>
        <w:t>家境内子公司和</w:t>
      </w:r>
      <w:r>
        <w:rPr>
          <w:bCs/>
          <w:sz w:val="24"/>
        </w:rPr>
        <w:t>1</w:t>
      </w:r>
      <w:r>
        <w:rPr>
          <w:rFonts w:hint="eastAsia"/>
          <w:bCs/>
          <w:sz w:val="24"/>
        </w:rPr>
        <w:t>家境外子公司，并在全国设有</w:t>
      </w:r>
      <w:r>
        <w:rPr>
          <w:bCs/>
          <w:sz w:val="24"/>
        </w:rPr>
        <w:t>3</w:t>
      </w:r>
      <w:r>
        <w:rPr>
          <w:rFonts w:hint="eastAsia"/>
          <w:bCs/>
          <w:sz w:val="24"/>
        </w:rPr>
        <w:t>1</w:t>
      </w:r>
      <w:r>
        <w:rPr>
          <w:rFonts w:hint="eastAsia"/>
          <w:bCs/>
          <w:sz w:val="24"/>
        </w:rPr>
        <w:t>家证券分公司、</w:t>
      </w:r>
      <w:r>
        <w:rPr>
          <w:rFonts w:hint="eastAsia"/>
          <w:bCs/>
          <w:sz w:val="24"/>
        </w:rPr>
        <w:t>16</w:t>
      </w:r>
      <w:r>
        <w:rPr>
          <w:rFonts w:hint="eastAsia"/>
          <w:bCs/>
          <w:sz w:val="24"/>
        </w:rPr>
        <w:t>家期货分公司、</w:t>
      </w:r>
      <w:r>
        <w:rPr>
          <w:rFonts w:hint="eastAsia"/>
          <w:bCs/>
          <w:sz w:val="24"/>
        </w:rPr>
        <w:t>339</w:t>
      </w:r>
      <w:r>
        <w:rPr>
          <w:rFonts w:hint="eastAsia"/>
          <w:bCs/>
          <w:sz w:val="24"/>
        </w:rPr>
        <w:t>家证券营业部和</w:t>
      </w:r>
      <w:r>
        <w:rPr>
          <w:rFonts w:hint="eastAsia"/>
          <w:bCs/>
          <w:sz w:val="24"/>
        </w:rPr>
        <w:t>7</w:t>
      </w:r>
      <w:r>
        <w:rPr>
          <w:rFonts w:hint="eastAsia"/>
          <w:bCs/>
          <w:sz w:val="24"/>
        </w:rPr>
        <w:t>家期货营业部，是国内最早开展各</w:t>
      </w:r>
      <w:proofErr w:type="gramStart"/>
      <w:r>
        <w:rPr>
          <w:rFonts w:hint="eastAsia"/>
          <w:bCs/>
          <w:sz w:val="24"/>
        </w:rPr>
        <w:t>类创新</w:t>
      </w:r>
      <w:proofErr w:type="gramEnd"/>
      <w:r>
        <w:rPr>
          <w:rFonts w:hint="eastAsia"/>
          <w:bCs/>
          <w:sz w:val="24"/>
        </w:rPr>
        <w:t>业务的券商之一。</w:t>
      </w:r>
      <w:r>
        <w:rPr>
          <w:bCs/>
          <w:sz w:val="24"/>
        </w:rPr>
        <w:t>2008-20</w:t>
      </w:r>
      <w:r>
        <w:rPr>
          <w:rFonts w:hint="eastAsia"/>
          <w:bCs/>
          <w:sz w:val="24"/>
        </w:rPr>
        <w:t>21</w:t>
      </w:r>
      <w:r>
        <w:rPr>
          <w:rFonts w:hint="eastAsia"/>
          <w:bCs/>
          <w:sz w:val="24"/>
        </w:rPr>
        <w:t>年，公司连续十四年在中国证监会证券公司分类评价中被评为</w:t>
      </w:r>
      <w:r>
        <w:rPr>
          <w:bCs/>
          <w:sz w:val="24"/>
        </w:rPr>
        <w:t>A</w:t>
      </w:r>
      <w:r>
        <w:rPr>
          <w:rFonts w:hint="eastAsia"/>
          <w:bCs/>
          <w:sz w:val="24"/>
        </w:rPr>
        <w:t>类</w:t>
      </w:r>
      <w:r>
        <w:rPr>
          <w:bCs/>
          <w:sz w:val="24"/>
        </w:rPr>
        <w:t>AA</w:t>
      </w:r>
      <w:r>
        <w:rPr>
          <w:rFonts w:hint="eastAsia"/>
          <w:bCs/>
          <w:sz w:val="24"/>
        </w:rPr>
        <w:t>级，为目前证券公司获得的最高评级。</w:t>
      </w:r>
    </w:p>
    <w:p w14:paraId="0E28F457" w14:textId="77777777" w:rsidR="004614AE" w:rsidRDefault="00000000">
      <w:pPr>
        <w:spacing w:line="360" w:lineRule="auto"/>
        <w:ind w:firstLineChars="200" w:firstLine="480"/>
        <w:rPr>
          <w:sz w:val="24"/>
          <w:szCs w:val="24"/>
        </w:rPr>
      </w:pPr>
      <w:r>
        <w:rPr>
          <w:rFonts w:hint="eastAsia"/>
          <w:sz w:val="24"/>
          <w:szCs w:val="24"/>
        </w:rPr>
        <w:t>2</w:t>
      </w:r>
      <w:r>
        <w:rPr>
          <w:rFonts w:hint="eastAsia"/>
          <w:sz w:val="24"/>
          <w:szCs w:val="24"/>
        </w:rPr>
        <w:t>、主要人员情况</w:t>
      </w:r>
    </w:p>
    <w:p w14:paraId="54325E15" w14:textId="77777777" w:rsidR="004614AE" w:rsidRDefault="00000000">
      <w:pPr>
        <w:spacing w:line="360" w:lineRule="auto"/>
        <w:ind w:firstLineChars="200" w:firstLine="480"/>
        <w:rPr>
          <w:sz w:val="24"/>
          <w:szCs w:val="24"/>
        </w:rPr>
      </w:pPr>
      <w:r>
        <w:rPr>
          <w:rFonts w:hint="eastAsia"/>
          <w:sz w:val="24"/>
          <w:szCs w:val="24"/>
        </w:rPr>
        <w:t>陈忠义先生，中国国籍，无境外居留权，</w:t>
      </w:r>
      <w:r>
        <w:rPr>
          <w:rFonts w:hint="eastAsia"/>
          <w:sz w:val="24"/>
          <w:szCs w:val="24"/>
        </w:rPr>
        <w:t>1970</w:t>
      </w:r>
      <w:r>
        <w:rPr>
          <w:rFonts w:hint="eastAsia"/>
          <w:sz w:val="24"/>
          <w:szCs w:val="24"/>
        </w:rPr>
        <w:t>年</w:t>
      </w:r>
      <w:r>
        <w:rPr>
          <w:rFonts w:hint="eastAsia"/>
          <w:sz w:val="24"/>
          <w:szCs w:val="24"/>
        </w:rPr>
        <w:t>10</w:t>
      </w:r>
      <w:r>
        <w:rPr>
          <w:rFonts w:hint="eastAsia"/>
          <w:sz w:val="24"/>
          <w:szCs w:val="24"/>
        </w:rPr>
        <w:t>月出生，经济学学士，中级经济师，现任国泰君安证券资产托管部总经理。</w:t>
      </w:r>
      <w:r>
        <w:rPr>
          <w:rFonts w:hint="eastAsia"/>
          <w:sz w:val="24"/>
          <w:szCs w:val="24"/>
        </w:rPr>
        <w:t>1993</w:t>
      </w:r>
      <w:r>
        <w:rPr>
          <w:rFonts w:hint="eastAsia"/>
          <w:sz w:val="24"/>
          <w:szCs w:val="24"/>
        </w:rPr>
        <w:t>年参加工作，曾任职</w:t>
      </w:r>
      <w:r>
        <w:rPr>
          <w:rFonts w:hint="eastAsia"/>
          <w:sz w:val="24"/>
          <w:szCs w:val="24"/>
        </w:rPr>
        <w:lastRenderedPageBreak/>
        <w:t>于君安证券清算部总经理助理、国泰君安证券营运中心副总经理、光大证券营运管理总部总经理等职。“全国金融五一劳动奖章”、“金融服务能手”称号获得者，中国证券业协会托管结算专业委员会副主任委员，带领团队设计的“直通式证券清算质量管理国际化标准平台”，被评为上海市</w:t>
      </w:r>
      <w:r>
        <w:rPr>
          <w:rFonts w:hint="eastAsia"/>
          <w:sz w:val="24"/>
          <w:szCs w:val="24"/>
        </w:rPr>
        <w:t>2011</w:t>
      </w:r>
      <w:r>
        <w:rPr>
          <w:rFonts w:hint="eastAsia"/>
          <w:sz w:val="24"/>
          <w:szCs w:val="24"/>
        </w:rPr>
        <w:t>年度金融创新奖二等奖。</w:t>
      </w:r>
      <w:r>
        <w:rPr>
          <w:rFonts w:hint="eastAsia"/>
          <w:sz w:val="24"/>
          <w:szCs w:val="24"/>
        </w:rPr>
        <w:t>2014</w:t>
      </w:r>
      <w:r>
        <w:rPr>
          <w:rFonts w:hint="eastAsia"/>
          <w:sz w:val="24"/>
          <w:szCs w:val="24"/>
        </w:rPr>
        <w:t>年</w:t>
      </w:r>
      <w:r>
        <w:rPr>
          <w:rFonts w:hint="eastAsia"/>
          <w:sz w:val="24"/>
          <w:szCs w:val="24"/>
        </w:rPr>
        <w:t>2</w:t>
      </w:r>
      <w:r>
        <w:rPr>
          <w:rFonts w:hint="eastAsia"/>
          <w:sz w:val="24"/>
          <w:szCs w:val="24"/>
        </w:rPr>
        <w:t>月起任国泰君安证券资产托管部总经理。</w:t>
      </w:r>
    </w:p>
    <w:p w14:paraId="2B50397A" w14:textId="77777777" w:rsidR="004614AE" w:rsidRDefault="00000000">
      <w:pPr>
        <w:spacing w:line="360" w:lineRule="auto"/>
        <w:ind w:firstLineChars="200" w:firstLine="480"/>
        <w:rPr>
          <w:sz w:val="24"/>
          <w:szCs w:val="24"/>
        </w:rPr>
      </w:pPr>
      <w:r>
        <w:rPr>
          <w:rFonts w:hint="eastAsia"/>
          <w:sz w:val="24"/>
          <w:szCs w:val="24"/>
        </w:rPr>
        <w:t>国泰君安证券总部</w:t>
      </w:r>
      <w:proofErr w:type="gramStart"/>
      <w:r>
        <w:rPr>
          <w:rFonts w:hint="eastAsia"/>
          <w:sz w:val="24"/>
          <w:szCs w:val="24"/>
        </w:rPr>
        <w:t>设资产</w:t>
      </w:r>
      <w:proofErr w:type="gramEnd"/>
      <w:r>
        <w:rPr>
          <w:rFonts w:hint="eastAsia"/>
          <w:sz w:val="24"/>
          <w:szCs w:val="24"/>
        </w:rPr>
        <w:t>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3FB9BBBC" w14:textId="77777777" w:rsidR="004614AE" w:rsidRDefault="00000000">
      <w:pPr>
        <w:spacing w:line="360" w:lineRule="auto"/>
        <w:ind w:firstLineChars="200" w:firstLine="480"/>
        <w:rPr>
          <w:sz w:val="24"/>
          <w:szCs w:val="24"/>
        </w:rPr>
      </w:pPr>
      <w:r>
        <w:rPr>
          <w:rFonts w:hint="eastAsia"/>
          <w:sz w:val="24"/>
          <w:szCs w:val="24"/>
        </w:rPr>
        <w:t>3</w:t>
      </w:r>
      <w:r>
        <w:rPr>
          <w:rFonts w:hint="eastAsia"/>
          <w:sz w:val="24"/>
          <w:szCs w:val="24"/>
        </w:rPr>
        <w:t>、基金托管业务经营情况</w:t>
      </w:r>
    </w:p>
    <w:p w14:paraId="536400E6" w14:textId="77777777" w:rsidR="004614AE" w:rsidRDefault="00000000">
      <w:pPr>
        <w:spacing w:line="360" w:lineRule="auto"/>
        <w:ind w:firstLineChars="200" w:firstLine="480"/>
        <w:rPr>
          <w:sz w:val="24"/>
          <w:szCs w:val="24"/>
        </w:rPr>
      </w:pPr>
      <w:r>
        <w:rPr>
          <w:rFonts w:hint="eastAsia"/>
          <w:sz w:val="24"/>
          <w:szCs w:val="24"/>
        </w:rPr>
        <w:t>国泰君安证券于</w:t>
      </w:r>
      <w:r>
        <w:rPr>
          <w:rFonts w:hint="eastAsia"/>
          <w:sz w:val="24"/>
          <w:szCs w:val="24"/>
        </w:rPr>
        <w:t>2013</w:t>
      </w:r>
      <w:r>
        <w:rPr>
          <w:rFonts w:hint="eastAsia"/>
          <w:sz w:val="24"/>
          <w:szCs w:val="24"/>
        </w:rPr>
        <w:t>年</w:t>
      </w:r>
      <w:r>
        <w:rPr>
          <w:rFonts w:hint="eastAsia"/>
          <w:sz w:val="24"/>
          <w:szCs w:val="24"/>
        </w:rPr>
        <w:t>4</w:t>
      </w:r>
      <w:r>
        <w:rPr>
          <w:rFonts w:hint="eastAsia"/>
          <w:sz w:val="24"/>
          <w:szCs w:val="24"/>
        </w:rPr>
        <w:t>月</w:t>
      </w:r>
      <w:r>
        <w:rPr>
          <w:rFonts w:hint="eastAsia"/>
          <w:sz w:val="24"/>
          <w:szCs w:val="24"/>
        </w:rPr>
        <w:t>3</w:t>
      </w:r>
      <w:r>
        <w:rPr>
          <w:rFonts w:hint="eastAsia"/>
          <w:sz w:val="24"/>
          <w:szCs w:val="24"/>
        </w:rPr>
        <w:t>日取得私募基金综合托管业务资格，于</w:t>
      </w:r>
      <w:r>
        <w:rPr>
          <w:rFonts w:hint="eastAsia"/>
          <w:sz w:val="24"/>
          <w:szCs w:val="24"/>
        </w:rPr>
        <w:t>2014</w:t>
      </w:r>
      <w:r>
        <w:rPr>
          <w:rFonts w:hint="eastAsia"/>
          <w:sz w:val="24"/>
          <w:szCs w:val="24"/>
        </w:rPr>
        <w:t>年</w:t>
      </w:r>
      <w:r>
        <w:rPr>
          <w:rFonts w:hint="eastAsia"/>
          <w:sz w:val="24"/>
          <w:szCs w:val="24"/>
        </w:rPr>
        <w:t>5</w:t>
      </w:r>
      <w:r>
        <w:rPr>
          <w:rFonts w:hint="eastAsia"/>
          <w:sz w:val="24"/>
          <w:szCs w:val="24"/>
        </w:rPr>
        <w:t>月</w:t>
      </w:r>
      <w:r>
        <w:rPr>
          <w:rFonts w:hint="eastAsia"/>
          <w:sz w:val="24"/>
          <w:szCs w:val="24"/>
        </w:rPr>
        <w:t>20</w:t>
      </w:r>
      <w:r>
        <w:rPr>
          <w:rFonts w:hint="eastAsia"/>
          <w:sz w:val="24"/>
          <w:szCs w:val="24"/>
        </w:rPr>
        <w:t>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w:t>
      </w:r>
      <w:proofErr w:type="gramStart"/>
      <w:r>
        <w:rPr>
          <w:rFonts w:hint="eastAsia"/>
          <w:sz w:val="24"/>
          <w:szCs w:val="24"/>
        </w:rPr>
        <w:t>券商资管计划</w:t>
      </w:r>
      <w:proofErr w:type="gramEnd"/>
      <w:r>
        <w:rPr>
          <w:rFonts w:hint="eastAsia"/>
          <w:sz w:val="24"/>
          <w:szCs w:val="24"/>
        </w:rPr>
        <w:t>、私募基金等基金托管业务，与建信、平安、天弘、富国、长信、</w:t>
      </w:r>
      <w:proofErr w:type="gramStart"/>
      <w:r>
        <w:rPr>
          <w:rFonts w:hint="eastAsia"/>
          <w:sz w:val="24"/>
          <w:szCs w:val="24"/>
        </w:rPr>
        <w:t>中融等</w:t>
      </w:r>
      <w:proofErr w:type="gramEnd"/>
      <w:r>
        <w:rPr>
          <w:rFonts w:hint="eastAsia"/>
          <w:sz w:val="24"/>
          <w:szCs w:val="24"/>
        </w:rPr>
        <w:t>多家基金公司及其子公司建立了托管合作关系，截止</w:t>
      </w:r>
      <w:r>
        <w:rPr>
          <w:rFonts w:hint="eastAsia"/>
          <w:sz w:val="24"/>
          <w:szCs w:val="24"/>
        </w:rPr>
        <w:t>2022</w:t>
      </w:r>
      <w:r>
        <w:rPr>
          <w:rFonts w:hint="eastAsia"/>
          <w:sz w:val="24"/>
          <w:szCs w:val="24"/>
        </w:rPr>
        <w:t>年</w:t>
      </w:r>
      <w:r>
        <w:rPr>
          <w:rFonts w:hint="eastAsia"/>
          <w:sz w:val="24"/>
          <w:szCs w:val="24"/>
        </w:rPr>
        <w:t>10</w:t>
      </w:r>
      <w:r>
        <w:rPr>
          <w:rFonts w:hint="eastAsia"/>
          <w:sz w:val="24"/>
          <w:szCs w:val="24"/>
        </w:rPr>
        <w:t>月</w:t>
      </w:r>
      <w:r>
        <w:rPr>
          <w:rFonts w:hint="eastAsia"/>
          <w:sz w:val="24"/>
          <w:szCs w:val="24"/>
        </w:rPr>
        <w:t>9</w:t>
      </w:r>
      <w:r>
        <w:rPr>
          <w:rFonts w:hint="eastAsia"/>
          <w:sz w:val="24"/>
          <w:szCs w:val="24"/>
        </w:rPr>
        <w:t>日托管公</w:t>
      </w:r>
      <w:proofErr w:type="gramStart"/>
      <w:r>
        <w:rPr>
          <w:rFonts w:hint="eastAsia"/>
          <w:sz w:val="24"/>
          <w:szCs w:val="24"/>
        </w:rPr>
        <w:t>募基金</w:t>
      </w:r>
      <w:proofErr w:type="gramEnd"/>
      <w:r>
        <w:rPr>
          <w:rFonts w:hint="eastAsia"/>
          <w:sz w:val="24"/>
          <w:szCs w:val="24"/>
        </w:rPr>
        <w:t>5</w:t>
      </w:r>
      <w:r>
        <w:rPr>
          <w:sz w:val="24"/>
          <w:szCs w:val="24"/>
        </w:rPr>
        <w:t>4</w:t>
      </w:r>
      <w:r>
        <w:rPr>
          <w:rFonts w:hint="eastAsia"/>
          <w:sz w:val="24"/>
          <w:szCs w:val="24"/>
        </w:rPr>
        <w:t>只，专业的服务和可靠的运营获得了管理人的一致认可。</w:t>
      </w:r>
    </w:p>
    <w:p w14:paraId="3E835D15" w14:textId="77777777" w:rsidR="004614AE" w:rsidRDefault="00000000">
      <w:pPr>
        <w:spacing w:line="360" w:lineRule="auto"/>
        <w:ind w:firstLineChars="200" w:firstLine="480"/>
        <w:rPr>
          <w:sz w:val="24"/>
          <w:szCs w:val="24"/>
        </w:rPr>
      </w:pPr>
      <w:r>
        <w:rPr>
          <w:rFonts w:hint="eastAsia"/>
          <w:sz w:val="24"/>
          <w:szCs w:val="24"/>
        </w:rPr>
        <w:t>（二）基金托管人的内部控制制度</w:t>
      </w:r>
    </w:p>
    <w:p w14:paraId="5096CD30" w14:textId="77777777" w:rsidR="004614AE" w:rsidRDefault="00000000">
      <w:pPr>
        <w:spacing w:line="360" w:lineRule="auto"/>
        <w:ind w:firstLineChars="200" w:firstLine="480"/>
        <w:rPr>
          <w:sz w:val="24"/>
          <w:szCs w:val="24"/>
        </w:rPr>
      </w:pPr>
      <w:r>
        <w:rPr>
          <w:rFonts w:hint="eastAsia"/>
          <w:sz w:val="24"/>
          <w:szCs w:val="24"/>
        </w:rPr>
        <w:t>1</w:t>
      </w:r>
      <w:r>
        <w:rPr>
          <w:rFonts w:hint="eastAsia"/>
          <w:sz w:val="24"/>
          <w:szCs w:val="24"/>
        </w:rPr>
        <w:t>、内部控制目标</w:t>
      </w:r>
    </w:p>
    <w:p w14:paraId="444A8D1E" w14:textId="77777777" w:rsidR="004614AE" w:rsidRDefault="00000000">
      <w:pPr>
        <w:spacing w:line="360" w:lineRule="auto"/>
        <w:ind w:firstLineChars="200" w:firstLine="480"/>
        <w:rPr>
          <w:sz w:val="24"/>
          <w:szCs w:val="24"/>
        </w:rPr>
      </w:pPr>
      <w:r>
        <w:rPr>
          <w:rFonts w:hint="eastAsia"/>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Pr>
          <w:rFonts w:hint="eastAsia"/>
          <w:sz w:val="24"/>
          <w:szCs w:val="24"/>
        </w:rPr>
        <w:t xml:space="preserve"> </w:t>
      </w:r>
    </w:p>
    <w:p w14:paraId="7B149A33" w14:textId="77777777" w:rsidR="004614AE" w:rsidRDefault="00000000">
      <w:pPr>
        <w:spacing w:line="360" w:lineRule="auto"/>
        <w:ind w:firstLineChars="200" w:firstLine="480"/>
        <w:rPr>
          <w:sz w:val="24"/>
          <w:szCs w:val="24"/>
        </w:rPr>
      </w:pPr>
      <w:r>
        <w:rPr>
          <w:rFonts w:hint="eastAsia"/>
          <w:sz w:val="24"/>
          <w:szCs w:val="24"/>
        </w:rPr>
        <w:t>2</w:t>
      </w:r>
      <w:r>
        <w:rPr>
          <w:rFonts w:hint="eastAsia"/>
          <w:sz w:val="24"/>
          <w:szCs w:val="24"/>
        </w:rPr>
        <w:t>、内部控制组织结构</w:t>
      </w:r>
    </w:p>
    <w:p w14:paraId="606CA2B7" w14:textId="77777777" w:rsidR="004614AE" w:rsidRDefault="00000000">
      <w:pPr>
        <w:spacing w:line="360" w:lineRule="auto"/>
        <w:ind w:firstLineChars="200" w:firstLine="480"/>
        <w:rPr>
          <w:sz w:val="24"/>
          <w:szCs w:val="24"/>
        </w:rPr>
      </w:pPr>
      <w:r>
        <w:rPr>
          <w:rFonts w:hint="eastAsia"/>
          <w:sz w:val="24"/>
          <w:szCs w:val="24"/>
        </w:rPr>
        <w:t>国泰君安证券在董事会中内设风险控制委员会，是公司风险管理的最高决策</w:t>
      </w:r>
      <w:r>
        <w:rPr>
          <w:rFonts w:hint="eastAsia"/>
          <w:sz w:val="24"/>
          <w:szCs w:val="24"/>
        </w:rPr>
        <w:lastRenderedPageBreak/>
        <w:t>机构；公司在经营管理层面设置风险管理委员会，对公司经营风险实行统筹管理，对风险管理重大事项进行审议与决策；风险管理部门包括专职履行风险管理职责的风险管理部、合</w:t>
      </w:r>
      <w:proofErr w:type="gramStart"/>
      <w:r>
        <w:rPr>
          <w:rFonts w:hint="eastAsia"/>
          <w:sz w:val="24"/>
          <w:szCs w:val="24"/>
        </w:rPr>
        <w:t>规</w:t>
      </w:r>
      <w:proofErr w:type="gramEnd"/>
      <w:r>
        <w:rPr>
          <w:rFonts w:hint="eastAsia"/>
          <w:sz w:val="24"/>
          <w:szCs w:val="24"/>
        </w:rPr>
        <w:t>部、法律部、稽核审计部，以及计划财务部、信息技术部、营运中心等履行其他风险管理职责的部门。</w:t>
      </w:r>
    </w:p>
    <w:p w14:paraId="42AB40FD" w14:textId="77777777" w:rsidR="004614AE" w:rsidRDefault="00000000">
      <w:pPr>
        <w:spacing w:line="360" w:lineRule="auto"/>
        <w:ind w:firstLineChars="200" w:firstLine="480"/>
        <w:rPr>
          <w:sz w:val="24"/>
          <w:szCs w:val="24"/>
        </w:rPr>
      </w:pPr>
      <w:r>
        <w:rPr>
          <w:rFonts w:hint="eastAsia"/>
          <w:sz w:val="24"/>
          <w:szCs w:val="24"/>
        </w:rPr>
        <w:t>资产托管部设置</w:t>
      </w:r>
      <w:proofErr w:type="gramStart"/>
      <w:r>
        <w:rPr>
          <w:rFonts w:hint="eastAsia"/>
          <w:sz w:val="24"/>
          <w:szCs w:val="24"/>
        </w:rPr>
        <w:t>风控合规</w:t>
      </w:r>
      <w:proofErr w:type="gramEnd"/>
      <w:r>
        <w:rPr>
          <w:rFonts w:hint="eastAsia"/>
          <w:sz w:val="24"/>
          <w:szCs w:val="24"/>
        </w:rPr>
        <w:t>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Pr>
          <w:rFonts w:hint="eastAsia"/>
          <w:sz w:val="24"/>
          <w:szCs w:val="24"/>
        </w:rPr>
        <w:t xml:space="preserve"> </w:t>
      </w:r>
    </w:p>
    <w:p w14:paraId="3EE90313" w14:textId="77777777" w:rsidR="004614AE" w:rsidRDefault="00000000">
      <w:pPr>
        <w:spacing w:line="360" w:lineRule="auto"/>
        <w:ind w:firstLineChars="200" w:firstLine="480"/>
        <w:rPr>
          <w:sz w:val="24"/>
          <w:szCs w:val="24"/>
        </w:rPr>
      </w:pPr>
      <w:r>
        <w:rPr>
          <w:rFonts w:hint="eastAsia"/>
          <w:sz w:val="24"/>
          <w:szCs w:val="24"/>
        </w:rPr>
        <w:t>3</w:t>
      </w:r>
      <w:r>
        <w:rPr>
          <w:rFonts w:hint="eastAsia"/>
          <w:sz w:val="24"/>
          <w:szCs w:val="24"/>
        </w:rPr>
        <w:t>、内部控制制度及措施</w:t>
      </w:r>
    </w:p>
    <w:p w14:paraId="0C27CF97" w14:textId="77777777" w:rsidR="004614AE" w:rsidRDefault="00000000">
      <w:pPr>
        <w:spacing w:line="360" w:lineRule="auto"/>
        <w:ind w:firstLineChars="200" w:firstLine="480"/>
        <w:rPr>
          <w:sz w:val="24"/>
          <w:szCs w:val="24"/>
        </w:rPr>
      </w:pPr>
      <w:r>
        <w:rPr>
          <w:rFonts w:hint="eastAsia"/>
          <w:sz w:val="24"/>
          <w:szCs w:val="24"/>
        </w:rPr>
        <w:t>根据《基金法》、《运作办法》、《证券投资基金托管业务管理办法》等法律法规，基金托管</w:t>
      </w:r>
      <w:proofErr w:type="gramStart"/>
      <w:r>
        <w:rPr>
          <w:rFonts w:hint="eastAsia"/>
          <w:sz w:val="24"/>
          <w:szCs w:val="24"/>
        </w:rPr>
        <w:t>人制</w:t>
      </w:r>
      <w:proofErr w:type="gramEnd"/>
      <w:r>
        <w:rPr>
          <w:rFonts w:hint="eastAsia"/>
          <w:sz w:val="24"/>
          <w:szCs w:val="24"/>
        </w:rPr>
        <w:t>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6E53859B" w14:textId="77777777" w:rsidR="004614AE" w:rsidRDefault="00000000">
      <w:pPr>
        <w:spacing w:line="360" w:lineRule="auto"/>
        <w:ind w:firstLineChars="200" w:firstLine="480"/>
        <w:rPr>
          <w:sz w:val="24"/>
          <w:szCs w:val="24"/>
        </w:rPr>
      </w:pPr>
      <w:r>
        <w:rPr>
          <w:rFonts w:hint="eastAsia"/>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15397C87" w14:textId="77777777" w:rsidR="004614AE" w:rsidRDefault="00000000">
      <w:pPr>
        <w:spacing w:line="360" w:lineRule="auto"/>
        <w:ind w:firstLineChars="200" w:firstLine="480"/>
        <w:rPr>
          <w:sz w:val="24"/>
          <w:szCs w:val="24"/>
        </w:rPr>
      </w:pPr>
      <w:r>
        <w:rPr>
          <w:rFonts w:hint="eastAsia"/>
          <w:sz w:val="24"/>
          <w:szCs w:val="24"/>
        </w:rPr>
        <w:t>（三）基金托管人对基金管理人运作基金进行监督的方法和程序</w:t>
      </w:r>
    </w:p>
    <w:p w14:paraId="596B0C33" w14:textId="77777777" w:rsidR="004614AE" w:rsidRDefault="00000000">
      <w:pPr>
        <w:spacing w:line="360" w:lineRule="auto"/>
        <w:ind w:firstLineChars="200" w:firstLine="480"/>
        <w:rPr>
          <w:sz w:val="24"/>
          <w:szCs w:val="24"/>
        </w:rPr>
      </w:pPr>
      <w:r>
        <w:rPr>
          <w:rFonts w:hint="eastAsia"/>
          <w:sz w:val="24"/>
          <w:szCs w:val="24"/>
        </w:rPr>
        <w:lastRenderedPageBreak/>
        <w:t>1</w:t>
      </w:r>
      <w:r>
        <w:rPr>
          <w:rFonts w:hint="eastAsia"/>
          <w:sz w:val="24"/>
          <w:szCs w:val="24"/>
        </w:rPr>
        <w:t>、监督方法</w:t>
      </w:r>
    </w:p>
    <w:p w14:paraId="7ABFF377" w14:textId="77777777" w:rsidR="004614AE" w:rsidRDefault="00000000">
      <w:pPr>
        <w:spacing w:line="360" w:lineRule="auto"/>
        <w:ind w:firstLineChars="200" w:firstLine="480"/>
        <w:rPr>
          <w:sz w:val="24"/>
          <w:szCs w:val="24"/>
        </w:rPr>
      </w:pPr>
      <w:r>
        <w:rPr>
          <w:rFonts w:hint="eastAsia"/>
          <w:sz w:val="24"/>
          <w:szCs w:val="24"/>
        </w:rPr>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基金的申购资金的到账与赎回资金的划付、基金收益分配等行为的合法性、合</w:t>
      </w:r>
      <w:proofErr w:type="gramStart"/>
      <w:r>
        <w:rPr>
          <w:rFonts w:hint="eastAsia"/>
          <w:sz w:val="24"/>
          <w:szCs w:val="24"/>
        </w:rPr>
        <w:t>规</w:t>
      </w:r>
      <w:proofErr w:type="gramEnd"/>
      <w:r>
        <w:rPr>
          <w:rFonts w:hint="eastAsia"/>
          <w:sz w:val="24"/>
          <w:szCs w:val="24"/>
        </w:rPr>
        <w:t>性进行监督和核查。</w:t>
      </w:r>
    </w:p>
    <w:p w14:paraId="30EC0E7F" w14:textId="77777777" w:rsidR="004614AE" w:rsidRDefault="00000000">
      <w:pPr>
        <w:spacing w:line="360" w:lineRule="auto"/>
        <w:ind w:firstLineChars="200" w:firstLine="480"/>
        <w:rPr>
          <w:sz w:val="24"/>
          <w:szCs w:val="24"/>
        </w:rPr>
      </w:pPr>
      <w:r>
        <w:rPr>
          <w:rFonts w:hint="eastAsia"/>
          <w:sz w:val="24"/>
          <w:szCs w:val="24"/>
        </w:rPr>
        <w:t>2</w:t>
      </w:r>
      <w:r>
        <w:rPr>
          <w:rFonts w:hint="eastAsia"/>
          <w:sz w:val="24"/>
          <w:szCs w:val="24"/>
        </w:rPr>
        <w:t>、监督程序</w:t>
      </w:r>
      <w:r>
        <w:rPr>
          <w:rFonts w:hint="eastAsia"/>
          <w:sz w:val="24"/>
          <w:szCs w:val="24"/>
        </w:rPr>
        <w:t xml:space="preserve"> </w:t>
      </w:r>
    </w:p>
    <w:p w14:paraId="6AF4F820" w14:textId="77777777" w:rsidR="004614AE" w:rsidRDefault="00000000">
      <w:pPr>
        <w:spacing w:line="360" w:lineRule="auto"/>
        <w:ind w:firstLineChars="200" w:firstLine="480"/>
        <w:rPr>
          <w:sz w:val="24"/>
          <w:szCs w:val="24"/>
        </w:rPr>
      </w:pPr>
      <w:r>
        <w:rPr>
          <w:rFonts w:hint="eastAsia"/>
          <w:sz w:val="24"/>
          <w:szCs w:val="24"/>
        </w:rPr>
        <w:t>基金托管人发现基金管理人有违反《基金法》、《运作办法》等有关法律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52DFC33C" w14:textId="77777777" w:rsidR="004614AE" w:rsidRDefault="004614AE">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6D51A5F1" w14:textId="77777777" w:rsidR="004614AE" w:rsidRDefault="004614AE">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705803E3" w14:textId="77777777" w:rsidR="004614AE" w:rsidRDefault="004614AE">
      <w:pPr>
        <w:tabs>
          <w:tab w:val="left" w:pos="1110"/>
        </w:tabs>
        <w:adjustRightInd w:val="0"/>
        <w:snapToGrid w:val="0"/>
        <w:spacing w:line="360" w:lineRule="auto"/>
        <w:ind w:firstLineChars="200" w:firstLine="480"/>
        <w:rPr>
          <w:rFonts w:asciiTheme="minorEastAsia" w:hAnsiTheme="minorEastAsia" w:cs="Arial"/>
          <w:bCs/>
          <w:sz w:val="24"/>
          <w:szCs w:val="24"/>
        </w:rPr>
      </w:pPr>
    </w:p>
    <w:p w14:paraId="7B9A06AF" w14:textId="77777777" w:rsidR="004614AE" w:rsidRDefault="00000000">
      <w:pPr>
        <w:widowControl/>
        <w:jc w:val="left"/>
        <w:rPr>
          <w:rFonts w:asciiTheme="minorEastAsia" w:hAnsiTheme="minorEastAsia" w:cs="Arial"/>
          <w:bCs/>
          <w:sz w:val="24"/>
          <w:szCs w:val="24"/>
        </w:rPr>
      </w:pPr>
      <w:r>
        <w:rPr>
          <w:rFonts w:asciiTheme="minorEastAsia" w:hAnsiTheme="minorEastAsia" w:cs="Arial"/>
          <w:bCs/>
          <w:sz w:val="24"/>
          <w:szCs w:val="24"/>
        </w:rPr>
        <w:br w:type="page"/>
      </w:r>
    </w:p>
    <w:p w14:paraId="5EFF6514" w14:textId="77777777" w:rsidR="004614AE" w:rsidRDefault="00000000">
      <w:pPr>
        <w:pStyle w:val="1"/>
        <w:jc w:val="center"/>
        <w:rPr>
          <w:sz w:val="30"/>
          <w:szCs w:val="30"/>
        </w:rPr>
      </w:pPr>
      <w:bookmarkStart w:id="93" w:name="_Toc416264541"/>
      <w:bookmarkStart w:id="94" w:name="_Toc68266292"/>
      <w:bookmarkStart w:id="95" w:name="_Toc214873594"/>
      <w:bookmarkStart w:id="96" w:name="_Toc263092313"/>
      <w:bookmarkStart w:id="97" w:name="_Toc119568461"/>
      <w:bookmarkStart w:id="98" w:name="_Toc1270"/>
      <w:bookmarkStart w:id="99" w:name="_Toc20733"/>
      <w:bookmarkStart w:id="100" w:name="_Toc10463"/>
      <w:bookmarkStart w:id="101" w:name="_Toc17244"/>
      <w:bookmarkStart w:id="102" w:name="_Toc139991736"/>
      <w:bookmarkStart w:id="103" w:name="_Toc11081"/>
      <w:bookmarkStart w:id="104" w:name="_Toc4003"/>
      <w:bookmarkStart w:id="105" w:name="_Toc123051452"/>
      <w:bookmarkStart w:id="106" w:name="_Toc123102453"/>
      <w:bookmarkStart w:id="107" w:name="_Toc352229752"/>
      <w:bookmarkStart w:id="108" w:name="_Toc352229751"/>
      <w:bookmarkStart w:id="109" w:name="_Toc7920"/>
      <w:bookmarkStart w:id="110" w:name="_Toc141703886"/>
      <w:bookmarkStart w:id="111" w:name="_Toc79392606"/>
      <w:bookmarkStart w:id="112" w:name="_Toc610"/>
      <w:bookmarkStart w:id="113" w:name="_Toc23261"/>
      <w:bookmarkStart w:id="114" w:name="_Toc23822"/>
      <w:bookmarkStart w:id="115" w:name="_Toc123112234"/>
      <w:bookmarkStart w:id="116" w:name="_Toc1427"/>
      <w:bookmarkStart w:id="117" w:name="_Toc98560352"/>
      <w:bookmarkStart w:id="118" w:name="_Toc4864970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hint="eastAsia"/>
          <w:sz w:val="30"/>
          <w:szCs w:val="30"/>
        </w:rPr>
        <w:lastRenderedPageBreak/>
        <w:t>第五部分</w:t>
      </w:r>
      <w:r>
        <w:rPr>
          <w:sz w:val="30"/>
          <w:szCs w:val="30"/>
        </w:rPr>
        <w:t xml:space="preserve">  </w:t>
      </w:r>
      <w:r>
        <w:rPr>
          <w:rFonts w:hint="eastAsia"/>
          <w:sz w:val="30"/>
          <w:szCs w:val="30"/>
        </w:rPr>
        <w:t>相关服务机构</w:t>
      </w:r>
      <w:bookmarkEnd w:id="93"/>
      <w:bookmarkEnd w:id="94"/>
      <w:bookmarkEnd w:id="95"/>
      <w:bookmarkEnd w:id="96"/>
      <w:bookmarkEnd w:id="97"/>
    </w:p>
    <w:p w14:paraId="06D593B3" w14:textId="77777777" w:rsidR="004614AE" w:rsidRDefault="00000000">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4A8FEEED"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0ECDDD15"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0AA72016"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48869AF9"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法定代表人：杨小舟</w:t>
      </w:r>
    </w:p>
    <w:p w14:paraId="6EF41806"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254A88A8"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w:t>
      </w:r>
      <w:r>
        <w:rPr>
          <w:rFonts w:asciiTheme="minorEastAsia" w:hAnsiTheme="minorEastAsia" w:cs="Arial" w:hint="eastAsia"/>
          <w:kern w:val="0"/>
          <w:sz w:val="24"/>
          <w:szCs w:val="24"/>
        </w:rPr>
        <w:t>83230902</w:t>
      </w:r>
    </w:p>
    <w:p w14:paraId="37694CDB"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5DB62D65"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30F8729B" w14:textId="77777777" w:rsidR="004614AE" w:rsidRDefault="00000000">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2、其他销售机构：</w:t>
      </w:r>
    </w:p>
    <w:tbl>
      <w:tblPr>
        <w:tblStyle w:val="afa"/>
        <w:tblW w:w="8505" w:type="dxa"/>
        <w:tblInd w:w="250" w:type="dxa"/>
        <w:tblLook w:val="04A0" w:firstRow="1" w:lastRow="0" w:firstColumn="1" w:lastColumn="0" w:noHBand="0" w:noVBand="1"/>
      </w:tblPr>
      <w:tblGrid>
        <w:gridCol w:w="709"/>
        <w:gridCol w:w="2693"/>
        <w:gridCol w:w="5103"/>
      </w:tblGrid>
      <w:tr w:rsidR="004614AE" w14:paraId="464245E6" w14:textId="77777777" w:rsidTr="00D3649B">
        <w:trPr>
          <w:trHeight w:val="14"/>
        </w:trPr>
        <w:tc>
          <w:tcPr>
            <w:tcW w:w="709" w:type="dxa"/>
          </w:tcPr>
          <w:p w14:paraId="465161E6" w14:textId="77777777" w:rsidR="004614AE" w:rsidRPr="00D3649B" w:rsidRDefault="00000000">
            <w:pPr>
              <w:snapToGrid w:val="0"/>
              <w:spacing w:line="360" w:lineRule="auto"/>
              <w:jc w:val="center"/>
              <w:rPr>
                <w:rFonts w:asciiTheme="minorEastAsia" w:hAnsiTheme="minorEastAsia" w:cs="Arial"/>
                <w:sz w:val="24"/>
                <w:szCs w:val="24"/>
              </w:rPr>
            </w:pPr>
            <w:r w:rsidRPr="00D3649B">
              <w:rPr>
                <w:rFonts w:asciiTheme="minorEastAsia" w:hAnsiTheme="minorEastAsia" w:cs="Arial" w:hint="eastAsia"/>
                <w:sz w:val="24"/>
                <w:szCs w:val="24"/>
              </w:rPr>
              <w:t>序号</w:t>
            </w:r>
          </w:p>
        </w:tc>
        <w:tc>
          <w:tcPr>
            <w:tcW w:w="2693" w:type="dxa"/>
          </w:tcPr>
          <w:p w14:paraId="3B259A3C" w14:textId="77777777" w:rsidR="004614AE" w:rsidRPr="00D3649B" w:rsidRDefault="00000000" w:rsidP="00D3649B">
            <w:pPr>
              <w:snapToGrid w:val="0"/>
              <w:spacing w:line="360" w:lineRule="auto"/>
              <w:ind w:firstLineChars="200" w:firstLine="480"/>
              <w:rPr>
                <w:rFonts w:asciiTheme="minorEastAsia" w:hAnsiTheme="minorEastAsia" w:cs="Arial"/>
                <w:sz w:val="24"/>
                <w:szCs w:val="24"/>
              </w:rPr>
            </w:pPr>
            <w:r w:rsidRPr="00D3649B">
              <w:rPr>
                <w:rFonts w:asciiTheme="minorEastAsia" w:hAnsiTheme="minorEastAsia" w:cs="Arial" w:hint="eastAsia"/>
                <w:sz w:val="24"/>
                <w:szCs w:val="24"/>
              </w:rPr>
              <w:t>代销机构名称</w:t>
            </w:r>
          </w:p>
        </w:tc>
        <w:tc>
          <w:tcPr>
            <w:tcW w:w="5103" w:type="dxa"/>
          </w:tcPr>
          <w:p w14:paraId="2C9AB5EE" w14:textId="77777777" w:rsidR="004614AE" w:rsidRPr="00D3649B" w:rsidRDefault="00000000" w:rsidP="00D3649B">
            <w:pPr>
              <w:snapToGrid w:val="0"/>
              <w:spacing w:line="360" w:lineRule="auto"/>
              <w:ind w:firstLineChars="200" w:firstLine="480"/>
              <w:rPr>
                <w:rFonts w:asciiTheme="minorEastAsia" w:hAnsiTheme="minorEastAsia" w:cs="Arial"/>
                <w:sz w:val="24"/>
                <w:szCs w:val="24"/>
              </w:rPr>
            </w:pPr>
            <w:r w:rsidRPr="00D3649B">
              <w:rPr>
                <w:rFonts w:asciiTheme="minorEastAsia" w:hAnsiTheme="minorEastAsia" w:cs="Arial" w:hint="eastAsia"/>
                <w:sz w:val="24"/>
                <w:szCs w:val="24"/>
              </w:rPr>
              <w:t>代销机构信息</w:t>
            </w:r>
          </w:p>
        </w:tc>
      </w:tr>
      <w:tr w:rsidR="004614AE" w14:paraId="198DAE35" w14:textId="77777777" w:rsidTr="00D3649B">
        <w:trPr>
          <w:trHeight w:val="14"/>
        </w:trPr>
        <w:tc>
          <w:tcPr>
            <w:tcW w:w="709" w:type="dxa"/>
          </w:tcPr>
          <w:p w14:paraId="77806B9B"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w:t>
            </w:r>
          </w:p>
        </w:tc>
        <w:tc>
          <w:tcPr>
            <w:tcW w:w="2693" w:type="dxa"/>
          </w:tcPr>
          <w:p w14:paraId="14AD1E7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东方财富证券股份有限公司</w:t>
            </w:r>
          </w:p>
        </w:tc>
        <w:tc>
          <w:tcPr>
            <w:tcW w:w="5103" w:type="dxa"/>
          </w:tcPr>
          <w:p w14:paraId="50763FC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(办公)地址：西藏自治区拉萨市柳梧新区国际总部城10栋楼 </w:t>
            </w:r>
          </w:p>
          <w:p w14:paraId="637A786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95357</w:t>
            </w:r>
          </w:p>
          <w:p w14:paraId="6C692A6E"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 xml:space="preserve"> www.18.cn</w:t>
            </w:r>
          </w:p>
        </w:tc>
      </w:tr>
      <w:tr w:rsidR="004614AE" w14:paraId="3666698F" w14:textId="77777777" w:rsidTr="00D3649B">
        <w:trPr>
          <w:trHeight w:val="14"/>
        </w:trPr>
        <w:tc>
          <w:tcPr>
            <w:tcW w:w="709" w:type="dxa"/>
          </w:tcPr>
          <w:p w14:paraId="6B60DEA0"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w:t>
            </w:r>
          </w:p>
        </w:tc>
        <w:tc>
          <w:tcPr>
            <w:tcW w:w="2693" w:type="dxa"/>
          </w:tcPr>
          <w:p w14:paraId="7E4982E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上海基</w:t>
            </w:r>
            <w:proofErr w:type="gramStart"/>
            <w:r w:rsidRPr="00D3649B">
              <w:rPr>
                <w:rFonts w:asciiTheme="minorEastAsia" w:hAnsiTheme="minorEastAsia" w:cs="Arial" w:hint="eastAsia"/>
                <w:szCs w:val="21"/>
              </w:rPr>
              <w:t>煜</w:t>
            </w:r>
            <w:proofErr w:type="gramEnd"/>
            <w:r w:rsidRPr="00D3649B">
              <w:rPr>
                <w:rFonts w:asciiTheme="minorEastAsia" w:hAnsiTheme="minorEastAsia" w:cs="Arial" w:hint="eastAsia"/>
                <w:szCs w:val="21"/>
              </w:rPr>
              <w:t>基金销售有限公司</w:t>
            </w:r>
          </w:p>
        </w:tc>
        <w:tc>
          <w:tcPr>
            <w:tcW w:w="5103" w:type="dxa"/>
          </w:tcPr>
          <w:p w14:paraId="652EDB2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办公地址：上海市杨浦区昆明路</w:t>
            </w:r>
            <w:r w:rsidRPr="00D3649B">
              <w:rPr>
                <w:rFonts w:asciiTheme="minorEastAsia" w:hAnsiTheme="minorEastAsia" w:cs="Arial"/>
                <w:szCs w:val="21"/>
              </w:rPr>
              <w:t>518号A1002室</w:t>
            </w:r>
          </w:p>
          <w:p w14:paraId="519AA39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4008205369</w:t>
            </w:r>
          </w:p>
          <w:p w14:paraId="3483913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www.jiyufund.com.cn</w:t>
            </w:r>
          </w:p>
        </w:tc>
      </w:tr>
      <w:tr w:rsidR="004614AE" w14:paraId="7C26A49F" w14:textId="77777777" w:rsidTr="00D3649B">
        <w:trPr>
          <w:trHeight w:val="14"/>
        </w:trPr>
        <w:tc>
          <w:tcPr>
            <w:tcW w:w="709" w:type="dxa"/>
          </w:tcPr>
          <w:p w14:paraId="11EC5B7C"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w:t>
            </w:r>
          </w:p>
        </w:tc>
        <w:tc>
          <w:tcPr>
            <w:tcW w:w="2693" w:type="dxa"/>
          </w:tcPr>
          <w:p w14:paraId="337E50EE" w14:textId="77777777" w:rsidR="004614AE" w:rsidRPr="00D3649B" w:rsidRDefault="00000000" w:rsidP="00D3649B">
            <w:pPr>
              <w:snapToGrid w:val="0"/>
              <w:rPr>
                <w:rFonts w:asciiTheme="minorEastAsia" w:hAnsiTheme="minorEastAsia" w:cs="Arial"/>
                <w:szCs w:val="21"/>
              </w:rPr>
            </w:pPr>
            <w:r>
              <w:rPr>
                <w:rFonts w:asciiTheme="minorEastAsia" w:hAnsiTheme="minorEastAsia" w:cs="Arial" w:hint="eastAsia"/>
                <w:szCs w:val="21"/>
              </w:rPr>
              <w:t>奕丰金融销售有限公司</w:t>
            </w:r>
          </w:p>
        </w:tc>
        <w:tc>
          <w:tcPr>
            <w:tcW w:w="5103" w:type="dxa"/>
          </w:tcPr>
          <w:p w14:paraId="0FF38CBC"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地址: </w:t>
            </w:r>
            <w:r w:rsidRPr="00D3649B">
              <w:rPr>
                <w:rFonts w:asciiTheme="minorEastAsia" w:hAnsiTheme="minorEastAsia" w:cs="Arial" w:hint="eastAsia"/>
                <w:szCs w:val="21"/>
              </w:rPr>
              <w:t>深圳市前海深港合作区前湾一路</w:t>
            </w:r>
            <w:r w:rsidRPr="00D3649B">
              <w:rPr>
                <w:rFonts w:asciiTheme="minorEastAsia" w:hAnsiTheme="minorEastAsia" w:cs="Arial"/>
                <w:szCs w:val="21"/>
              </w:rPr>
              <w:t>1</w:t>
            </w:r>
            <w:r w:rsidRPr="00D3649B">
              <w:rPr>
                <w:rFonts w:asciiTheme="minorEastAsia" w:hAnsiTheme="minorEastAsia" w:cs="Arial" w:hint="eastAsia"/>
                <w:szCs w:val="21"/>
              </w:rPr>
              <w:t>号</w:t>
            </w:r>
            <w:r w:rsidRPr="00D3649B">
              <w:rPr>
                <w:rFonts w:asciiTheme="minorEastAsia" w:hAnsiTheme="minorEastAsia" w:cs="Arial"/>
                <w:szCs w:val="21"/>
              </w:rPr>
              <w:t>A</w:t>
            </w:r>
            <w:r w:rsidRPr="00D3649B">
              <w:rPr>
                <w:rFonts w:asciiTheme="minorEastAsia" w:hAnsiTheme="minorEastAsia" w:cs="Arial" w:hint="eastAsia"/>
                <w:szCs w:val="21"/>
              </w:rPr>
              <w:t>栋</w:t>
            </w:r>
            <w:r w:rsidRPr="00D3649B">
              <w:rPr>
                <w:rFonts w:asciiTheme="minorEastAsia" w:hAnsiTheme="minorEastAsia" w:cs="Arial"/>
                <w:szCs w:val="21"/>
              </w:rPr>
              <w:t>201</w:t>
            </w:r>
            <w:r w:rsidRPr="00D3649B">
              <w:rPr>
                <w:rFonts w:asciiTheme="minorEastAsia" w:hAnsiTheme="minorEastAsia" w:cs="Arial" w:hint="eastAsia"/>
                <w:szCs w:val="21"/>
              </w:rPr>
              <w:t>室（入驻深圳市前海商务秘书有限公司）</w:t>
            </w:r>
          </w:p>
          <w:p w14:paraId="0D6ACCB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400-684-0500</w:t>
            </w:r>
          </w:p>
          <w:p w14:paraId="553C0F5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www.ifastps.com.cn</w:t>
            </w:r>
          </w:p>
        </w:tc>
      </w:tr>
      <w:tr w:rsidR="004614AE" w14:paraId="410688F0" w14:textId="77777777" w:rsidTr="00D3649B">
        <w:trPr>
          <w:trHeight w:val="14"/>
        </w:trPr>
        <w:tc>
          <w:tcPr>
            <w:tcW w:w="709" w:type="dxa"/>
          </w:tcPr>
          <w:p w14:paraId="7186644A"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w:t>
            </w:r>
          </w:p>
        </w:tc>
        <w:tc>
          <w:tcPr>
            <w:tcW w:w="2693" w:type="dxa"/>
          </w:tcPr>
          <w:p w14:paraId="4BC266E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上海好买基金销售有限公司</w:t>
            </w:r>
          </w:p>
        </w:tc>
        <w:tc>
          <w:tcPr>
            <w:tcW w:w="5103" w:type="dxa"/>
          </w:tcPr>
          <w:p w14:paraId="7BF203FA"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办公地址：上海市浦东新区浦东南路</w:t>
            </w:r>
            <w:r w:rsidRPr="00D3649B">
              <w:rPr>
                <w:rFonts w:asciiTheme="minorEastAsia" w:hAnsiTheme="minorEastAsia" w:cs="Arial"/>
                <w:szCs w:val="21"/>
              </w:rPr>
              <w:t>1118号鄂尔多斯大厦9楼</w:t>
            </w:r>
          </w:p>
          <w:p w14:paraId="0E8F952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400-700-9665</w:t>
            </w:r>
          </w:p>
          <w:p w14:paraId="355961B7"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公司网址：</w:t>
            </w:r>
            <w:r w:rsidRPr="00D3649B">
              <w:rPr>
                <w:rFonts w:asciiTheme="minorEastAsia" w:hAnsiTheme="minorEastAsia" w:cs="Arial"/>
                <w:szCs w:val="21"/>
              </w:rPr>
              <w:t>www.ehowbuy.com</w:t>
            </w:r>
          </w:p>
        </w:tc>
      </w:tr>
      <w:tr w:rsidR="004614AE" w14:paraId="70D6C6D6" w14:textId="77777777" w:rsidTr="00D3649B">
        <w:trPr>
          <w:trHeight w:val="14"/>
        </w:trPr>
        <w:tc>
          <w:tcPr>
            <w:tcW w:w="709" w:type="dxa"/>
          </w:tcPr>
          <w:p w14:paraId="32C048C3"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5</w:t>
            </w:r>
          </w:p>
        </w:tc>
        <w:tc>
          <w:tcPr>
            <w:tcW w:w="2693" w:type="dxa"/>
          </w:tcPr>
          <w:p w14:paraId="15B4380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京东肯特瑞基金销售有限公司</w:t>
            </w:r>
          </w:p>
        </w:tc>
        <w:tc>
          <w:tcPr>
            <w:tcW w:w="5103" w:type="dxa"/>
          </w:tcPr>
          <w:p w14:paraId="3DD75B6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办公地址：北京市通州区亦庄</w:t>
            </w:r>
            <w:proofErr w:type="gramStart"/>
            <w:r w:rsidRPr="00D3649B">
              <w:rPr>
                <w:rFonts w:asciiTheme="minorEastAsia" w:hAnsiTheme="minorEastAsia" w:cs="Arial" w:hint="eastAsia"/>
                <w:szCs w:val="21"/>
              </w:rPr>
              <w:t>经济技术开发区科创十一</w:t>
            </w:r>
            <w:proofErr w:type="gramEnd"/>
            <w:r w:rsidRPr="00D3649B">
              <w:rPr>
                <w:rFonts w:asciiTheme="minorEastAsia" w:hAnsiTheme="minorEastAsia" w:cs="Arial" w:hint="eastAsia"/>
                <w:szCs w:val="21"/>
              </w:rPr>
              <w:t>街</w:t>
            </w:r>
            <w:r w:rsidRPr="00D3649B">
              <w:rPr>
                <w:rFonts w:asciiTheme="minorEastAsia" w:hAnsiTheme="minorEastAsia" w:cs="Arial"/>
                <w:szCs w:val="21"/>
              </w:rPr>
              <w:t>18号院京东集团总部A座17层</w:t>
            </w:r>
          </w:p>
          <w:p w14:paraId="09DA9B5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95118</w:t>
            </w:r>
          </w:p>
          <w:p w14:paraId="228559E7"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公司网址：</w:t>
            </w:r>
            <w:r w:rsidRPr="00D3649B">
              <w:rPr>
                <w:rFonts w:asciiTheme="minorEastAsia" w:hAnsiTheme="minorEastAsia" w:cs="Arial"/>
                <w:szCs w:val="21"/>
              </w:rPr>
              <w:t>www.kenterui.jd.com</w:t>
            </w:r>
          </w:p>
        </w:tc>
      </w:tr>
      <w:tr w:rsidR="004614AE" w14:paraId="3E7A8290" w14:textId="77777777" w:rsidTr="00D3649B">
        <w:trPr>
          <w:trHeight w:val="14"/>
        </w:trPr>
        <w:tc>
          <w:tcPr>
            <w:tcW w:w="709" w:type="dxa"/>
          </w:tcPr>
          <w:p w14:paraId="7A96EA5D"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6</w:t>
            </w:r>
          </w:p>
        </w:tc>
        <w:tc>
          <w:tcPr>
            <w:tcW w:w="2693" w:type="dxa"/>
          </w:tcPr>
          <w:p w14:paraId="0AA9DDE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北京虹点基金销售有限公司</w:t>
            </w:r>
          </w:p>
        </w:tc>
        <w:tc>
          <w:tcPr>
            <w:tcW w:w="5103" w:type="dxa"/>
          </w:tcPr>
          <w:p w14:paraId="31B2EB5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注册地址：北京市朝阳区工人体育场北路甲</w:t>
            </w:r>
            <w:r w:rsidRPr="00D3649B">
              <w:rPr>
                <w:rFonts w:asciiTheme="minorEastAsia" w:hAnsiTheme="minorEastAsia" w:cs="Arial"/>
                <w:szCs w:val="21"/>
              </w:rPr>
              <w:t>2号裙房2层222单元</w:t>
            </w:r>
          </w:p>
          <w:p w14:paraId="37FA5AB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400-618-0707</w:t>
            </w:r>
          </w:p>
          <w:p w14:paraId="1A76111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http://www.hongdianfund.com/</w:t>
            </w:r>
          </w:p>
        </w:tc>
      </w:tr>
      <w:tr w:rsidR="004614AE" w14:paraId="36F5F1D8" w14:textId="77777777" w:rsidTr="00D3649B">
        <w:trPr>
          <w:trHeight w:val="14"/>
        </w:trPr>
        <w:tc>
          <w:tcPr>
            <w:tcW w:w="709" w:type="dxa"/>
          </w:tcPr>
          <w:p w14:paraId="7CEF94AB"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7</w:t>
            </w:r>
          </w:p>
        </w:tc>
        <w:tc>
          <w:tcPr>
            <w:tcW w:w="2693" w:type="dxa"/>
          </w:tcPr>
          <w:p w14:paraId="0E27537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上海陆金</w:t>
            </w:r>
            <w:proofErr w:type="gramStart"/>
            <w:r w:rsidRPr="00D3649B">
              <w:rPr>
                <w:rFonts w:asciiTheme="minorEastAsia" w:hAnsiTheme="minorEastAsia" w:cs="Arial" w:hint="eastAsia"/>
                <w:szCs w:val="21"/>
              </w:rPr>
              <w:t>所基金</w:t>
            </w:r>
            <w:proofErr w:type="gramEnd"/>
            <w:r w:rsidRPr="00D3649B">
              <w:rPr>
                <w:rFonts w:asciiTheme="minorEastAsia" w:hAnsiTheme="minorEastAsia" w:cs="Arial" w:hint="eastAsia"/>
                <w:szCs w:val="21"/>
              </w:rPr>
              <w:t>销售有限公司</w:t>
            </w:r>
          </w:p>
        </w:tc>
        <w:tc>
          <w:tcPr>
            <w:tcW w:w="5103" w:type="dxa"/>
          </w:tcPr>
          <w:p w14:paraId="15B9D31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办公地址：中国（上海）自由贸易试验区陆家嘴环路</w:t>
            </w:r>
            <w:r w:rsidRPr="00D3649B">
              <w:rPr>
                <w:rFonts w:asciiTheme="minorEastAsia" w:hAnsiTheme="minorEastAsia" w:cs="Arial"/>
                <w:szCs w:val="21"/>
              </w:rPr>
              <w:t>1333号14楼09单元</w:t>
            </w:r>
          </w:p>
          <w:p w14:paraId="14E3476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4008219031</w:t>
            </w:r>
          </w:p>
          <w:p w14:paraId="6E365F6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公司网址：</w:t>
            </w:r>
            <w:r w:rsidRPr="00D3649B">
              <w:rPr>
                <w:rFonts w:asciiTheme="minorEastAsia" w:hAnsiTheme="minorEastAsia" w:cs="Arial"/>
                <w:szCs w:val="21"/>
              </w:rPr>
              <w:t>www.lufunds.com</w:t>
            </w:r>
          </w:p>
        </w:tc>
      </w:tr>
      <w:tr w:rsidR="004614AE" w14:paraId="48E49873" w14:textId="77777777" w:rsidTr="00D3649B">
        <w:trPr>
          <w:trHeight w:val="14"/>
        </w:trPr>
        <w:tc>
          <w:tcPr>
            <w:tcW w:w="709" w:type="dxa"/>
          </w:tcPr>
          <w:p w14:paraId="144BAAA3"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lastRenderedPageBreak/>
              <w:t>8</w:t>
            </w:r>
          </w:p>
        </w:tc>
        <w:tc>
          <w:tcPr>
            <w:tcW w:w="2693" w:type="dxa"/>
          </w:tcPr>
          <w:p w14:paraId="35DDE76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上海联泰资产管理有限公司</w:t>
            </w:r>
          </w:p>
        </w:tc>
        <w:tc>
          <w:tcPr>
            <w:tcW w:w="5103" w:type="dxa"/>
          </w:tcPr>
          <w:p w14:paraId="1D0389D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办公地址：中国（上海）自由贸易试验区富特北路</w:t>
            </w:r>
            <w:r w:rsidRPr="00D3649B">
              <w:rPr>
                <w:rFonts w:asciiTheme="minorEastAsia" w:hAnsiTheme="minorEastAsia" w:cs="Arial"/>
                <w:szCs w:val="21"/>
              </w:rPr>
              <w:t>277号3层310室</w:t>
            </w:r>
          </w:p>
          <w:p w14:paraId="2BCB45F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4000466788</w:t>
            </w:r>
          </w:p>
          <w:p w14:paraId="3047ADD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公司网址：</w:t>
            </w:r>
            <w:r w:rsidRPr="00D3649B">
              <w:rPr>
                <w:rFonts w:asciiTheme="minorEastAsia" w:hAnsiTheme="minorEastAsia" w:cs="Arial"/>
                <w:szCs w:val="21"/>
              </w:rPr>
              <w:t xml:space="preserve"> www.66zichan.com</w:t>
            </w:r>
          </w:p>
        </w:tc>
      </w:tr>
      <w:tr w:rsidR="004614AE" w14:paraId="588E2FD2" w14:textId="77777777" w:rsidTr="00D3649B">
        <w:trPr>
          <w:trHeight w:val="14"/>
        </w:trPr>
        <w:tc>
          <w:tcPr>
            <w:tcW w:w="709" w:type="dxa"/>
          </w:tcPr>
          <w:p w14:paraId="04B945FA"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9</w:t>
            </w:r>
          </w:p>
        </w:tc>
        <w:tc>
          <w:tcPr>
            <w:tcW w:w="2693" w:type="dxa"/>
          </w:tcPr>
          <w:p w14:paraId="52BE454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深圳金斧子投资咨询有限公司</w:t>
            </w:r>
          </w:p>
        </w:tc>
        <w:tc>
          <w:tcPr>
            <w:tcW w:w="5103" w:type="dxa"/>
          </w:tcPr>
          <w:p w14:paraId="6873F31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办公地址：深圳市南山区粤海街道科苑路</w:t>
            </w:r>
            <w:r w:rsidRPr="00D3649B">
              <w:rPr>
                <w:rFonts w:asciiTheme="minorEastAsia" w:hAnsiTheme="minorEastAsia" w:cs="Arial"/>
                <w:szCs w:val="21"/>
              </w:rPr>
              <w:t>16号东方科技大厦18楼</w:t>
            </w:r>
          </w:p>
          <w:p w14:paraId="43413B0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400-9500-888</w:t>
            </w:r>
          </w:p>
          <w:p w14:paraId="38816F0E"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公司网址：</w:t>
            </w:r>
            <w:r w:rsidRPr="00D3649B">
              <w:rPr>
                <w:rFonts w:asciiTheme="minorEastAsia" w:hAnsiTheme="minorEastAsia" w:cs="Arial"/>
                <w:szCs w:val="21"/>
              </w:rPr>
              <w:t>www.jfzinv.com</w:t>
            </w:r>
          </w:p>
        </w:tc>
      </w:tr>
      <w:tr w:rsidR="004614AE" w14:paraId="45BFFEE6" w14:textId="77777777" w:rsidTr="00D3649B">
        <w:trPr>
          <w:trHeight w:val="14"/>
        </w:trPr>
        <w:tc>
          <w:tcPr>
            <w:tcW w:w="709" w:type="dxa"/>
          </w:tcPr>
          <w:p w14:paraId="61CD6CEB"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10</w:t>
            </w:r>
          </w:p>
        </w:tc>
        <w:tc>
          <w:tcPr>
            <w:tcW w:w="2693" w:type="dxa"/>
          </w:tcPr>
          <w:p w14:paraId="20D8673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上海天天基金销售有限公司</w:t>
            </w:r>
          </w:p>
        </w:tc>
        <w:tc>
          <w:tcPr>
            <w:tcW w:w="5103" w:type="dxa"/>
          </w:tcPr>
          <w:p w14:paraId="28FC556A"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w:t>
            </w:r>
            <w:r w:rsidRPr="00D3649B">
              <w:rPr>
                <w:rFonts w:asciiTheme="minorEastAsia" w:hAnsiTheme="minorEastAsia" w:cs="Arial"/>
                <w:szCs w:val="21"/>
              </w:rPr>
              <w:t xml:space="preserve"> </w:t>
            </w:r>
            <w:r w:rsidRPr="00D3649B">
              <w:rPr>
                <w:rFonts w:asciiTheme="minorEastAsia" w:hAnsiTheme="minorEastAsia" w:cs="Arial" w:hint="eastAsia"/>
                <w:szCs w:val="21"/>
              </w:rPr>
              <w:t>上海市徐汇区宛平南路</w:t>
            </w:r>
            <w:r w:rsidRPr="00D3649B">
              <w:rPr>
                <w:rFonts w:asciiTheme="minorEastAsia" w:hAnsiTheme="minorEastAsia" w:cs="Arial"/>
                <w:szCs w:val="21"/>
              </w:rPr>
              <w:t>88</w:t>
            </w:r>
            <w:r w:rsidRPr="00D3649B">
              <w:rPr>
                <w:rFonts w:asciiTheme="minorEastAsia" w:hAnsiTheme="minorEastAsia" w:cs="Arial" w:hint="eastAsia"/>
                <w:szCs w:val="21"/>
              </w:rPr>
              <w:t>号金座（北楼）</w:t>
            </w:r>
            <w:r w:rsidRPr="00D3649B">
              <w:rPr>
                <w:rFonts w:asciiTheme="minorEastAsia" w:hAnsiTheme="minorEastAsia" w:cs="Arial"/>
                <w:szCs w:val="21"/>
              </w:rPr>
              <w:t>25</w:t>
            </w:r>
            <w:r w:rsidRPr="00D3649B">
              <w:rPr>
                <w:rFonts w:asciiTheme="minorEastAsia" w:hAnsiTheme="minorEastAsia" w:cs="Arial" w:hint="eastAsia"/>
                <w:szCs w:val="21"/>
              </w:rPr>
              <w:t>层</w:t>
            </w:r>
          </w:p>
          <w:p w14:paraId="7365925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400-1818-188</w:t>
            </w:r>
          </w:p>
          <w:p w14:paraId="1AABA40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http://www.1234567.com.cn</w:t>
            </w:r>
          </w:p>
        </w:tc>
      </w:tr>
      <w:tr w:rsidR="004614AE" w14:paraId="39AFED79" w14:textId="77777777" w:rsidTr="00D3649B">
        <w:trPr>
          <w:trHeight w:val="14"/>
        </w:trPr>
        <w:tc>
          <w:tcPr>
            <w:tcW w:w="709" w:type="dxa"/>
          </w:tcPr>
          <w:p w14:paraId="71A2A866"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11</w:t>
            </w:r>
          </w:p>
        </w:tc>
        <w:tc>
          <w:tcPr>
            <w:tcW w:w="2693" w:type="dxa"/>
          </w:tcPr>
          <w:p w14:paraId="0823520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珠海盈米财富管理有限公司</w:t>
            </w:r>
          </w:p>
        </w:tc>
        <w:tc>
          <w:tcPr>
            <w:tcW w:w="5103" w:type="dxa"/>
          </w:tcPr>
          <w:p w14:paraId="4E0DE16E"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办公地址：广州市海珠区</w:t>
            </w:r>
            <w:proofErr w:type="gramStart"/>
            <w:r w:rsidRPr="00D3649B">
              <w:rPr>
                <w:rFonts w:asciiTheme="minorEastAsia" w:hAnsiTheme="minorEastAsia" w:cs="Arial" w:hint="eastAsia"/>
                <w:szCs w:val="21"/>
              </w:rPr>
              <w:t>琶</w:t>
            </w:r>
            <w:proofErr w:type="gramEnd"/>
            <w:r w:rsidRPr="00D3649B">
              <w:rPr>
                <w:rFonts w:asciiTheme="minorEastAsia" w:hAnsiTheme="minorEastAsia" w:cs="Arial" w:hint="eastAsia"/>
                <w:szCs w:val="21"/>
              </w:rPr>
              <w:t>洲大道东</w:t>
            </w:r>
            <w:r w:rsidRPr="00D3649B">
              <w:rPr>
                <w:rFonts w:asciiTheme="minorEastAsia" w:hAnsiTheme="minorEastAsia" w:cs="Arial"/>
                <w:szCs w:val="21"/>
              </w:rPr>
              <w:t>1号保利国际广场南塔12楼B1201-1203</w:t>
            </w:r>
          </w:p>
          <w:p w14:paraId="058E167A"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020-89629066</w:t>
            </w:r>
          </w:p>
          <w:p w14:paraId="3700EDC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hyperlink r:id="rId30" w:history="1">
              <w:r w:rsidRPr="00D3649B">
                <w:rPr>
                  <w:rFonts w:asciiTheme="minorEastAsia" w:hAnsiTheme="minorEastAsia" w:cs="Arial"/>
                  <w:szCs w:val="21"/>
                </w:rPr>
                <w:t>www.yingmi.cn</w:t>
              </w:r>
            </w:hyperlink>
          </w:p>
        </w:tc>
      </w:tr>
      <w:tr w:rsidR="004614AE" w14:paraId="524E8B71" w14:textId="77777777" w:rsidTr="00D3649B">
        <w:trPr>
          <w:trHeight w:val="14"/>
        </w:trPr>
        <w:tc>
          <w:tcPr>
            <w:tcW w:w="709" w:type="dxa"/>
          </w:tcPr>
          <w:p w14:paraId="2D361B8B"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12</w:t>
            </w:r>
          </w:p>
        </w:tc>
        <w:tc>
          <w:tcPr>
            <w:tcW w:w="2693" w:type="dxa"/>
          </w:tcPr>
          <w:p w14:paraId="0FCB5C2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上海长</w:t>
            </w:r>
            <w:proofErr w:type="gramStart"/>
            <w:r w:rsidRPr="00D3649B">
              <w:rPr>
                <w:rFonts w:asciiTheme="minorEastAsia" w:hAnsiTheme="minorEastAsia" w:cs="Arial" w:hint="eastAsia"/>
                <w:szCs w:val="21"/>
              </w:rPr>
              <w:t>量基金</w:t>
            </w:r>
            <w:proofErr w:type="gramEnd"/>
            <w:r w:rsidRPr="00D3649B">
              <w:rPr>
                <w:rFonts w:asciiTheme="minorEastAsia" w:hAnsiTheme="minorEastAsia" w:cs="Arial" w:hint="eastAsia"/>
                <w:szCs w:val="21"/>
              </w:rPr>
              <w:t>销售投资顾问有限公司</w:t>
            </w:r>
          </w:p>
        </w:tc>
        <w:tc>
          <w:tcPr>
            <w:tcW w:w="5103" w:type="dxa"/>
          </w:tcPr>
          <w:p w14:paraId="079AB73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办公地址：上海市浦东新区东方路</w:t>
            </w:r>
            <w:r w:rsidRPr="00D3649B">
              <w:rPr>
                <w:rFonts w:asciiTheme="minorEastAsia" w:hAnsiTheme="minorEastAsia" w:cs="Arial"/>
                <w:szCs w:val="21"/>
              </w:rPr>
              <w:t>1267号11层</w:t>
            </w:r>
          </w:p>
          <w:p w14:paraId="557335D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400-820-2899</w:t>
            </w:r>
          </w:p>
          <w:p w14:paraId="3FE5147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公司网站：</w:t>
            </w:r>
            <w:r w:rsidRPr="00D3649B">
              <w:rPr>
                <w:rFonts w:asciiTheme="minorEastAsia" w:hAnsiTheme="minorEastAsia" w:cs="Arial"/>
                <w:szCs w:val="21"/>
              </w:rPr>
              <w:t xml:space="preserve"> www.erichfund.com</w:t>
            </w:r>
          </w:p>
        </w:tc>
      </w:tr>
      <w:tr w:rsidR="004614AE" w14:paraId="0E474F64" w14:textId="77777777" w:rsidTr="00D3649B">
        <w:trPr>
          <w:trHeight w:val="14"/>
        </w:trPr>
        <w:tc>
          <w:tcPr>
            <w:tcW w:w="709" w:type="dxa"/>
          </w:tcPr>
          <w:p w14:paraId="2A485E12"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13</w:t>
            </w:r>
          </w:p>
        </w:tc>
        <w:tc>
          <w:tcPr>
            <w:tcW w:w="2693" w:type="dxa"/>
          </w:tcPr>
          <w:p w14:paraId="354DA13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北京汇成基金销售有限公司</w:t>
            </w:r>
          </w:p>
        </w:tc>
        <w:tc>
          <w:tcPr>
            <w:tcW w:w="5103" w:type="dxa"/>
          </w:tcPr>
          <w:p w14:paraId="7E2EC28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(办公)地址：</w:t>
            </w:r>
            <w:r w:rsidRPr="00D3649B">
              <w:rPr>
                <w:rFonts w:asciiTheme="minorEastAsia" w:hAnsiTheme="minorEastAsia" w:cs="Arial" w:hint="eastAsia"/>
                <w:szCs w:val="21"/>
              </w:rPr>
              <w:t>北京市西城区宣武门外大街甲</w:t>
            </w:r>
            <w:r w:rsidRPr="00D3649B">
              <w:rPr>
                <w:rFonts w:asciiTheme="minorEastAsia" w:hAnsiTheme="minorEastAsia" w:cs="Arial"/>
                <w:szCs w:val="21"/>
              </w:rPr>
              <w:t>1号</w:t>
            </w:r>
            <w:proofErr w:type="gramStart"/>
            <w:r w:rsidRPr="00D3649B">
              <w:rPr>
                <w:rFonts w:asciiTheme="minorEastAsia" w:hAnsiTheme="minorEastAsia" w:cs="Arial" w:hint="eastAsia"/>
                <w:szCs w:val="21"/>
              </w:rPr>
              <w:t>环球财讯中心</w:t>
            </w:r>
            <w:proofErr w:type="gramEnd"/>
            <w:r w:rsidRPr="00D3649B">
              <w:rPr>
                <w:rFonts w:asciiTheme="minorEastAsia" w:hAnsiTheme="minorEastAsia" w:cs="Arial"/>
                <w:szCs w:val="21"/>
              </w:rPr>
              <w:t>D座401</w:t>
            </w:r>
          </w:p>
          <w:p w14:paraId="62E97F1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400-619-9059</w:t>
            </w:r>
          </w:p>
          <w:p w14:paraId="32BCC110"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www.hcjijin.com</w:t>
            </w:r>
          </w:p>
        </w:tc>
      </w:tr>
      <w:tr w:rsidR="004614AE" w14:paraId="297CE94B" w14:textId="77777777" w:rsidTr="00D3649B">
        <w:trPr>
          <w:trHeight w:val="14"/>
        </w:trPr>
        <w:tc>
          <w:tcPr>
            <w:tcW w:w="709" w:type="dxa"/>
          </w:tcPr>
          <w:p w14:paraId="60BD7B3B"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14</w:t>
            </w:r>
          </w:p>
        </w:tc>
        <w:tc>
          <w:tcPr>
            <w:tcW w:w="2693" w:type="dxa"/>
          </w:tcPr>
          <w:p w14:paraId="602D605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深圳市新兰德证券投资咨询有限公司</w:t>
            </w:r>
          </w:p>
        </w:tc>
        <w:tc>
          <w:tcPr>
            <w:tcW w:w="5103" w:type="dxa"/>
          </w:tcPr>
          <w:p w14:paraId="47D60EF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办公地址：北京市西城区宣武门外大街</w:t>
            </w:r>
            <w:r w:rsidRPr="00D3649B">
              <w:rPr>
                <w:rFonts w:asciiTheme="minorEastAsia" w:hAnsiTheme="minorEastAsia" w:cs="Arial"/>
                <w:szCs w:val="21"/>
              </w:rPr>
              <w:t>10</w:t>
            </w:r>
            <w:r w:rsidRPr="00D3649B">
              <w:rPr>
                <w:rFonts w:asciiTheme="minorEastAsia" w:hAnsiTheme="minorEastAsia" w:cs="Arial" w:hint="eastAsia"/>
                <w:szCs w:val="21"/>
              </w:rPr>
              <w:t>号</w:t>
            </w:r>
            <w:proofErr w:type="gramStart"/>
            <w:r w:rsidRPr="00D3649B">
              <w:rPr>
                <w:rFonts w:asciiTheme="minorEastAsia" w:hAnsiTheme="minorEastAsia" w:cs="Arial" w:hint="eastAsia"/>
                <w:szCs w:val="21"/>
              </w:rPr>
              <w:t>庄胜广场</w:t>
            </w:r>
            <w:proofErr w:type="gramEnd"/>
            <w:r w:rsidRPr="00D3649B">
              <w:rPr>
                <w:rFonts w:asciiTheme="minorEastAsia" w:hAnsiTheme="minorEastAsia" w:cs="Arial" w:hint="eastAsia"/>
                <w:szCs w:val="21"/>
              </w:rPr>
              <w:t>中央办公楼东翼</w:t>
            </w:r>
            <w:r w:rsidRPr="00D3649B">
              <w:rPr>
                <w:rFonts w:asciiTheme="minorEastAsia" w:hAnsiTheme="minorEastAsia" w:cs="Arial"/>
                <w:szCs w:val="21"/>
              </w:rPr>
              <w:t>7</w:t>
            </w:r>
            <w:r w:rsidRPr="00D3649B">
              <w:rPr>
                <w:rFonts w:asciiTheme="minorEastAsia" w:hAnsiTheme="minorEastAsia" w:cs="Arial" w:hint="eastAsia"/>
                <w:szCs w:val="21"/>
              </w:rPr>
              <w:t>层</w:t>
            </w:r>
          </w:p>
          <w:p w14:paraId="7A093BB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400-166-1188</w:t>
            </w:r>
          </w:p>
          <w:p w14:paraId="4F451D2B"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http://8.jrj.com.cn/</w:t>
            </w:r>
          </w:p>
        </w:tc>
      </w:tr>
      <w:tr w:rsidR="004614AE" w14:paraId="377A52B5" w14:textId="77777777" w:rsidTr="00D3649B">
        <w:trPr>
          <w:trHeight w:val="14"/>
        </w:trPr>
        <w:tc>
          <w:tcPr>
            <w:tcW w:w="709" w:type="dxa"/>
          </w:tcPr>
          <w:p w14:paraId="380EA096"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15</w:t>
            </w:r>
          </w:p>
        </w:tc>
        <w:tc>
          <w:tcPr>
            <w:tcW w:w="2693" w:type="dxa"/>
          </w:tcPr>
          <w:p w14:paraId="2433792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济安财富（北京）基金销售有限公司</w:t>
            </w:r>
          </w:p>
        </w:tc>
        <w:tc>
          <w:tcPr>
            <w:tcW w:w="5103" w:type="dxa"/>
          </w:tcPr>
          <w:p w14:paraId="65BAAA46"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办公地址：北京市朝阳区东三环中路</w:t>
            </w:r>
            <w:r w:rsidRPr="00D3649B">
              <w:rPr>
                <w:rFonts w:asciiTheme="minorEastAsia" w:hAnsiTheme="minorEastAsia" w:cs="Arial"/>
                <w:szCs w:val="21"/>
              </w:rPr>
              <w:t xml:space="preserve">7号北京财富中心A座46层 </w:t>
            </w:r>
          </w:p>
          <w:p w14:paraId="45231D9D"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400-673-7010</w:t>
            </w:r>
          </w:p>
          <w:p w14:paraId="6F33F63C"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hyperlink r:id="rId31" w:history="1">
              <w:r w:rsidRPr="00D3649B">
                <w:rPr>
                  <w:rFonts w:asciiTheme="minorEastAsia" w:hAnsiTheme="minorEastAsia" w:cs="Arial"/>
                  <w:szCs w:val="21"/>
                </w:rPr>
                <w:t>www.jianfortune.com</w:t>
              </w:r>
            </w:hyperlink>
          </w:p>
        </w:tc>
      </w:tr>
      <w:tr w:rsidR="004614AE" w14:paraId="66259DE3" w14:textId="77777777" w:rsidTr="00D3649B">
        <w:trPr>
          <w:trHeight w:val="14"/>
        </w:trPr>
        <w:tc>
          <w:tcPr>
            <w:tcW w:w="709" w:type="dxa"/>
          </w:tcPr>
          <w:p w14:paraId="6AC3CDC8"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16</w:t>
            </w:r>
          </w:p>
        </w:tc>
        <w:tc>
          <w:tcPr>
            <w:tcW w:w="2693" w:type="dxa"/>
          </w:tcPr>
          <w:p w14:paraId="74BA5E4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民</w:t>
            </w:r>
            <w:proofErr w:type="gramStart"/>
            <w:r w:rsidRPr="00D3649B">
              <w:rPr>
                <w:rFonts w:asciiTheme="minorEastAsia" w:hAnsiTheme="minorEastAsia" w:cs="Arial" w:hint="eastAsia"/>
                <w:szCs w:val="21"/>
              </w:rPr>
              <w:t>商基金</w:t>
            </w:r>
            <w:proofErr w:type="gramEnd"/>
            <w:r w:rsidRPr="00D3649B">
              <w:rPr>
                <w:rFonts w:asciiTheme="minorEastAsia" w:hAnsiTheme="minorEastAsia" w:cs="Arial" w:hint="eastAsia"/>
                <w:szCs w:val="21"/>
              </w:rPr>
              <w:t>销售（上海）有限公司</w:t>
            </w:r>
          </w:p>
        </w:tc>
        <w:tc>
          <w:tcPr>
            <w:tcW w:w="5103" w:type="dxa"/>
          </w:tcPr>
          <w:p w14:paraId="2CC0985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(办公)地址：上海黄浦区北京东路666号H区（东座）6楼A31室 </w:t>
            </w:r>
          </w:p>
          <w:p w14:paraId="73A1693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021-50206003</w:t>
            </w:r>
          </w:p>
          <w:p w14:paraId="124E6FD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 xml:space="preserve">http://www.msftec.com </w:t>
            </w:r>
          </w:p>
        </w:tc>
      </w:tr>
      <w:tr w:rsidR="004614AE" w14:paraId="36D2F944" w14:textId="77777777" w:rsidTr="00D3649B">
        <w:trPr>
          <w:trHeight w:val="14"/>
        </w:trPr>
        <w:tc>
          <w:tcPr>
            <w:tcW w:w="709" w:type="dxa"/>
          </w:tcPr>
          <w:p w14:paraId="4C27074C"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17</w:t>
            </w:r>
          </w:p>
        </w:tc>
        <w:tc>
          <w:tcPr>
            <w:tcW w:w="2693" w:type="dxa"/>
          </w:tcPr>
          <w:p w14:paraId="104FD5CA"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大连</w:t>
            </w:r>
            <w:proofErr w:type="gramStart"/>
            <w:r w:rsidRPr="00D3649B">
              <w:rPr>
                <w:rFonts w:asciiTheme="minorEastAsia" w:hAnsiTheme="minorEastAsia" w:cs="Arial" w:hint="eastAsia"/>
                <w:szCs w:val="21"/>
              </w:rPr>
              <w:t>网金基金</w:t>
            </w:r>
            <w:proofErr w:type="gramEnd"/>
            <w:r w:rsidRPr="00D3649B">
              <w:rPr>
                <w:rFonts w:asciiTheme="minorEastAsia" w:hAnsiTheme="minorEastAsia" w:cs="Arial" w:hint="eastAsia"/>
                <w:szCs w:val="21"/>
              </w:rPr>
              <w:t>销售有限公司</w:t>
            </w:r>
          </w:p>
        </w:tc>
        <w:tc>
          <w:tcPr>
            <w:tcW w:w="5103" w:type="dxa"/>
          </w:tcPr>
          <w:p w14:paraId="61C95E6D"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w:t>
            </w:r>
            <w:r w:rsidRPr="00D3649B">
              <w:rPr>
                <w:rFonts w:asciiTheme="minorEastAsia" w:hAnsiTheme="minorEastAsia" w:cs="Arial" w:hint="eastAsia"/>
                <w:szCs w:val="21"/>
              </w:rPr>
              <w:t>办公</w:t>
            </w:r>
            <w:r w:rsidRPr="00D3649B">
              <w:rPr>
                <w:rFonts w:asciiTheme="minorEastAsia" w:hAnsiTheme="minorEastAsia" w:cs="Arial"/>
                <w:szCs w:val="21"/>
              </w:rPr>
              <w:t>)</w:t>
            </w:r>
            <w:r w:rsidRPr="00D3649B">
              <w:rPr>
                <w:rFonts w:asciiTheme="minorEastAsia" w:hAnsiTheme="minorEastAsia" w:cs="Arial" w:hint="eastAsia"/>
                <w:szCs w:val="21"/>
              </w:rPr>
              <w:t>地址：大连市沙河口区体坛路</w:t>
            </w:r>
            <w:r w:rsidRPr="00D3649B">
              <w:rPr>
                <w:rFonts w:asciiTheme="minorEastAsia" w:hAnsiTheme="minorEastAsia" w:cs="Arial"/>
                <w:szCs w:val="21"/>
              </w:rPr>
              <w:t>22</w:t>
            </w:r>
            <w:r w:rsidRPr="00D3649B">
              <w:rPr>
                <w:rFonts w:asciiTheme="minorEastAsia" w:hAnsiTheme="minorEastAsia" w:cs="Arial" w:hint="eastAsia"/>
                <w:szCs w:val="21"/>
              </w:rPr>
              <w:t>号诺德大厦</w:t>
            </w:r>
            <w:r w:rsidRPr="00D3649B">
              <w:rPr>
                <w:rFonts w:asciiTheme="minorEastAsia" w:hAnsiTheme="minorEastAsia" w:cs="Arial"/>
                <w:szCs w:val="21"/>
              </w:rPr>
              <w:t>2</w:t>
            </w:r>
            <w:r w:rsidRPr="00D3649B">
              <w:rPr>
                <w:rFonts w:asciiTheme="minorEastAsia" w:hAnsiTheme="minorEastAsia" w:cs="Arial" w:hint="eastAsia"/>
                <w:szCs w:val="21"/>
              </w:rPr>
              <w:t>层</w:t>
            </w:r>
          </w:p>
          <w:p w14:paraId="053876B5"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4000-899-100</w:t>
            </w:r>
          </w:p>
          <w:p w14:paraId="622EC1F0"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 xml:space="preserve"> http://www.yibaijin.com/</w:t>
            </w:r>
          </w:p>
        </w:tc>
      </w:tr>
      <w:tr w:rsidR="004614AE" w14:paraId="14F9CFDB" w14:textId="77777777" w:rsidTr="00D3649B">
        <w:trPr>
          <w:trHeight w:val="14"/>
        </w:trPr>
        <w:tc>
          <w:tcPr>
            <w:tcW w:w="709" w:type="dxa"/>
          </w:tcPr>
          <w:p w14:paraId="56B180D1"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18</w:t>
            </w:r>
          </w:p>
        </w:tc>
        <w:tc>
          <w:tcPr>
            <w:tcW w:w="2693" w:type="dxa"/>
          </w:tcPr>
          <w:p w14:paraId="72A7A6F7"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深圳</w:t>
            </w:r>
            <w:proofErr w:type="gramStart"/>
            <w:r w:rsidRPr="00D3649B">
              <w:rPr>
                <w:rFonts w:asciiTheme="minorEastAsia" w:hAnsiTheme="minorEastAsia" w:cs="Arial" w:hint="eastAsia"/>
                <w:szCs w:val="21"/>
              </w:rPr>
              <w:t>众禄基金</w:t>
            </w:r>
            <w:proofErr w:type="gramEnd"/>
            <w:r w:rsidRPr="00D3649B">
              <w:rPr>
                <w:rFonts w:asciiTheme="minorEastAsia" w:hAnsiTheme="minorEastAsia" w:cs="Arial" w:hint="eastAsia"/>
                <w:szCs w:val="21"/>
              </w:rPr>
              <w:t>销售股份有限公司</w:t>
            </w:r>
          </w:p>
        </w:tc>
        <w:tc>
          <w:tcPr>
            <w:tcW w:w="5103" w:type="dxa"/>
          </w:tcPr>
          <w:p w14:paraId="24BD5827"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注册（办公）地址：深圳市罗湖区梨园路物资控股置地大厦</w:t>
            </w:r>
            <w:r w:rsidRPr="00D3649B">
              <w:rPr>
                <w:rFonts w:asciiTheme="minorEastAsia" w:hAnsiTheme="minorEastAsia" w:cs="Arial"/>
                <w:szCs w:val="21"/>
              </w:rPr>
              <w:t>8楼</w:t>
            </w:r>
          </w:p>
          <w:p w14:paraId="0EEBA4EA"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4006-788-887</w:t>
            </w:r>
          </w:p>
          <w:p w14:paraId="01226932"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网址：</w:t>
            </w:r>
            <w:proofErr w:type="gramStart"/>
            <w:r w:rsidRPr="00D3649B">
              <w:rPr>
                <w:rFonts w:asciiTheme="minorEastAsia" w:hAnsiTheme="minorEastAsia" w:cs="Arial" w:hint="eastAsia"/>
                <w:szCs w:val="21"/>
              </w:rPr>
              <w:t>众禄基金</w:t>
            </w:r>
            <w:proofErr w:type="gramEnd"/>
            <w:r w:rsidRPr="00D3649B">
              <w:rPr>
                <w:rFonts w:asciiTheme="minorEastAsia" w:hAnsiTheme="minorEastAsia" w:cs="Arial" w:hint="eastAsia"/>
                <w:szCs w:val="21"/>
              </w:rPr>
              <w:t>网</w:t>
            </w:r>
            <w:r w:rsidRPr="00D3649B">
              <w:rPr>
                <w:rFonts w:asciiTheme="minorEastAsia" w:hAnsiTheme="minorEastAsia" w:cs="Arial"/>
                <w:szCs w:val="21"/>
              </w:rPr>
              <w:t xml:space="preserve"> </w:t>
            </w:r>
            <w:hyperlink r:id="rId32" w:history="1">
              <w:r w:rsidRPr="00D3649B">
                <w:rPr>
                  <w:rFonts w:asciiTheme="minorEastAsia" w:hAnsiTheme="minorEastAsia" w:cs="Arial"/>
                  <w:szCs w:val="21"/>
                </w:rPr>
                <w:t>www.zlfund.cn</w:t>
              </w:r>
            </w:hyperlink>
          </w:p>
          <w:p w14:paraId="202A61E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基金</w:t>
            </w:r>
            <w:proofErr w:type="gramStart"/>
            <w:r w:rsidRPr="00D3649B">
              <w:rPr>
                <w:rFonts w:asciiTheme="minorEastAsia" w:hAnsiTheme="minorEastAsia" w:cs="Arial" w:hint="eastAsia"/>
                <w:szCs w:val="21"/>
              </w:rPr>
              <w:t>买卖网</w:t>
            </w:r>
            <w:proofErr w:type="gramEnd"/>
            <w:r w:rsidRPr="00D3649B">
              <w:rPr>
                <w:rFonts w:asciiTheme="minorEastAsia" w:hAnsiTheme="minorEastAsia" w:cs="Arial"/>
                <w:szCs w:val="21"/>
              </w:rPr>
              <w:t xml:space="preserve"> </w:t>
            </w:r>
            <w:hyperlink r:id="rId33" w:history="1">
              <w:r w:rsidRPr="00D3649B">
                <w:rPr>
                  <w:rFonts w:asciiTheme="minorEastAsia" w:hAnsiTheme="minorEastAsia" w:cs="Arial"/>
                  <w:szCs w:val="21"/>
                </w:rPr>
                <w:t>www.jjmmw.com</w:t>
              </w:r>
            </w:hyperlink>
          </w:p>
        </w:tc>
      </w:tr>
      <w:tr w:rsidR="004614AE" w14:paraId="5B1F7D27" w14:textId="77777777" w:rsidTr="00D3649B">
        <w:trPr>
          <w:trHeight w:val="14"/>
        </w:trPr>
        <w:tc>
          <w:tcPr>
            <w:tcW w:w="709" w:type="dxa"/>
          </w:tcPr>
          <w:p w14:paraId="4EA7BEBD"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19</w:t>
            </w:r>
          </w:p>
        </w:tc>
        <w:tc>
          <w:tcPr>
            <w:tcW w:w="2693" w:type="dxa"/>
          </w:tcPr>
          <w:p w14:paraId="144D475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北京雪球基金销售有限公司</w:t>
            </w:r>
          </w:p>
          <w:p w14:paraId="73B7B61D" w14:textId="77777777" w:rsidR="004614AE" w:rsidRPr="00D3649B" w:rsidRDefault="004614AE" w:rsidP="00D3649B">
            <w:pPr>
              <w:snapToGrid w:val="0"/>
              <w:ind w:firstLineChars="200" w:firstLine="420"/>
              <w:rPr>
                <w:rFonts w:asciiTheme="minorEastAsia" w:hAnsiTheme="minorEastAsia" w:cs="Arial"/>
                <w:szCs w:val="21"/>
              </w:rPr>
            </w:pPr>
          </w:p>
        </w:tc>
        <w:tc>
          <w:tcPr>
            <w:tcW w:w="5103" w:type="dxa"/>
          </w:tcPr>
          <w:p w14:paraId="69D275FC"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注册（办公）地址：北京市朝阳区阜通东大街</w:t>
            </w:r>
            <w:r w:rsidRPr="00D3649B">
              <w:rPr>
                <w:rFonts w:asciiTheme="minorEastAsia" w:hAnsiTheme="minorEastAsia" w:cs="Arial"/>
                <w:szCs w:val="21"/>
              </w:rPr>
              <w:t>1</w:t>
            </w:r>
            <w:r w:rsidRPr="00D3649B">
              <w:rPr>
                <w:rFonts w:asciiTheme="minorEastAsia" w:hAnsiTheme="minorEastAsia" w:cs="Arial" w:hint="eastAsia"/>
                <w:szCs w:val="21"/>
              </w:rPr>
              <w:t>号院</w:t>
            </w:r>
            <w:r w:rsidRPr="00D3649B">
              <w:rPr>
                <w:rFonts w:asciiTheme="minorEastAsia" w:hAnsiTheme="minorEastAsia" w:cs="Arial"/>
                <w:szCs w:val="21"/>
              </w:rPr>
              <w:t>6</w:t>
            </w:r>
            <w:r w:rsidRPr="00D3649B">
              <w:rPr>
                <w:rFonts w:asciiTheme="minorEastAsia" w:hAnsiTheme="minorEastAsia" w:cs="Arial" w:hint="eastAsia"/>
                <w:szCs w:val="21"/>
              </w:rPr>
              <w:t>号楼</w:t>
            </w:r>
            <w:r w:rsidRPr="00D3649B">
              <w:rPr>
                <w:rFonts w:asciiTheme="minorEastAsia" w:hAnsiTheme="minorEastAsia" w:cs="Arial"/>
                <w:szCs w:val="21"/>
              </w:rPr>
              <w:t>2</w:t>
            </w:r>
            <w:r w:rsidRPr="00D3649B">
              <w:rPr>
                <w:rFonts w:asciiTheme="minorEastAsia" w:hAnsiTheme="minorEastAsia" w:cs="Arial" w:hint="eastAsia"/>
                <w:szCs w:val="21"/>
              </w:rPr>
              <w:t>单元</w:t>
            </w:r>
            <w:r w:rsidRPr="00D3649B">
              <w:rPr>
                <w:rFonts w:asciiTheme="minorEastAsia" w:hAnsiTheme="minorEastAsia" w:cs="Arial"/>
                <w:szCs w:val="21"/>
              </w:rPr>
              <w:t>21</w:t>
            </w:r>
            <w:r w:rsidRPr="00D3649B">
              <w:rPr>
                <w:rFonts w:asciiTheme="minorEastAsia" w:hAnsiTheme="minorEastAsia" w:cs="Arial" w:hint="eastAsia"/>
                <w:szCs w:val="21"/>
              </w:rPr>
              <w:t>层</w:t>
            </w:r>
            <w:r w:rsidRPr="00D3649B">
              <w:rPr>
                <w:rFonts w:asciiTheme="minorEastAsia" w:hAnsiTheme="minorEastAsia" w:cs="Arial"/>
                <w:szCs w:val="21"/>
              </w:rPr>
              <w:t>222507</w:t>
            </w:r>
          </w:p>
          <w:p w14:paraId="4A0543B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400 0618 518</w:t>
            </w:r>
          </w:p>
          <w:p w14:paraId="47030D3B"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hyperlink r:id="rId34" w:history="1">
              <w:r w:rsidRPr="00D3649B">
                <w:rPr>
                  <w:rFonts w:asciiTheme="minorEastAsia" w:hAnsiTheme="minorEastAsia" w:cs="Arial"/>
                  <w:szCs w:val="21"/>
                </w:rPr>
                <w:t>http://danjuanapp.com/</w:t>
              </w:r>
            </w:hyperlink>
          </w:p>
        </w:tc>
      </w:tr>
      <w:tr w:rsidR="004614AE" w14:paraId="3F087001" w14:textId="77777777" w:rsidTr="00D3649B">
        <w:trPr>
          <w:trHeight w:val="14"/>
        </w:trPr>
        <w:tc>
          <w:tcPr>
            <w:tcW w:w="709" w:type="dxa"/>
          </w:tcPr>
          <w:p w14:paraId="62113082"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20</w:t>
            </w:r>
          </w:p>
        </w:tc>
        <w:tc>
          <w:tcPr>
            <w:tcW w:w="2693" w:type="dxa"/>
          </w:tcPr>
          <w:p w14:paraId="487EE84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w:t>
            </w:r>
            <w:r w:rsidRPr="00D3649B">
              <w:rPr>
                <w:rFonts w:asciiTheme="minorEastAsia" w:hAnsiTheme="minorEastAsia" w:cs="Arial"/>
                <w:szCs w:val="21"/>
              </w:rPr>
              <w:t>挖财基金销售有限公司</w:t>
            </w:r>
          </w:p>
        </w:tc>
        <w:tc>
          <w:tcPr>
            <w:tcW w:w="5103" w:type="dxa"/>
          </w:tcPr>
          <w:p w14:paraId="47A1F210"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(办公)地址：中国（上海）自由贸易试验区扬高南路799号5楼01、02、03室</w:t>
            </w:r>
          </w:p>
          <w:p w14:paraId="2AD03CD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lastRenderedPageBreak/>
              <w:t>客户服务电话：</w:t>
            </w:r>
            <w:r w:rsidRPr="00D3649B">
              <w:rPr>
                <w:rFonts w:asciiTheme="minorEastAsia" w:hAnsiTheme="minorEastAsia" w:cs="Arial"/>
                <w:szCs w:val="21"/>
              </w:rPr>
              <w:t>400-711-8718</w:t>
            </w:r>
          </w:p>
          <w:p w14:paraId="11BA9C3C"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 </w:t>
            </w:r>
            <w:hyperlink r:id="rId35" w:history="1">
              <w:r w:rsidRPr="00D3649B">
                <w:rPr>
                  <w:rFonts w:asciiTheme="minorEastAsia" w:hAnsiTheme="minorEastAsia" w:cs="Arial"/>
                  <w:szCs w:val="21"/>
                </w:rPr>
                <w:t>www.wacaijijin.com</w:t>
              </w:r>
            </w:hyperlink>
          </w:p>
        </w:tc>
      </w:tr>
      <w:tr w:rsidR="004614AE" w14:paraId="0F118A92" w14:textId="77777777" w:rsidTr="00D3649B">
        <w:trPr>
          <w:trHeight w:val="14"/>
        </w:trPr>
        <w:tc>
          <w:tcPr>
            <w:tcW w:w="709" w:type="dxa"/>
          </w:tcPr>
          <w:p w14:paraId="41BDB7C5"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lastRenderedPageBreak/>
              <w:t>21</w:t>
            </w:r>
          </w:p>
        </w:tc>
        <w:tc>
          <w:tcPr>
            <w:tcW w:w="2693" w:type="dxa"/>
          </w:tcPr>
          <w:p w14:paraId="263FDF8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诺亚正</w:t>
            </w:r>
            <w:proofErr w:type="gramStart"/>
            <w:r w:rsidRPr="00D3649B">
              <w:rPr>
                <w:rFonts w:asciiTheme="minorEastAsia" w:hAnsiTheme="minorEastAsia" w:cs="Arial" w:hint="eastAsia"/>
                <w:szCs w:val="21"/>
              </w:rPr>
              <w:t>行基金</w:t>
            </w:r>
            <w:proofErr w:type="gramEnd"/>
            <w:r w:rsidRPr="00D3649B">
              <w:rPr>
                <w:rFonts w:asciiTheme="minorEastAsia" w:hAnsiTheme="minorEastAsia" w:cs="Arial" w:hint="eastAsia"/>
                <w:szCs w:val="21"/>
              </w:rPr>
              <w:t>销售有限公司</w:t>
            </w:r>
          </w:p>
        </w:tc>
        <w:tc>
          <w:tcPr>
            <w:tcW w:w="5103" w:type="dxa"/>
          </w:tcPr>
          <w:p w14:paraId="7B6E10A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(办公)地址：上海市杨浦区长阳路1687号2号楼</w:t>
            </w:r>
          </w:p>
          <w:p w14:paraId="4881F11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4008-215-399</w:t>
            </w:r>
          </w:p>
          <w:p w14:paraId="3C0B0D7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www.noah-fund.com</w:t>
            </w:r>
          </w:p>
        </w:tc>
      </w:tr>
      <w:tr w:rsidR="004614AE" w14:paraId="6397E8D5" w14:textId="77777777" w:rsidTr="00D3649B">
        <w:trPr>
          <w:trHeight w:val="14"/>
        </w:trPr>
        <w:tc>
          <w:tcPr>
            <w:tcW w:w="709" w:type="dxa"/>
          </w:tcPr>
          <w:p w14:paraId="2EFDB6D1"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22</w:t>
            </w:r>
          </w:p>
        </w:tc>
        <w:tc>
          <w:tcPr>
            <w:tcW w:w="2693" w:type="dxa"/>
          </w:tcPr>
          <w:p w14:paraId="565B371B"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w:t>
            </w:r>
            <w:proofErr w:type="gramStart"/>
            <w:r w:rsidRPr="00D3649B">
              <w:rPr>
                <w:rFonts w:asciiTheme="minorEastAsia" w:hAnsiTheme="minorEastAsia" w:cs="Arial" w:hint="eastAsia"/>
                <w:szCs w:val="21"/>
              </w:rPr>
              <w:t>凯</w:t>
            </w:r>
            <w:proofErr w:type="gramEnd"/>
            <w:r w:rsidRPr="00D3649B">
              <w:rPr>
                <w:rFonts w:asciiTheme="minorEastAsia" w:hAnsiTheme="minorEastAsia" w:cs="Arial" w:hint="eastAsia"/>
                <w:szCs w:val="21"/>
              </w:rPr>
              <w:t>石财富基金销售有限公司</w:t>
            </w:r>
          </w:p>
        </w:tc>
        <w:tc>
          <w:tcPr>
            <w:tcW w:w="5103" w:type="dxa"/>
          </w:tcPr>
          <w:p w14:paraId="045DF61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(办公)地址：上海市黄浦区西藏南路765号602-115室</w:t>
            </w:r>
          </w:p>
          <w:p w14:paraId="23B62CFE"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400-643-3389</w:t>
            </w:r>
          </w:p>
          <w:p w14:paraId="1EE8C9F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www.vstonewealth.com</w:t>
            </w:r>
          </w:p>
        </w:tc>
      </w:tr>
      <w:tr w:rsidR="004614AE" w14:paraId="368805C6" w14:textId="77777777" w:rsidTr="00D3649B">
        <w:trPr>
          <w:trHeight w:val="14"/>
        </w:trPr>
        <w:tc>
          <w:tcPr>
            <w:tcW w:w="709" w:type="dxa"/>
          </w:tcPr>
          <w:p w14:paraId="55CC1BC1"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23</w:t>
            </w:r>
          </w:p>
        </w:tc>
        <w:tc>
          <w:tcPr>
            <w:tcW w:w="2693" w:type="dxa"/>
          </w:tcPr>
          <w:p w14:paraId="125195EE" w14:textId="77777777" w:rsidR="004614AE" w:rsidRPr="00D3649B" w:rsidRDefault="00000000" w:rsidP="00D3649B">
            <w:pPr>
              <w:snapToGrid w:val="0"/>
              <w:rPr>
                <w:rFonts w:asciiTheme="minorEastAsia" w:hAnsiTheme="minorEastAsia" w:cs="Arial"/>
                <w:szCs w:val="21"/>
              </w:rPr>
            </w:pPr>
            <w:proofErr w:type="gramStart"/>
            <w:r w:rsidRPr="00D3649B">
              <w:rPr>
                <w:rFonts w:asciiTheme="minorEastAsia" w:hAnsiTheme="minorEastAsia" w:cs="Arial" w:hint="eastAsia"/>
                <w:szCs w:val="21"/>
              </w:rPr>
              <w:t>泰信财富</w:t>
            </w:r>
            <w:proofErr w:type="gramEnd"/>
            <w:r w:rsidRPr="00D3649B">
              <w:rPr>
                <w:rFonts w:asciiTheme="minorEastAsia" w:hAnsiTheme="minorEastAsia" w:cs="Arial" w:hint="eastAsia"/>
                <w:szCs w:val="21"/>
              </w:rPr>
              <w:t>基金销售有限公司</w:t>
            </w:r>
          </w:p>
        </w:tc>
        <w:tc>
          <w:tcPr>
            <w:tcW w:w="5103" w:type="dxa"/>
          </w:tcPr>
          <w:p w14:paraId="5EF184A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color w:val="000000"/>
                <w:szCs w:val="21"/>
              </w:rPr>
              <w:t>注册（办公）地址：北京市朝阳区建国</w:t>
            </w:r>
            <w:proofErr w:type="gramStart"/>
            <w:r w:rsidRPr="00D3649B">
              <w:rPr>
                <w:rFonts w:asciiTheme="minorEastAsia" w:hAnsiTheme="minorEastAsia" w:cs="Arial" w:hint="eastAsia"/>
                <w:szCs w:val="21"/>
              </w:rPr>
              <w:t>路乙</w:t>
            </w:r>
            <w:r w:rsidRPr="00D3649B">
              <w:rPr>
                <w:rFonts w:asciiTheme="minorEastAsia" w:hAnsiTheme="minorEastAsia" w:cs="Arial"/>
                <w:szCs w:val="21"/>
              </w:rPr>
              <w:t>118</w:t>
            </w:r>
            <w:r w:rsidRPr="00D3649B">
              <w:rPr>
                <w:rFonts w:asciiTheme="minorEastAsia" w:hAnsiTheme="minorEastAsia" w:cs="Arial" w:hint="eastAsia"/>
                <w:szCs w:val="21"/>
              </w:rPr>
              <w:t>号京汇</w:t>
            </w:r>
            <w:proofErr w:type="gramEnd"/>
            <w:r w:rsidRPr="00D3649B">
              <w:rPr>
                <w:rFonts w:asciiTheme="minorEastAsia" w:hAnsiTheme="minorEastAsia" w:cs="Arial" w:hint="eastAsia"/>
                <w:szCs w:val="21"/>
              </w:rPr>
              <w:t>大厦</w:t>
            </w:r>
            <w:r w:rsidRPr="00D3649B">
              <w:rPr>
                <w:rFonts w:asciiTheme="minorEastAsia" w:hAnsiTheme="minorEastAsia" w:cs="Arial"/>
                <w:szCs w:val="21"/>
              </w:rPr>
              <w:t>1206</w:t>
            </w:r>
          </w:p>
          <w:p w14:paraId="727A0507"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 xml:space="preserve">400-004-8821 </w:t>
            </w:r>
          </w:p>
          <w:p w14:paraId="4E1FD700"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hyperlink r:id="rId36" w:history="1">
              <w:r w:rsidRPr="00D3649B">
                <w:rPr>
                  <w:rFonts w:asciiTheme="minorEastAsia" w:hAnsiTheme="minorEastAsia" w:cs="Arial"/>
                  <w:szCs w:val="21"/>
                </w:rPr>
                <w:t>www.taixincf.com</w:t>
              </w:r>
            </w:hyperlink>
          </w:p>
        </w:tc>
      </w:tr>
      <w:tr w:rsidR="004614AE" w14:paraId="260D4427" w14:textId="77777777" w:rsidTr="00D3649B">
        <w:trPr>
          <w:trHeight w:val="14"/>
        </w:trPr>
        <w:tc>
          <w:tcPr>
            <w:tcW w:w="709" w:type="dxa"/>
          </w:tcPr>
          <w:p w14:paraId="1B52508D"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24</w:t>
            </w:r>
          </w:p>
        </w:tc>
        <w:tc>
          <w:tcPr>
            <w:tcW w:w="2693" w:type="dxa"/>
          </w:tcPr>
          <w:p w14:paraId="3FE8FFF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上海利得基金销售有限公司</w:t>
            </w:r>
          </w:p>
        </w:tc>
        <w:tc>
          <w:tcPr>
            <w:tcW w:w="5103" w:type="dxa"/>
          </w:tcPr>
          <w:p w14:paraId="68B0C99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注册地址：上海市宝山区蕴川路</w:t>
            </w:r>
            <w:r w:rsidRPr="00D3649B">
              <w:rPr>
                <w:rFonts w:asciiTheme="minorEastAsia" w:hAnsiTheme="minorEastAsia" w:cs="Arial"/>
                <w:szCs w:val="21"/>
              </w:rPr>
              <w:t>5475号1033室</w:t>
            </w:r>
          </w:p>
          <w:p w14:paraId="6133D49E"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95733</w:t>
            </w:r>
          </w:p>
          <w:p w14:paraId="1C7094E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www.leadfund.com.cn</w:t>
            </w:r>
          </w:p>
        </w:tc>
      </w:tr>
      <w:tr w:rsidR="004614AE" w14:paraId="20898FA4" w14:textId="77777777" w:rsidTr="00D3649B">
        <w:trPr>
          <w:trHeight w:val="14"/>
        </w:trPr>
        <w:tc>
          <w:tcPr>
            <w:tcW w:w="709" w:type="dxa"/>
          </w:tcPr>
          <w:p w14:paraId="65FC44A9"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25</w:t>
            </w:r>
          </w:p>
        </w:tc>
        <w:tc>
          <w:tcPr>
            <w:tcW w:w="2693" w:type="dxa"/>
          </w:tcPr>
          <w:p w14:paraId="19E305F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南京苏宁基金销售有限公司</w:t>
            </w:r>
          </w:p>
        </w:tc>
        <w:tc>
          <w:tcPr>
            <w:tcW w:w="5103" w:type="dxa"/>
          </w:tcPr>
          <w:p w14:paraId="35680D1A"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(办公)地址 :南京市玄武区苏宁大道1-6号</w:t>
            </w:r>
          </w:p>
          <w:p w14:paraId="73CB5F68"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025-66996699</w:t>
            </w:r>
          </w:p>
          <w:p w14:paraId="5C180520"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www.snjijin.com</w:t>
            </w:r>
          </w:p>
        </w:tc>
      </w:tr>
      <w:tr w:rsidR="004614AE" w14:paraId="748F7DC3" w14:textId="77777777" w:rsidTr="00D3649B">
        <w:trPr>
          <w:trHeight w:val="14"/>
        </w:trPr>
        <w:tc>
          <w:tcPr>
            <w:tcW w:w="709" w:type="dxa"/>
          </w:tcPr>
          <w:p w14:paraId="58585973"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26</w:t>
            </w:r>
          </w:p>
        </w:tc>
        <w:tc>
          <w:tcPr>
            <w:tcW w:w="2693" w:type="dxa"/>
          </w:tcPr>
          <w:p w14:paraId="506C669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中证金牛（北京）投资咨询有限公司</w:t>
            </w:r>
          </w:p>
        </w:tc>
        <w:tc>
          <w:tcPr>
            <w:tcW w:w="5103" w:type="dxa"/>
          </w:tcPr>
          <w:p w14:paraId="69A7C80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注册地址</w:t>
            </w:r>
            <w:r w:rsidRPr="00D3649B">
              <w:rPr>
                <w:rFonts w:asciiTheme="minorEastAsia" w:hAnsiTheme="minorEastAsia" w:cs="Arial"/>
                <w:szCs w:val="21"/>
              </w:rPr>
              <w:t>:北京市丰台区东管头1号2号楼2-45室</w:t>
            </w:r>
          </w:p>
          <w:p w14:paraId="64B292D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4008-909-998</w:t>
            </w:r>
          </w:p>
          <w:p w14:paraId="31B7D5B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www.jnlc.com</w:t>
            </w:r>
          </w:p>
        </w:tc>
      </w:tr>
      <w:tr w:rsidR="004614AE" w14:paraId="19D70D18" w14:textId="77777777" w:rsidTr="00D3649B">
        <w:trPr>
          <w:trHeight w:val="14"/>
        </w:trPr>
        <w:tc>
          <w:tcPr>
            <w:tcW w:w="709" w:type="dxa"/>
          </w:tcPr>
          <w:p w14:paraId="3FD89455"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27</w:t>
            </w:r>
          </w:p>
        </w:tc>
        <w:tc>
          <w:tcPr>
            <w:tcW w:w="2693" w:type="dxa"/>
          </w:tcPr>
          <w:p w14:paraId="72BF495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江苏汇林保大基金销售有限公司</w:t>
            </w:r>
          </w:p>
        </w:tc>
        <w:tc>
          <w:tcPr>
            <w:tcW w:w="5103" w:type="dxa"/>
          </w:tcPr>
          <w:p w14:paraId="2F6D348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地址:</w:t>
            </w:r>
            <w:r w:rsidRPr="00D3649B">
              <w:rPr>
                <w:rFonts w:asciiTheme="minorEastAsia" w:hAnsiTheme="minorEastAsia" w:cs="Arial" w:hint="eastAsia"/>
                <w:szCs w:val="21"/>
              </w:rPr>
              <w:t>南京市高淳区经济开发区古檀大道</w:t>
            </w:r>
            <w:r w:rsidRPr="00D3649B">
              <w:rPr>
                <w:rFonts w:asciiTheme="minorEastAsia" w:hAnsiTheme="minorEastAsia" w:cs="Arial"/>
                <w:szCs w:val="21"/>
              </w:rPr>
              <w:t>47号</w:t>
            </w:r>
          </w:p>
          <w:p w14:paraId="0B84A8D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025-66046166</w:t>
            </w:r>
          </w:p>
          <w:p w14:paraId="7B4ED1E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www.huilinbd.com</w:t>
            </w:r>
          </w:p>
        </w:tc>
      </w:tr>
      <w:tr w:rsidR="004614AE" w14:paraId="68138D61" w14:textId="77777777" w:rsidTr="00D3649B">
        <w:trPr>
          <w:trHeight w:val="14"/>
        </w:trPr>
        <w:tc>
          <w:tcPr>
            <w:tcW w:w="709" w:type="dxa"/>
          </w:tcPr>
          <w:p w14:paraId="6A1E0F88"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28</w:t>
            </w:r>
          </w:p>
        </w:tc>
        <w:tc>
          <w:tcPr>
            <w:tcW w:w="2693" w:type="dxa"/>
          </w:tcPr>
          <w:p w14:paraId="1E46CEFE" w14:textId="77777777" w:rsidR="004614AE" w:rsidRPr="00D3649B" w:rsidRDefault="00000000" w:rsidP="00D3649B">
            <w:pPr>
              <w:snapToGrid w:val="0"/>
              <w:rPr>
                <w:rFonts w:asciiTheme="minorEastAsia" w:hAnsiTheme="minorEastAsia" w:cs="Arial"/>
                <w:szCs w:val="21"/>
              </w:rPr>
            </w:pPr>
            <w:proofErr w:type="gramStart"/>
            <w:r w:rsidRPr="00D3649B">
              <w:rPr>
                <w:rFonts w:asciiTheme="minorEastAsia" w:hAnsiTheme="minorEastAsia" w:cs="Arial" w:hint="eastAsia"/>
                <w:szCs w:val="21"/>
              </w:rPr>
              <w:t>玄元保险</w:t>
            </w:r>
            <w:proofErr w:type="gramEnd"/>
            <w:r w:rsidRPr="00D3649B">
              <w:rPr>
                <w:rFonts w:asciiTheme="minorEastAsia" w:hAnsiTheme="minorEastAsia" w:cs="Arial" w:hint="eastAsia"/>
                <w:szCs w:val="21"/>
              </w:rPr>
              <w:t>代理有限公司</w:t>
            </w:r>
          </w:p>
        </w:tc>
        <w:tc>
          <w:tcPr>
            <w:tcW w:w="5103" w:type="dxa"/>
          </w:tcPr>
          <w:p w14:paraId="1D7FA00C"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地址: </w:t>
            </w:r>
            <w:r w:rsidRPr="00D3649B">
              <w:rPr>
                <w:rFonts w:asciiTheme="minorEastAsia" w:hAnsiTheme="minorEastAsia" w:cs="Arial" w:hint="eastAsia"/>
                <w:szCs w:val="21"/>
              </w:rPr>
              <w:t>中国（上海）自由贸易试验区张杨路</w:t>
            </w:r>
            <w:r w:rsidRPr="00D3649B">
              <w:rPr>
                <w:rFonts w:asciiTheme="minorEastAsia" w:hAnsiTheme="minorEastAsia" w:cs="Arial"/>
                <w:szCs w:val="21"/>
              </w:rPr>
              <w:t>707</w:t>
            </w:r>
            <w:r w:rsidRPr="00D3649B">
              <w:rPr>
                <w:rFonts w:asciiTheme="minorEastAsia" w:hAnsiTheme="minorEastAsia" w:cs="Arial" w:hint="eastAsia"/>
                <w:szCs w:val="21"/>
              </w:rPr>
              <w:t>号</w:t>
            </w:r>
            <w:r w:rsidRPr="00D3649B">
              <w:rPr>
                <w:rFonts w:asciiTheme="minorEastAsia" w:hAnsiTheme="minorEastAsia" w:cs="Arial"/>
                <w:szCs w:val="21"/>
              </w:rPr>
              <w:t>1105</w:t>
            </w:r>
            <w:r w:rsidRPr="00D3649B">
              <w:rPr>
                <w:rFonts w:asciiTheme="minorEastAsia" w:hAnsiTheme="minorEastAsia" w:cs="Arial" w:hint="eastAsia"/>
                <w:szCs w:val="21"/>
              </w:rPr>
              <w:t>室</w:t>
            </w:r>
          </w:p>
          <w:p w14:paraId="442BA18F"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021-50701003</w:t>
            </w:r>
          </w:p>
          <w:p w14:paraId="58E1C370"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www.licaimofang.cn</w:t>
            </w:r>
          </w:p>
        </w:tc>
      </w:tr>
      <w:tr w:rsidR="004614AE" w14:paraId="48157F5C" w14:textId="77777777" w:rsidTr="00D3649B">
        <w:trPr>
          <w:trHeight w:val="14"/>
        </w:trPr>
        <w:tc>
          <w:tcPr>
            <w:tcW w:w="709" w:type="dxa"/>
          </w:tcPr>
          <w:p w14:paraId="5123BF71"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29</w:t>
            </w:r>
          </w:p>
        </w:tc>
        <w:tc>
          <w:tcPr>
            <w:tcW w:w="2693" w:type="dxa"/>
          </w:tcPr>
          <w:p w14:paraId="63743FE5" w14:textId="77777777" w:rsidR="004614AE" w:rsidRPr="00D3649B" w:rsidRDefault="00000000" w:rsidP="00D3649B">
            <w:pPr>
              <w:snapToGrid w:val="0"/>
              <w:rPr>
                <w:rFonts w:asciiTheme="minorEastAsia" w:hAnsiTheme="minorEastAsia" w:cs="Arial"/>
                <w:szCs w:val="21"/>
              </w:rPr>
            </w:pPr>
            <w:proofErr w:type="gramStart"/>
            <w:r w:rsidRPr="00D3649B">
              <w:rPr>
                <w:rFonts w:asciiTheme="minorEastAsia" w:hAnsiTheme="minorEastAsia" w:cs="Arial" w:hint="eastAsia"/>
                <w:szCs w:val="21"/>
              </w:rPr>
              <w:t>宜信普</w:t>
            </w:r>
            <w:proofErr w:type="gramEnd"/>
            <w:r w:rsidRPr="00D3649B">
              <w:rPr>
                <w:rFonts w:asciiTheme="minorEastAsia" w:hAnsiTheme="minorEastAsia" w:cs="Arial" w:hint="eastAsia"/>
                <w:szCs w:val="21"/>
              </w:rPr>
              <w:t>泽（北京）基金销售有限公司</w:t>
            </w:r>
          </w:p>
        </w:tc>
        <w:tc>
          <w:tcPr>
            <w:tcW w:w="5103" w:type="dxa"/>
          </w:tcPr>
          <w:p w14:paraId="7DC418F7"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地址: </w:t>
            </w:r>
            <w:r w:rsidRPr="00D3649B">
              <w:rPr>
                <w:rFonts w:asciiTheme="minorEastAsia" w:hAnsiTheme="minorEastAsia" w:cs="Arial" w:hint="eastAsia"/>
                <w:szCs w:val="21"/>
              </w:rPr>
              <w:t>北京市</w:t>
            </w:r>
            <w:r w:rsidRPr="00D3649B">
              <w:rPr>
                <w:rFonts w:asciiTheme="minorEastAsia" w:hAnsiTheme="minorEastAsia" w:cs="Arial"/>
                <w:szCs w:val="21"/>
              </w:rPr>
              <w:t>朝阳区建国路88号9号楼15层1809</w:t>
            </w:r>
          </w:p>
          <w:p w14:paraId="66FEC7B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4006099200</w:t>
            </w:r>
          </w:p>
          <w:p w14:paraId="573FDD3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http://www.yixinfund.com/</w:t>
            </w:r>
          </w:p>
        </w:tc>
      </w:tr>
      <w:tr w:rsidR="004614AE" w14:paraId="5AE08BFE" w14:textId="77777777" w:rsidTr="00D3649B">
        <w:trPr>
          <w:trHeight w:val="14"/>
        </w:trPr>
        <w:tc>
          <w:tcPr>
            <w:tcW w:w="709" w:type="dxa"/>
          </w:tcPr>
          <w:p w14:paraId="7BC3CF19"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30</w:t>
            </w:r>
          </w:p>
        </w:tc>
        <w:tc>
          <w:tcPr>
            <w:tcW w:w="2693" w:type="dxa"/>
          </w:tcPr>
          <w:p w14:paraId="21ECFAC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喜鹊财富基金销售有限公司</w:t>
            </w:r>
          </w:p>
        </w:tc>
        <w:tc>
          <w:tcPr>
            <w:tcW w:w="5103" w:type="dxa"/>
          </w:tcPr>
          <w:p w14:paraId="1B5C7D9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地址: </w:t>
            </w:r>
            <w:r w:rsidRPr="00D3649B">
              <w:rPr>
                <w:rFonts w:asciiTheme="minorEastAsia" w:hAnsiTheme="minorEastAsia" w:cs="Arial" w:hint="eastAsia"/>
                <w:szCs w:val="21"/>
              </w:rPr>
              <w:t>西藏拉萨市柳梧新区柳梧大厦</w:t>
            </w:r>
            <w:r w:rsidRPr="00D3649B">
              <w:rPr>
                <w:rFonts w:asciiTheme="minorEastAsia" w:hAnsiTheme="minorEastAsia" w:cs="Arial"/>
                <w:szCs w:val="21"/>
              </w:rPr>
              <w:t>1513室</w:t>
            </w:r>
          </w:p>
          <w:p w14:paraId="464A6AD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400-699-7719</w:t>
            </w:r>
          </w:p>
          <w:p w14:paraId="2FF165F1"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www.xiquefund.com</w:t>
            </w:r>
          </w:p>
        </w:tc>
      </w:tr>
      <w:tr w:rsidR="004614AE" w14:paraId="0F68DFE1" w14:textId="77777777" w:rsidTr="00D3649B">
        <w:trPr>
          <w:trHeight w:val="14"/>
        </w:trPr>
        <w:tc>
          <w:tcPr>
            <w:tcW w:w="709" w:type="dxa"/>
          </w:tcPr>
          <w:p w14:paraId="73676703"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31</w:t>
            </w:r>
          </w:p>
        </w:tc>
        <w:tc>
          <w:tcPr>
            <w:tcW w:w="2693" w:type="dxa"/>
          </w:tcPr>
          <w:p w14:paraId="60E7D2D4" w14:textId="77777777" w:rsidR="004614AE" w:rsidRPr="00D3649B" w:rsidRDefault="00000000" w:rsidP="00D3649B">
            <w:pPr>
              <w:snapToGrid w:val="0"/>
              <w:rPr>
                <w:rFonts w:asciiTheme="minorEastAsia" w:hAnsiTheme="minorEastAsia" w:cs="Arial"/>
                <w:szCs w:val="21"/>
              </w:rPr>
            </w:pPr>
            <w:proofErr w:type="gramStart"/>
            <w:r w:rsidRPr="00D3649B">
              <w:rPr>
                <w:rFonts w:asciiTheme="minorEastAsia" w:hAnsiTheme="minorEastAsia" w:cs="Arial" w:hint="eastAsia"/>
                <w:szCs w:val="21"/>
              </w:rPr>
              <w:t>和耕传承</w:t>
            </w:r>
            <w:proofErr w:type="gramEnd"/>
            <w:r w:rsidRPr="00D3649B">
              <w:rPr>
                <w:rFonts w:asciiTheme="minorEastAsia" w:hAnsiTheme="minorEastAsia" w:cs="Arial" w:hint="eastAsia"/>
                <w:szCs w:val="21"/>
              </w:rPr>
              <w:t>基金销售有限公司</w:t>
            </w:r>
          </w:p>
        </w:tc>
        <w:tc>
          <w:tcPr>
            <w:tcW w:w="5103" w:type="dxa"/>
          </w:tcPr>
          <w:p w14:paraId="388FE8DB"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注册地址：河南自贸试验区郑州片区（郑东）东风南路东康宁街北</w:t>
            </w:r>
            <w:r w:rsidRPr="00D3649B">
              <w:rPr>
                <w:rFonts w:asciiTheme="minorEastAsia" w:hAnsiTheme="minorEastAsia" w:cs="Arial"/>
                <w:szCs w:val="21"/>
              </w:rPr>
              <w:t>6号楼5楼503</w:t>
            </w:r>
          </w:p>
          <w:p w14:paraId="03E4EB3C"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4000-555-671</w:t>
            </w:r>
          </w:p>
          <w:p w14:paraId="00210FD4"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 hgccpb.com</w:t>
            </w:r>
          </w:p>
        </w:tc>
      </w:tr>
      <w:tr w:rsidR="004614AE" w14:paraId="7F1A74AA" w14:textId="77777777" w:rsidTr="00D3649B">
        <w:trPr>
          <w:trHeight w:val="14"/>
        </w:trPr>
        <w:tc>
          <w:tcPr>
            <w:tcW w:w="709" w:type="dxa"/>
          </w:tcPr>
          <w:p w14:paraId="4561867E"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32</w:t>
            </w:r>
          </w:p>
        </w:tc>
        <w:tc>
          <w:tcPr>
            <w:tcW w:w="2693" w:type="dxa"/>
          </w:tcPr>
          <w:p w14:paraId="49716A1E"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北京新</w:t>
            </w:r>
            <w:proofErr w:type="gramStart"/>
            <w:r w:rsidRPr="00D3649B">
              <w:rPr>
                <w:rFonts w:asciiTheme="minorEastAsia" w:hAnsiTheme="minorEastAsia" w:cs="Arial" w:hint="eastAsia"/>
                <w:szCs w:val="21"/>
              </w:rPr>
              <w:t>浪仓石基金</w:t>
            </w:r>
            <w:proofErr w:type="gramEnd"/>
            <w:r w:rsidRPr="00D3649B">
              <w:rPr>
                <w:rFonts w:asciiTheme="minorEastAsia" w:hAnsiTheme="minorEastAsia" w:cs="Arial" w:hint="eastAsia"/>
                <w:szCs w:val="21"/>
              </w:rPr>
              <w:t>销售有限公司</w:t>
            </w:r>
          </w:p>
        </w:tc>
        <w:tc>
          <w:tcPr>
            <w:tcW w:w="5103" w:type="dxa"/>
          </w:tcPr>
          <w:p w14:paraId="1F00E4DB"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注册地址：北京市海淀区东北旺西路中关村软件园二期（西扩）</w:t>
            </w:r>
            <w:r w:rsidRPr="00D3649B">
              <w:rPr>
                <w:rFonts w:asciiTheme="minorEastAsia" w:hAnsiTheme="minorEastAsia" w:cs="Arial"/>
                <w:szCs w:val="21"/>
              </w:rPr>
              <w:t>N-1、N-2地块新浪总部科研楼5层518室</w:t>
            </w:r>
          </w:p>
          <w:p w14:paraId="005864E1"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010-62675369</w:t>
            </w:r>
          </w:p>
          <w:p w14:paraId="5A22AB82"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www.xincai.com</w:t>
            </w:r>
          </w:p>
        </w:tc>
      </w:tr>
      <w:tr w:rsidR="004614AE" w14:paraId="1F250BEB" w14:textId="77777777" w:rsidTr="00D3649B">
        <w:trPr>
          <w:trHeight w:val="14"/>
        </w:trPr>
        <w:tc>
          <w:tcPr>
            <w:tcW w:w="709" w:type="dxa"/>
          </w:tcPr>
          <w:p w14:paraId="34FA8F33"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33</w:t>
            </w:r>
          </w:p>
        </w:tc>
        <w:tc>
          <w:tcPr>
            <w:tcW w:w="2693" w:type="dxa"/>
          </w:tcPr>
          <w:p w14:paraId="0B5471AB"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财</w:t>
            </w:r>
            <w:proofErr w:type="gramStart"/>
            <w:r w:rsidRPr="00D3649B">
              <w:rPr>
                <w:rFonts w:asciiTheme="minorEastAsia" w:hAnsiTheme="minorEastAsia" w:cs="Arial" w:hint="eastAsia"/>
                <w:szCs w:val="21"/>
              </w:rPr>
              <w:t>咨</w:t>
            </w:r>
            <w:proofErr w:type="gramEnd"/>
            <w:r w:rsidRPr="00D3649B">
              <w:rPr>
                <w:rFonts w:asciiTheme="minorEastAsia" w:hAnsiTheme="minorEastAsia" w:cs="Arial" w:hint="eastAsia"/>
                <w:szCs w:val="21"/>
              </w:rPr>
              <w:t>道信息技术有限公司</w:t>
            </w:r>
          </w:p>
        </w:tc>
        <w:tc>
          <w:tcPr>
            <w:tcW w:w="5103" w:type="dxa"/>
          </w:tcPr>
          <w:p w14:paraId="4199744E" w14:textId="77777777" w:rsidR="004614AE" w:rsidRPr="00D3649B" w:rsidRDefault="00000000" w:rsidP="00D3649B">
            <w:pPr>
              <w:widowControl/>
              <w:jc w:val="left"/>
              <w:rPr>
                <w:rFonts w:asciiTheme="minorEastAsia" w:hAnsiTheme="minorEastAsia" w:cs="Arial"/>
                <w:szCs w:val="21"/>
              </w:rPr>
            </w:pPr>
            <w:r w:rsidRPr="00D3649B">
              <w:rPr>
                <w:rFonts w:asciiTheme="minorEastAsia" w:hAnsiTheme="minorEastAsia" w:cs="Arial" w:hint="eastAsia"/>
                <w:szCs w:val="21"/>
              </w:rPr>
              <w:t>注册地址：</w:t>
            </w:r>
            <w:r w:rsidRPr="00D3649B">
              <w:rPr>
                <w:rFonts w:asciiTheme="minorEastAsia" w:hAnsiTheme="minorEastAsia" w:cs="Arial"/>
                <w:szCs w:val="21"/>
              </w:rPr>
              <w:t>辽宁省沈阳市</w:t>
            </w:r>
            <w:proofErr w:type="gramStart"/>
            <w:r w:rsidRPr="00D3649B">
              <w:rPr>
                <w:rFonts w:asciiTheme="minorEastAsia" w:hAnsiTheme="minorEastAsia" w:cs="Arial"/>
                <w:szCs w:val="21"/>
              </w:rPr>
              <w:t>浑</w:t>
            </w:r>
            <w:proofErr w:type="gramEnd"/>
            <w:r w:rsidRPr="00D3649B">
              <w:rPr>
                <w:rFonts w:asciiTheme="minorEastAsia" w:hAnsiTheme="minorEastAsia" w:cs="Arial"/>
                <w:szCs w:val="21"/>
              </w:rPr>
              <w:t>南区白塔二南街18-2号B座601</w:t>
            </w:r>
          </w:p>
          <w:p w14:paraId="370F9D3E" w14:textId="77777777" w:rsidR="004614AE" w:rsidRPr="00D3649B" w:rsidRDefault="00000000" w:rsidP="00D3649B">
            <w:pPr>
              <w:widowControl/>
              <w:jc w:val="left"/>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400-003-5811</w:t>
            </w:r>
          </w:p>
          <w:p w14:paraId="6D10233F"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www.win-stock.com.cn</w:t>
            </w:r>
          </w:p>
        </w:tc>
      </w:tr>
      <w:tr w:rsidR="004614AE" w14:paraId="177E4BCE" w14:textId="77777777" w:rsidTr="00D3649B">
        <w:trPr>
          <w:trHeight w:val="14"/>
        </w:trPr>
        <w:tc>
          <w:tcPr>
            <w:tcW w:w="709" w:type="dxa"/>
          </w:tcPr>
          <w:p w14:paraId="6B46FCBA"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lastRenderedPageBreak/>
              <w:t>34</w:t>
            </w:r>
          </w:p>
        </w:tc>
        <w:tc>
          <w:tcPr>
            <w:tcW w:w="2693" w:type="dxa"/>
          </w:tcPr>
          <w:p w14:paraId="1D5A5AEB"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北京度小满基金销售有限公司</w:t>
            </w:r>
          </w:p>
        </w:tc>
        <w:tc>
          <w:tcPr>
            <w:tcW w:w="5103" w:type="dxa"/>
          </w:tcPr>
          <w:p w14:paraId="2E5E99DA"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szCs w:val="21"/>
              </w:rPr>
              <w:t xml:space="preserve">注册地址: </w:t>
            </w:r>
            <w:r w:rsidRPr="00D3649B">
              <w:rPr>
                <w:rFonts w:asciiTheme="minorEastAsia" w:hAnsiTheme="minorEastAsia" w:cs="Arial" w:hint="eastAsia"/>
                <w:szCs w:val="21"/>
              </w:rPr>
              <w:t>北京市海淀区西北旺东路</w:t>
            </w:r>
            <w:r w:rsidRPr="00D3649B">
              <w:rPr>
                <w:rFonts w:asciiTheme="minorEastAsia" w:hAnsiTheme="minorEastAsia" w:cs="Arial"/>
                <w:szCs w:val="21"/>
              </w:rPr>
              <w:t>10号院西区4号楼1层103室</w:t>
            </w:r>
          </w:p>
          <w:p w14:paraId="7E4107AC" w14:textId="77777777" w:rsidR="004614AE" w:rsidRPr="00D3649B" w:rsidRDefault="00000000" w:rsidP="00D3649B">
            <w:pPr>
              <w:widowControl/>
              <w:jc w:val="left"/>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95055</w:t>
            </w:r>
          </w:p>
          <w:p w14:paraId="1FD05CA1"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网站：</w:t>
            </w:r>
            <w:r w:rsidRPr="00D3649B">
              <w:rPr>
                <w:rFonts w:asciiTheme="minorEastAsia" w:hAnsiTheme="minorEastAsia" w:cs="Arial"/>
                <w:szCs w:val="21"/>
              </w:rPr>
              <w:t>www.duxiaoman.com</w:t>
            </w:r>
          </w:p>
        </w:tc>
      </w:tr>
      <w:tr w:rsidR="004614AE" w14:paraId="11418FC6" w14:textId="77777777" w:rsidTr="00D3649B">
        <w:trPr>
          <w:trHeight w:val="14"/>
        </w:trPr>
        <w:tc>
          <w:tcPr>
            <w:tcW w:w="709" w:type="dxa"/>
          </w:tcPr>
          <w:p w14:paraId="632EE3F8"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35</w:t>
            </w:r>
          </w:p>
        </w:tc>
        <w:tc>
          <w:tcPr>
            <w:tcW w:w="2693" w:type="dxa"/>
          </w:tcPr>
          <w:p w14:paraId="18EC7B8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通华财富（上海）基金销售有限公司</w:t>
            </w:r>
          </w:p>
        </w:tc>
        <w:tc>
          <w:tcPr>
            <w:tcW w:w="5103" w:type="dxa"/>
          </w:tcPr>
          <w:p w14:paraId="434BF376"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注册地址：上海市虹口区同丰路</w:t>
            </w:r>
            <w:r w:rsidRPr="00D3649B">
              <w:rPr>
                <w:rFonts w:asciiTheme="minorEastAsia" w:hAnsiTheme="minorEastAsia" w:cs="Arial"/>
                <w:szCs w:val="21"/>
              </w:rPr>
              <w:t>667弄107号201室</w:t>
            </w:r>
          </w:p>
          <w:p w14:paraId="53C7D4A7"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400-101-9301</w:t>
            </w:r>
          </w:p>
          <w:p w14:paraId="3435DBE4"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www.tonghuafund.com</w:t>
            </w:r>
          </w:p>
        </w:tc>
      </w:tr>
      <w:tr w:rsidR="004614AE" w14:paraId="687A5952" w14:textId="77777777" w:rsidTr="00D3649B">
        <w:trPr>
          <w:trHeight w:val="14"/>
        </w:trPr>
        <w:tc>
          <w:tcPr>
            <w:tcW w:w="709" w:type="dxa"/>
          </w:tcPr>
          <w:p w14:paraId="1B355F85"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36</w:t>
            </w:r>
          </w:p>
        </w:tc>
        <w:tc>
          <w:tcPr>
            <w:tcW w:w="2693" w:type="dxa"/>
          </w:tcPr>
          <w:p w14:paraId="699E3AD2" w14:textId="77777777" w:rsidR="004614AE" w:rsidRPr="00D3649B" w:rsidRDefault="00000000">
            <w:pPr>
              <w:pStyle w:val="a6"/>
              <w:rPr>
                <w:rFonts w:asciiTheme="minorEastAsia" w:eastAsiaTheme="minorEastAsia" w:hAnsiTheme="minorEastAsia" w:cs="Arial"/>
                <w:szCs w:val="21"/>
              </w:rPr>
            </w:pPr>
            <w:proofErr w:type="gramStart"/>
            <w:r w:rsidRPr="00D3649B">
              <w:rPr>
                <w:rFonts w:asciiTheme="minorEastAsia" w:eastAsiaTheme="minorEastAsia" w:hAnsiTheme="minorEastAsia" w:cs="Arial" w:hint="eastAsia"/>
                <w:szCs w:val="21"/>
              </w:rPr>
              <w:t>腾安基金</w:t>
            </w:r>
            <w:proofErr w:type="gramEnd"/>
            <w:r w:rsidRPr="00D3649B">
              <w:rPr>
                <w:rFonts w:asciiTheme="minorEastAsia" w:eastAsiaTheme="minorEastAsia" w:hAnsiTheme="minorEastAsia" w:cs="Arial" w:hint="eastAsia"/>
                <w:szCs w:val="21"/>
              </w:rPr>
              <w:t>销售（深圳）有限公司</w:t>
            </w:r>
          </w:p>
          <w:p w14:paraId="76436B65" w14:textId="77777777" w:rsidR="004614AE" w:rsidRPr="00D3649B" w:rsidRDefault="004614AE" w:rsidP="00D3649B">
            <w:pPr>
              <w:snapToGrid w:val="0"/>
              <w:ind w:firstLineChars="200" w:firstLine="420"/>
              <w:rPr>
                <w:rFonts w:asciiTheme="minorEastAsia" w:hAnsiTheme="minorEastAsia" w:cs="Arial"/>
                <w:szCs w:val="21"/>
              </w:rPr>
            </w:pPr>
          </w:p>
        </w:tc>
        <w:tc>
          <w:tcPr>
            <w:tcW w:w="5103" w:type="dxa"/>
          </w:tcPr>
          <w:p w14:paraId="137BEB1E"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注册（办公）地址：深圳市南山区海天二路</w:t>
            </w:r>
            <w:proofErr w:type="gramStart"/>
            <w:r w:rsidRPr="00D3649B">
              <w:rPr>
                <w:rFonts w:asciiTheme="minorEastAsia" w:eastAsiaTheme="minorEastAsia" w:hAnsiTheme="minorEastAsia" w:cs="Arial"/>
                <w:szCs w:val="21"/>
              </w:rPr>
              <w:t>33</w:t>
            </w:r>
            <w:r w:rsidRPr="00D3649B">
              <w:rPr>
                <w:rFonts w:asciiTheme="minorEastAsia" w:eastAsiaTheme="minorEastAsia" w:hAnsiTheme="minorEastAsia" w:cs="Arial" w:hint="eastAsia"/>
                <w:szCs w:val="21"/>
              </w:rPr>
              <w:t>号腾讯滨海</w:t>
            </w:r>
            <w:proofErr w:type="gramEnd"/>
            <w:r w:rsidRPr="00D3649B">
              <w:rPr>
                <w:rFonts w:asciiTheme="minorEastAsia" w:eastAsiaTheme="minorEastAsia" w:hAnsiTheme="minorEastAsia" w:cs="Arial" w:hint="eastAsia"/>
                <w:szCs w:val="21"/>
              </w:rPr>
              <w:t>大厦</w:t>
            </w:r>
            <w:r w:rsidRPr="00D3649B">
              <w:rPr>
                <w:rFonts w:asciiTheme="minorEastAsia" w:eastAsiaTheme="minorEastAsia" w:hAnsiTheme="minorEastAsia" w:cs="Arial"/>
                <w:szCs w:val="21"/>
              </w:rPr>
              <w:t>15</w:t>
            </w:r>
            <w:r w:rsidRPr="00D3649B">
              <w:rPr>
                <w:rFonts w:asciiTheme="minorEastAsia" w:eastAsiaTheme="minorEastAsia" w:hAnsiTheme="minorEastAsia" w:cs="Arial" w:hint="eastAsia"/>
                <w:szCs w:val="21"/>
              </w:rPr>
              <w:t>楼</w:t>
            </w:r>
          </w:p>
          <w:p w14:paraId="13F7A742"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客服电话：</w:t>
            </w:r>
            <w:r w:rsidRPr="00D3649B">
              <w:rPr>
                <w:rFonts w:asciiTheme="minorEastAsia" w:eastAsiaTheme="minorEastAsia" w:hAnsiTheme="minorEastAsia" w:cs="Arial"/>
                <w:szCs w:val="21"/>
              </w:rPr>
              <w:t>95017(</w:t>
            </w:r>
            <w:r w:rsidRPr="00D3649B">
              <w:rPr>
                <w:rFonts w:asciiTheme="minorEastAsia" w:eastAsiaTheme="minorEastAsia" w:hAnsiTheme="minorEastAsia" w:cs="Arial" w:hint="eastAsia"/>
                <w:szCs w:val="21"/>
              </w:rPr>
              <w:t>拨通后转</w:t>
            </w:r>
            <w:r w:rsidRPr="00D3649B">
              <w:rPr>
                <w:rFonts w:asciiTheme="minorEastAsia" w:eastAsiaTheme="minorEastAsia" w:hAnsiTheme="minorEastAsia" w:cs="Arial"/>
                <w:szCs w:val="21"/>
              </w:rPr>
              <w:t xml:space="preserve"> 1 </w:t>
            </w:r>
            <w:r w:rsidRPr="00D3649B">
              <w:rPr>
                <w:rFonts w:asciiTheme="minorEastAsia" w:eastAsiaTheme="minorEastAsia" w:hAnsiTheme="minorEastAsia" w:cs="Arial" w:hint="eastAsia"/>
                <w:szCs w:val="21"/>
              </w:rPr>
              <w:t>转</w:t>
            </w:r>
            <w:r w:rsidRPr="00D3649B">
              <w:rPr>
                <w:rFonts w:asciiTheme="minorEastAsia" w:eastAsiaTheme="minorEastAsia" w:hAnsiTheme="minorEastAsia" w:cs="Arial"/>
                <w:szCs w:val="21"/>
              </w:rPr>
              <w:t xml:space="preserve"> 8) </w:t>
            </w:r>
          </w:p>
          <w:p w14:paraId="1ED83BC9"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hyperlink r:id="rId37" w:history="1">
              <w:r w:rsidRPr="00D3649B">
                <w:rPr>
                  <w:rFonts w:asciiTheme="minorEastAsia" w:hAnsiTheme="minorEastAsia" w:cs="Arial"/>
                  <w:szCs w:val="21"/>
                </w:rPr>
                <w:t>www.txfund.com</w:t>
              </w:r>
            </w:hyperlink>
          </w:p>
        </w:tc>
      </w:tr>
      <w:tr w:rsidR="004614AE" w14:paraId="6F0595AA" w14:textId="77777777" w:rsidTr="00D3649B">
        <w:trPr>
          <w:trHeight w:val="14"/>
        </w:trPr>
        <w:tc>
          <w:tcPr>
            <w:tcW w:w="709" w:type="dxa"/>
          </w:tcPr>
          <w:p w14:paraId="38C18DAF"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37</w:t>
            </w:r>
          </w:p>
        </w:tc>
        <w:tc>
          <w:tcPr>
            <w:tcW w:w="2693" w:type="dxa"/>
          </w:tcPr>
          <w:p w14:paraId="746545D1" w14:textId="77777777" w:rsidR="004614AE" w:rsidRPr="00D3649B" w:rsidRDefault="00000000">
            <w:pPr>
              <w:pStyle w:val="aff1"/>
              <w:widowControl/>
              <w:ind w:firstLineChars="0" w:firstLine="0"/>
              <w:rPr>
                <w:rFonts w:asciiTheme="minorEastAsia" w:hAnsiTheme="minorEastAsia" w:cs="Arial"/>
                <w:szCs w:val="21"/>
              </w:rPr>
            </w:pPr>
            <w:r w:rsidRPr="00D3649B">
              <w:rPr>
                <w:rFonts w:asciiTheme="minorEastAsia" w:hAnsiTheme="minorEastAsia" w:cs="Arial" w:hint="eastAsia"/>
                <w:szCs w:val="21"/>
              </w:rPr>
              <w:t>泛华</w:t>
            </w:r>
            <w:proofErr w:type="gramStart"/>
            <w:r w:rsidRPr="00D3649B">
              <w:rPr>
                <w:rFonts w:asciiTheme="minorEastAsia" w:hAnsiTheme="minorEastAsia" w:cs="Arial" w:hint="eastAsia"/>
                <w:szCs w:val="21"/>
              </w:rPr>
              <w:t>普益基金</w:t>
            </w:r>
            <w:proofErr w:type="gramEnd"/>
            <w:r w:rsidRPr="00D3649B">
              <w:rPr>
                <w:rFonts w:asciiTheme="minorEastAsia" w:hAnsiTheme="minorEastAsia" w:cs="Arial" w:hint="eastAsia"/>
                <w:szCs w:val="21"/>
              </w:rPr>
              <w:t>销售有限公司</w:t>
            </w:r>
            <w:r w:rsidRPr="00D3649B">
              <w:rPr>
                <w:rFonts w:asciiTheme="minorEastAsia" w:hAnsiTheme="minorEastAsia" w:cs="Arial"/>
                <w:szCs w:val="21"/>
              </w:rPr>
              <w:t xml:space="preserve"> </w:t>
            </w:r>
          </w:p>
          <w:p w14:paraId="6C345B8F" w14:textId="77777777" w:rsidR="004614AE" w:rsidRPr="00D3649B" w:rsidRDefault="004614AE" w:rsidP="00D3649B">
            <w:pPr>
              <w:snapToGrid w:val="0"/>
              <w:ind w:firstLineChars="200" w:firstLine="420"/>
              <w:rPr>
                <w:rFonts w:asciiTheme="minorEastAsia" w:hAnsiTheme="minorEastAsia" w:cs="Arial"/>
                <w:szCs w:val="21"/>
              </w:rPr>
            </w:pPr>
          </w:p>
        </w:tc>
        <w:tc>
          <w:tcPr>
            <w:tcW w:w="5103" w:type="dxa"/>
          </w:tcPr>
          <w:p w14:paraId="2FA967E0" w14:textId="77777777" w:rsidR="004614AE" w:rsidRPr="00D3649B" w:rsidRDefault="00000000">
            <w:pPr>
              <w:pStyle w:val="aff1"/>
              <w:widowControl/>
              <w:ind w:firstLineChars="0" w:firstLine="0"/>
              <w:rPr>
                <w:rFonts w:asciiTheme="minorEastAsia" w:hAnsiTheme="minorEastAsia" w:cs="Arial"/>
                <w:szCs w:val="21"/>
              </w:rPr>
            </w:pPr>
            <w:r w:rsidRPr="00D3649B">
              <w:rPr>
                <w:rFonts w:asciiTheme="minorEastAsia" w:hAnsiTheme="minorEastAsia" w:cs="Arial" w:hint="eastAsia"/>
                <w:szCs w:val="21"/>
              </w:rPr>
              <w:t>注册（办公）地址：成都市成华区建设路</w:t>
            </w:r>
            <w:r w:rsidRPr="00D3649B">
              <w:rPr>
                <w:rFonts w:asciiTheme="minorEastAsia" w:hAnsiTheme="minorEastAsia" w:cs="Arial"/>
                <w:szCs w:val="21"/>
              </w:rPr>
              <w:t>9</w:t>
            </w:r>
            <w:r w:rsidRPr="00D3649B">
              <w:rPr>
                <w:rFonts w:asciiTheme="minorEastAsia" w:hAnsiTheme="minorEastAsia" w:cs="Arial" w:hint="eastAsia"/>
                <w:szCs w:val="21"/>
              </w:rPr>
              <w:t>号高地中心</w:t>
            </w:r>
            <w:r w:rsidRPr="00D3649B">
              <w:rPr>
                <w:rFonts w:asciiTheme="minorEastAsia" w:hAnsiTheme="minorEastAsia" w:cs="Arial"/>
                <w:szCs w:val="21"/>
              </w:rPr>
              <w:t xml:space="preserve">1101 </w:t>
            </w:r>
            <w:r w:rsidRPr="00D3649B">
              <w:rPr>
                <w:rFonts w:asciiTheme="minorEastAsia" w:hAnsiTheme="minorEastAsia" w:cs="Arial" w:hint="eastAsia"/>
                <w:szCs w:val="21"/>
              </w:rPr>
              <w:t>室</w:t>
            </w:r>
          </w:p>
          <w:p w14:paraId="1102B7A5" w14:textId="77777777" w:rsidR="004614AE" w:rsidRPr="00D3649B" w:rsidRDefault="00000000">
            <w:pPr>
              <w:pStyle w:val="aff1"/>
              <w:widowControl/>
              <w:ind w:firstLineChars="0" w:firstLine="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 xml:space="preserve">400-080-3388 </w:t>
            </w:r>
          </w:p>
          <w:p w14:paraId="304C026B"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网址：</w:t>
            </w:r>
            <w:hyperlink r:id="rId38" w:history="1">
              <w:r w:rsidRPr="00D3649B">
                <w:rPr>
                  <w:rFonts w:asciiTheme="minorEastAsia" w:hAnsiTheme="minorEastAsia" w:cs="Arial"/>
                  <w:szCs w:val="21"/>
                </w:rPr>
                <w:t>www.puyifund.com</w:t>
              </w:r>
            </w:hyperlink>
          </w:p>
        </w:tc>
      </w:tr>
      <w:tr w:rsidR="004614AE" w14:paraId="2200B391" w14:textId="77777777" w:rsidTr="00D3649B">
        <w:trPr>
          <w:trHeight w:val="14"/>
        </w:trPr>
        <w:tc>
          <w:tcPr>
            <w:tcW w:w="709" w:type="dxa"/>
          </w:tcPr>
          <w:p w14:paraId="444B8FF2"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38</w:t>
            </w:r>
          </w:p>
        </w:tc>
        <w:tc>
          <w:tcPr>
            <w:tcW w:w="2693" w:type="dxa"/>
          </w:tcPr>
          <w:p w14:paraId="21DE140D"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深圳</w:t>
            </w:r>
            <w:proofErr w:type="gramStart"/>
            <w:r w:rsidRPr="00D3649B">
              <w:rPr>
                <w:rFonts w:asciiTheme="minorEastAsia" w:hAnsiTheme="minorEastAsia" w:cs="Arial" w:hint="eastAsia"/>
                <w:szCs w:val="21"/>
              </w:rPr>
              <w:t>众禄基金</w:t>
            </w:r>
            <w:proofErr w:type="gramEnd"/>
            <w:r w:rsidRPr="00D3649B">
              <w:rPr>
                <w:rFonts w:asciiTheme="minorEastAsia" w:hAnsiTheme="minorEastAsia" w:cs="Arial" w:hint="eastAsia"/>
                <w:szCs w:val="21"/>
              </w:rPr>
              <w:t>销售股份有限公司</w:t>
            </w:r>
          </w:p>
        </w:tc>
        <w:tc>
          <w:tcPr>
            <w:tcW w:w="5103" w:type="dxa"/>
          </w:tcPr>
          <w:p w14:paraId="5FB40818"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注册（办公）地址：深圳市罗湖区梨园路物资控股置地大厦</w:t>
            </w:r>
            <w:r w:rsidRPr="00D3649B">
              <w:rPr>
                <w:rFonts w:asciiTheme="minorEastAsia" w:hAnsiTheme="minorEastAsia" w:cs="Arial"/>
                <w:szCs w:val="21"/>
              </w:rPr>
              <w:t>8楼</w:t>
            </w:r>
          </w:p>
          <w:p w14:paraId="18A7649A"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4006-788-887</w:t>
            </w:r>
          </w:p>
          <w:p w14:paraId="68CB204A"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网址：</w:t>
            </w:r>
            <w:proofErr w:type="gramStart"/>
            <w:r w:rsidRPr="00D3649B">
              <w:rPr>
                <w:rFonts w:asciiTheme="minorEastAsia" w:hAnsiTheme="minorEastAsia" w:cs="Arial" w:hint="eastAsia"/>
                <w:szCs w:val="21"/>
              </w:rPr>
              <w:t>众禄基金</w:t>
            </w:r>
            <w:proofErr w:type="gramEnd"/>
            <w:r w:rsidRPr="00D3649B">
              <w:rPr>
                <w:rFonts w:asciiTheme="minorEastAsia" w:hAnsiTheme="minorEastAsia" w:cs="Arial" w:hint="eastAsia"/>
                <w:szCs w:val="21"/>
              </w:rPr>
              <w:t>网</w:t>
            </w:r>
            <w:r w:rsidRPr="00D3649B">
              <w:rPr>
                <w:rFonts w:asciiTheme="minorEastAsia" w:hAnsiTheme="minorEastAsia" w:cs="Arial"/>
                <w:szCs w:val="21"/>
              </w:rPr>
              <w:t xml:space="preserve"> </w:t>
            </w:r>
            <w:hyperlink r:id="rId39" w:history="1">
              <w:r w:rsidRPr="00D3649B">
                <w:rPr>
                  <w:rFonts w:asciiTheme="minorEastAsia" w:hAnsiTheme="minorEastAsia" w:cs="Arial"/>
                  <w:szCs w:val="21"/>
                </w:rPr>
                <w:t>www.zlfund.cn</w:t>
              </w:r>
            </w:hyperlink>
          </w:p>
          <w:p w14:paraId="53A2A780"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基金</w:t>
            </w:r>
            <w:proofErr w:type="gramStart"/>
            <w:r w:rsidRPr="00D3649B">
              <w:rPr>
                <w:rFonts w:asciiTheme="minorEastAsia" w:hAnsiTheme="minorEastAsia" w:cs="Arial" w:hint="eastAsia"/>
                <w:szCs w:val="21"/>
              </w:rPr>
              <w:t>买卖网</w:t>
            </w:r>
            <w:proofErr w:type="gramEnd"/>
            <w:r w:rsidRPr="00D3649B">
              <w:rPr>
                <w:rFonts w:asciiTheme="minorEastAsia" w:hAnsiTheme="minorEastAsia" w:cs="Arial"/>
                <w:szCs w:val="21"/>
              </w:rPr>
              <w:t xml:space="preserve"> </w:t>
            </w:r>
            <w:hyperlink r:id="rId40" w:history="1">
              <w:r w:rsidRPr="00D3649B">
                <w:rPr>
                  <w:rFonts w:asciiTheme="minorEastAsia" w:hAnsiTheme="minorEastAsia" w:cs="Arial"/>
                  <w:szCs w:val="21"/>
                </w:rPr>
                <w:t>www.jjmmw.com</w:t>
              </w:r>
            </w:hyperlink>
          </w:p>
        </w:tc>
      </w:tr>
      <w:tr w:rsidR="004614AE" w14:paraId="339576F7" w14:textId="77777777" w:rsidTr="00D3649B">
        <w:trPr>
          <w:trHeight w:val="14"/>
        </w:trPr>
        <w:tc>
          <w:tcPr>
            <w:tcW w:w="709" w:type="dxa"/>
          </w:tcPr>
          <w:p w14:paraId="0FF581E5"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39</w:t>
            </w:r>
          </w:p>
        </w:tc>
        <w:tc>
          <w:tcPr>
            <w:tcW w:w="2693" w:type="dxa"/>
          </w:tcPr>
          <w:p w14:paraId="5884D4DA"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北京中</w:t>
            </w:r>
            <w:proofErr w:type="gramStart"/>
            <w:r w:rsidRPr="00D3649B">
              <w:rPr>
                <w:rFonts w:asciiTheme="minorEastAsia" w:eastAsiaTheme="minorEastAsia" w:hAnsiTheme="minorEastAsia" w:cs="Arial" w:hint="eastAsia"/>
                <w:szCs w:val="21"/>
              </w:rPr>
              <w:t>植基金</w:t>
            </w:r>
            <w:proofErr w:type="gramEnd"/>
            <w:r w:rsidRPr="00D3649B">
              <w:rPr>
                <w:rFonts w:asciiTheme="minorEastAsia" w:eastAsiaTheme="minorEastAsia" w:hAnsiTheme="minorEastAsia" w:cs="Arial" w:hint="eastAsia"/>
                <w:szCs w:val="21"/>
              </w:rPr>
              <w:t>销售有限公司</w:t>
            </w:r>
          </w:p>
          <w:p w14:paraId="7AE6A4E8" w14:textId="77777777" w:rsidR="004614AE" w:rsidRPr="00D3649B" w:rsidRDefault="004614AE" w:rsidP="00D3649B">
            <w:pPr>
              <w:snapToGrid w:val="0"/>
              <w:ind w:firstLineChars="200" w:firstLine="420"/>
              <w:rPr>
                <w:rFonts w:asciiTheme="minorEastAsia" w:hAnsiTheme="minorEastAsia" w:cs="Arial"/>
                <w:szCs w:val="21"/>
              </w:rPr>
            </w:pPr>
          </w:p>
        </w:tc>
        <w:tc>
          <w:tcPr>
            <w:tcW w:w="5103" w:type="dxa"/>
          </w:tcPr>
          <w:p w14:paraId="7D513FD4"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注册（办公）地址：北京市北京经济技术开发区</w:t>
            </w:r>
            <w:proofErr w:type="gramStart"/>
            <w:r w:rsidRPr="00D3649B">
              <w:rPr>
                <w:rFonts w:asciiTheme="minorEastAsia" w:hAnsiTheme="minorEastAsia" w:cs="Arial" w:hint="eastAsia"/>
                <w:szCs w:val="21"/>
              </w:rPr>
              <w:t>宏达北</w:t>
            </w:r>
            <w:proofErr w:type="gramEnd"/>
            <w:r w:rsidRPr="00D3649B">
              <w:rPr>
                <w:rFonts w:asciiTheme="minorEastAsia" w:hAnsiTheme="minorEastAsia" w:cs="Arial"/>
                <w:szCs w:val="21"/>
              </w:rPr>
              <w:t xml:space="preserve"> </w:t>
            </w:r>
            <w:r w:rsidRPr="00D3649B">
              <w:rPr>
                <w:rFonts w:asciiTheme="minorEastAsia" w:hAnsiTheme="minorEastAsia" w:cs="Arial" w:hint="eastAsia"/>
                <w:szCs w:val="21"/>
              </w:rPr>
              <w:t>路</w:t>
            </w:r>
            <w:r w:rsidRPr="00D3649B">
              <w:rPr>
                <w:rFonts w:asciiTheme="minorEastAsia" w:hAnsiTheme="minorEastAsia" w:cs="Arial"/>
                <w:szCs w:val="21"/>
              </w:rPr>
              <w:t xml:space="preserve"> 10 </w:t>
            </w:r>
            <w:r w:rsidRPr="00D3649B">
              <w:rPr>
                <w:rFonts w:asciiTheme="minorEastAsia" w:hAnsiTheme="minorEastAsia" w:cs="Arial" w:hint="eastAsia"/>
                <w:szCs w:val="21"/>
              </w:rPr>
              <w:t>号五层</w:t>
            </w:r>
            <w:r w:rsidRPr="00D3649B">
              <w:rPr>
                <w:rFonts w:asciiTheme="minorEastAsia" w:hAnsiTheme="minorEastAsia" w:cs="Arial"/>
                <w:szCs w:val="21"/>
              </w:rPr>
              <w:t xml:space="preserve"> 5122 </w:t>
            </w:r>
            <w:r w:rsidRPr="00D3649B">
              <w:rPr>
                <w:rFonts w:asciiTheme="minorEastAsia" w:hAnsiTheme="minorEastAsia" w:cs="Arial" w:hint="eastAsia"/>
                <w:szCs w:val="21"/>
              </w:rPr>
              <w:t>室</w:t>
            </w:r>
            <w:r w:rsidRPr="00D3649B">
              <w:rPr>
                <w:rFonts w:asciiTheme="minorEastAsia" w:hAnsiTheme="minorEastAsia" w:cs="Arial"/>
                <w:szCs w:val="21"/>
              </w:rPr>
              <w:t xml:space="preserve"> </w:t>
            </w:r>
          </w:p>
          <w:p w14:paraId="310AA96B"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400-8980-618</w:t>
            </w:r>
          </w:p>
          <w:p w14:paraId="01123C07" w14:textId="77777777" w:rsidR="004614AE" w:rsidRPr="00D3649B" w:rsidRDefault="00000000" w:rsidP="00D3649B">
            <w:pPr>
              <w:widowControl/>
              <w:snapToGrid w:val="0"/>
              <w:rPr>
                <w:rFonts w:asciiTheme="minorEastAsia" w:hAnsiTheme="minorEastAsia" w:cs="Arial"/>
                <w:szCs w:val="21"/>
              </w:rPr>
            </w:pPr>
            <w:r w:rsidRPr="00D3649B">
              <w:rPr>
                <w:rFonts w:asciiTheme="minorEastAsia" w:hAnsiTheme="minorEastAsia" w:cs="Arial" w:hint="eastAsia"/>
                <w:szCs w:val="21"/>
              </w:rPr>
              <w:t>公司网站：</w:t>
            </w:r>
            <w:hyperlink r:id="rId41" w:history="1">
              <w:r w:rsidRPr="00D3649B">
                <w:rPr>
                  <w:rFonts w:asciiTheme="minorEastAsia" w:hAnsiTheme="minorEastAsia" w:cs="Arial"/>
                  <w:szCs w:val="21"/>
                </w:rPr>
                <w:t>https://www.zzfund.com</w:t>
              </w:r>
            </w:hyperlink>
          </w:p>
        </w:tc>
      </w:tr>
      <w:tr w:rsidR="004614AE" w14:paraId="0898316C" w14:textId="77777777" w:rsidTr="00D3649B">
        <w:trPr>
          <w:trHeight w:val="14"/>
        </w:trPr>
        <w:tc>
          <w:tcPr>
            <w:tcW w:w="709" w:type="dxa"/>
          </w:tcPr>
          <w:p w14:paraId="0801B1D5"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40</w:t>
            </w:r>
          </w:p>
        </w:tc>
        <w:tc>
          <w:tcPr>
            <w:tcW w:w="2693" w:type="dxa"/>
          </w:tcPr>
          <w:p w14:paraId="440FFE06"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北京</w:t>
            </w:r>
            <w:proofErr w:type="gramStart"/>
            <w:r w:rsidRPr="00D3649B">
              <w:rPr>
                <w:rFonts w:asciiTheme="minorEastAsia" w:hAnsiTheme="minorEastAsia" w:cs="Arial" w:hint="eastAsia"/>
                <w:szCs w:val="21"/>
              </w:rPr>
              <w:t>创金启富基金</w:t>
            </w:r>
            <w:proofErr w:type="gramEnd"/>
            <w:r w:rsidRPr="00D3649B">
              <w:rPr>
                <w:rFonts w:asciiTheme="minorEastAsia" w:hAnsiTheme="minorEastAsia" w:cs="Arial" w:hint="eastAsia"/>
                <w:szCs w:val="21"/>
              </w:rPr>
              <w:t>销售有限公司</w:t>
            </w:r>
          </w:p>
        </w:tc>
        <w:tc>
          <w:tcPr>
            <w:tcW w:w="5103" w:type="dxa"/>
          </w:tcPr>
          <w:p w14:paraId="349112DF"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注册（办公）地址：北京市西城区白纸坊东街</w:t>
            </w:r>
            <w:r w:rsidRPr="00D3649B">
              <w:rPr>
                <w:rFonts w:asciiTheme="minorEastAsia" w:eastAsiaTheme="minorEastAsia" w:hAnsiTheme="minorEastAsia" w:cs="Arial"/>
                <w:szCs w:val="21"/>
              </w:rPr>
              <w:t>2</w:t>
            </w:r>
            <w:r w:rsidRPr="00D3649B">
              <w:rPr>
                <w:rFonts w:asciiTheme="minorEastAsia" w:eastAsiaTheme="minorEastAsia" w:hAnsiTheme="minorEastAsia" w:cs="Arial" w:hint="eastAsia"/>
                <w:szCs w:val="21"/>
              </w:rPr>
              <w:t>号经济日报社</w:t>
            </w:r>
            <w:r w:rsidRPr="00D3649B">
              <w:rPr>
                <w:rFonts w:asciiTheme="minorEastAsia" w:eastAsiaTheme="minorEastAsia" w:hAnsiTheme="minorEastAsia" w:cs="Arial"/>
                <w:szCs w:val="21"/>
              </w:rPr>
              <w:t>A</w:t>
            </w:r>
            <w:proofErr w:type="gramStart"/>
            <w:r w:rsidRPr="00D3649B">
              <w:rPr>
                <w:rFonts w:asciiTheme="minorEastAsia" w:eastAsiaTheme="minorEastAsia" w:hAnsiTheme="minorEastAsia" w:cs="Arial" w:hint="eastAsia"/>
                <w:szCs w:val="21"/>
              </w:rPr>
              <w:t>座综合</w:t>
            </w:r>
            <w:proofErr w:type="gramEnd"/>
            <w:r w:rsidRPr="00D3649B">
              <w:rPr>
                <w:rFonts w:asciiTheme="minorEastAsia" w:eastAsiaTheme="minorEastAsia" w:hAnsiTheme="minorEastAsia" w:cs="Arial" w:hint="eastAsia"/>
                <w:szCs w:val="21"/>
              </w:rPr>
              <w:t>楼</w:t>
            </w:r>
            <w:r w:rsidRPr="00D3649B">
              <w:rPr>
                <w:rFonts w:asciiTheme="minorEastAsia" w:eastAsiaTheme="minorEastAsia" w:hAnsiTheme="minorEastAsia" w:cs="Arial"/>
                <w:szCs w:val="21"/>
              </w:rPr>
              <w:t>712</w:t>
            </w:r>
            <w:r w:rsidRPr="00D3649B">
              <w:rPr>
                <w:rFonts w:asciiTheme="minorEastAsia" w:eastAsiaTheme="minorEastAsia" w:hAnsiTheme="minorEastAsia" w:cs="Arial" w:hint="eastAsia"/>
                <w:szCs w:val="21"/>
              </w:rPr>
              <w:t>室</w:t>
            </w:r>
          </w:p>
          <w:p w14:paraId="3C8DB959"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客服电话：</w:t>
            </w:r>
            <w:r w:rsidRPr="00D3649B">
              <w:rPr>
                <w:rFonts w:asciiTheme="minorEastAsia" w:eastAsiaTheme="minorEastAsia" w:hAnsiTheme="minorEastAsia" w:cs="Arial"/>
                <w:szCs w:val="21"/>
              </w:rPr>
              <w:t xml:space="preserve">010-66154828 </w:t>
            </w:r>
          </w:p>
          <w:p w14:paraId="240C57FC"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r w:rsidRPr="00D3649B">
              <w:rPr>
                <w:rFonts w:asciiTheme="minorEastAsia" w:hAnsiTheme="minorEastAsia" w:cs="Arial"/>
                <w:szCs w:val="21"/>
              </w:rPr>
              <w:t>corp.5irich.com</w:t>
            </w:r>
          </w:p>
        </w:tc>
      </w:tr>
      <w:tr w:rsidR="004614AE" w14:paraId="4FA19424" w14:textId="77777777" w:rsidTr="00D3649B">
        <w:trPr>
          <w:trHeight w:val="14"/>
        </w:trPr>
        <w:tc>
          <w:tcPr>
            <w:tcW w:w="709" w:type="dxa"/>
          </w:tcPr>
          <w:p w14:paraId="51ACABAA"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41</w:t>
            </w:r>
          </w:p>
        </w:tc>
        <w:tc>
          <w:tcPr>
            <w:tcW w:w="2693" w:type="dxa"/>
          </w:tcPr>
          <w:p w14:paraId="684271C5"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和讯信息科技有限公司</w:t>
            </w:r>
          </w:p>
          <w:p w14:paraId="58138AAD" w14:textId="77777777" w:rsidR="004614AE" w:rsidRPr="00D3649B" w:rsidRDefault="004614AE" w:rsidP="00D3649B">
            <w:pPr>
              <w:snapToGrid w:val="0"/>
              <w:ind w:firstLineChars="200" w:firstLine="420"/>
              <w:rPr>
                <w:rFonts w:asciiTheme="minorEastAsia" w:hAnsiTheme="minorEastAsia" w:cs="Arial"/>
                <w:szCs w:val="21"/>
              </w:rPr>
            </w:pPr>
          </w:p>
        </w:tc>
        <w:tc>
          <w:tcPr>
            <w:tcW w:w="5103" w:type="dxa"/>
          </w:tcPr>
          <w:p w14:paraId="00BBEF36"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注册（办公）地址：北京市朝外大街</w:t>
            </w:r>
            <w:r w:rsidRPr="00D3649B">
              <w:rPr>
                <w:rFonts w:asciiTheme="minorEastAsia" w:eastAsiaTheme="minorEastAsia" w:hAnsiTheme="minorEastAsia" w:cs="Arial"/>
                <w:szCs w:val="21"/>
              </w:rPr>
              <w:t>22</w:t>
            </w:r>
            <w:r w:rsidRPr="00D3649B">
              <w:rPr>
                <w:rFonts w:asciiTheme="minorEastAsia" w:eastAsiaTheme="minorEastAsia" w:hAnsiTheme="minorEastAsia" w:cs="Arial" w:hint="eastAsia"/>
                <w:szCs w:val="21"/>
              </w:rPr>
              <w:t>号</w:t>
            </w:r>
            <w:r w:rsidRPr="00D3649B">
              <w:rPr>
                <w:rFonts w:asciiTheme="minorEastAsia" w:eastAsiaTheme="minorEastAsia" w:hAnsiTheme="minorEastAsia" w:cs="Arial"/>
                <w:szCs w:val="21"/>
              </w:rPr>
              <w:t xml:space="preserve"> </w:t>
            </w:r>
            <w:proofErr w:type="gramStart"/>
            <w:r w:rsidRPr="00D3649B">
              <w:rPr>
                <w:rFonts w:asciiTheme="minorEastAsia" w:eastAsiaTheme="minorEastAsia" w:hAnsiTheme="minorEastAsia" w:cs="Arial" w:hint="eastAsia"/>
                <w:szCs w:val="21"/>
              </w:rPr>
              <w:t>泛利大厦</w:t>
            </w:r>
            <w:proofErr w:type="gramEnd"/>
            <w:r w:rsidRPr="00D3649B">
              <w:rPr>
                <w:rFonts w:asciiTheme="minorEastAsia" w:eastAsiaTheme="minorEastAsia" w:hAnsiTheme="minorEastAsia" w:cs="Arial"/>
                <w:szCs w:val="21"/>
              </w:rPr>
              <w:t>10</w:t>
            </w:r>
            <w:r w:rsidRPr="00D3649B">
              <w:rPr>
                <w:rFonts w:asciiTheme="minorEastAsia" w:eastAsiaTheme="minorEastAsia" w:hAnsiTheme="minorEastAsia" w:cs="Arial" w:hint="eastAsia"/>
                <w:szCs w:val="21"/>
              </w:rPr>
              <w:t>层</w:t>
            </w:r>
          </w:p>
          <w:p w14:paraId="44D48E5C" w14:textId="77777777" w:rsidR="004614AE" w:rsidRPr="00D3649B" w:rsidRDefault="00000000">
            <w:pPr>
              <w:pStyle w:val="a6"/>
              <w:rPr>
                <w:rFonts w:asciiTheme="minorEastAsia" w:eastAsiaTheme="minorEastAsia" w:hAnsiTheme="minorEastAsia" w:cs="Arial"/>
                <w:szCs w:val="21"/>
              </w:rPr>
            </w:pPr>
            <w:r w:rsidRPr="00D3649B">
              <w:rPr>
                <w:rFonts w:asciiTheme="minorEastAsia" w:eastAsiaTheme="minorEastAsia" w:hAnsiTheme="minorEastAsia" w:cs="Arial" w:hint="eastAsia"/>
                <w:szCs w:val="21"/>
              </w:rPr>
              <w:t>客服电话：</w:t>
            </w:r>
            <w:r w:rsidRPr="00D3649B">
              <w:rPr>
                <w:rFonts w:asciiTheme="minorEastAsia" w:eastAsiaTheme="minorEastAsia" w:hAnsiTheme="minorEastAsia" w:cs="Arial"/>
                <w:szCs w:val="21"/>
              </w:rPr>
              <w:t>400-920-0022</w:t>
            </w:r>
          </w:p>
          <w:p w14:paraId="29662B8D"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hyperlink r:id="rId42" w:history="1">
              <w:r w:rsidRPr="00D3649B">
                <w:rPr>
                  <w:rFonts w:asciiTheme="minorEastAsia" w:hAnsiTheme="minorEastAsia" w:cs="Arial"/>
                  <w:szCs w:val="21"/>
                </w:rPr>
                <w:t>www.licaike.com</w:t>
              </w:r>
            </w:hyperlink>
          </w:p>
        </w:tc>
      </w:tr>
      <w:tr w:rsidR="004614AE" w14:paraId="0EB0C79C" w14:textId="77777777" w:rsidTr="00D3649B">
        <w:trPr>
          <w:trHeight w:val="14"/>
        </w:trPr>
        <w:tc>
          <w:tcPr>
            <w:tcW w:w="709" w:type="dxa"/>
          </w:tcPr>
          <w:p w14:paraId="04BD13B4"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42</w:t>
            </w:r>
          </w:p>
        </w:tc>
        <w:tc>
          <w:tcPr>
            <w:tcW w:w="2693" w:type="dxa"/>
          </w:tcPr>
          <w:p w14:paraId="64A9A61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w:t>
            </w:r>
            <w:proofErr w:type="gramStart"/>
            <w:r w:rsidRPr="00D3649B">
              <w:rPr>
                <w:rFonts w:asciiTheme="minorEastAsia" w:hAnsiTheme="minorEastAsia" w:cs="Arial" w:hint="eastAsia"/>
                <w:szCs w:val="21"/>
              </w:rPr>
              <w:t>陆享基金</w:t>
            </w:r>
            <w:proofErr w:type="gramEnd"/>
            <w:r w:rsidRPr="00D3649B">
              <w:rPr>
                <w:rFonts w:asciiTheme="minorEastAsia" w:hAnsiTheme="minorEastAsia" w:cs="Arial" w:hint="eastAsia"/>
                <w:szCs w:val="21"/>
              </w:rPr>
              <w:t>销售有限公司</w:t>
            </w:r>
          </w:p>
        </w:tc>
        <w:tc>
          <w:tcPr>
            <w:tcW w:w="5103" w:type="dxa"/>
          </w:tcPr>
          <w:p w14:paraId="5B54FDE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注册（办公）地址：上海自由贸易试验区临港新片区环湖西二路</w:t>
            </w:r>
            <w:r w:rsidRPr="00D3649B">
              <w:rPr>
                <w:rFonts w:asciiTheme="minorEastAsia" w:hAnsiTheme="minorEastAsia" w:cs="Arial"/>
                <w:szCs w:val="21"/>
              </w:rPr>
              <w:t>888</w:t>
            </w:r>
            <w:r w:rsidRPr="00D3649B">
              <w:rPr>
                <w:rFonts w:asciiTheme="minorEastAsia" w:hAnsiTheme="minorEastAsia" w:cs="Arial" w:hint="eastAsia"/>
                <w:szCs w:val="21"/>
              </w:rPr>
              <w:t>号</w:t>
            </w:r>
            <w:r w:rsidRPr="00D3649B">
              <w:rPr>
                <w:rFonts w:asciiTheme="minorEastAsia" w:hAnsiTheme="minorEastAsia" w:cs="Arial"/>
                <w:szCs w:val="21"/>
              </w:rPr>
              <w:t>1</w:t>
            </w:r>
            <w:r w:rsidRPr="00D3649B">
              <w:rPr>
                <w:rFonts w:asciiTheme="minorEastAsia" w:hAnsiTheme="minorEastAsia" w:cs="Arial" w:hint="eastAsia"/>
                <w:szCs w:val="21"/>
              </w:rPr>
              <w:t>幢</w:t>
            </w:r>
            <w:r w:rsidRPr="00D3649B">
              <w:rPr>
                <w:rFonts w:asciiTheme="minorEastAsia" w:hAnsiTheme="minorEastAsia" w:cs="Arial"/>
                <w:szCs w:val="21"/>
              </w:rPr>
              <w:t>1</w:t>
            </w:r>
            <w:r w:rsidRPr="00D3649B">
              <w:rPr>
                <w:rFonts w:asciiTheme="minorEastAsia" w:hAnsiTheme="minorEastAsia" w:cs="Arial" w:hint="eastAsia"/>
                <w:szCs w:val="21"/>
              </w:rPr>
              <w:t>区</w:t>
            </w:r>
            <w:r w:rsidRPr="00D3649B">
              <w:rPr>
                <w:rFonts w:asciiTheme="minorEastAsia" w:hAnsiTheme="minorEastAsia" w:cs="Arial"/>
                <w:szCs w:val="21"/>
              </w:rPr>
              <w:t>14032</w:t>
            </w:r>
            <w:r w:rsidRPr="00D3649B">
              <w:rPr>
                <w:rFonts w:asciiTheme="minorEastAsia" w:hAnsiTheme="minorEastAsia" w:cs="Arial" w:hint="eastAsia"/>
                <w:szCs w:val="21"/>
              </w:rPr>
              <w:t>室</w:t>
            </w:r>
          </w:p>
          <w:p w14:paraId="669D0F9C"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400-168-1235</w:t>
            </w:r>
          </w:p>
          <w:p w14:paraId="326CB036"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r w:rsidRPr="00D3649B">
              <w:rPr>
                <w:rFonts w:asciiTheme="minorEastAsia" w:hAnsiTheme="minorEastAsia" w:cs="Arial"/>
                <w:szCs w:val="21"/>
              </w:rPr>
              <w:t>www.luxxfund.com</w:t>
            </w:r>
          </w:p>
        </w:tc>
      </w:tr>
      <w:tr w:rsidR="004614AE" w14:paraId="511A2762" w14:textId="77777777" w:rsidTr="00D3649B">
        <w:trPr>
          <w:trHeight w:val="14"/>
        </w:trPr>
        <w:tc>
          <w:tcPr>
            <w:tcW w:w="709" w:type="dxa"/>
          </w:tcPr>
          <w:p w14:paraId="2EE663CB"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43</w:t>
            </w:r>
          </w:p>
        </w:tc>
        <w:tc>
          <w:tcPr>
            <w:tcW w:w="2693" w:type="dxa"/>
          </w:tcPr>
          <w:p w14:paraId="578F3E7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阳光人寿保险股份有限公司</w:t>
            </w:r>
          </w:p>
        </w:tc>
        <w:tc>
          <w:tcPr>
            <w:tcW w:w="5103" w:type="dxa"/>
          </w:tcPr>
          <w:p w14:paraId="2D5BF4EF"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注册</w:t>
            </w:r>
            <w:r w:rsidRPr="00D3649B">
              <w:rPr>
                <w:rFonts w:asciiTheme="minorEastAsia" w:hAnsiTheme="minorEastAsia" w:cs="Arial"/>
                <w:szCs w:val="21"/>
              </w:rPr>
              <w:t xml:space="preserve">地址: </w:t>
            </w:r>
            <w:r w:rsidRPr="00D3649B">
              <w:rPr>
                <w:rFonts w:asciiTheme="minorEastAsia" w:hAnsiTheme="minorEastAsia" w:cs="Arial" w:hint="eastAsia"/>
                <w:szCs w:val="21"/>
              </w:rPr>
              <w:t>海南省三亚市迎宾路</w:t>
            </w:r>
            <w:r w:rsidRPr="00D3649B">
              <w:rPr>
                <w:rFonts w:asciiTheme="minorEastAsia" w:hAnsiTheme="minorEastAsia" w:cs="Arial"/>
                <w:szCs w:val="21"/>
              </w:rPr>
              <w:t>360-1号三亚阳光金融广场16层</w:t>
            </w:r>
          </w:p>
          <w:p w14:paraId="3BD033EA" w14:textId="77777777" w:rsidR="004614AE" w:rsidRPr="00D3649B" w:rsidRDefault="00000000" w:rsidP="00D3649B">
            <w:pPr>
              <w:widowControl/>
              <w:jc w:val="left"/>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95510</w:t>
            </w:r>
          </w:p>
          <w:p w14:paraId="3D646F99"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fund.sinosig.com</w:t>
            </w:r>
          </w:p>
        </w:tc>
      </w:tr>
      <w:tr w:rsidR="004614AE" w14:paraId="4A91D7FE" w14:textId="77777777" w:rsidTr="00D3649B">
        <w:trPr>
          <w:trHeight w:val="14"/>
        </w:trPr>
        <w:tc>
          <w:tcPr>
            <w:tcW w:w="709" w:type="dxa"/>
          </w:tcPr>
          <w:p w14:paraId="7365BC88"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44</w:t>
            </w:r>
          </w:p>
        </w:tc>
        <w:tc>
          <w:tcPr>
            <w:tcW w:w="2693" w:type="dxa"/>
          </w:tcPr>
          <w:p w14:paraId="20FE96C2"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深圳市前海排</w:t>
            </w:r>
            <w:proofErr w:type="gramStart"/>
            <w:r w:rsidRPr="00D3649B">
              <w:rPr>
                <w:rFonts w:asciiTheme="minorEastAsia" w:hAnsiTheme="minorEastAsia" w:cs="Arial" w:hint="eastAsia"/>
                <w:szCs w:val="21"/>
              </w:rPr>
              <w:t>排</w:t>
            </w:r>
            <w:proofErr w:type="gramEnd"/>
            <w:r w:rsidRPr="00D3649B">
              <w:rPr>
                <w:rFonts w:asciiTheme="minorEastAsia" w:hAnsiTheme="minorEastAsia" w:cs="Arial" w:hint="eastAsia"/>
                <w:szCs w:val="21"/>
              </w:rPr>
              <w:t>网基金销售有限责任公司</w:t>
            </w:r>
          </w:p>
        </w:tc>
        <w:tc>
          <w:tcPr>
            <w:tcW w:w="5103" w:type="dxa"/>
          </w:tcPr>
          <w:p w14:paraId="61EA52F0"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注册（办公）地址：深圳市前海深港合作区前湾一路</w:t>
            </w:r>
            <w:r w:rsidRPr="00D3649B">
              <w:rPr>
                <w:rFonts w:asciiTheme="minorEastAsia" w:hAnsiTheme="minorEastAsia" w:cs="Arial"/>
                <w:szCs w:val="21"/>
              </w:rPr>
              <w:t>1号A栋201室</w:t>
            </w:r>
          </w:p>
          <w:p w14:paraId="757C9F72"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 xml:space="preserve">400-666-7388 </w:t>
            </w:r>
          </w:p>
          <w:p w14:paraId="48FDC596"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r w:rsidRPr="00D3649B">
              <w:rPr>
                <w:rFonts w:asciiTheme="minorEastAsia" w:hAnsiTheme="minorEastAsia" w:cs="Arial"/>
                <w:szCs w:val="21"/>
              </w:rPr>
              <w:t>www.ppwfund.com</w:t>
            </w:r>
          </w:p>
        </w:tc>
      </w:tr>
      <w:tr w:rsidR="004614AE" w14:paraId="4B25C1EC" w14:textId="77777777" w:rsidTr="00D3649B">
        <w:trPr>
          <w:trHeight w:val="14"/>
        </w:trPr>
        <w:tc>
          <w:tcPr>
            <w:tcW w:w="709" w:type="dxa"/>
          </w:tcPr>
          <w:p w14:paraId="58181692"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45</w:t>
            </w:r>
          </w:p>
        </w:tc>
        <w:tc>
          <w:tcPr>
            <w:tcW w:w="2693" w:type="dxa"/>
          </w:tcPr>
          <w:p w14:paraId="2F26BD1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上海爱建基金销售有限公</w:t>
            </w:r>
            <w:r w:rsidRPr="00D3649B">
              <w:rPr>
                <w:rFonts w:asciiTheme="minorEastAsia" w:hAnsiTheme="minorEastAsia" w:cs="Arial" w:hint="eastAsia"/>
                <w:szCs w:val="21"/>
              </w:rPr>
              <w:lastRenderedPageBreak/>
              <w:t>司</w:t>
            </w:r>
          </w:p>
        </w:tc>
        <w:tc>
          <w:tcPr>
            <w:tcW w:w="5103" w:type="dxa"/>
          </w:tcPr>
          <w:p w14:paraId="7C305A2A"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lastRenderedPageBreak/>
              <w:t>注册</w:t>
            </w:r>
            <w:r w:rsidRPr="00D3649B">
              <w:rPr>
                <w:rFonts w:asciiTheme="minorEastAsia" w:hAnsiTheme="minorEastAsia" w:cs="Arial"/>
                <w:szCs w:val="21"/>
              </w:rPr>
              <w:t xml:space="preserve">(办公)地址 : </w:t>
            </w:r>
            <w:r w:rsidRPr="00D3649B">
              <w:rPr>
                <w:rFonts w:asciiTheme="minorEastAsia" w:hAnsiTheme="minorEastAsia" w:cs="Arial" w:hint="eastAsia"/>
                <w:szCs w:val="21"/>
              </w:rPr>
              <w:t>上海市徐汇</w:t>
            </w:r>
            <w:proofErr w:type="gramStart"/>
            <w:r w:rsidRPr="00D3649B">
              <w:rPr>
                <w:rFonts w:asciiTheme="minorEastAsia" w:hAnsiTheme="minorEastAsia" w:cs="Arial" w:hint="eastAsia"/>
                <w:szCs w:val="21"/>
              </w:rPr>
              <w:t>区肇嘉浜</w:t>
            </w:r>
            <w:proofErr w:type="gramEnd"/>
            <w:r w:rsidRPr="00D3649B">
              <w:rPr>
                <w:rFonts w:asciiTheme="minorEastAsia" w:hAnsiTheme="minorEastAsia" w:cs="Arial" w:hint="eastAsia"/>
                <w:szCs w:val="21"/>
              </w:rPr>
              <w:t>路</w:t>
            </w:r>
            <w:r w:rsidRPr="00D3649B">
              <w:rPr>
                <w:rFonts w:asciiTheme="minorEastAsia" w:hAnsiTheme="minorEastAsia" w:cs="Arial"/>
                <w:szCs w:val="21"/>
              </w:rPr>
              <w:t>746号</w:t>
            </w:r>
          </w:p>
          <w:p w14:paraId="65FFFC69"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lastRenderedPageBreak/>
              <w:t>客户服务电话：：</w:t>
            </w:r>
            <w:r w:rsidRPr="00D3649B">
              <w:rPr>
                <w:rFonts w:asciiTheme="minorEastAsia" w:hAnsiTheme="minorEastAsia" w:cs="Arial"/>
                <w:szCs w:val="21"/>
              </w:rPr>
              <w:t>021-64382660</w:t>
            </w:r>
          </w:p>
          <w:p w14:paraId="28832B6D"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www.ajwm.com.cn</w:t>
            </w:r>
          </w:p>
        </w:tc>
      </w:tr>
      <w:tr w:rsidR="004614AE" w14:paraId="208E629C" w14:textId="77777777" w:rsidTr="00D3649B">
        <w:trPr>
          <w:trHeight w:val="14"/>
        </w:trPr>
        <w:tc>
          <w:tcPr>
            <w:tcW w:w="709" w:type="dxa"/>
          </w:tcPr>
          <w:p w14:paraId="028D65F6"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lastRenderedPageBreak/>
              <w:t>46</w:t>
            </w:r>
          </w:p>
        </w:tc>
        <w:tc>
          <w:tcPr>
            <w:tcW w:w="2693" w:type="dxa"/>
          </w:tcPr>
          <w:p w14:paraId="058D3F13"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上海</w:t>
            </w:r>
            <w:proofErr w:type="gramStart"/>
            <w:r w:rsidRPr="00D3649B">
              <w:rPr>
                <w:rFonts w:asciiTheme="minorEastAsia" w:hAnsiTheme="minorEastAsia" w:cs="Arial" w:hint="eastAsia"/>
                <w:szCs w:val="21"/>
              </w:rPr>
              <w:t>攀赢基金</w:t>
            </w:r>
            <w:proofErr w:type="gramEnd"/>
            <w:r w:rsidRPr="00D3649B">
              <w:rPr>
                <w:rFonts w:asciiTheme="minorEastAsia" w:hAnsiTheme="minorEastAsia" w:cs="Arial" w:hint="eastAsia"/>
                <w:szCs w:val="21"/>
              </w:rPr>
              <w:t>销售有限公司</w:t>
            </w:r>
          </w:p>
        </w:tc>
        <w:tc>
          <w:tcPr>
            <w:tcW w:w="5103" w:type="dxa"/>
          </w:tcPr>
          <w:p w14:paraId="16B971EE" w14:textId="77777777" w:rsidR="004614AE" w:rsidRPr="00D3649B" w:rsidRDefault="00000000" w:rsidP="00D3649B">
            <w:pPr>
              <w:snapToGrid w:val="0"/>
              <w:jc w:val="left"/>
              <w:rPr>
                <w:rFonts w:asciiTheme="minorEastAsia" w:hAnsiTheme="minorEastAsia" w:cs="Arial"/>
                <w:szCs w:val="21"/>
              </w:rPr>
            </w:pPr>
            <w:r w:rsidRPr="00D3649B">
              <w:rPr>
                <w:rFonts w:asciiTheme="minorEastAsia" w:hAnsiTheme="minorEastAsia" w:cs="Arial" w:hint="eastAsia"/>
                <w:szCs w:val="21"/>
              </w:rPr>
              <w:t>注册（办公）地址：上海市闸北区广中西路</w:t>
            </w:r>
            <w:r w:rsidRPr="00D3649B">
              <w:rPr>
                <w:rFonts w:asciiTheme="minorEastAsia" w:hAnsiTheme="minorEastAsia" w:cs="Arial"/>
                <w:szCs w:val="21"/>
              </w:rPr>
              <w:t>1207</w:t>
            </w:r>
            <w:r w:rsidRPr="00D3649B">
              <w:rPr>
                <w:rFonts w:asciiTheme="minorEastAsia" w:hAnsiTheme="minorEastAsia" w:cs="Arial" w:hint="eastAsia"/>
                <w:szCs w:val="21"/>
              </w:rPr>
              <w:t>号</w:t>
            </w:r>
            <w:r w:rsidRPr="00D3649B">
              <w:rPr>
                <w:rFonts w:asciiTheme="minorEastAsia" w:hAnsiTheme="minorEastAsia" w:cs="Arial"/>
                <w:szCs w:val="21"/>
              </w:rPr>
              <w:t>306</w:t>
            </w:r>
            <w:r w:rsidRPr="00D3649B">
              <w:rPr>
                <w:rFonts w:asciiTheme="minorEastAsia" w:hAnsiTheme="minorEastAsia" w:cs="Arial" w:hint="eastAsia"/>
                <w:szCs w:val="21"/>
              </w:rPr>
              <w:t>室</w:t>
            </w:r>
          </w:p>
          <w:p w14:paraId="63548081" w14:textId="77777777" w:rsidR="004614AE" w:rsidRPr="00D3649B" w:rsidRDefault="00000000" w:rsidP="00D3649B">
            <w:pPr>
              <w:snapToGrid w:val="0"/>
              <w:jc w:val="left"/>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021-68889082</w:t>
            </w:r>
          </w:p>
          <w:p w14:paraId="3BD2C9A4"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r w:rsidRPr="00D3649B">
              <w:rPr>
                <w:rFonts w:asciiTheme="minorEastAsia" w:hAnsiTheme="minorEastAsia" w:cs="Arial"/>
                <w:szCs w:val="21"/>
              </w:rPr>
              <w:t>www.pytz.cn</w:t>
            </w:r>
          </w:p>
        </w:tc>
      </w:tr>
      <w:tr w:rsidR="004614AE" w14:paraId="5A2FC41A" w14:textId="77777777" w:rsidTr="00D3649B">
        <w:trPr>
          <w:trHeight w:val="14"/>
        </w:trPr>
        <w:tc>
          <w:tcPr>
            <w:tcW w:w="709" w:type="dxa"/>
          </w:tcPr>
          <w:p w14:paraId="1169BFD5" w14:textId="77777777" w:rsidR="004614AE" w:rsidRPr="00D3649B" w:rsidRDefault="00000000" w:rsidP="00D3649B">
            <w:pPr>
              <w:snapToGrid w:val="0"/>
              <w:jc w:val="center"/>
              <w:rPr>
                <w:rFonts w:asciiTheme="minorEastAsia" w:hAnsiTheme="minorEastAsia" w:cs="Arial"/>
                <w:szCs w:val="21"/>
              </w:rPr>
            </w:pPr>
            <w:r w:rsidRPr="00D3649B">
              <w:rPr>
                <w:rFonts w:asciiTheme="minorEastAsia" w:hAnsiTheme="minorEastAsia" w:cs="Arial"/>
                <w:szCs w:val="21"/>
              </w:rPr>
              <w:t>47</w:t>
            </w:r>
          </w:p>
        </w:tc>
        <w:tc>
          <w:tcPr>
            <w:tcW w:w="2693" w:type="dxa"/>
          </w:tcPr>
          <w:p w14:paraId="20F11AF5" w14:textId="77777777" w:rsidR="004614AE" w:rsidRPr="00D3649B" w:rsidRDefault="00000000" w:rsidP="00D3649B">
            <w:pPr>
              <w:snapToGrid w:val="0"/>
              <w:rPr>
                <w:rFonts w:asciiTheme="minorEastAsia" w:hAnsiTheme="minorEastAsia" w:cs="Arial"/>
                <w:szCs w:val="21"/>
              </w:rPr>
            </w:pPr>
            <w:r w:rsidRPr="00D3649B">
              <w:rPr>
                <w:rFonts w:asciiTheme="minorEastAsia" w:hAnsiTheme="minorEastAsia" w:cs="Arial" w:hint="eastAsia"/>
                <w:szCs w:val="21"/>
              </w:rPr>
              <w:t>嘉实财富管理有限公司</w:t>
            </w:r>
          </w:p>
        </w:tc>
        <w:tc>
          <w:tcPr>
            <w:tcW w:w="5103" w:type="dxa"/>
          </w:tcPr>
          <w:p w14:paraId="5CA3F4E8"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注册（办公）地址：海南省三亚市天涯区凤凰岛</w:t>
            </w:r>
            <w:r w:rsidRPr="00D3649B">
              <w:rPr>
                <w:rFonts w:asciiTheme="minorEastAsia" w:hAnsiTheme="minorEastAsia" w:cs="Arial"/>
                <w:szCs w:val="21"/>
              </w:rPr>
              <w:t>1</w:t>
            </w:r>
            <w:r w:rsidRPr="00D3649B">
              <w:rPr>
                <w:rFonts w:asciiTheme="minorEastAsia" w:hAnsiTheme="minorEastAsia" w:cs="Arial" w:hint="eastAsia"/>
                <w:szCs w:val="21"/>
              </w:rPr>
              <w:t>号楼</w:t>
            </w:r>
            <w:r w:rsidRPr="00D3649B">
              <w:rPr>
                <w:rFonts w:asciiTheme="minorEastAsia" w:hAnsiTheme="minorEastAsia" w:cs="Arial"/>
                <w:szCs w:val="21"/>
              </w:rPr>
              <w:t>7</w:t>
            </w:r>
            <w:r w:rsidRPr="00D3649B">
              <w:rPr>
                <w:rFonts w:asciiTheme="minorEastAsia" w:hAnsiTheme="minorEastAsia" w:cs="Arial" w:hint="eastAsia"/>
                <w:szCs w:val="21"/>
              </w:rPr>
              <w:t>层</w:t>
            </w:r>
            <w:r w:rsidRPr="00D3649B">
              <w:rPr>
                <w:rFonts w:asciiTheme="minorEastAsia" w:hAnsiTheme="minorEastAsia" w:cs="Arial"/>
                <w:szCs w:val="21"/>
              </w:rPr>
              <w:t>710</w:t>
            </w:r>
            <w:r w:rsidRPr="00D3649B">
              <w:rPr>
                <w:rFonts w:asciiTheme="minorEastAsia" w:hAnsiTheme="minorEastAsia" w:cs="Arial" w:hint="eastAsia"/>
                <w:szCs w:val="21"/>
              </w:rPr>
              <w:t>号</w:t>
            </w:r>
          </w:p>
          <w:p w14:paraId="18F74233"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客服电话：</w:t>
            </w:r>
            <w:r w:rsidRPr="00D3649B">
              <w:rPr>
                <w:rFonts w:asciiTheme="minorEastAsia" w:hAnsiTheme="minorEastAsia" w:cs="Arial"/>
                <w:szCs w:val="21"/>
              </w:rPr>
              <w:t>400-021-8850</w:t>
            </w:r>
          </w:p>
          <w:p w14:paraId="60B350CD" w14:textId="77777777" w:rsidR="004614AE" w:rsidRPr="00D3649B" w:rsidRDefault="00000000" w:rsidP="00D3649B">
            <w:pPr>
              <w:rPr>
                <w:rFonts w:asciiTheme="minorEastAsia" w:hAnsiTheme="minorEastAsia" w:cs="Arial"/>
                <w:szCs w:val="21"/>
              </w:rPr>
            </w:pPr>
            <w:r w:rsidRPr="00D3649B">
              <w:rPr>
                <w:rFonts w:asciiTheme="minorEastAsia" w:hAnsiTheme="minorEastAsia" w:cs="Arial" w:hint="eastAsia"/>
                <w:szCs w:val="21"/>
              </w:rPr>
              <w:t>公司网站：</w:t>
            </w:r>
            <w:r w:rsidRPr="00D3649B">
              <w:rPr>
                <w:rFonts w:asciiTheme="minorEastAsia" w:hAnsiTheme="minorEastAsia" w:cs="Arial"/>
                <w:szCs w:val="21"/>
              </w:rPr>
              <w:t>www.harvestwm.cn</w:t>
            </w:r>
          </w:p>
        </w:tc>
      </w:tr>
      <w:tr w:rsidR="004614AE" w14:paraId="177967B9" w14:textId="77777777" w:rsidTr="00D3649B">
        <w:trPr>
          <w:trHeight w:val="14"/>
        </w:trPr>
        <w:tc>
          <w:tcPr>
            <w:tcW w:w="709" w:type="dxa"/>
          </w:tcPr>
          <w:p w14:paraId="75830E68" w14:textId="77777777" w:rsidR="004614AE" w:rsidRPr="00D3649B" w:rsidRDefault="00000000">
            <w:pPr>
              <w:snapToGrid w:val="0"/>
              <w:jc w:val="center"/>
              <w:rPr>
                <w:rFonts w:asciiTheme="minorEastAsia" w:hAnsiTheme="minorEastAsia" w:cs="Arial"/>
                <w:szCs w:val="21"/>
              </w:rPr>
            </w:pPr>
            <w:r>
              <w:rPr>
                <w:rFonts w:asciiTheme="minorEastAsia" w:hAnsiTheme="minorEastAsia" w:cs="Arial"/>
                <w:szCs w:val="21"/>
              </w:rPr>
              <w:t>48</w:t>
            </w:r>
          </w:p>
        </w:tc>
        <w:tc>
          <w:tcPr>
            <w:tcW w:w="2693" w:type="dxa"/>
          </w:tcPr>
          <w:p w14:paraId="3FCC9A60" w14:textId="77777777" w:rsidR="004614AE" w:rsidRPr="00D3649B" w:rsidRDefault="00000000">
            <w:pPr>
              <w:snapToGrid w:val="0"/>
              <w:rPr>
                <w:rFonts w:asciiTheme="minorEastAsia" w:hAnsiTheme="minorEastAsia" w:cs="Arial"/>
                <w:szCs w:val="21"/>
              </w:rPr>
            </w:pPr>
            <w:r w:rsidRPr="00D3649B">
              <w:rPr>
                <w:rFonts w:asciiTheme="minorEastAsia" w:hAnsiTheme="minorEastAsia" w:cs="Arial" w:hint="eastAsia"/>
                <w:szCs w:val="21"/>
              </w:rPr>
              <w:t>渤海证券股份有限公司</w:t>
            </w:r>
          </w:p>
        </w:tc>
        <w:tc>
          <w:tcPr>
            <w:tcW w:w="5103" w:type="dxa"/>
          </w:tcPr>
          <w:p w14:paraId="274B329D" w14:textId="77777777" w:rsidR="004614AE" w:rsidRPr="00D3649B" w:rsidRDefault="00000000">
            <w:pPr>
              <w:snapToGrid w:val="0"/>
              <w:rPr>
                <w:rFonts w:asciiTheme="minorEastAsia" w:hAnsiTheme="minorEastAsia" w:cs="Arial"/>
                <w:szCs w:val="21"/>
              </w:rPr>
            </w:pPr>
            <w:r w:rsidRPr="00D3649B">
              <w:rPr>
                <w:rFonts w:asciiTheme="minorEastAsia" w:hAnsiTheme="minorEastAsia" w:cs="Arial" w:hint="eastAsia"/>
                <w:szCs w:val="21"/>
              </w:rPr>
              <w:t>注册地址：天津市经济技术开发区第二大街</w:t>
            </w:r>
            <w:r w:rsidRPr="00D3649B">
              <w:rPr>
                <w:rFonts w:asciiTheme="minorEastAsia" w:hAnsiTheme="minorEastAsia" w:cs="Arial"/>
                <w:szCs w:val="21"/>
              </w:rPr>
              <w:t>42</w:t>
            </w:r>
            <w:r w:rsidRPr="00D3649B">
              <w:rPr>
                <w:rFonts w:asciiTheme="minorEastAsia" w:hAnsiTheme="minorEastAsia" w:cs="Arial" w:hint="eastAsia"/>
                <w:szCs w:val="21"/>
              </w:rPr>
              <w:t>号写字楼</w:t>
            </w:r>
            <w:r w:rsidRPr="00D3649B">
              <w:rPr>
                <w:rFonts w:asciiTheme="minorEastAsia" w:hAnsiTheme="minorEastAsia" w:cs="Arial"/>
                <w:szCs w:val="21"/>
              </w:rPr>
              <w:t>101</w:t>
            </w:r>
            <w:r w:rsidRPr="00D3649B">
              <w:rPr>
                <w:rFonts w:asciiTheme="minorEastAsia" w:hAnsiTheme="minorEastAsia" w:cs="Arial" w:hint="eastAsia"/>
                <w:szCs w:val="21"/>
              </w:rPr>
              <w:t>室</w:t>
            </w:r>
          </w:p>
          <w:p w14:paraId="0AE16D6E" w14:textId="77777777" w:rsidR="004614AE" w:rsidRPr="00D3649B" w:rsidRDefault="00000000">
            <w:pPr>
              <w:snapToGrid w:val="0"/>
              <w:rPr>
                <w:rFonts w:asciiTheme="minorEastAsia" w:hAnsiTheme="minorEastAsia" w:cs="Arial"/>
                <w:szCs w:val="21"/>
              </w:rPr>
            </w:pPr>
            <w:r w:rsidRPr="00D3649B">
              <w:rPr>
                <w:rFonts w:asciiTheme="minorEastAsia" w:hAnsiTheme="minorEastAsia" w:cs="Arial" w:hint="eastAsia"/>
                <w:szCs w:val="21"/>
              </w:rPr>
              <w:t>客户服务电话：</w:t>
            </w:r>
            <w:r w:rsidRPr="00D3649B">
              <w:rPr>
                <w:rFonts w:asciiTheme="minorEastAsia" w:hAnsiTheme="minorEastAsia" w:cs="Arial"/>
                <w:szCs w:val="21"/>
              </w:rPr>
              <w:t>4006515988</w:t>
            </w:r>
          </w:p>
          <w:p w14:paraId="052FD7E0" w14:textId="77777777" w:rsidR="004614AE" w:rsidRPr="00D3649B" w:rsidRDefault="00000000">
            <w:pPr>
              <w:snapToGrid w:val="0"/>
              <w:rPr>
                <w:rFonts w:asciiTheme="minorEastAsia" w:hAnsiTheme="minorEastAsia" w:cs="Arial"/>
                <w:szCs w:val="21"/>
              </w:rPr>
            </w:pPr>
            <w:r w:rsidRPr="00D3649B">
              <w:rPr>
                <w:rFonts w:asciiTheme="minorEastAsia" w:hAnsiTheme="minorEastAsia" w:cs="Arial" w:hint="eastAsia"/>
                <w:szCs w:val="21"/>
              </w:rPr>
              <w:t>网址：</w:t>
            </w:r>
            <w:r w:rsidRPr="00D3649B">
              <w:rPr>
                <w:rFonts w:asciiTheme="minorEastAsia" w:hAnsiTheme="minorEastAsia" w:cs="Arial"/>
                <w:szCs w:val="21"/>
              </w:rPr>
              <w:t>www.ewww.com.cn</w:t>
            </w:r>
          </w:p>
        </w:tc>
      </w:tr>
      <w:tr w:rsidR="004614AE" w14:paraId="145354C1" w14:textId="77777777" w:rsidTr="00D3649B">
        <w:trPr>
          <w:trHeight w:val="14"/>
        </w:trPr>
        <w:tc>
          <w:tcPr>
            <w:tcW w:w="709" w:type="dxa"/>
          </w:tcPr>
          <w:p w14:paraId="278CD24A"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49</w:t>
            </w:r>
          </w:p>
        </w:tc>
        <w:tc>
          <w:tcPr>
            <w:tcW w:w="2693" w:type="dxa"/>
          </w:tcPr>
          <w:p w14:paraId="606C2F8E"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国泰君安证券股份有限公司</w:t>
            </w:r>
          </w:p>
        </w:tc>
        <w:tc>
          <w:tcPr>
            <w:tcW w:w="5103" w:type="dxa"/>
          </w:tcPr>
          <w:p w14:paraId="31695026"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注册地址：上海市浦东新区自由贸易试验区商城路</w:t>
            </w:r>
            <w:r>
              <w:rPr>
                <w:rFonts w:asciiTheme="minorEastAsia" w:hAnsiTheme="minorEastAsia" w:cs="Arial"/>
                <w:sz w:val="22"/>
              </w:rPr>
              <w:t>618</w:t>
            </w:r>
            <w:r>
              <w:rPr>
                <w:rFonts w:asciiTheme="minorEastAsia" w:hAnsiTheme="minorEastAsia" w:cs="Arial" w:hint="eastAsia"/>
                <w:sz w:val="22"/>
              </w:rPr>
              <w:t>号</w:t>
            </w:r>
          </w:p>
          <w:p w14:paraId="30349B6C"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95521/4008888666</w:t>
            </w:r>
          </w:p>
          <w:p w14:paraId="6D3B3B00"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www.gtja.com</w:t>
            </w:r>
          </w:p>
        </w:tc>
      </w:tr>
      <w:tr w:rsidR="004614AE" w14:paraId="0186B39E" w14:textId="77777777" w:rsidTr="00D3649B">
        <w:trPr>
          <w:trHeight w:val="14"/>
        </w:trPr>
        <w:tc>
          <w:tcPr>
            <w:tcW w:w="709" w:type="dxa"/>
          </w:tcPr>
          <w:p w14:paraId="5BE73D5D"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50</w:t>
            </w:r>
          </w:p>
        </w:tc>
        <w:tc>
          <w:tcPr>
            <w:tcW w:w="2693" w:type="dxa"/>
          </w:tcPr>
          <w:p w14:paraId="5129FD0A"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宁波银行股份有限公司</w:t>
            </w:r>
          </w:p>
        </w:tc>
        <w:tc>
          <w:tcPr>
            <w:tcW w:w="5103" w:type="dxa"/>
          </w:tcPr>
          <w:p w14:paraId="52DD43D2"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注册地址：浙江省宁波市</w:t>
            </w:r>
            <w:proofErr w:type="gramStart"/>
            <w:r>
              <w:rPr>
                <w:rFonts w:asciiTheme="minorEastAsia" w:hAnsiTheme="minorEastAsia" w:cs="Arial" w:hint="eastAsia"/>
                <w:sz w:val="22"/>
              </w:rPr>
              <w:t>鄞</w:t>
            </w:r>
            <w:proofErr w:type="gramEnd"/>
            <w:r>
              <w:rPr>
                <w:rFonts w:asciiTheme="minorEastAsia" w:hAnsiTheme="minorEastAsia" w:cs="Arial" w:hint="eastAsia"/>
                <w:sz w:val="22"/>
              </w:rPr>
              <w:t>州区宁东路</w:t>
            </w:r>
            <w:r>
              <w:rPr>
                <w:rFonts w:asciiTheme="minorEastAsia" w:hAnsiTheme="minorEastAsia" w:cs="Arial"/>
                <w:sz w:val="22"/>
              </w:rPr>
              <w:t>345</w:t>
            </w:r>
            <w:r>
              <w:rPr>
                <w:rFonts w:asciiTheme="minorEastAsia" w:hAnsiTheme="minorEastAsia" w:cs="Arial" w:hint="eastAsia"/>
                <w:sz w:val="22"/>
              </w:rPr>
              <w:t>号</w:t>
            </w:r>
          </w:p>
          <w:p w14:paraId="0D7FAB4E"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95574</w:t>
            </w:r>
          </w:p>
          <w:p w14:paraId="75DB84E8"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www.nbcb.com.cn</w:t>
            </w:r>
          </w:p>
        </w:tc>
      </w:tr>
      <w:tr w:rsidR="004614AE" w14:paraId="7B15B637" w14:textId="77777777" w:rsidTr="00D3649B">
        <w:trPr>
          <w:trHeight w:val="14"/>
        </w:trPr>
        <w:tc>
          <w:tcPr>
            <w:tcW w:w="709" w:type="dxa"/>
          </w:tcPr>
          <w:p w14:paraId="27A56747"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51</w:t>
            </w:r>
          </w:p>
        </w:tc>
        <w:tc>
          <w:tcPr>
            <w:tcW w:w="2693" w:type="dxa"/>
          </w:tcPr>
          <w:p w14:paraId="0F77CF16" w14:textId="77777777" w:rsidR="004614AE" w:rsidRDefault="00000000">
            <w:pPr>
              <w:snapToGrid w:val="0"/>
              <w:rPr>
                <w:rFonts w:asciiTheme="minorEastAsia" w:hAnsiTheme="minorEastAsia" w:cs="Arial"/>
                <w:sz w:val="22"/>
              </w:rPr>
            </w:pPr>
            <w:proofErr w:type="gramStart"/>
            <w:r>
              <w:rPr>
                <w:rFonts w:asciiTheme="minorEastAsia" w:hAnsiTheme="minorEastAsia" w:cs="Arial" w:hint="eastAsia"/>
                <w:sz w:val="22"/>
              </w:rPr>
              <w:t>万联证券</w:t>
            </w:r>
            <w:proofErr w:type="gramEnd"/>
            <w:r>
              <w:rPr>
                <w:rFonts w:asciiTheme="minorEastAsia" w:hAnsiTheme="minorEastAsia" w:cs="Arial" w:hint="eastAsia"/>
                <w:sz w:val="22"/>
              </w:rPr>
              <w:t>股份有限公司</w:t>
            </w:r>
          </w:p>
        </w:tc>
        <w:tc>
          <w:tcPr>
            <w:tcW w:w="5103" w:type="dxa"/>
          </w:tcPr>
          <w:p w14:paraId="02503821"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注册地址：广东省广州市天河区珠江东路</w:t>
            </w:r>
            <w:r>
              <w:rPr>
                <w:rFonts w:asciiTheme="minorEastAsia" w:hAnsiTheme="minorEastAsia" w:cs="Arial"/>
                <w:sz w:val="22"/>
              </w:rPr>
              <w:t>11</w:t>
            </w:r>
            <w:r>
              <w:rPr>
                <w:rFonts w:asciiTheme="minorEastAsia" w:hAnsiTheme="minorEastAsia" w:cs="Arial" w:hint="eastAsia"/>
                <w:sz w:val="22"/>
              </w:rPr>
              <w:t>号</w:t>
            </w:r>
            <w:r>
              <w:rPr>
                <w:rFonts w:asciiTheme="minorEastAsia" w:hAnsiTheme="minorEastAsia" w:cs="Arial"/>
                <w:sz w:val="22"/>
              </w:rPr>
              <w:t>18,19</w:t>
            </w:r>
            <w:r>
              <w:rPr>
                <w:rFonts w:asciiTheme="minorEastAsia" w:hAnsiTheme="minorEastAsia" w:cs="Arial" w:hint="eastAsia"/>
                <w:sz w:val="22"/>
              </w:rPr>
              <w:t>楼全层</w:t>
            </w:r>
          </w:p>
          <w:p w14:paraId="5A85FD80"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95322</w:t>
            </w:r>
          </w:p>
          <w:p w14:paraId="615AFFD7"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www.wlzq.cn</w:t>
            </w:r>
          </w:p>
        </w:tc>
      </w:tr>
      <w:tr w:rsidR="004614AE" w14:paraId="60B1EDDF" w14:textId="77777777" w:rsidTr="00D3649B">
        <w:trPr>
          <w:trHeight w:val="14"/>
        </w:trPr>
        <w:tc>
          <w:tcPr>
            <w:tcW w:w="709" w:type="dxa"/>
          </w:tcPr>
          <w:p w14:paraId="0AFC5764"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52</w:t>
            </w:r>
          </w:p>
        </w:tc>
        <w:tc>
          <w:tcPr>
            <w:tcW w:w="2693" w:type="dxa"/>
          </w:tcPr>
          <w:p w14:paraId="0DB1511A"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五</w:t>
            </w:r>
            <w:proofErr w:type="gramStart"/>
            <w:r>
              <w:rPr>
                <w:rFonts w:asciiTheme="minorEastAsia" w:hAnsiTheme="minorEastAsia" w:cs="Arial" w:hint="eastAsia"/>
                <w:sz w:val="22"/>
              </w:rPr>
              <w:t>矿证券</w:t>
            </w:r>
            <w:proofErr w:type="gramEnd"/>
            <w:r>
              <w:rPr>
                <w:rFonts w:asciiTheme="minorEastAsia" w:hAnsiTheme="minorEastAsia" w:cs="Arial" w:hint="eastAsia"/>
                <w:sz w:val="22"/>
              </w:rPr>
              <w:t>有限公司</w:t>
            </w:r>
          </w:p>
        </w:tc>
        <w:tc>
          <w:tcPr>
            <w:tcW w:w="5103" w:type="dxa"/>
          </w:tcPr>
          <w:p w14:paraId="668107A4"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注册地址：广东省深圳市南山区粤海</w:t>
            </w:r>
            <w:proofErr w:type="gramStart"/>
            <w:r>
              <w:rPr>
                <w:rFonts w:asciiTheme="minorEastAsia" w:hAnsiTheme="minorEastAsia" w:cs="Arial" w:hint="eastAsia"/>
                <w:sz w:val="22"/>
              </w:rPr>
              <w:t>街道海</w:t>
            </w:r>
            <w:proofErr w:type="gramEnd"/>
            <w:r>
              <w:rPr>
                <w:rFonts w:asciiTheme="minorEastAsia" w:hAnsiTheme="minorEastAsia" w:cs="Arial" w:hint="eastAsia"/>
                <w:sz w:val="22"/>
              </w:rPr>
              <w:t>珠社区滨海大道</w:t>
            </w:r>
            <w:r>
              <w:rPr>
                <w:rFonts w:asciiTheme="minorEastAsia" w:hAnsiTheme="minorEastAsia" w:cs="Arial"/>
                <w:sz w:val="22"/>
              </w:rPr>
              <w:t>3165</w:t>
            </w:r>
            <w:r>
              <w:rPr>
                <w:rFonts w:asciiTheme="minorEastAsia" w:hAnsiTheme="minorEastAsia" w:cs="Arial" w:hint="eastAsia"/>
                <w:sz w:val="22"/>
              </w:rPr>
              <w:t>号五</w:t>
            </w:r>
            <w:proofErr w:type="gramStart"/>
            <w:r>
              <w:rPr>
                <w:rFonts w:asciiTheme="minorEastAsia" w:hAnsiTheme="minorEastAsia" w:cs="Arial" w:hint="eastAsia"/>
                <w:sz w:val="22"/>
              </w:rPr>
              <w:t>矿金融</w:t>
            </w:r>
            <w:proofErr w:type="gramEnd"/>
            <w:r>
              <w:rPr>
                <w:rFonts w:asciiTheme="minorEastAsia" w:hAnsiTheme="minorEastAsia" w:cs="Arial" w:hint="eastAsia"/>
                <w:sz w:val="22"/>
              </w:rPr>
              <w:t>大厦</w:t>
            </w:r>
            <w:r>
              <w:rPr>
                <w:rFonts w:asciiTheme="minorEastAsia" w:hAnsiTheme="minorEastAsia" w:cs="Arial"/>
                <w:sz w:val="22"/>
              </w:rPr>
              <w:t>2401</w:t>
            </w:r>
          </w:p>
          <w:p w14:paraId="7F0F1D6E"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4001840028</w:t>
            </w:r>
          </w:p>
          <w:p w14:paraId="01E8F2A9"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www.wkzq.com.cn</w:t>
            </w:r>
          </w:p>
        </w:tc>
      </w:tr>
      <w:tr w:rsidR="004614AE" w14:paraId="2EAE6805" w14:textId="77777777" w:rsidTr="00D3649B">
        <w:trPr>
          <w:trHeight w:val="14"/>
        </w:trPr>
        <w:tc>
          <w:tcPr>
            <w:tcW w:w="709" w:type="dxa"/>
          </w:tcPr>
          <w:p w14:paraId="24FF71DC"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53</w:t>
            </w:r>
          </w:p>
        </w:tc>
        <w:tc>
          <w:tcPr>
            <w:tcW w:w="2693" w:type="dxa"/>
          </w:tcPr>
          <w:p w14:paraId="76BFDA56" w14:textId="77777777" w:rsidR="004614AE" w:rsidRDefault="00000000">
            <w:pPr>
              <w:snapToGrid w:val="0"/>
              <w:rPr>
                <w:rFonts w:asciiTheme="minorEastAsia" w:hAnsiTheme="minorEastAsia" w:cs="Arial"/>
                <w:sz w:val="22"/>
              </w:rPr>
            </w:pPr>
            <w:proofErr w:type="gramStart"/>
            <w:r>
              <w:rPr>
                <w:rFonts w:asciiTheme="minorEastAsia" w:hAnsiTheme="minorEastAsia" w:cs="Arial" w:hint="eastAsia"/>
                <w:sz w:val="22"/>
              </w:rPr>
              <w:t>粤开证券</w:t>
            </w:r>
            <w:proofErr w:type="gramEnd"/>
            <w:r>
              <w:rPr>
                <w:rFonts w:asciiTheme="minorEastAsia" w:hAnsiTheme="minorEastAsia" w:cs="Arial" w:hint="eastAsia"/>
                <w:sz w:val="22"/>
              </w:rPr>
              <w:t>股份有限公司</w:t>
            </w:r>
          </w:p>
        </w:tc>
        <w:tc>
          <w:tcPr>
            <w:tcW w:w="5103" w:type="dxa"/>
          </w:tcPr>
          <w:p w14:paraId="39281825"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注册地址：广东省广州市经济技术开发区科学大道</w:t>
            </w:r>
            <w:r>
              <w:rPr>
                <w:rFonts w:asciiTheme="minorEastAsia" w:hAnsiTheme="minorEastAsia" w:cs="Arial"/>
                <w:sz w:val="22"/>
              </w:rPr>
              <w:t>60</w:t>
            </w:r>
            <w:r>
              <w:rPr>
                <w:rFonts w:asciiTheme="minorEastAsia" w:hAnsiTheme="minorEastAsia" w:cs="Arial" w:hint="eastAsia"/>
                <w:sz w:val="22"/>
              </w:rPr>
              <w:t>号</w:t>
            </w:r>
            <w:proofErr w:type="gramStart"/>
            <w:r>
              <w:rPr>
                <w:rFonts w:asciiTheme="minorEastAsia" w:hAnsiTheme="minorEastAsia" w:cs="Arial" w:hint="eastAsia"/>
                <w:sz w:val="22"/>
              </w:rPr>
              <w:t>开发区金控中心</w:t>
            </w:r>
            <w:proofErr w:type="gramEnd"/>
            <w:r>
              <w:rPr>
                <w:rFonts w:asciiTheme="minorEastAsia" w:hAnsiTheme="minorEastAsia" w:cs="Arial"/>
                <w:sz w:val="22"/>
              </w:rPr>
              <w:t>21,22,23</w:t>
            </w:r>
            <w:r>
              <w:rPr>
                <w:rFonts w:asciiTheme="minorEastAsia" w:hAnsiTheme="minorEastAsia" w:cs="Arial" w:hint="eastAsia"/>
                <w:sz w:val="22"/>
              </w:rPr>
              <w:t>层</w:t>
            </w:r>
          </w:p>
          <w:p w14:paraId="52330381"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95564</w:t>
            </w:r>
          </w:p>
          <w:p w14:paraId="0A1A5152"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www.ykzq.com</w:t>
            </w:r>
          </w:p>
        </w:tc>
      </w:tr>
      <w:tr w:rsidR="004614AE" w14:paraId="5BAADE7F" w14:textId="77777777" w:rsidTr="00D3649B">
        <w:trPr>
          <w:trHeight w:val="14"/>
        </w:trPr>
        <w:tc>
          <w:tcPr>
            <w:tcW w:w="709" w:type="dxa"/>
          </w:tcPr>
          <w:p w14:paraId="73D94840"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54</w:t>
            </w:r>
          </w:p>
        </w:tc>
        <w:tc>
          <w:tcPr>
            <w:tcW w:w="2693" w:type="dxa"/>
          </w:tcPr>
          <w:p w14:paraId="71B5C78B"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招商证券股份有限公司</w:t>
            </w:r>
          </w:p>
        </w:tc>
        <w:tc>
          <w:tcPr>
            <w:tcW w:w="5103" w:type="dxa"/>
          </w:tcPr>
          <w:p w14:paraId="65B508EB"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注册地址：广东省深圳市福田区福田街道福华一路</w:t>
            </w:r>
            <w:r>
              <w:rPr>
                <w:rFonts w:asciiTheme="minorEastAsia" w:hAnsiTheme="minorEastAsia" w:cs="Arial"/>
                <w:sz w:val="22"/>
              </w:rPr>
              <w:t>111</w:t>
            </w:r>
            <w:r>
              <w:rPr>
                <w:rFonts w:asciiTheme="minorEastAsia" w:hAnsiTheme="minorEastAsia" w:cs="Arial" w:hint="eastAsia"/>
                <w:sz w:val="22"/>
              </w:rPr>
              <w:t>号</w:t>
            </w:r>
          </w:p>
          <w:p w14:paraId="6D240F16"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95565</w:t>
            </w:r>
          </w:p>
          <w:p w14:paraId="1B63B887"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www.cmschina.com</w:t>
            </w:r>
          </w:p>
        </w:tc>
      </w:tr>
      <w:tr w:rsidR="004614AE" w14:paraId="59D5ACA9" w14:textId="77777777" w:rsidTr="00D3649B">
        <w:trPr>
          <w:trHeight w:val="14"/>
        </w:trPr>
        <w:tc>
          <w:tcPr>
            <w:tcW w:w="709" w:type="dxa"/>
          </w:tcPr>
          <w:p w14:paraId="4526849B"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55</w:t>
            </w:r>
          </w:p>
        </w:tc>
        <w:tc>
          <w:tcPr>
            <w:tcW w:w="2693" w:type="dxa"/>
          </w:tcPr>
          <w:p w14:paraId="71B9F94F"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中山证券有限责任公司</w:t>
            </w:r>
          </w:p>
        </w:tc>
        <w:tc>
          <w:tcPr>
            <w:tcW w:w="5103" w:type="dxa"/>
          </w:tcPr>
          <w:p w14:paraId="069E4516"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注册地址：深圳市南山区粤海街道蔚蓝海岸社区创业路</w:t>
            </w:r>
            <w:r>
              <w:rPr>
                <w:rFonts w:asciiTheme="minorEastAsia" w:hAnsiTheme="minorEastAsia" w:cs="Arial"/>
                <w:sz w:val="22"/>
              </w:rPr>
              <w:t>1777</w:t>
            </w:r>
            <w:r>
              <w:rPr>
                <w:rFonts w:asciiTheme="minorEastAsia" w:hAnsiTheme="minorEastAsia" w:cs="Arial" w:hint="eastAsia"/>
                <w:sz w:val="22"/>
              </w:rPr>
              <w:t>号海信南方大厦</w:t>
            </w:r>
            <w:r>
              <w:rPr>
                <w:rFonts w:asciiTheme="minorEastAsia" w:hAnsiTheme="minorEastAsia" w:cs="Arial"/>
                <w:sz w:val="22"/>
              </w:rPr>
              <w:t>21</w:t>
            </w:r>
            <w:r>
              <w:rPr>
                <w:rFonts w:asciiTheme="minorEastAsia" w:hAnsiTheme="minorEastAsia" w:cs="Arial" w:hint="eastAsia"/>
                <w:sz w:val="22"/>
              </w:rPr>
              <w:t>层、</w:t>
            </w:r>
            <w:r>
              <w:rPr>
                <w:rFonts w:asciiTheme="minorEastAsia" w:hAnsiTheme="minorEastAsia" w:cs="Arial"/>
                <w:sz w:val="22"/>
              </w:rPr>
              <w:t>22</w:t>
            </w:r>
            <w:r>
              <w:rPr>
                <w:rFonts w:asciiTheme="minorEastAsia" w:hAnsiTheme="minorEastAsia" w:cs="Arial" w:hint="eastAsia"/>
                <w:sz w:val="22"/>
              </w:rPr>
              <w:t>层</w:t>
            </w:r>
          </w:p>
          <w:p w14:paraId="00CD1A5D"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95329</w:t>
            </w:r>
          </w:p>
          <w:p w14:paraId="57790C32"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www.zszq.com</w:t>
            </w:r>
          </w:p>
        </w:tc>
      </w:tr>
      <w:tr w:rsidR="004614AE" w14:paraId="0BA3D9F8" w14:textId="77777777" w:rsidTr="00D3649B">
        <w:trPr>
          <w:trHeight w:val="14"/>
        </w:trPr>
        <w:tc>
          <w:tcPr>
            <w:tcW w:w="709" w:type="dxa"/>
          </w:tcPr>
          <w:p w14:paraId="754DB42C"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56</w:t>
            </w:r>
          </w:p>
        </w:tc>
        <w:tc>
          <w:tcPr>
            <w:tcW w:w="2693" w:type="dxa"/>
          </w:tcPr>
          <w:p w14:paraId="4105E196"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w:t>
            </w:r>
            <w:proofErr w:type="gramStart"/>
            <w:r>
              <w:rPr>
                <w:rFonts w:asciiTheme="minorEastAsia" w:hAnsiTheme="minorEastAsia" w:cs="Arial" w:hint="eastAsia"/>
                <w:sz w:val="22"/>
              </w:rPr>
              <w:t>信建投证券</w:t>
            </w:r>
            <w:proofErr w:type="gramEnd"/>
            <w:r>
              <w:rPr>
                <w:rFonts w:asciiTheme="minorEastAsia" w:hAnsiTheme="minorEastAsia" w:cs="Arial" w:hint="eastAsia"/>
                <w:sz w:val="22"/>
              </w:rPr>
              <w:t>股份有限公司</w:t>
            </w:r>
          </w:p>
        </w:tc>
        <w:tc>
          <w:tcPr>
            <w:tcW w:w="5103" w:type="dxa"/>
          </w:tcPr>
          <w:p w14:paraId="19AC1D06"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注册地址：北京市朝阳区安立路</w:t>
            </w:r>
            <w:r>
              <w:rPr>
                <w:rFonts w:asciiTheme="minorEastAsia" w:hAnsiTheme="minorEastAsia" w:cs="Arial"/>
                <w:sz w:val="22"/>
              </w:rPr>
              <w:t>66</w:t>
            </w:r>
            <w:r>
              <w:rPr>
                <w:rFonts w:asciiTheme="minorEastAsia" w:hAnsiTheme="minorEastAsia" w:cs="Arial" w:hint="eastAsia"/>
                <w:sz w:val="22"/>
              </w:rPr>
              <w:t>号</w:t>
            </w:r>
            <w:r>
              <w:rPr>
                <w:rFonts w:asciiTheme="minorEastAsia" w:hAnsiTheme="minorEastAsia" w:cs="Arial"/>
                <w:sz w:val="22"/>
              </w:rPr>
              <w:t>4</w:t>
            </w:r>
            <w:r>
              <w:rPr>
                <w:rFonts w:asciiTheme="minorEastAsia" w:hAnsiTheme="minorEastAsia" w:cs="Arial" w:hint="eastAsia"/>
                <w:sz w:val="22"/>
              </w:rPr>
              <w:t>号楼</w:t>
            </w:r>
          </w:p>
          <w:p w14:paraId="7AE2275F"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95587</w:t>
            </w:r>
          </w:p>
          <w:p w14:paraId="510D708E"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www.csc108.com</w:t>
            </w:r>
          </w:p>
        </w:tc>
      </w:tr>
      <w:tr w:rsidR="004614AE" w14:paraId="61D99D7F" w14:textId="77777777" w:rsidTr="00D3649B">
        <w:trPr>
          <w:trHeight w:val="14"/>
        </w:trPr>
        <w:tc>
          <w:tcPr>
            <w:tcW w:w="709" w:type="dxa"/>
          </w:tcPr>
          <w:p w14:paraId="27EDC587"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57</w:t>
            </w:r>
          </w:p>
        </w:tc>
        <w:tc>
          <w:tcPr>
            <w:tcW w:w="2693" w:type="dxa"/>
          </w:tcPr>
          <w:p w14:paraId="67BF9BFD"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中信期货有限公司</w:t>
            </w:r>
          </w:p>
        </w:tc>
        <w:tc>
          <w:tcPr>
            <w:tcW w:w="5103" w:type="dxa"/>
          </w:tcPr>
          <w:p w14:paraId="3CD031D8"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r>
              <w:rPr>
                <w:rFonts w:asciiTheme="minorEastAsia" w:hAnsiTheme="minorEastAsia" w:cs="Arial"/>
                <w:sz w:val="22"/>
              </w:rPr>
              <w:t>13</w:t>
            </w:r>
            <w:r>
              <w:rPr>
                <w:rFonts w:asciiTheme="minorEastAsia" w:hAnsiTheme="minorEastAsia" w:cs="Arial" w:hint="eastAsia"/>
                <w:sz w:val="22"/>
              </w:rPr>
              <w:t>层</w:t>
            </w:r>
            <w:r>
              <w:rPr>
                <w:rFonts w:asciiTheme="minorEastAsia" w:hAnsiTheme="minorEastAsia" w:cs="Arial"/>
                <w:sz w:val="22"/>
              </w:rPr>
              <w:t>1301-1305</w:t>
            </w:r>
            <w:r>
              <w:rPr>
                <w:rFonts w:asciiTheme="minorEastAsia" w:hAnsiTheme="minorEastAsia" w:cs="Arial" w:hint="eastAsia"/>
                <w:sz w:val="22"/>
              </w:rPr>
              <w:t>室</w:t>
            </w:r>
            <w:r>
              <w:rPr>
                <w:rFonts w:asciiTheme="minorEastAsia" w:hAnsiTheme="minorEastAsia" w:cs="Arial"/>
                <w:sz w:val="22"/>
              </w:rPr>
              <w:t>,14</w:t>
            </w:r>
            <w:r>
              <w:rPr>
                <w:rFonts w:asciiTheme="minorEastAsia" w:hAnsiTheme="minorEastAsia" w:cs="Arial" w:hint="eastAsia"/>
                <w:sz w:val="22"/>
              </w:rPr>
              <w:t>层</w:t>
            </w:r>
          </w:p>
          <w:p w14:paraId="1A150BC1"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4009908826</w:t>
            </w:r>
          </w:p>
          <w:p w14:paraId="3470AE40"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www.citicsf.com</w:t>
            </w:r>
          </w:p>
        </w:tc>
      </w:tr>
      <w:tr w:rsidR="004614AE" w14:paraId="2DB645ED" w14:textId="77777777" w:rsidTr="00D3649B">
        <w:trPr>
          <w:trHeight w:val="14"/>
        </w:trPr>
        <w:tc>
          <w:tcPr>
            <w:tcW w:w="709" w:type="dxa"/>
          </w:tcPr>
          <w:p w14:paraId="747BFF94" w14:textId="77777777" w:rsidR="004614AE" w:rsidRDefault="00000000">
            <w:pPr>
              <w:snapToGrid w:val="0"/>
              <w:jc w:val="center"/>
              <w:rPr>
                <w:rFonts w:asciiTheme="minorEastAsia" w:hAnsiTheme="minorEastAsia" w:cs="Arial"/>
                <w:sz w:val="22"/>
              </w:rPr>
            </w:pPr>
            <w:r>
              <w:rPr>
                <w:rFonts w:asciiTheme="minorEastAsia" w:hAnsiTheme="minorEastAsia" w:cs="Arial"/>
                <w:sz w:val="22"/>
              </w:rPr>
              <w:lastRenderedPageBreak/>
              <w:t>58</w:t>
            </w:r>
          </w:p>
        </w:tc>
        <w:tc>
          <w:tcPr>
            <w:tcW w:w="2693" w:type="dxa"/>
          </w:tcPr>
          <w:p w14:paraId="5408C6ED"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中信证券</w:t>
            </w:r>
            <w:r>
              <w:rPr>
                <w:rFonts w:asciiTheme="minorEastAsia" w:hAnsiTheme="minorEastAsia" w:cs="Arial"/>
                <w:sz w:val="22"/>
              </w:rPr>
              <w:t>(山东)有限责任公司</w:t>
            </w:r>
          </w:p>
        </w:tc>
        <w:tc>
          <w:tcPr>
            <w:tcW w:w="5103" w:type="dxa"/>
          </w:tcPr>
          <w:p w14:paraId="6FC45D2B"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注册地址：山东省青岛市崂山区深圳路</w:t>
            </w:r>
            <w:r>
              <w:rPr>
                <w:rFonts w:asciiTheme="minorEastAsia" w:hAnsiTheme="minorEastAsia" w:cs="Arial"/>
                <w:sz w:val="22"/>
              </w:rPr>
              <w:t>222</w:t>
            </w:r>
            <w:r>
              <w:rPr>
                <w:rFonts w:asciiTheme="minorEastAsia" w:hAnsiTheme="minorEastAsia" w:cs="Arial" w:hint="eastAsia"/>
                <w:sz w:val="22"/>
              </w:rPr>
              <w:t>号</w:t>
            </w:r>
            <w:r>
              <w:rPr>
                <w:rFonts w:asciiTheme="minorEastAsia" w:hAnsiTheme="minorEastAsia" w:cs="Arial"/>
                <w:sz w:val="22"/>
              </w:rPr>
              <w:t>1</w:t>
            </w:r>
            <w:r>
              <w:rPr>
                <w:rFonts w:asciiTheme="minorEastAsia" w:hAnsiTheme="minorEastAsia" w:cs="Arial" w:hint="eastAsia"/>
                <w:sz w:val="22"/>
              </w:rPr>
              <w:t>号楼</w:t>
            </w:r>
            <w:r>
              <w:rPr>
                <w:rFonts w:asciiTheme="minorEastAsia" w:hAnsiTheme="minorEastAsia" w:cs="Arial"/>
                <w:sz w:val="22"/>
              </w:rPr>
              <w:t>2001</w:t>
            </w:r>
          </w:p>
          <w:p w14:paraId="5B372A1D"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6E577F29"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sd.citics.com</w:t>
            </w:r>
          </w:p>
        </w:tc>
      </w:tr>
      <w:tr w:rsidR="004614AE" w14:paraId="3DA42419" w14:textId="77777777" w:rsidTr="00D3649B">
        <w:trPr>
          <w:trHeight w:val="14"/>
        </w:trPr>
        <w:tc>
          <w:tcPr>
            <w:tcW w:w="709" w:type="dxa"/>
          </w:tcPr>
          <w:p w14:paraId="44A55CA7"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59</w:t>
            </w:r>
          </w:p>
        </w:tc>
        <w:tc>
          <w:tcPr>
            <w:tcW w:w="2693" w:type="dxa"/>
          </w:tcPr>
          <w:p w14:paraId="16E05E6B"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中信证券股份有限公司</w:t>
            </w:r>
          </w:p>
        </w:tc>
        <w:tc>
          <w:tcPr>
            <w:tcW w:w="5103" w:type="dxa"/>
          </w:tcPr>
          <w:p w14:paraId="3892E9FE"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注册地址：广东省深圳市福田区中心三路</w:t>
            </w:r>
            <w:r>
              <w:rPr>
                <w:rFonts w:asciiTheme="minorEastAsia" w:hAnsiTheme="minorEastAsia" w:cs="Arial"/>
                <w:sz w:val="22"/>
              </w:rPr>
              <w:t>8</w:t>
            </w:r>
            <w:r>
              <w:rPr>
                <w:rFonts w:asciiTheme="minorEastAsia" w:hAnsiTheme="minorEastAsia" w:cs="Arial" w:hint="eastAsia"/>
                <w:sz w:val="22"/>
              </w:rPr>
              <w:t>号卓越时代广场</w:t>
            </w:r>
            <w:r>
              <w:rPr>
                <w:rFonts w:asciiTheme="minorEastAsia" w:hAnsiTheme="minorEastAsia" w:cs="Arial"/>
                <w:sz w:val="22"/>
              </w:rPr>
              <w:t>(</w:t>
            </w:r>
            <w:r>
              <w:rPr>
                <w:rFonts w:asciiTheme="minorEastAsia" w:hAnsiTheme="minorEastAsia" w:cs="Arial" w:hint="eastAsia"/>
                <w:sz w:val="22"/>
              </w:rPr>
              <w:t>二期</w:t>
            </w:r>
            <w:r>
              <w:rPr>
                <w:rFonts w:asciiTheme="minorEastAsia" w:hAnsiTheme="minorEastAsia" w:cs="Arial"/>
                <w:sz w:val="22"/>
              </w:rPr>
              <w:t>)</w:t>
            </w:r>
            <w:r>
              <w:rPr>
                <w:rFonts w:asciiTheme="minorEastAsia" w:hAnsiTheme="minorEastAsia" w:cs="Arial" w:hint="eastAsia"/>
                <w:sz w:val="22"/>
              </w:rPr>
              <w:t>北座</w:t>
            </w:r>
          </w:p>
          <w:p w14:paraId="772774CF"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3FB92A9A"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www.citics.com</w:t>
            </w:r>
          </w:p>
        </w:tc>
      </w:tr>
      <w:tr w:rsidR="004614AE" w14:paraId="1676EAC8" w14:textId="77777777" w:rsidTr="00D3649B">
        <w:trPr>
          <w:trHeight w:val="14"/>
        </w:trPr>
        <w:tc>
          <w:tcPr>
            <w:tcW w:w="709" w:type="dxa"/>
          </w:tcPr>
          <w:p w14:paraId="5D0997DD"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60</w:t>
            </w:r>
          </w:p>
        </w:tc>
        <w:tc>
          <w:tcPr>
            <w:tcW w:w="2693" w:type="dxa"/>
          </w:tcPr>
          <w:p w14:paraId="5413EFBF"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中信证券华南股份有限公司</w:t>
            </w:r>
          </w:p>
        </w:tc>
        <w:tc>
          <w:tcPr>
            <w:tcW w:w="5103" w:type="dxa"/>
          </w:tcPr>
          <w:p w14:paraId="1BE152E6"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注册地址：广东省广州市天河区临江大道</w:t>
            </w:r>
            <w:r>
              <w:rPr>
                <w:rFonts w:asciiTheme="minorEastAsia" w:hAnsiTheme="minorEastAsia" w:cs="Arial"/>
                <w:sz w:val="22"/>
              </w:rPr>
              <w:t>395号901室(部位:自编01),1001室</w:t>
            </w:r>
          </w:p>
          <w:p w14:paraId="2E35F33C"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95548</w:t>
            </w:r>
          </w:p>
          <w:p w14:paraId="66C108AE"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www.gzs.com.cn</w:t>
            </w:r>
          </w:p>
        </w:tc>
      </w:tr>
      <w:tr w:rsidR="004614AE" w14:paraId="67176382" w14:textId="77777777" w:rsidTr="00D3649B">
        <w:trPr>
          <w:trHeight w:val="14"/>
        </w:trPr>
        <w:tc>
          <w:tcPr>
            <w:tcW w:w="709" w:type="dxa"/>
          </w:tcPr>
          <w:p w14:paraId="6B19BFE3" w14:textId="77777777" w:rsidR="004614AE" w:rsidRDefault="00000000">
            <w:pPr>
              <w:snapToGrid w:val="0"/>
              <w:jc w:val="center"/>
              <w:rPr>
                <w:rFonts w:asciiTheme="minorEastAsia" w:hAnsiTheme="minorEastAsia" w:cs="Arial"/>
                <w:sz w:val="22"/>
              </w:rPr>
            </w:pPr>
            <w:r>
              <w:rPr>
                <w:rFonts w:asciiTheme="minorEastAsia" w:hAnsiTheme="minorEastAsia" w:cs="Arial"/>
                <w:sz w:val="22"/>
              </w:rPr>
              <w:t>61</w:t>
            </w:r>
          </w:p>
        </w:tc>
        <w:tc>
          <w:tcPr>
            <w:tcW w:w="2693" w:type="dxa"/>
          </w:tcPr>
          <w:p w14:paraId="55E3615F" w14:textId="77777777" w:rsidR="004614AE" w:rsidRDefault="00000000">
            <w:pPr>
              <w:snapToGrid w:val="0"/>
              <w:rPr>
                <w:rFonts w:asciiTheme="minorEastAsia" w:hAnsiTheme="minorEastAsia" w:cs="Arial"/>
                <w:sz w:val="22"/>
              </w:rPr>
            </w:pPr>
            <w:r>
              <w:rPr>
                <w:rFonts w:asciiTheme="minorEastAsia" w:hAnsiTheme="minorEastAsia" w:cs="Arial" w:hint="eastAsia"/>
                <w:sz w:val="22"/>
              </w:rPr>
              <w:t>中</w:t>
            </w:r>
            <w:proofErr w:type="gramStart"/>
            <w:r>
              <w:rPr>
                <w:rFonts w:asciiTheme="minorEastAsia" w:hAnsiTheme="minorEastAsia" w:cs="Arial" w:hint="eastAsia"/>
                <w:sz w:val="22"/>
              </w:rPr>
              <w:t>邮证券</w:t>
            </w:r>
            <w:proofErr w:type="gramEnd"/>
            <w:r>
              <w:rPr>
                <w:rFonts w:asciiTheme="minorEastAsia" w:hAnsiTheme="minorEastAsia" w:cs="Arial" w:hint="eastAsia"/>
                <w:sz w:val="22"/>
              </w:rPr>
              <w:t>有限责任公司</w:t>
            </w:r>
          </w:p>
        </w:tc>
        <w:tc>
          <w:tcPr>
            <w:tcW w:w="5103" w:type="dxa"/>
          </w:tcPr>
          <w:p w14:paraId="0F1B67BC" w14:textId="77777777" w:rsidR="004614AE" w:rsidRDefault="00000000">
            <w:pPr>
              <w:snapToGrid w:val="0"/>
              <w:rPr>
                <w:rFonts w:asciiTheme="minorEastAsia" w:hAnsiTheme="minorEastAsia" w:cs="Arial"/>
                <w:sz w:val="22"/>
              </w:rPr>
            </w:pPr>
            <w:r>
              <w:rPr>
                <w:rFonts w:asciiTheme="minorEastAsia" w:hAnsiTheme="minorEastAsia" w:cs="Arial" w:hint="eastAsia"/>
                <w:sz w:val="22"/>
              </w:rPr>
              <w:t>注册地址：陕西省西安市</w:t>
            </w:r>
            <w:proofErr w:type="gramStart"/>
            <w:r>
              <w:rPr>
                <w:rFonts w:asciiTheme="minorEastAsia" w:hAnsiTheme="minorEastAsia" w:cs="Arial" w:hint="eastAsia"/>
                <w:sz w:val="22"/>
              </w:rPr>
              <w:t>唐延路</w:t>
            </w:r>
            <w:proofErr w:type="gramEnd"/>
            <w:r>
              <w:rPr>
                <w:rFonts w:asciiTheme="minorEastAsia" w:hAnsiTheme="minorEastAsia" w:cs="Arial"/>
                <w:sz w:val="22"/>
              </w:rPr>
              <w:t>5号(陕西邮政信息大厦9-11层)</w:t>
            </w:r>
          </w:p>
          <w:p w14:paraId="29675231" w14:textId="77777777" w:rsidR="004614AE" w:rsidRDefault="00000000">
            <w:pPr>
              <w:snapToGrid w:val="0"/>
              <w:rPr>
                <w:rFonts w:asciiTheme="minorEastAsia" w:hAnsiTheme="minorEastAsia" w:cs="Arial"/>
                <w:sz w:val="22"/>
              </w:rPr>
            </w:pPr>
            <w:r>
              <w:rPr>
                <w:rFonts w:asciiTheme="minorEastAsia" w:hAnsiTheme="minorEastAsia" w:cs="Arial" w:hint="eastAsia"/>
                <w:sz w:val="22"/>
              </w:rPr>
              <w:t>客户服务电话：</w:t>
            </w:r>
            <w:r>
              <w:rPr>
                <w:rFonts w:asciiTheme="minorEastAsia" w:hAnsiTheme="minorEastAsia" w:cs="Arial"/>
                <w:sz w:val="22"/>
              </w:rPr>
              <w:t>4008888005</w:t>
            </w:r>
          </w:p>
          <w:p w14:paraId="7BC8F2CC" w14:textId="77777777" w:rsidR="004614AE" w:rsidRDefault="00000000">
            <w:pPr>
              <w:snapToGrid w:val="0"/>
              <w:rPr>
                <w:rFonts w:asciiTheme="minorEastAsia" w:hAnsiTheme="minorEastAsia" w:cs="Arial"/>
                <w:sz w:val="22"/>
              </w:rPr>
            </w:pPr>
            <w:r>
              <w:rPr>
                <w:rFonts w:asciiTheme="minorEastAsia" w:hAnsiTheme="minorEastAsia" w:cs="Arial" w:hint="eastAsia"/>
                <w:sz w:val="22"/>
              </w:rPr>
              <w:t>网址：</w:t>
            </w:r>
            <w:r>
              <w:rPr>
                <w:rFonts w:asciiTheme="minorEastAsia" w:hAnsiTheme="minorEastAsia" w:cs="Arial"/>
                <w:sz w:val="22"/>
              </w:rPr>
              <w:t>www.cnpsec.com</w:t>
            </w:r>
          </w:p>
        </w:tc>
      </w:tr>
    </w:tbl>
    <w:p w14:paraId="0751658C" w14:textId="77777777" w:rsidR="004614AE" w:rsidRDefault="004614AE">
      <w:pPr>
        <w:tabs>
          <w:tab w:val="left" w:pos="540"/>
        </w:tabs>
        <w:adjustRightInd w:val="0"/>
        <w:snapToGrid w:val="0"/>
        <w:spacing w:line="360" w:lineRule="auto"/>
        <w:ind w:firstLineChars="200" w:firstLine="480"/>
        <w:rPr>
          <w:rFonts w:asciiTheme="minorEastAsia" w:hAnsiTheme="minorEastAsia" w:cs="Arial"/>
          <w:sz w:val="24"/>
          <w:szCs w:val="24"/>
        </w:rPr>
      </w:pPr>
    </w:p>
    <w:p w14:paraId="58B14DE0" w14:textId="77777777" w:rsidR="004614AE" w:rsidRDefault="00000000">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505760D" w14:textId="77777777" w:rsidR="004614AE"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5D8E84DF" w14:textId="77777777" w:rsidR="004614AE"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3F8C4909" w14:textId="77777777" w:rsidR="004614AE"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办公地址：</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r>
        <w:rPr>
          <w:rFonts w:asciiTheme="minorEastAsia" w:hAnsiTheme="minorEastAsia" w:cs="Arial" w:hint="eastAsia"/>
          <w:color w:val="000000"/>
          <w:kern w:val="0"/>
          <w:sz w:val="24"/>
          <w:szCs w:val="24"/>
        </w:rPr>
        <w:t xml:space="preserve"> </w:t>
      </w:r>
    </w:p>
    <w:p w14:paraId="03DAB8F0" w14:textId="77777777" w:rsidR="004614AE"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法定代表人：杨小舟 </w:t>
      </w:r>
    </w:p>
    <w:p w14:paraId="78F57A6B" w14:textId="77777777" w:rsidR="004614AE"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7C6653A7" w14:textId="77777777" w:rsidR="004614AE" w:rsidRDefault="00000000">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7CA42660" w14:textId="77777777" w:rsidR="004614AE" w:rsidRDefault="00000000">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406122B1" w14:textId="77777777" w:rsidR="004614AE" w:rsidRDefault="00000000">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697CB6D7"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名称：上海源泰律师事务所</w:t>
      </w:r>
    </w:p>
    <w:p w14:paraId="707F4E70"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住所：上海市浦东新区浦东南路256号华夏银行大厦14楼</w:t>
      </w:r>
    </w:p>
    <w:p w14:paraId="5EF113F3"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办公地址：上海市浦东新区浦东南路256号华夏银行大厦14楼</w:t>
      </w:r>
    </w:p>
    <w:p w14:paraId="61973574"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负责人：廖海</w:t>
      </w:r>
    </w:p>
    <w:p w14:paraId="00EA9DBA"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电话：（021）51150298</w:t>
      </w:r>
    </w:p>
    <w:p w14:paraId="43B1A257"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传真：（021）51150</w:t>
      </w:r>
      <w:r>
        <w:rPr>
          <w:rFonts w:asciiTheme="minorEastAsia" w:hAnsiTheme="minorEastAsia" w:cs="Arial"/>
          <w:kern w:val="0"/>
          <w:sz w:val="24"/>
          <w:szCs w:val="24"/>
        </w:rPr>
        <w:t>3</w:t>
      </w:r>
      <w:r>
        <w:rPr>
          <w:rFonts w:asciiTheme="minorEastAsia" w:hAnsiTheme="minorEastAsia" w:cs="Arial" w:hint="eastAsia"/>
          <w:kern w:val="0"/>
          <w:sz w:val="24"/>
          <w:szCs w:val="24"/>
        </w:rPr>
        <w:t>98</w:t>
      </w:r>
    </w:p>
    <w:p w14:paraId="10ADBF2C"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经办律师：刘佳、黄丽华</w:t>
      </w:r>
    </w:p>
    <w:p w14:paraId="748BB893" w14:textId="77777777" w:rsidR="004614AE" w:rsidRDefault="00000000">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刘佳</w:t>
      </w:r>
    </w:p>
    <w:p w14:paraId="2F34C515" w14:textId="77777777" w:rsidR="004614AE" w:rsidRDefault="00000000">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16797CD7"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名称：安永华明会计师事务所（特殊普通合伙）</w:t>
      </w:r>
    </w:p>
    <w:p w14:paraId="4DB6FF26"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lastRenderedPageBreak/>
        <w:t>住所：中国北京市东城区东长安街1号东方广场安永大楼16层</w:t>
      </w:r>
    </w:p>
    <w:p w14:paraId="006733BE"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办公地址：中国北京市东城区东长安街1号东方广场安永大楼16层</w:t>
      </w:r>
    </w:p>
    <w:p w14:paraId="1238B8D2"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法定代表人：</w:t>
      </w:r>
      <w:proofErr w:type="gramStart"/>
      <w:r>
        <w:rPr>
          <w:rFonts w:asciiTheme="minorEastAsia" w:hAnsiTheme="minorEastAsia" w:cs="Arial" w:hint="eastAsia"/>
          <w:kern w:val="0"/>
          <w:sz w:val="24"/>
          <w:szCs w:val="24"/>
        </w:rPr>
        <w:t>毛鞍宁</w:t>
      </w:r>
      <w:proofErr w:type="gramEnd"/>
    </w:p>
    <w:p w14:paraId="25171DFE"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电话：+86</w:t>
      </w:r>
      <w:r>
        <w:rPr>
          <w:rFonts w:asciiTheme="minorEastAsia" w:hAnsiTheme="minorEastAsia" w:cs="Arial"/>
          <w:kern w:val="0"/>
          <w:sz w:val="24"/>
          <w:szCs w:val="24"/>
        </w:rPr>
        <w:t xml:space="preserve"> 10 58153000</w:t>
      </w:r>
    </w:p>
    <w:p w14:paraId="02E668FC"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传真：+86</w:t>
      </w:r>
      <w:r>
        <w:rPr>
          <w:rFonts w:asciiTheme="minorEastAsia" w:hAnsiTheme="minorEastAsia" w:cs="Arial"/>
          <w:kern w:val="0"/>
          <w:sz w:val="24"/>
          <w:szCs w:val="24"/>
        </w:rPr>
        <w:t xml:space="preserve"> 10 85188298</w:t>
      </w:r>
    </w:p>
    <w:p w14:paraId="5C562AB7"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签字注册会计师：吴翠蓉  高鹤</w:t>
      </w:r>
    </w:p>
    <w:p w14:paraId="70B19DE6" w14:textId="77777777" w:rsidR="004614AE" w:rsidRDefault="00000000">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联系人：吴翠蓉</w:t>
      </w:r>
    </w:p>
    <w:p w14:paraId="69037537" w14:textId="77777777" w:rsidR="004614AE" w:rsidRDefault="004614AE">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4614AE">
          <w:headerReference w:type="even" r:id="rId43"/>
          <w:headerReference w:type="default" r:id="rId44"/>
          <w:footerReference w:type="default" r:id="rId45"/>
          <w:headerReference w:type="first" r:id="rId46"/>
          <w:pgSz w:w="11906" w:h="16838"/>
          <w:pgMar w:top="1440" w:right="1800" w:bottom="1440" w:left="1800" w:header="851" w:footer="992" w:gutter="0"/>
          <w:pgNumType w:chapStyle="1"/>
          <w:cols w:space="720"/>
          <w:docGrid w:type="lines" w:linePitch="312"/>
        </w:sectPr>
      </w:pPr>
      <w:bookmarkStart w:id="119" w:name="_Toc263092314"/>
      <w:bookmarkStart w:id="120" w:name="_Toc416264542"/>
      <w:bookmarkStart w:id="121" w:name="_Toc29251"/>
      <w:bookmarkStart w:id="122" w:name="_Toc123112235"/>
      <w:bookmarkStart w:id="123" w:name="_Toc141703887"/>
      <w:bookmarkStart w:id="124" w:name="_Toc15143"/>
      <w:bookmarkStart w:id="125" w:name="_Toc31235"/>
      <w:bookmarkStart w:id="126" w:name="_Toc14835"/>
      <w:bookmarkStart w:id="127" w:name="_Toc352229753"/>
      <w:bookmarkStart w:id="128" w:name="_Toc12245"/>
      <w:bookmarkStart w:id="129" w:name="_Toc31644"/>
      <w:bookmarkStart w:id="130" w:name="_Toc98560353"/>
      <w:bookmarkStart w:id="131" w:name="_Toc139991737"/>
      <w:bookmarkStart w:id="132" w:name="_Toc123051453"/>
      <w:bookmarkStart w:id="133" w:name="_Toc16859"/>
      <w:bookmarkStart w:id="134" w:name="_Toc26207"/>
      <w:bookmarkStart w:id="135" w:name="_Toc6405"/>
      <w:bookmarkStart w:id="136" w:name="_Toc123102454"/>
      <w:bookmarkStart w:id="137" w:name="_Toc3601"/>
      <w:bookmarkStart w:id="138" w:name="_Toc316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4B4B824" w14:textId="77777777" w:rsidR="004614AE" w:rsidRDefault="00000000">
      <w:pPr>
        <w:pStyle w:val="1"/>
        <w:jc w:val="center"/>
        <w:rPr>
          <w:sz w:val="30"/>
          <w:szCs w:val="30"/>
        </w:rPr>
      </w:pPr>
      <w:bookmarkStart w:id="139" w:name="_Toc68266293"/>
      <w:bookmarkStart w:id="140" w:name="_Toc119568462"/>
      <w:r>
        <w:rPr>
          <w:rFonts w:hint="eastAsia"/>
          <w:sz w:val="30"/>
          <w:szCs w:val="30"/>
        </w:rPr>
        <w:lastRenderedPageBreak/>
        <w:t>第六部分</w:t>
      </w:r>
      <w:r>
        <w:rPr>
          <w:sz w:val="30"/>
          <w:szCs w:val="30"/>
        </w:rPr>
        <w:t xml:space="preserve">  </w:t>
      </w:r>
      <w:r>
        <w:rPr>
          <w:rFonts w:asciiTheme="minorEastAsia" w:eastAsiaTheme="minorEastAsia" w:hAnsiTheme="minorEastAsia" w:hint="eastAsia"/>
          <w:sz w:val="30"/>
          <w:szCs w:val="30"/>
        </w:rPr>
        <w:t>基金的募集</w:t>
      </w:r>
      <w:bookmarkEnd w:id="119"/>
      <w:bookmarkEnd w:id="120"/>
      <w:bookmarkEnd w:id="139"/>
      <w:bookmarkEnd w:id="140"/>
    </w:p>
    <w:p w14:paraId="64090BE7" w14:textId="77777777" w:rsidR="004614AE" w:rsidRDefault="004614AE">
      <w:pPr>
        <w:autoSpaceDE w:val="0"/>
        <w:autoSpaceDN w:val="0"/>
        <w:adjustRightInd w:val="0"/>
        <w:snapToGrid w:val="0"/>
        <w:spacing w:line="360" w:lineRule="auto"/>
        <w:ind w:firstLineChars="200" w:firstLine="480"/>
        <w:rPr>
          <w:rFonts w:asciiTheme="minorEastAsia" w:hAnsiTheme="minorEastAsia" w:cs="Arial"/>
          <w:sz w:val="24"/>
          <w:szCs w:val="24"/>
        </w:rPr>
      </w:pPr>
    </w:p>
    <w:p w14:paraId="4A1A7A0E" w14:textId="77777777" w:rsidR="004614AE" w:rsidRDefault="00000000">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352229754"/>
      <w:bookmarkStart w:id="145" w:name="_Toc123102455"/>
      <w:bookmarkStart w:id="146" w:name="_Toc25783"/>
      <w:bookmarkStart w:id="147" w:name="_Toc7058"/>
      <w:bookmarkStart w:id="148" w:name="_Toc79392583"/>
      <w:bookmarkStart w:id="149" w:name="_Toc4559"/>
      <w:bookmarkStart w:id="150" w:name="_Toc3771"/>
      <w:bookmarkStart w:id="151" w:name="_Toc123051454"/>
      <w:bookmarkStart w:id="152" w:name="_Toc10650"/>
      <w:bookmarkStart w:id="153" w:name="_Toc123112236"/>
      <w:bookmarkStart w:id="154" w:name="_Toc139991738"/>
      <w:bookmarkStart w:id="155" w:name="_Toc11030"/>
      <w:bookmarkStart w:id="156" w:name="_Toc141703888"/>
      <w:bookmarkStart w:id="157" w:name="_Toc9706"/>
      <w:bookmarkStart w:id="158" w:name="_Toc20768"/>
      <w:bookmarkStart w:id="159" w:name="_Toc98560354"/>
      <w:bookmarkStart w:id="160" w:name="_Toc18567"/>
      <w:bookmarkStart w:id="161" w:name="_Toc6447"/>
      <w:bookmarkStart w:id="162" w:name="_Toc332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宋体" w:eastAsia="宋体" w:hAnsi="宋体" w:cs="Arial" w:hint="eastAsia"/>
          <w:sz w:val="24"/>
          <w:szCs w:val="24"/>
        </w:rPr>
        <w:t>基金管理人按照《基金法》、《运作办法》、《销售办法》、基金合同及其他有关规定募集本基金，并于2021年6月2</w:t>
      </w:r>
      <w:r>
        <w:rPr>
          <w:rFonts w:ascii="宋体" w:eastAsia="宋体" w:hAnsi="宋体" w:cs="Arial"/>
          <w:sz w:val="24"/>
          <w:szCs w:val="24"/>
        </w:rPr>
        <w:t>1</w:t>
      </w:r>
      <w:r>
        <w:rPr>
          <w:rFonts w:ascii="宋体" w:eastAsia="宋体" w:hAnsi="宋体" w:cs="Arial" w:hint="eastAsia"/>
          <w:sz w:val="24"/>
          <w:szCs w:val="24"/>
        </w:rPr>
        <w:t>日</w:t>
      </w:r>
      <w:r>
        <w:rPr>
          <w:rFonts w:ascii="宋体" w:eastAsia="宋体" w:hAnsi="宋体" w:cs="Arial" w:hint="eastAsia"/>
          <w:kern w:val="0"/>
          <w:sz w:val="24"/>
          <w:szCs w:val="24"/>
        </w:rPr>
        <w:t>经中国证监会证监许可[</w:t>
      </w:r>
      <w:r>
        <w:rPr>
          <w:rFonts w:ascii="宋体" w:eastAsia="宋体" w:hAnsi="宋体" w:cs="Arial"/>
          <w:kern w:val="0"/>
          <w:sz w:val="24"/>
          <w:szCs w:val="24"/>
        </w:rPr>
        <w:t>2021]2091</w:t>
      </w:r>
      <w:r>
        <w:rPr>
          <w:rFonts w:ascii="宋体" w:eastAsia="宋体" w:hAnsi="宋体" w:cs="Arial" w:hint="eastAsia"/>
          <w:kern w:val="0"/>
          <w:sz w:val="24"/>
          <w:szCs w:val="24"/>
        </w:rPr>
        <w:t>号文</w:t>
      </w:r>
      <w:r>
        <w:rPr>
          <w:rFonts w:ascii="宋体" w:eastAsia="宋体" w:hAnsi="宋体" w:cs="Arial" w:hint="eastAsia"/>
          <w:sz w:val="24"/>
          <w:szCs w:val="24"/>
        </w:rPr>
        <w:t>准予注册募集。</w:t>
      </w:r>
      <w:r>
        <w:rPr>
          <w:rFonts w:asciiTheme="minorEastAsia" w:hAnsiTheme="minorEastAsia" w:cs="Arial" w:hint="eastAsia"/>
          <w:sz w:val="24"/>
          <w:szCs w:val="24"/>
        </w:rPr>
        <w:t>本基金于</w:t>
      </w:r>
      <w:r>
        <w:rPr>
          <w:rFonts w:asciiTheme="minorEastAsia" w:hAnsiTheme="minorEastAsia" w:cs="Arial"/>
          <w:sz w:val="24"/>
          <w:szCs w:val="24"/>
        </w:rPr>
        <w:t>2021年11月26日起通过各销售机构向社会公开募集，截至2021年</w:t>
      </w:r>
      <w:r>
        <w:rPr>
          <w:rFonts w:asciiTheme="minorEastAsia" w:hAnsiTheme="minorEastAsia" w:cs="Arial" w:hint="eastAsia"/>
          <w:sz w:val="24"/>
          <w:szCs w:val="24"/>
        </w:rPr>
        <w:t>1</w:t>
      </w:r>
      <w:r>
        <w:rPr>
          <w:rFonts w:asciiTheme="minorEastAsia" w:hAnsiTheme="minorEastAsia" w:cs="Arial"/>
          <w:sz w:val="24"/>
          <w:szCs w:val="24"/>
        </w:rPr>
        <w:t>2月23</w:t>
      </w:r>
      <w:r>
        <w:rPr>
          <w:rFonts w:asciiTheme="minorEastAsia" w:hAnsiTheme="minorEastAsia" w:cs="Arial" w:hint="eastAsia"/>
          <w:sz w:val="24"/>
          <w:szCs w:val="24"/>
        </w:rPr>
        <w:t>日，基金募集工作已顺利结束。</w:t>
      </w:r>
    </w:p>
    <w:p w14:paraId="74C93C75" w14:textId="77777777" w:rsidR="004614AE" w:rsidRDefault="004614AE">
      <w:pPr>
        <w:keepNext/>
        <w:keepLines/>
        <w:spacing w:line="360" w:lineRule="auto"/>
        <w:jc w:val="center"/>
        <w:outlineLvl w:val="0"/>
        <w:rPr>
          <w:rFonts w:ascii="Times New Roman" w:eastAsia="宋体" w:hAnsi="Times New Roman" w:cs="Times New Roman"/>
          <w:b/>
          <w:kern w:val="0"/>
          <w:sz w:val="24"/>
          <w:szCs w:val="24"/>
        </w:rPr>
        <w:sectPr w:rsidR="004614AE">
          <w:headerReference w:type="even" r:id="rId47"/>
          <w:headerReference w:type="default" r:id="rId48"/>
          <w:footerReference w:type="default" r:id="rId49"/>
          <w:headerReference w:type="first" r:id="rId50"/>
          <w:pgSz w:w="11906" w:h="16838"/>
          <w:pgMar w:top="1440" w:right="1800" w:bottom="1440" w:left="1800" w:header="851" w:footer="992" w:gutter="0"/>
          <w:pgNumType w:chapStyle="1"/>
          <w:cols w:space="720"/>
          <w:docGrid w:type="lines" w:linePitch="312"/>
        </w:sectPr>
      </w:pPr>
    </w:p>
    <w:p w14:paraId="67213862" w14:textId="77777777" w:rsidR="004614AE" w:rsidRDefault="00000000">
      <w:pPr>
        <w:pStyle w:val="1"/>
        <w:jc w:val="center"/>
        <w:rPr>
          <w:sz w:val="30"/>
          <w:szCs w:val="30"/>
        </w:rPr>
      </w:pPr>
      <w:bookmarkStart w:id="163" w:name="_Toc68266294"/>
      <w:bookmarkStart w:id="164" w:name="_Toc119568463"/>
      <w:r>
        <w:rPr>
          <w:rFonts w:hint="eastAsia"/>
          <w:sz w:val="30"/>
          <w:szCs w:val="30"/>
        </w:rPr>
        <w:lastRenderedPageBreak/>
        <w:t>第七部分</w:t>
      </w:r>
      <w:r>
        <w:rPr>
          <w:sz w:val="30"/>
          <w:szCs w:val="30"/>
        </w:rPr>
        <w:t xml:space="preserve">  </w:t>
      </w:r>
      <w:r>
        <w:rPr>
          <w:rFonts w:hint="eastAsia"/>
          <w:sz w:val="30"/>
          <w:szCs w:val="30"/>
        </w:rPr>
        <w:t>基金</w:t>
      </w:r>
      <w:bookmarkEnd w:id="141"/>
      <w:bookmarkEnd w:id="142"/>
      <w:r>
        <w:rPr>
          <w:rFonts w:hint="eastAsia"/>
          <w:sz w:val="30"/>
          <w:szCs w:val="30"/>
        </w:rPr>
        <w:t>合同的生效</w:t>
      </w:r>
      <w:bookmarkEnd w:id="143"/>
      <w:bookmarkEnd w:id="163"/>
      <w:bookmarkEnd w:id="164"/>
    </w:p>
    <w:p w14:paraId="007CE664"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w:t>
      </w:r>
      <w:r>
        <w:rPr>
          <w:rFonts w:asciiTheme="minorEastAsia" w:hAnsiTheme="minorEastAsia" w:cs="Arial"/>
          <w:sz w:val="24"/>
          <w:szCs w:val="24"/>
        </w:rPr>
        <w:t>2021年12月27</w:t>
      </w:r>
      <w:r>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529F3530" w14:textId="77777777" w:rsidR="004614AE" w:rsidRDefault="00000000" w:rsidP="00D3649B">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在当10个工作日内向中国证监会报告并提出解决方案，如持续运作、转换运作方式、与其他基金合并或者终止基金合同等，并在6个月内召集基金份额持有人大会。</w:t>
      </w:r>
    </w:p>
    <w:p w14:paraId="40C84862" w14:textId="77777777" w:rsidR="004614AE" w:rsidRDefault="00000000">
      <w:pPr>
        <w:widowControl/>
        <w:spacing w:line="360" w:lineRule="auto"/>
        <w:ind w:firstLineChars="200" w:firstLine="480"/>
        <w:jc w:val="left"/>
        <w:rPr>
          <w:rFonts w:ascii="Arial" w:eastAsia="宋体" w:hAnsi="Arial" w:cs="Times New Roman"/>
          <w:szCs w:val="20"/>
        </w:rPr>
        <w:sectPr w:rsidR="004614AE">
          <w:headerReference w:type="even" r:id="rId51"/>
          <w:headerReference w:type="default" r:id="rId52"/>
          <w:footerReference w:type="default" r:id="rId53"/>
          <w:headerReference w:type="first" r:id="rId54"/>
          <w:pgSz w:w="11906" w:h="16838"/>
          <w:pgMar w:top="1440" w:right="1800" w:bottom="1440" w:left="1800" w:header="851" w:footer="992" w:gutter="0"/>
          <w:pgNumType w:chapStyle="1"/>
          <w:cols w:space="720"/>
          <w:docGrid w:type="lines" w:linePitch="312"/>
        </w:sectPr>
      </w:pPr>
      <w:r>
        <w:rPr>
          <w:rFonts w:asciiTheme="minorEastAsia" w:hAnsiTheme="minorEastAsia" w:cs="Times New Roman" w:hint="eastAsia"/>
          <w:sz w:val="24"/>
          <w:szCs w:val="24"/>
        </w:rPr>
        <w:t xml:space="preserve">法律法规或中国证监会另有规定时，从其规定。 </w:t>
      </w:r>
      <w:bookmarkStart w:id="165" w:name="_Toc263092316"/>
      <w:bookmarkStart w:id="166" w:name="_Toc214873597"/>
      <w:bookmarkStart w:id="167" w:name="_Toc416264544"/>
      <w:bookmarkStart w:id="168" w:name="_Toc147463118"/>
      <w:bookmarkStart w:id="169" w:name="_Toc21073391"/>
      <w:bookmarkStart w:id="170" w:name="_Toc12357171"/>
      <w:bookmarkStart w:id="171" w:name="_Toc141703889"/>
      <w:bookmarkStart w:id="172" w:name="_Toc123112237"/>
      <w:bookmarkStart w:id="173" w:name="_Toc21735"/>
      <w:bookmarkStart w:id="174" w:name="_Toc725"/>
      <w:bookmarkStart w:id="175" w:name="_Toc352229755"/>
      <w:bookmarkStart w:id="176" w:name="_Toc3080"/>
      <w:bookmarkStart w:id="177" w:name="_Toc1745"/>
      <w:bookmarkStart w:id="178" w:name="_Toc3963"/>
      <w:bookmarkStart w:id="179" w:name="_Toc16164"/>
      <w:bookmarkStart w:id="180" w:name="_Toc31821"/>
      <w:bookmarkStart w:id="181" w:name="_Toc3572"/>
      <w:bookmarkStart w:id="182" w:name="_Toc123102456"/>
      <w:bookmarkStart w:id="183" w:name="_Toc18206"/>
      <w:bookmarkStart w:id="184" w:name="_Toc10398"/>
      <w:bookmarkStart w:id="185" w:name="_Toc123051455"/>
      <w:bookmarkStart w:id="186" w:name="_Toc98560355"/>
      <w:bookmarkStart w:id="187" w:name="_Toc139991739"/>
      <w:bookmarkStart w:id="188" w:name="_Toc1876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E8DA3A7" w14:textId="77777777" w:rsidR="004614AE" w:rsidRDefault="00000000">
      <w:pPr>
        <w:pStyle w:val="1"/>
        <w:jc w:val="center"/>
        <w:rPr>
          <w:rFonts w:ascii="Arial" w:hAnsi="Arial" w:cs="Arial"/>
          <w:bCs/>
          <w:sz w:val="30"/>
          <w:szCs w:val="30"/>
        </w:rPr>
      </w:pPr>
      <w:bookmarkStart w:id="189" w:name="_Toc68266295"/>
      <w:bookmarkStart w:id="190" w:name="_Toc119568464"/>
      <w:r>
        <w:rPr>
          <w:rFonts w:hint="eastAsia"/>
          <w:sz w:val="30"/>
          <w:szCs w:val="30"/>
        </w:rPr>
        <w:lastRenderedPageBreak/>
        <w:t>第八部分</w:t>
      </w:r>
      <w:r>
        <w:rPr>
          <w:sz w:val="30"/>
          <w:szCs w:val="30"/>
        </w:rPr>
        <w:t xml:space="preserve">  </w:t>
      </w:r>
      <w:r>
        <w:rPr>
          <w:rFonts w:hint="eastAsia"/>
          <w:sz w:val="30"/>
          <w:szCs w:val="30"/>
        </w:rPr>
        <w:t>基金份额的申购与赎回</w:t>
      </w:r>
      <w:bookmarkEnd w:id="165"/>
      <w:bookmarkEnd w:id="166"/>
      <w:bookmarkEnd w:id="167"/>
      <w:bookmarkEnd w:id="168"/>
      <w:bookmarkEnd w:id="169"/>
      <w:bookmarkEnd w:id="170"/>
      <w:bookmarkEnd w:id="189"/>
      <w:bookmarkEnd w:id="190"/>
    </w:p>
    <w:p w14:paraId="7ACC2584" w14:textId="77777777" w:rsidR="004614AE" w:rsidRDefault="00000000">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04C82FB8"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0EDB5594" w14:textId="77777777" w:rsidR="004614AE" w:rsidRDefault="00000000">
      <w:pPr>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0F6EB6EE"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1、开放日及开放时间</w:t>
      </w:r>
    </w:p>
    <w:p w14:paraId="256C89BA"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FEC6010"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3A2E2832"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17C8CC99"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w:t>
      </w:r>
      <w:r>
        <w:rPr>
          <w:rFonts w:asciiTheme="minorEastAsia" w:hAnsiTheme="minorEastAsia" w:cs="Arial"/>
          <w:sz w:val="24"/>
          <w:szCs w:val="24"/>
        </w:rPr>
        <w:t>2022年1月25日开始办理申购、赎回业务。</w:t>
      </w:r>
    </w:p>
    <w:p w14:paraId="0D5DD989"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asciiTheme="minorEastAsia" w:hAnsiTheme="minorEastAsia" w:cs="Arial" w:hint="eastAsia"/>
          <w:sz w:val="24"/>
          <w:szCs w:val="24"/>
        </w:rPr>
        <w:t>且登记</w:t>
      </w:r>
      <w:proofErr w:type="gramEnd"/>
      <w:r>
        <w:rPr>
          <w:rFonts w:asciiTheme="minorEastAsia" w:hAnsiTheme="minorEastAsia" w:cs="Arial" w:hint="eastAsia"/>
          <w:sz w:val="24"/>
          <w:szCs w:val="24"/>
        </w:rPr>
        <w:t>机构确认接受的，其基金份额申购、赎回价格为下一开放日该类基金份额申购、赎回的价格。</w:t>
      </w:r>
    </w:p>
    <w:p w14:paraId="646F08FA" w14:textId="77777777" w:rsidR="004614AE" w:rsidRDefault="00000000">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12B83F1B"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1、“未知价”原则，即申购、赎回价格以申请当日收市后计算的该类基金份额净值为基准进行计算；</w:t>
      </w:r>
    </w:p>
    <w:p w14:paraId="4159B1F2"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2、“金额申购、份额赎回”原则，即申购以金额申请，赎回以份额申请；</w:t>
      </w:r>
    </w:p>
    <w:p w14:paraId="290C612A"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3、当日的申购与赎回申请可以在基金管理人规定的时间以内撤销；</w:t>
      </w:r>
    </w:p>
    <w:p w14:paraId="5AF85056"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4、赎回遵循“先进先出”原则，即按照投资人认购、申购的先后次序进行顺序赎回；</w:t>
      </w:r>
    </w:p>
    <w:p w14:paraId="032EE968"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39BCFF6B"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基金管理人可在法律法规允许的情况下，对上述原则进行调整。基金管理人必须在新规则开始实施前依照《信息披露办法》的有关规定在规定媒介上公告。</w:t>
      </w:r>
    </w:p>
    <w:p w14:paraId="229F6E0A" w14:textId="77777777" w:rsidR="004614AE"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594D28A8"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1、申购和赎回的申请方式</w:t>
      </w:r>
    </w:p>
    <w:p w14:paraId="001DA9A0"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0D010485"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2、申购和赎回的款项支付</w:t>
      </w:r>
    </w:p>
    <w:p w14:paraId="7B1707EE"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在规定的时间内全额交付申购款项，投资人在规定的时间内全额交付申购款项，申购成立；基金份额登记机构确认基金份额时，申购生效。基金份额持有人递交赎回申请，赎回成立；基金份额登记机构确认赎回时，赎回生效。</w:t>
      </w:r>
    </w:p>
    <w:p w14:paraId="3D9824B8"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投资人T日赎回申请生效后，基金管理人将在T＋7日(包括该日)内支付赎回款项。在发生巨额赎回时或基金合同载明的延缓支付赎回款项的情形时，款项的支付办法参照基金合同有关条款处理。</w:t>
      </w:r>
    </w:p>
    <w:p w14:paraId="10C58DB9"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遇证券、期货交易所或交易市场数据传输延迟、通讯系统故障、银行数据交换系统故障或其它</w:t>
      </w:r>
      <w:proofErr w:type="gramStart"/>
      <w:r>
        <w:rPr>
          <w:rFonts w:asciiTheme="minorEastAsia" w:hAnsiTheme="minorEastAsia" w:cs="Arial" w:hint="eastAsia"/>
          <w:sz w:val="24"/>
          <w:szCs w:val="24"/>
        </w:rPr>
        <w:t>非基金</w:t>
      </w:r>
      <w:proofErr w:type="gramEnd"/>
      <w:r>
        <w:rPr>
          <w:rFonts w:asciiTheme="minorEastAsia" w:hAnsiTheme="minorEastAsia" w:cs="Arial" w:hint="eastAsia"/>
          <w:sz w:val="24"/>
          <w:szCs w:val="24"/>
        </w:rPr>
        <w:t>管理人及基金托管人所能控制的因素影响业务处理流程时，赎回款项顺延至前述影响因素消除的下一个工作日划出。</w:t>
      </w:r>
    </w:p>
    <w:p w14:paraId="05DAB4BF" w14:textId="77777777" w:rsidR="004614AE" w:rsidRDefault="00000000">
      <w:pPr>
        <w:spacing w:line="360" w:lineRule="auto"/>
        <w:ind w:firstLineChars="200" w:firstLine="480"/>
        <w:rPr>
          <w:bCs/>
          <w:sz w:val="24"/>
        </w:rPr>
      </w:pPr>
      <w:r>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3254C241"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3、申购和赎回申请的确认</w:t>
      </w:r>
    </w:p>
    <w:p w14:paraId="78ACFA4C"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14:paraId="1F0B28C7"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销售机构对申购、赎回申请的受理并不代表该申请一定成功，而仅代表销售机构确实接收到申购、赎回申请。申购、赎回申请的确认以基金份额登记机构的确认结果为准。对于申购、赎回申请的确认情况，投资人应及时查询并妥善行使合法权利。</w:t>
      </w:r>
    </w:p>
    <w:p w14:paraId="0A2814D1" w14:textId="77777777" w:rsidR="004614AE" w:rsidRDefault="00000000">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基金管理人可以在法律法规允许的范围内，依法对上述申购和赎回申请的确认时间进行调整，并必须在调整实施日前按照《信息披露办法》的有关规定在规定媒介上公告。</w:t>
      </w:r>
    </w:p>
    <w:p w14:paraId="3EB34415" w14:textId="77777777" w:rsidR="004614AE" w:rsidRDefault="00000000">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五、申购与赎回的数量限制</w:t>
      </w:r>
    </w:p>
    <w:p w14:paraId="7E47AF45"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p>
    <w:p w14:paraId="1F1BDB83"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0AC0E45E"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2505B155"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Theme="minorEastAsia" w:hAnsiTheme="minorEastAsia" w:cs="Arial" w:hint="eastAsia"/>
          <w:sz w:val="24"/>
          <w:szCs w:val="24"/>
        </w:rPr>
        <w:t>见基金</w:t>
      </w:r>
      <w:proofErr w:type="gramEnd"/>
      <w:r>
        <w:rPr>
          <w:rFonts w:asciiTheme="minorEastAsia" w:hAnsiTheme="minorEastAsia" w:cs="Arial" w:hint="eastAsia"/>
          <w:sz w:val="24"/>
          <w:szCs w:val="24"/>
        </w:rPr>
        <w:t>管理人相关公告。</w:t>
      </w:r>
    </w:p>
    <w:p w14:paraId="6670D2C8"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5、基金管理人可在法律法规允许的情况下，调整上述规定申购金额和赎回份额的数量限制。基金管理人必须在调整实施前依照《信息披露办法》的有关规定在规定媒介上公告。</w:t>
      </w:r>
    </w:p>
    <w:p w14:paraId="115338BF" w14:textId="77777777" w:rsidR="004614AE" w:rsidRDefault="00000000">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40B4B50E"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6F92A05E" w14:textId="77777777" w:rsidR="004614AE" w:rsidRDefault="00000000">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4614AE" w14:paraId="2FE2D592"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671F1E86" w14:textId="77777777" w:rsidR="004614AE" w:rsidRDefault="00000000">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4614AE" w14:paraId="0F6EAD0A"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2C28022E"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15E864C6"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4614AE" w14:paraId="45E15B65"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23F11973"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430" w:type="dxa"/>
            <w:tcBorders>
              <w:top w:val="single" w:sz="4" w:space="0" w:color="auto"/>
              <w:left w:val="single" w:sz="4" w:space="0" w:color="auto"/>
              <w:bottom w:val="single" w:sz="4" w:space="0" w:color="auto"/>
              <w:right w:val="single" w:sz="4" w:space="0" w:color="auto"/>
            </w:tcBorders>
          </w:tcPr>
          <w:p w14:paraId="736A08D2"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4614AE" w14:paraId="44D1AA50"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17C1C50"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100万元≤M＜300万元</w:t>
            </w:r>
          </w:p>
        </w:tc>
        <w:tc>
          <w:tcPr>
            <w:tcW w:w="4430" w:type="dxa"/>
            <w:tcBorders>
              <w:top w:val="single" w:sz="4" w:space="0" w:color="auto"/>
              <w:left w:val="single" w:sz="4" w:space="0" w:color="auto"/>
              <w:bottom w:val="single" w:sz="4" w:space="0" w:color="auto"/>
              <w:right w:val="single" w:sz="4" w:space="0" w:color="auto"/>
            </w:tcBorders>
          </w:tcPr>
          <w:p w14:paraId="4157151C"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4614AE" w14:paraId="442DAD5C"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3A7FA26B"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lastRenderedPageBreak/>
              <w:t>300万元≤M＜500万元</w:t>
            </w:r>
          </w:p>
        </w:tc>
        <w:tc>
          <w:tcPr>
            <w:tcW w:w="4430" w:type="dxa"/>
            <w:tcBorders>
              <w:top w:val="single" w:sz="4" w:space="0" w:color="auto"/>
              <w:left w:val="single" w:sz="4" w:space="0" w:color="auto"/>
              <w:bottom w:val="single" w:sz="4" w:space="0" w:color="auto"/>
              <w:right w:val="single" w:sz="4" w:space="0" w:color="auto"/>
            </w:tcBorders>
          </w:tcPr>
          <w:p w14:paraId="4D86B72A"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0.60%</w:t>
            </w:r>
          </w:p>
        </w:tc>
      </w:tr>
      <w:tr w:rsidR="004614AE" w14:paraId="388357FB"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276079DD"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M≥500万元</w:t>
            </w:r>
          </w:p>
        </w:tc>
        <w:tc>
          <w:tcPr>
            <w:tcW w:w="4430" w:type="dxa"/>
            <w:tcBorders>
              <w:top w:val="single" w:sz="4" w:space="0" w:color="auto"/>
              <w:left w:val="single" w:sz="4" w:space="0" w:color="auto"/>
              <w:bottom w:val="single" w:sz="4" w:space="0" w:color="auto"/>
              <w:right w:val="single" w:sz="4" w:space="0" w:color="auto"/>
            </w:tcBorders>
          </w:tcPr>
          <w:p w14:paraId="3B2FEC27" w14:textId="77777777" w:rsidR="004614AE" w:rsidRDefault="00000000">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4614AE" w14:paraId="35DDCA9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21D2FA6C" w14:textId="77777777" w:rsidR="004614AE" w:rsidRDefault="00000000">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4614AE" w14:paraId="796C95D8"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18B1D607" w14:textId="77777777" w:rsidR="004614AE" w:rsidRDefault="00000000">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55BD6E5D" w14:textId="77777777" w:rsidR="004614AE" w:rsidRDefault="004614AE">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5F3FB907" w14:textId="77777777" w:rsidR="004614AE" w:rsidRDefault="00000000">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本基金A类基金份额的申购费用由申购A类基金份额的投资人承担，不列入基金资产，用于基金的市场推广、销售、登记等各项费用。</w:t>
      </w:r>
      <w:r>
        <w:rPr>
          <w:rFonts w:asciiTheme="minorEastAsia" w:hAnsiTheme="minorEastAsia" w:cs="Arial" w:hint="eastAsia"/>
          <w:bCs/>
          <w:sz w:val="24"/>
          <w:szCs w:val="24"/>
        </w:rPr>
        <w:t>C 类基金份额不收取申购费用</w:t>
      </w:r>
      <w:r>
        <w:rPr>
          <w:rFonts w:asciiTheme="minorEastAsia" w:hAnsiTheme="minorEastAsia" w:cs="Arial"/>
          <w:bCs/>
          <w:sz w:val="24"/>
          <w:szCs w:val="24"/>
        </w:rPr>
        <w:t>。</w:t>
      </w:r>
    </w:p>
    <w:p w14:paraId="2AAA3A2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5F86BB1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4614AE" w14:paraId="03BCB148"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4EC567E2" w14:textId="77777777" w:rsidR="004614AE"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062F17DB" w14:textId="77777777" w:rsidR="004614AE"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57B2DC5D" w14:textId="77777777" w:rsidR="004614AE" w:rsidRDefault="00000000">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4614AE" w14:paraId="1E0A0AC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8E9D44B"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3D8249D7"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4A579C0A" w14:textId="77777777" w:rsidR="004614AE"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4614AE" w14:paraId="48F247AF"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24CDB73"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598B8C1D"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98B1D5C" w14:textId="77777777" w:rsidR="004614AE"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4614AE" w14:paraId="09AD4F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B4E8AE"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＜180日</w:t>
            </w:r>
          </w:p>
        </w:tc>
        <w:tc>
          <w:tcPr>
            <w:tcW w:w="2127" w:type="dxa"/>
            <w:tcBorders>
              <w:top w:val="single" w:sz="4" w:space="0" w:color="auto"/>
              <w:left w:val="single" w:sz="4" w:space="0" w:color="auto"/>
              <w:bottom w:val="single" w:sz="4" w:space="0" w:color="auto"/>
              <w:right w:val="single" w:sz="4" w:space="0" w:color="auto"/>
            </w:tcBorders>
          </w:tcPr>
          <w:p w14:paraId="644F2876"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4BD01B1F" w14:textId="77777777" w:rsidR="004614AE"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4614AE" w14:paraId="78CCAC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58CDCACA"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Y≥180日</w:t>
            </w:r>
          </w:p>
        </w:tc>
        <w:tc>
          <w:tcPr>
            <w:tcW w:w="2127" w:type="dxa"/>
            <w:tcBorders>
              <w:top w:val="single" w:sz="4" w:space="0" w:color="auto"/>
              <w:left w:val="single" w:sz="4" w:space="0" w:color="auto"/>
              <w:bottom w:val="single" w:sz="4" w:space="0" w:color="auto"/>
              <w:right w:val="single" w:sz="4" w:space="0" w:color="auto"/>
            </w:tcBorders>
          </w:tcPr>
          <w:p w14:paraId="69E98351" w14:textId="77777777" w:rsidR="004614AE" w:rsidRDefault="00000000">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3E5FB5C2" w14:textId="77777777" w:rsidR="004614AE" w:rsidRDefault="00000000">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5F050F64" w14:textId="77777777" w:rsidR="004614AE" w:rsidRDefault="004614AE">
      <w:pPr>
        <w:adjustRightInd w:val="0"/>
        <w:snapToGrid w:val="0"/>
        <w:spacing w:line="360" w:lineRule="auto"/>
        <w:rPr>
          <w:rFonts w:asciiTheme="minorEastAsia" w:hAnsiTheme="minorEastAsia" w:cs="Arial"/>
          <w:sz w:val="24"/>
          <w:szCs w:val="24"/>
        </w:rPr>
      </w:pPr>
    </w:p>
    <w:p w14:paraId="602C4B9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1E5BC42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注：1个月按30日计算，3个月按90日计算，以此类推）。</w:t>
      </w:r>
    </w:p>
    <w:p w14:paraId="4180FB2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、基金管理人可以在基金合同约定的范围内调整费率或收费方式，并最迟应于新的费率或收费方式实施日前依照《信息披露办法》的有关规定在规定媒介上公告。</w:t>
      </w:r>
    </w:p>
    <w:p w14:paraId="0C2F47EF" w14:textId="77777777" w:rsidR="004614AE" w:rsidRDefault="00000000">
      <w:pPr>
        <w:snapToGrid w:val="0"/>
        <w:spacing w:line="360" w:lineRule="auto"/>
        <w:ind w:firstLineChars="200" w:firstLine="480"/>
        <w:rPr>
          <w:rFonts w:asciiTheme="minorEastAsia" w:hAnsiTheme="minorEastAsia" w:cs="Arial"/>
          <w:bCs/>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Arial" w:hint="eastAsia"/>
          <w:bCs/>
          <w:sz w:val="24"/>
          <w:szCs w:val="24"/>
        </w:rPr>
        <w:t>基金管理人可以在不违背法律法规规定、基金合同约定及基金持有人利益的情况下根据市场情况制定基金促销计划，定期和不定期地开展基金促销活动。在</w:t>
      </w:r>
      <w:r>
        <w:rPr>
          <w:rFonts w:asciiTheme="minorEastAsia" w:hAnsiTheme="minorEastAsia" w:cs="Arial" w:hint="eastAsia"/>
          <w:bCs/>
          <w:sz w:val="24"/>
          <w:szCs w:val="24"/>
        </w:rPr>
        <w:lastRenderedPageBreak/>
        <w:t>基金促销活动期间，基金管理人可以按中国证监会要求履行必要手续后，对基金投资者适当调低基金销售费用。</w:t>
      </w:r>
    </w:p>
    <w:p w14:paraId="0CE7439D" w14:textId="77777777" w:rsidR="004614AE" w:rsidRDefault="00000000">
      <w:pPr>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1F19A2D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3588226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429C1079"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7830C9FF"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02C225E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6D343ED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085AD17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F227E4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95223B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2F2FC086"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55F9A74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6592228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3243A4E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681A288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4E91B17D"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4652D835"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733D544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12D603C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上述计算结果按照四舍五入方法，保留小数点后两位，由此产生的收益或损失由基金财产承担。</w:t>
      </w:r>
    </w:p>
    <w:p w14:paraId="375BABC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52D8E95F"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w:t>
      </w:r>
      <w:r>
        <w:rPr>
          <w:rFonts w:asciiTheme="minorEastAsia" w:hAnsiTheme="minorEastAsia" w:cs="Arial" w:hint="eastAsia"/>
          <w:sz w:val="24"/>
          <w:szCs w:val="24"/>
        </w:rPr>
        <w:t>000,000.00份</w:t>
      </w:r>
    </w:p>
    <w:p w14:paraId="667DCEA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w:t>
      </w:r>
      <w:r>
        <w:rPr>
          <w:rFonts w:asciiTheme="minorEastAsia" w:hAnsiTheme="minorEastAsia" w:cs="Arial" w:hint="eastAsia"/>
          <w:sz w:val="24"/>
          <w:szCs w:val="24"/>
        </w:rPr>
        <w:lastRenderedPageBreak/>
        <w:t>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w:t>
      </w:r>
      <w:r>
        <w:rPr>
          <w:rFonts w:asciiTheme="minorEastAsia" w:hAnsiTheme="minorEastAsia" w:cs="Arial" w:hint="eastAsia"/>
          <w:sz w:val="24"/>
          <w:szCs w:val="24"/>
        </w:rPr>
        <w:t>00,000.00份C类基金份额。</w:t>
      </w:r>
    </w:p>
    <w:p w14:paraId="036EDC0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 xml:space="preserve"> </w:t>
      </w:r>
      <w:r>
        <w:rPr>
          <w:rFonts w:asciiTheme="minorEastAsia" w:hAnsiTheme="minorEastAsia" w:cs="Arial" w:hint="eastAsia"/>
          <w:sz w:val="24"/>
          <w:szCs w:val="24"/>
        </w:rPr>
        <w:t>赎回金额的计算方式：</w:t>
      </w:r>
    </w:p>
    <w:p w14:paraId="4EFAD05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071708AD"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19B4866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3D93ED3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6EFF1BE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4BDD97F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0F1B2005"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1EA81205"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30C8181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75209A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7147E09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6D80EEA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0650742F"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5785D7C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44B31F84"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26CCF654" w14:textId="77777777" w:rsidR="004614AE" w:rsidRDefault="00000000">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lastRenderedPageBreak/>
        <w:t>八、申购与赎回的登记业务</w:t>
      </w:r>
    </w:p>
    <w:p w14:paraId="2012B32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086FD9A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45FE9B0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在规定媒介公告。</w:t>
      </w:r>
    </w:p>
    <w:p w14:paraId="538DA1C6" w14:textId="77777777" w:rsidR="004614AE" w:rsidRDefault="00000000">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7B84010B"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1228F43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1、因不可抗力导致基金无法正常运作。</w:t>
      </w:r>
    </w:p>
    <w:p w14:paraId="482DA72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2、发生基金合同规定的暂停基金资产估值情况时，基金管理人可暂停接受投资人的申购申请。</w:t>
      </w:r>
    </w:p>
    <w:p w14:paraId="1A71DCA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1D2AE4F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4、接受某笔或某些申购申请可能会影响或损害现有基金份额持有人利益时。</w:t>
      </w:r>
    </w:p>
    <w:p w14:paraId="119D7EB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6213F14C"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6、当特定资产占前一估值日基金资产净值50%以上的，经与基金托管人协商确认后，基金管理人应当暂停接受基金申购申请。</w:t>
      </w:r>
    </w:p>
    <w:p w14:paraId="321CEC3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1A9FD520"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00BFF4DC"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5F21534B"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10</w:t>
      </w:r>
      <w:r>
        <w:rPr>
          <w:rFonts w:asciiTheme="minorEastAsia" w:hAnsiTheme="minorEastAsia" w:cs="Arial" w:hint="eastAsia"/>
          <w:sz w:val="24"/>
          <w:szCs w:val="24"/>
        </w:rPr>
        <w:t>、法律法规规定或中国证监会认定的其他情形。</w:t>
      </w:r>
    </w:p>
    <w:p w14:paraId="1C85470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发生上述第1、2、3、5、6、8、</w:t>
      </w:r>
      <w:r>
        <w:rPr>
          <w:rFonts w:asciiTheme="minorEastAsia" w:hAnsiTheme="minorEastAsia" w:cs="Arial"/>
          <w:sz w:val="24"/>
          <w:szCs w:val="24"/>
        </w:rPr>
        <w:t>10</w:t>
      </w:r>
      <w:r>
        <w:rPr>
          <w:rFonts w:asciiTheme="minorEastAsia" w:hAnsiTheme="minorEastAsia" w:cs="Arial" w:hint="eastAsia"/>
          <w:sz w:val="24"/>
          <w:szCs w:val="24"/>
        </w:rPr>
        <w:t>项暂停申购情形之一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管理人决定暂停接受投资人的申购申请时，基金管理人应当根据有关规定在规定媒介上刊登暂停申购公告。如果投资人的申购申请被拒绝，被拒绝的申购款项本金将退还给投资人。</w:t>
      </w:r>
      <w:r>
        <w:rPr>
          <w:rFonts w:asciiTheme="minorEastAsia" w:hAnsiTheme="minorEastAsia" w:cs="Arial" w:hint="eastAsia"/>
          <w:sz w:val="24"/>
          <w:szCs w:val="24"/>
        </w:rPr>
        <w:lastRenderedPageBreak/>
        <w:t>在暂停申购的情况消除时，基金管理人应及时恢复申购业务的办理。</w:t>
      </w:r>
    </w:p>
    <w:p w14:paraId="4001BFBD" w14:textId="77777777" w:rsidR="004614AE" w:rsidRDefault="00000000">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w:t>
      </w:r>
    </w:p>
    <w:p w14:paraId="1E258F5A" w14:textId="77777777" w:rsidR="004614AE" w:rsidRDefault="00000000">
      <w:pPr>
        <w:widowControl/>
        <w:spacing w:line="360" w:lineRule="auto"/>
        <w:ind w:firstLineChars="200" w:firstLine="480"/>
        <w:jc w:val="left"/>
        <w:rPr>
          <w:rFonts w:asciiTheme="minorEastAsia" w:hAnsiTheme="minorEastAsia" w:cs="Arial"/>
          <w:sz w:val="24"/>
          <w:szCs w:val="24"/>
        </w:rPr>
      </w:pPr>
      <w:bookmarkStart w:id="191" w:name="_Toc416264545"/>
      <w:bookmarkStart w:id="192" w:name="_Toc352229756"/>
      <w:bookmarkStart w:id="193" w:name="_Toc29408"/>
      <w:bookmarkStart w:id="194" w:name="_Toc20976"/>
      <w:bookmarkStart w:id="195" w:name="_Toc123051456"/>
      <w:bookmarkStart w:id="196" w:name="_Toc17920"/>
      <w:bookmarkStart w:id="197" w:name="_Toc139991740"/>
      <w:bookmarkStart w:id="198" w:name="_Toc123102457"/>
      <w:bookmarkStart w:id="199" w:name="_Toc739"/>
      <w:bookmarkStart w:id="200" w:name="_Toc17198"/>
      <w:bookmarkStart w:id="201" w:name="_Toc32092"/>
      <w:bookmarkStart w:id="202" w:name="_Toc8791"/>
      <w:bookmarkStart w:id="203" w:name="_Toc79392622"/>
      <w:bookmarkStart w:id="204" w:name="_Toc32584"/>
      <w:bookmarkStart w:id="205" w:name="_Toc123112238"/>
      <w:bookmarkStart w:id="206" w:name="_Toc141703890"/>
      <w:bookmarkStart w:id="207" w:name="_Toc3329"/>
      <w:bookmarkStart w:id="208" w:name="_Toc98560356"/>
      <w:bookmarkStart w:id="209" w:name="_Toc5170"/>
      <w:bookmarkStart w:id="210" w:name="_Toc21237"/>
      <w:bookmarkStart w:id="211" w:name="_Toc4864970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Theme="minorEastAsia" w:hAnsiTheme="minorEastAsia" w:cs="Arial" w:hint="eastAsia"/>
          <w:sz w:val="24"/>
          <w:szCs w:val="24"/>
        </w:rPr>
        <w:t>发生下列情形时，基金管理人可暂停接受投资人的赎回申请或延缓支付赎回款项：</w:t>
      </w:r>
    </w:p>
    <w:p w14:paraId="21F9336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7036E497"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04EC68B3"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7C79479B"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53BD086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15F95F5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6、当特定资产占前一估值日基金资产净值50%以上的，经与基金托管人协商确认后，基金管理人应当延缓支付赎回款项或暂停接受基金赎回申请。</w:t>
      </w:r>
    </w:p>
    <w:p w14:paraId="1ACC7936"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3152BAD9"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w:t>
      </w:r>
      <w:proofErr w:type="gramStart"/>
      <w:r>
        <w:rPr>
          <w:rFonts w:asciiTheme="minorEastAsia" w:hAnsiTheme="minorEastAsia" w:cs="Arial" w:hint="eastAsia"/>
          <w:sz w:val="24"/>
          <w:szCs w:val="24"/>
        </w:rPr>
        <w:t>且基金</w:t>
      </w:r>
      <w:proofErr w:type="gramEnd"/>
      <w:r>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4DD6F371"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4A46235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7FC7CDD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2F31E677"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28631FD9"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7DC99FA5"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（1）全额赎回：当基金管理人认为有能力支付投资人的全部赎回申请时，按正常赎回程序执行。</w:t>
      </w:r>
    </w:p>
    <w:p w14:paraId="3AFE78A6" w14:textId="77777777" w:rsidR="004614AE" w:rsidRDefault="00000000">
      <w:pPr>
        <w:spacing w:line="360" w:lineRule="auto"/>
        <w:ind w:firstLineChars="200" w:firstLine="480"/>
        <w:rPr>
          <w:bCs/>
          <w:sz w:val="24"/>
        </w:rPr>
      </w:pPr>
      <w:r>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Theme="minorEastAsia" w:hAnsiTheme="minorEastAsia" w:cs="Arial" w:hint="eastAsia"/>
          <w:sz w:val="24"/>
          <w:szCs w:val="24"/>
        </w:rPr>
        <w:t>并以下</w:t>
      </w:r>
      <w:proofErr w:type="gramEnd"/>
      <w:r>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4F674DF2"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若本基金发生巨额赎回且在单个基金份额持有人超过上一日基金总份额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49262E5B"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58CD330C"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532C32F8"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并依照《信息披露办法》的有关规定在规定媒介上刊登公告。</w:t>
      </w:r>
    </w:p>
    <w:p w14:paraId="61AC253D"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241D8A80"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lastRenderedPageBreak/>
        <w:t>1、发生上述暂停申购或赎回情况的，基金管理人应在规定期限内在规定媒介上刊登暂停公告。</w:t>
      </w:r>
    </w:p>
    <w:p w14:paraId="1C571536"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2、如发生暂停的时间为1日，基金管理人应于重新开放日，在规定媒介上刊登基金重新开放申购或赎回公告，并公布最近1个开放日的各类基金份额净值。</w:t>
      </w:r>
    </w:p>
    <w:p w14:paraId="53D581B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 xml:space="preserve">3、如发生暂停的时间超过1 日，基金管理人应提前1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 xml:space="preserve">工作日在规定媒介刊登基金重新开放申购或赎回的公告，并在重新开始办理申购或赎回的开放日公告最近1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工作日的各类基金份额净值。</w:t>
      </w:r>
    </w:p>
    <w:p w14:paraId="40DF6104"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5499AE1E"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26B9A2AC"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十四、基金的</w:t>
      </w:r>
      <w:proofErr w:type="gramStart"/>
      <w:r>
        <w:rPr>
          <w:rFonts w:asciiTheme="minorEastAsia" w:hAnsiTheme="minorEastAsia" w:cs="Arial" w:hint="eastAsia"/>
          <w:b/>
          <w:sz w:val="24"/>
          <w:szCs w:val="24"/>
        </w:rPr>
        <w:t>非交易</w:t>
      </w:r>
      <w:proofErr w:type="gramEnd"/>
      <w:r>
        <w:rPr>
          <w:rFonts w:asciiTheme="minorEastAsia" w:hAnsiTheme="minorEastAsia" w:cs="Arial" w:hint="eastAsia"/>
          <w:b/>
          <w:sz w:val="24"/>
          <w:szCs w:val="24"/>
        </w:rPr>
        <w:t>过户</w:t>
      </w:r>
    </w:p>
    <w:p w14:paraId="3AA257EF"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过户是指基金登记机构受理继承、捐赠和司法强制执行等情形而产生的</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过户以及登记机构认可、符合法律法规的其它</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过户。无论在上述何种情况下，接受划转的主体必须是依法可以持有本</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份额的投资人。</w:t>
      </w:r>
    </w:p>
    <w:p w14:paraId="01142F30"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w:t>
      </w:r>
      <w:proofErr w:type="gramStart"/>
      <w:r>
        <w:rPr>
          <w:rFonts w:asciiTheme="minorEastAsia" w:hAnsiTheme="minorEastAsia" w:cs="Arial" w:hint="eastAsia"/>
          <w:sz w:val="24"/>
          <w:szCs w:val="24"/>
        </w:rPr>
        <w:t>捐赠指</w:t>
      </w:r>
      <w:proofErr w:type="gramEnd"/>
      <w:r>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Theme="minorEastAsia" w:hAnsiTheme="minorEastAsia" w:cs="Arial" w:hint="eastAsia"/>
          <w:sz w:val="24"/>
          <w:szCs w:val="24"/>
        </w:rPr>
        <w:t>非交易</w:t>
      </w:r>
      <w:proofErr w:type="gramEnd"/>
      <w:r>
        <w:rPr>
          <w:rFonts w:asciiTheme="minorEastAsia" w:hAnsiTheme="minorEastAsia" w:cs="Arial" w:hint="eastAsia"/>
          <w:sz w:val="24"/>
          <w:szCs w:val="24"/>
        </w:rPr>
        <w:t>过户必须提供基金登记机构要求提供的相关资料，对于符合条件的</w:t>
      </w:r>
      <w:proofErr w:type="gramStart"/>
      <w:r>
        <w:rPr>
          <w:rFonts w:asciiTheme="minorEastAsia" w:hAnsiTheme="minorEastAsia" w:cs="Arial" w:hint="eastAsia"/>
          <w:sz w:val="24"/>
          <w:szCs w:val="24"/>
        </w:rPr>
        <w:t>非交易过户申请按</w:t>
      </w:r>
      <w:proofErr w:type="gramEnd"/>
      <w:r>
        <w:rPr>
          <w:rFonts w:asciiTheme="minorEastAsia" w:hAnsiTheme="minorEastAsia" w:cs="Arial" w:hint="eastAsia"/>
          <w:sz w:val="24"/>
          <w:szCs w:val="24"/>
        </w:rPr>
        <w:t>基金登记机构的规定办理，并按基金登记机构规定的标准收费。</w:t>
      </w:r>
    </w:p>
    <w:p w14:paraId="7E630339"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十五、基金的转托管</w:t>
      </w:r>
    </w:p>
    <w:p w14:paraId="377FAA27"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37AF76B5"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十六、定期定额投资计划</w:t>
      </w:r>
    </w:p>
    <w:p w14:paraId="6169BDBE"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w:t>
      </w:r>
      <w:r>
        <w:rPr>
          <w:rFonts w:asciiTheme="minorEastAsia" w:hAnsiTheme="minorEastAsia" w:cs="Arial" w:hint="eastAsia"/>
          <w:sz w:val="24"/>
          <w:szCs w:val="24"/>
        </w:rPr>
        <w:lastRenderedPageBreak/>
        <w:t>必须不低于基金管理人在相关公告或更新的招募说明书中所规定的定期定额投资计划最低申购金额。</w:t>
      </w:r>
    </w:p>
    <w:p w14:paraId="30A10082"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十七、基金份额的冻结</w:t>
      </w:r>
      <w:r>
        <w:rPr>
          <w:rFonts w:asciiTheme="minorEastAsia" w:hAnsiTheme="minorEastAsia" w:cs="Arial"/>
          <w:b/>
          <w:sz w:val="24"/>
          <w:szCs w:val="24"/>
        </w:rPr>
        <w:t>、</w:t>
      </w:r>
      <w:r>
        <w:rPr>
          <w:rFonts w:asciiTheme="minorEastAsia" w:hAnsiTheme="minorEastAsia" w:cs="Arial" w:hint="eastAsia"/>
          <w:b/>
          <w:sz w:val="24"/>
          <w:szCs w:val="24"/>
        </w:rPr>
        <w:t>解冻和质押</w:t>
      </w:r>
    </w:p>
    <w:p w14:paraId="2B9D56F1" w14:textId="77777777" w:rsidR="004614AE" w:rsidRDefault="00000000">
      <w:pPr>
        <w:spacing w:line="360" w:lineRule="auto"/>
        <w:ind w:firstLineChars="200" w:firstLine="480"/>
        <w:rPr>
          <w:bCs/>
          <w:sz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基金份额被冻结的，被冻结部分产生的权益一并冻结，被冻结部分份额仍然参与收益分配。法律法规或监管部门另有规定的除外。</w:t>
      </w:r>
    </w:p>
    <w:p w14:paraId="4E1D1B9D" w14:textId="77777777" w:rsidR="004614AE" w:rsidRDefault="00000000">
      <w:pPr>
        <w:spacing w:line="360" w:lineRule="auto"/>
        <w:ind w:firstLineChars="200" w:firstLine="480"/>
        <w:rPr>
          <w:bCs/>
          <w:sz w:val="24"/>
        </w:rPr>
      </w:pPr>
      <w:r>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4DB93B7D"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十八、基金份额的转让</w:t>
      </w:r>
    </w:p>
    <w:p w14:paraId="562C0200"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7155A0CD" w14:textId="77777777" w:rsidR="004614AE" w:rsidRDefault="00000000">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十九、实施</w:t>
      </w:r>
      <w:proofErr w:type="gramStart"/>
      <w:r>
        <w:rPr>
          <w:rFonts w:asciiTheme="minorEastAsia" w:hAnsiTheme="minorEastAsia" w:cs="Arial" w:hint="eastAsia"/>
          <w:b/>
          <w:sz w:val="24"/>
          <w:szCs w:val="24"/>
        </w:rPr>
        <w:t>侧袋机制</w:t>
      </w:r>
      <w:proofErr w:type="gramEnd"/>
      <w:r>
        <w:rPr>
          <w:rFonts w:asciiTheme="minorEastAsia" w:hAnsiTheme="minorEastAsia" w:cs="Arial" w:hint="eastAsia"/>
          <w:b/>
          <w:sz w:val="24"/>
          <w:szCs w:val="24"/>
        </w:rPr>
        <w:t>期间本基金的申购与赎回</w:t>
      </w:r>
    </w:p>
    <w:p w14:paraId="7D06BA67" w14:textId="77777777" w:rsidR="004614AE" w:rsidRDefault="00000000">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本基金实施</w:t>
      </w:r>
      <w:proofErr w:type="gramStart"/>
      <w:r>
        <w:rPr>
          <w:rFonts w:asciiTheme="minorEastAsia" w:hAnsiTheme="minorEastAsia" w:cs="Arial" w:hint="eastAsia"/>
          <w:sz w:val="24"/>
          <w:szCs w:val="24"/>
        </w:rPr>
        <w:t>侧袋机制</w:t>
      </w:r>
      <w:proofErr w:type="gramEnd"/>
      <w:r>
        <w:rPr>
          <w:rFonts w:asciiTheme="minorEastAsia" w:hAnsiTheme="minorEastAsia" w:cs="Arial" w:hint="eastAsia"/>
          <w:sz w:val="24"/>
          <w:szCs w:val="24"/>
        </w:rPr>
        <w:t>的，本基金的申购和赎回安排详见招募说明书“侧袋机制</w:t>
      </w:r>
      <w:r>
        <w:rPr>
          <w:rFonts w:asciiTheme="minorEastAsia" w:hAnsiTheme="minorEastAsia" w:cs="Arial"/>
          <w:sz w:val="24"/>
          <w:szCs w:val="24"/>
        </w:rPr>
        <w:t>”</w:t>
      </w:r>
      <w:r>
        <w:rPr>
          <w:rFonts w:asciiTheme="minorEastAsia" w:hAnsiTheme="minorEastAsia" w:cs="Arial" w:hint="eastAsia"/>
          <w:sz w:val="24"/>
          <w:szCs w:val="24"/>
        </w:rPr>
        <w:t>部分的规定或相关公告。</w:t>
      </w:r>
    </w:p>
    <w:p w14:paraId="0629EAD9" w14:textId="77777777" w:rsidR="004614AE" w:rsidRDefault="00000000">
      <w:pPr>
        <w:widowControl/>
        <w:jc w:val="left"/>
        <w:rPr>
          <w:rFonts w:asciiTheme="minorEastAsia" w:hAnsiTheme="minorEastAsia" w:cs="Arial"/>
          <w:sz w:val="24"/>
          <w:szCs w:val="24"/>
        </w:rPr>
      </w:pPr>
      <w:r>
        <w:rPr>
          <w:rFonts w:asciiTheme="minorEastAsia" w:hAnsiTheme="minorEastAsia" w:cs="Arial"/>
          <w:sz w:val="24"/>
          <w:szCs w:val="24"/>
        </w:rPr>
        <w:br w:type="page"/>
      </w:r>
    </w:p>
    <w:p w14:paraId="112329D4" w14:textId="77777777" w:rsidR="004614AE" w:rsidRDefault="00000000">
      <w:pPr>
        <w:pStyle w:val="1"/>
        <w:jc w:val="center"/>
        <w:rPr>
          <w:sz w:val="30"/>
          <w:szCs w:val="30"/>
        </w:rPr>
      </w:pPr>
      <w:bookmarkStart w:id="212" w:name="_Toc68266296"/>
      <w:bookmarkStart w:id="213" w:name="_Toc119568465"/>
      <w:r>
        <w:rPr>
          <w:rFonts w:hint="eastAsia"/>
          <w:sz w:val="30"/>
          <w:szCs w:val="30"/>
        </w:rPr>
        <w:lastRenderedPageBreak/>
        <w:t>第九部分</w:t>
      </w:r>
      <w:r>
        <w:rPr>
          <w:sz w:val="30"/>
          <w:szCs w:val="30"/>
        </w:rPr>
        <w:t xml:space="preserve">  </w:t>
      </w:r>
      <w:r>
        <w:rPr>
          <w:rFonts w:hint="eastAsia"/>
          <w:sz w:val="30"/>
          <w:szCs w:val="30"/>
        </w:rPr>
        <w:t>基金的投资</w:t>
      </w:r>
      <w:bookmarkEnd w:id="191"/>
      <w:bookmarkEnd w:id="212"/>
      <w:bookmarkEnd w:id="213"/>
    </w:p>
    <w:p w14:paraId="0D0856D4"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13F7A7F5"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1EF32A89"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71B39D0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、超短期融资</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129B74B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本基金将根据法律法规的规定参与融资业务。</w:t>
      </w:r>
    </w:p>
    <w:p w14:paraId="70D9C821"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6DDF7B8B"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31937085"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00505CE3"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 xml:space="preserve">三、投资策略 </w:t>
      </w:r>
    </w:p>
    <w:p w14:paraId="26081748"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1、大类资产配置</w:t>
      </w:r>
    </w:p>
    <w:p w14:paraId="1F71DC15"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本基金在资产配置上采取相对稳健的策略，采取“自上而下”的方式进行大类资产配置，根据对宏观经济、市场面、政策面等因素进行定量与定性相结合的分析</w:t>
      </w:r>
      <w:r>
        <w:rPr>
          <w:rFonts w:asciiTheme="minorEastAsia" w:hAnsiTheme="minorEastAsia" w:cs="Times New Roman" w:hint="eastAsia"/>
          <w:bCs/>
          <w:sz w:val="24"/>
          <w:szCs w:val="24"/>
        </w:rPr>
        <w:lastRenderedPageBreak/>
        <w:t>研究，根据各类资产不同的预期风险收益比来确定组合中股票、债券、货币市场工具及其他金融工具的比例。</w:t>
      </w:r>
    </w:p>
    <w:p w14:paraId="6E14D8F5"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2、股票投资策略</w:t>
      </w:r>
    </w:p>
    <w:p w14:paraId="30D42C36"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（1）行业配置策略</w:t>
      </w:r>
    </w:p>
    <w:p w14:paraId="56B0DB2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59D512BB"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1）行业景气度</w:t>
      </w:r>
    </w:p>
    <w:p w14:paraId="5E3C716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本基金将密切关注国家相关产业政策、规划动态，并结合行业数据持续跟踪、上下游产业</w:t>
      </w:r>
      <w:proofErr w:type="gramStart"/>
      <w:r>
        <w:rPr>
          <w:rFonts w:asciiTheme="minorEastAsia" w:hAnsiTheme="minorEastAsia" w:cs="Times New Roman" w:hint="eastAsia"/>
          <w:bCs/>
          <w:sz w:val="24"/>
          <w:szCs w:val="24"/>
        </w:rPr>
        <w:t>链深入</w:t>
      </w:r>
      <w:proofErr w:type="gramEnd"/>
      <w:r>
        <w:rPr>
          <w:rFonts w:asciiTheme="minorEastAsia" w:hAnsiTheme="minorEastAsia" w:cs="Times New Roman" w:hint="eastAsia"/>
          <w:bCs/>
          <w:sz w:val="24"/>
          <w:szCs w:val="24"/>
        </w:rPr>
        <w:t>进行调研等方法，根据相关行业盈利水平的横向与纵向比较，适时对各行业景气度周期与行业未来盈利趋势进行</w:t>
      </w:r>
      <w:proofErr w:type="gramStart"/>
      <w:r>
        <w:rPr>
          <w:rFonts w:asciiTheme="minorEastAsia" w:hAnsiTheme="minorEastAsia" w:cs="Times New Roman" w:hint="eastAsia"/>
          <w:bCs/>
          <w:sz w:val="24"/>
          <w:szCs w:val="24"/>
        </w:rPr>
        <w:t>研</w:t>
      </w:r>
      <w:proofErr w:type="gramEnd"/>
      <w:r>
        <w:rPr>
          <w:rFonts w:asciiTheme="minorEastAsia" w:hAnsiTheme="minorEastAsia" w:cs="Times New Roman" w:hint="eastAsia"/>
          <w:bCs/>
          <w:sz w:val="24"/>
          <w:szCs w:val="24"/>
        </w:rPr>
        <w:t>判，重点投资于景气度较高且具有可持续性的行业。</w:t>
      </w:r>
    </w:p>
    <w:p w14:paraId="4FD7D56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2）行业竞争格局</w:t>
      </w:r>
    </w:p>
    <w:p w14:paraId="2622F82F"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2697F127"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（2）个股投资策略</w:t>
      </w:r>
    </w:p>
    <w:p w14:paraId="2E0B22F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7C49F1C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首先根据定量指标进行初选，主要依据盈利能力（净资产收益率、销售毛利率、销售净利率、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3BCCCC56"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①公司主营业务收入在未来一段时间的变化趋势，例如主营业务收入增速超越所在行业平均增速；</w:t>
      </w:r>
    </w:p>
    <w:p w14:paraId="3AC7DAE1"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②公司扣除非经常性损益后的净利润在未来一段时间的变化趋势，例如</w:t>
      </w:r>
      <w:proofErr w:type="gramStart"/>
      <w:r>
        <w:rPr>
          <w:rFonts w:asciiTheme="minorEastAsia" w:hAnsiTheme="minorEastAsia" w:cs="Times New Roman" w:hint="eastAsia"/>
          <w:bCs/>
          <w:sz w:val="24"/>
          <w:szCs w:val="24"/>
        </w:rPr>
        <w:t>扣非净</w:t>
      </w:r>
      <w:proofErr w:type="gramEnd"/>
      <w:r>
        <w:rPr>
          <w:rFonts w:asciiTheme="minorEastAsia" w:hAnsiTheme="minorEastAsia" w:cs="Times New Roman" w:hint="eastAsia"/>
          <w:bCs/>
          <w:sz w:val="24"/>
          <w:szCs w:val="24"/>
        </w:rPr>
        <w:t>利润增速超越所在行业平均增速；</w:t>
      </w:r>
    </w:p>
    <w:p w14:paraId="2024C93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③公司盈利能力在未来一段时间的变化趋势，例如盈利能力位于行业所在排名</w:t>
      </w:r>
      <w:r>
        <w:rPr>
          <w:rFonts w:asciiTheme="minorEastAsia" w:hAnsiTheme="minorEastAsia" w:cs="Times New Roman" w:hint="eastAsia"/>
          <w:bCs/>
          <w:sz w:val="24"/>
          <w:szCs w:val="24"/>
        </w:rPr>
        <w:lastRenderedPageBreak/>
        <w:t>前50%，盈利能力定量指标包括净资产收益率（ROE），投资资本回报（ROIC）等。</w:t>
      </w:r>
    </w:p>
    <w:p w14:paraId="3E476CBD"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552365E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4A082CB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36A79F3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3、存托凭证投资策略</w:t>
      </w:r>
    </w:p>
    <w:p w14:paraId="57934F01" w14:textId="77777777" w:rsidR="004614AE" w:rsidRDefault="00000000">
      <w:pPr>
        <w:spacing w:line="360" w:lineRule="auto"/>
        <w:ind w:firstLineChars="200" w:firstLine="480"/>
        <w:rPr>
          <w:bCs/>
          <w:sz w:val="24"/>
        </w:rPr>
      </w:pPr>
      <w:r>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494AAD48"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4、债券投资策略</w:t>
      </w:r>
    </w:p>
    <w:p w14:paraId="50E68DC7"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（1）资产配置策略</w:t>
      </w:r>
    </w:p>
    <w:p w14:paraId="37D9F757"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3FF29B9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（2）利率类品种投资策略</w:t>
      </w:r>
    </w:p>
    <w:p w14:paraId="5948120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3CE7668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（3）信用债投资策略</w:t>
      </w:r>
    </w:p>
    <w:p w14:paraId="14557C2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w:t>
      </w:r>
      <w:r>
        <w:rPr>
          <w:rFonts w:asciiTheme="minorEastAsia" w:hAnsiTheme="minorEastAsia" w:cs="Times New Roman" w:hint="eastAsia"/>
          <w:bCs/>
          <w:sz w:val="24"/>
          <w:szCs w:val="24"/>
        </w:rPr>
        <w:lastRenderedPageBreak/>
        <w:t>对债券进行信用评级。在此基础上，建立信用类债券池，积极发掘信用利差具有相对投资机会的</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进行投资。</w:t>
      </w:r>
    </w:p>
    <w:p w14:paraId="2E878FBF"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（4）可转换债券投资策略</w:t>
      </w:r>
    </w:p>
    <w:p w14:paraId="21A26E1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条款和发行债券公司基本面进行深入分析研究的基础上，综合考虑可转换债券</w:t>
      </w:r>
      <w:proofErr w:type="gramStart"/>
      <w:r>
        <w:rPr>
          <w:rFonts w:asciiTheme="minorEastAsia" w:hAnsiTheme="minorEastAsia" w:cs="Times New Roman" w:hint="eastAsia"/>
          <w:bCs/>
          <w:sz w:val="24"/>
          <w:szCs w:val="24"/>
        </w:rPr>
        <w:t>的债性和</w:t>
      </w:r>
      <w:proofErr w:type="gramEnd"/>
      <w:r>
        <w:rPr>
          <w:rFonts w:asciiTheme="minorEastAsia" w:hAnsiTheme="minorEastAsia" w:cs="Times New Roman" w:hint="eastAsia"/>
          <w:bCs/>
          <w:sz w:val="24"/>
          <w:szCs w:val="24"/>
        </w:rPr>
        <w:t>股性，利用可转换公司债</w:t>
      </w:r>
      <w:proofErr w:type="gramStart"/>
      <w:r>
        <w:rPr>
          <w:rFonts w:asciiTheme="minorEastAsia" w:hAnsiTheme="minorEastAsia" w:cs="Times New Roman" w:hint="eastAsia"/>
          <w:bCs/>
          <w:sz w:val="24"/>
          <w:szCs w:val="24"/>
        </w:rPr>
        <w:t>券</w:t>
      </w:r>
      <w:proofErr w:type="gramEnd"/>
      <w:r>
        <w:rPr>
          <w:rFonts w:asciiTheme="minorEastAsia" w:hAnsiTheme="minorEastAsia" w:cs="Times New Roman" w:hint="eastAsia"/>
          <w:bCs/>
          <w:sz w:val="24"/>
          <w:szCs w:val="24"/>
        </w:rPr>
        <w:t>定价模型进行估值分析，并最终选择合适的投资品种。</w:t>
      </w:r>
    </w:p>
    <w:p w14:paraId="6F669B8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5、资产支持证券投资策略</w:t>
      </w:r>
    </w:p>
    <w:p w14:paraId="4E68AFAE"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本基金投资资产支持证券将综合</w:t>
      </w:r>
      <w:proofErr w:type="gramStart"/>
      <w:r>
        <w:rPr>
          <w:rFonts w:asciiTheme="minorEastAsia" w:hAnsiTheme="minorEastAsia" w:cs="Times New Roman" w:hint="eastAsia"/>
          <w:bCs/>
          <w:sz w:val="24"/>
          <w:szCs w:val="24"/>
        </w:rPr>
        <w:t>运用久期管理</w:t>
      </w:r>
      <w:proofErr w:type="gramEnd"/>
      <w:r>
        <w:rPr>
          <w:rFonts w:asciiTheme="minorEastAsia" w:hAnsiTheme="minorEastAsia" w:cs="Times New Roman" w:hint="eastAsia"/>
          <w:bCs/>
          <w:sz w:val="24"/>
          <w:szCs w:val="24"/>
        </w:rPr>
        <w:t>、收益率曲线、</w:t>
      </w:r>
      <w:proofErr w:type="gramStart"/>
      <w:r>
        <w:rPr>
          <w:rFonts w:asciiTheme="minorEastAsia" w:hAnsiTheme="minorEastAsia" w:cs="Times New Roman" w:hint="eastAsia"/>
          <w:bCs/>
          <w:sz w:val="24"/>
          <w:szCs w:val="24"/>
        </w:rPr>
        <w:t>个券</w:t>
      </w:r>
      <w:proofErr w:type="gramEnd"/>
      <w:r>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21287DF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策略</w:t>
      </w:r>
    </w:p>
    <w:p w14:paraId="2974C80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本基金的衍生</w:t>
      </w:r>
      <w:proofErr w:type="gramStart"/>
      <w:r>
        <w:rPr>
          <w:rFonts w:asciiTheme="minorEastAsia" w:hAnsiTheme="minorEastAsia" w:cs="Times New Roman" w:hint="eastAsia"/>
          <w:bCs/>
          <w:sz w:val="24"/>
          <w:szCs w:val="24"/>
        </w:rPr>
        <w:t>品投资</w:t>
      </w:r>
      <w:proofErr w:type="gramEnd"/>
      <w:r>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Pr>
          <w:rFonts w:asciiTheme="minorEastAsia" w:hAnsiTheme="minorEastAsia" w:cs="Times New Roman" w:hint="eastAsia"/>
          <w:bCs/>
          <w:sz w:val="24"/>
          <w:szCs w:val="24"/>
        </w:rPr>
        <w:t>或调仓过程</w:t>
      </w:r>
      <w:proofErr w:type="gramEnd"/>
      <w:r>
        <w:rPr>
          <w:rFonts w:asciiTheme="minorEastAsia" w:hAnsiTheme="minorEastAsia" w:cs="Times New Roman" w:hint="eastAsia"/>
          <w:bCs/>
          <w:sz w:val="24"/>
          <w:szCs w:val="24"/>
        </w:rPr>
        <w:t>中的冲击成本等。</w:t>
      </w:r>
    </w:p>
    <w:p w14:paraId="002A1B26"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（1）股指期货投资策略</w:t>
      </w:r>
    </w:p>
    <w:p w14:paraId="6A601E2D"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47285F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388ACA0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（2）国债期货投资策略</w:t>
      </w:r>
    </w:p>
    <w:p w14:paraId="3F75FC5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w:t>
      </w:r>
      <w:r>
        <w:rPr>
          <w:rFonts w:asciiTheme="minorEastAsia" w:hAnsiTheme="minorEastAsia" w:cs="Times New Roman" w:hint="eastAsia"/>
          <w:bCs/>
          <w:sz w:val="24"/>
          <w:szCs w:val="24"/>
        </w:rPr>
        <w:lastRenderedPageBreak/>
        <w:t>系统性风险，改善组合的风险收益特性。</w:t>
      </w:r>
    </w:p>
    <w:p w14:paraId="2C5F32A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5B264931"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（3）股票期权投资策略</w:t>
      </w:r>
    </w:p>
    <w:p w14:paraId="66D2BC8F"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3D98990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基金管理人将针对股票期权交易制订严格的授权管理制度和投资决策流程，确保投资、</w:t>
      </w:r>
      <w:proofErr w:type="gramStart"/>
      <w:r>
        <w:rPr>
          <w:rFonts w:asciiTheme="minorEastAsia" w:hAnsiTheme="minorEastAsia" w:cs="Times New Roman" w:hint="eastAsia"/>
          <w:bCs/>
          <w:sz w:val="24"/>
          <w:szCs w:val="24"/>
        </w:rPr>
        <w:t>风控等</w:t>
      </w:r>
      <w:proofErr w:type="gramEnd"/>
      <w:r>
        <w:rPr>
          <w:rFonts w:asciiTheme="minorEastAsia" w:hAnsiTheme="minorEastAsia" w:cs="Times New Roman" w:hint="eastAsia"/>
          <w:bCs/>
          <w:sz w:val="24"/>
          <w:szCs w:val="24"/>
        </w:rPr>
        <w:t>核心岗位人员具备股票期权业务知识和相应的专业能力，严格防范股票期权投资的风险。</w:t>
      </w:r>
    </w:p>
    <w:p w14:paraId="2233B501"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7、参与融资业务投资策略</w:t>
      </w:r>
    </w:p>
    <w:p w14:paraId="34B3ACD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6BF9DCBD"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四、投资限制</w:t>
      </w:r>
    </w:p>
    <w:p w14:paraId="6B96207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79676A8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0F6F01B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（1）股票资产占基金资产的比例为60%-95%；</w:t>
      </w:r>
    </w:p>
    <w:p w14:paraId="30A2356E"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9E89646"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4AD9E90D"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24CE679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（5）本基金投资于同一原始权益人的各类资产支持证券的比例，不得超过基金资产净值的10%；</w:t>
      </w:r>
    </w:p>
    <w:p w14:paraId="1D69243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（6）本基金持有的全部资产支持证券，其市值不得超过基金资产净值的20%；</w:t>
      </w:r>
    </w:p>
    <w:p w14:paraId="659E037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（7）本基金持有的同一(指同一信用级别)资产支持证券的比例，不得超过该</w:t>
      </w:r>
      <w:r>
        <w:rPr>
          <w:rFonts w:asciiTheme="minorEastAsia" w:hAnsiTheme="minorEastAsia" w:cs="Times New Roman" w:hint="eastAsia"/>
          <w:bCs/>
          <w:sz w:val="24"/>
          <w:szCs w:val="24"/>
        </w:rPr>
        <w:lastRenderedPageBreak/>
        <w:t>资产支持证券规模的10%；</w:t>
      </w:r>
    </w:p>
    <w:p w14:paraId="79F84871"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4500112F"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EA014E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4E4F0A8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4952EB3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（12）本基金参与股指期货、国债期货交易依据下列标准建构组合：</w:t>
      </w:r>
    </w:p>
    <w:p w14:paraId="0D16ED4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399BB7F"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7BBAD6E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49D2EE46"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C0BE09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EB4406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（13）本基金投资流通受限证券，基金管理人应事先根据中国证监会相关规定，在首次投资前与基金托管人签订风险控制补充协议，并明确基金投资流通受限证券的比例，根据比例进行投资；</w:t>
      </w:r>
    </w:p>
    <w:p w14:paraId="541660D7"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（14）基金资产总值不得超过基金资产净值的140%；</w:t>
      </w:r>
    </w:p>
    <w:p w14:paraId="798DFA4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6C6B43B"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（16）本基金主动投资于流动性受限资产的市值合计不得超过基金资产净值的15%；</w:t>
      </w:r>
    </w:p>
    <w:p w14:paraId="1FFD17D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B87ABB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（17）本基金与私募类</w:t>
      </w:r>
      <w:proofErr w:type="gramStart"/>
      <w:r>
        <w:rPr>
          <w:rFonts w:asciiTheme="minorEastAsia" w:hAnsiTheme="minorEastAsia" w:cs="Times New Roman" w:hint="eastAsia"/>
          <w:bCs/>
          <w:sz w:val="24"/>
          <w:szCs w:val="24"/>
        </w:rPr>
        <w:t>证券资管产品</w:t>
      </w:r>
      <w:proofErr w:type="gramEnd"/>
      <w:r>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2ED2FF1E"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（18）本基金参与股票期权交易的，需遵守下列投资比例限制：</w:t>
      </w:r>
    </w:p>
    <w:p w14:paraId="6F91FCD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4E9E716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2F70F1B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1AF56135"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19</w:t>
      </w:r>
      <w:r>
        <w:rPr>
          <w:rFonts w:asciiTheme="minorEastAsia" w:hAnsiTheme="minorEastAsia" w:cs="Times New Roman" w:hint="eastAsia"/>
          <w:bCs/>
          <w:sz w:val="24"/>
          <w:szCs w:val="24"/>
        </w:rPr>
        <w:t>）本基金投资存托凭证的比例限制依照境内上市交易的股票执行，与境内上市交易的股票合并计算；</w:t>
      </w:r>
    </w:p>
    <w:p w14:paraId="529EE76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20</w:t>
      </w:r>
      <w:r>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）本基金参与融资的，每个交易日日终，本基金持有的融资买入股票与其他有价证券市值之和，不得超过基金资产净值的95%；</w:t>
      </w:r>
    </w:p>
    <w:p w14:paraId="35210AC7"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21</w:t>
      </w:r>
      <w:r>
        <w:rPr>
          <w:rFonts w:asciiTheme="minorEastAsia" w:hAnsiTheme="minorEastAsia" w:cs="Times New Roman" w:hint="eastAsia"/>
          <w:bCs/>
          <w:sz w:val="24"/>
          <w:szCs w:val="24"/>
        </w:rPr>
        <w:t>）法律法规及中国证监会规定的和《基金合同》约定的其他投资限制。</w:t>
      </w:r>
    </w:p>
    <w:p w14:paraId="4FA7476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除上述第（2）、（9）、（13）、（16）、（17）项另有约定外，因证券、期货市场波</w:t>
      </w:r>
      <w:r>
        <w:rPr>
          <w:rFonts w:asciiTheme="minorEastAsia" w:hAnsiTheme="minorEastAsia" w:cs="Times New Roman" w:hint="eastAsia"/>
          <w:bCs/>
          <w:sz w:val="24"/>
          <w:szCs w:val="24"/>
        </w:rPr>
        <w:lastRenderedPageBreak/>
        <w:t>动、证券发行人合并、基金规模变动等基金管理人之外的因素致使基金投资比例不符合上述规定投资比例的，基金管理人应当在10个交易日内进行调整，但中国证监会规定的特殊情形除外。</w:t>
      </w:r>
    </w:p>
    <w:p w14:paraId="5F6A8BA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157CC56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6EAE200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290F0F3F"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41C8BCF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4D069B8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1189B30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6AA51E3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5B849FD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（5）向基金管理人、基金托管人出资；</w:t>
      </w:r>
    </w:p>
    <w:p w14:paraId="09F59524"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2D672DDE"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6A57626E"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5680C6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73B16BBD"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787F301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1、业绩比较基准</w:t>
      </w:r>
    </w:p>
    <w:p w14:paraId="4263C023"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指数收益率×30%</w:t>
      </w:r>
    </w:p>
    <w:p w14:paraId="07CECEF8"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2、选择业绩比较基准的理由</w:t>
      </w:r>
    </w:p>
    <w:p w14:paraId="23E6A1D0"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沪深300指数是由中证指数有限公司开发的中国 A 股市场指数，由上海和深圳证券市场中市值大、流动性好的300只股票组成，综合反映中国A股市场上市股票价格的整体表现。</w:t>
      </w:r>
    </w:p>
    <w:p w14:paraId="61DA785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15484C6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w:t>
      </w:r>
      <w:r>
        <w:rPr>
          <w:rFonts w:hint="eastAsia"/>
          <w:bCs/>
          <w:sz w:val="24"/>
        </w:rPr>
        <w:t>或指数编制单位停止编制该指数或更改指数名称，</w:t>
      </w:r>
      <w:r>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11A88D66"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0A45447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1E5F7A58"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七、基金管理人代表基金行使股东或债权人权利的处理原则及方法</w:t>
      </w:r>
    </w:p>
    <w:p w14:paraId="4FE54CE5"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2AC3DF9C"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2、不谋求对上市公司的控股； </w:t>
      </w:r>
    </w:p>
    <w:p w14:paraId="37662529"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 xml:space="preserve">3、有利于基金财产的安全与增值； </w:t>
      </w:r>
    </w:p>
    <w:p w14:paraId="64AC664A"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44DD2144"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八、</w:t>
      </w:r>
      <w:proofErr w:type="gramStart"/>
      <w:r>
        <w:rPr>
          <w:rFonts w:asciiTheme="minorEastAsia" w:hAnsiTheme="minorEastAsia" w:cs="Times New Roman" w:hint="eastAsia"/>
          <w:b/>
          <w:bCs/>
          <w:sz w:val="24"/>
          <w:szCs w:val="24"/>
        </w:rPr>
        <w:t>侧袋机制</w:t>
      </w:r>
      <w:proofErr w:type="gramEnd"/>
      <w:r>
        <w:rPr>
          <w:rFonts w:asciiTheme="minorEastAsia" w:hAnsiTheme="minorEastAsia" w:cs="Times New Roman" w:hint="eastAsia"/>
          <w:b/>
          <w:bCs/>
          <w:sz w:val="24"/>
          <w:szCs w:val="24"/>
        </w:rPr>
        <w:t>的实施和投资运作安排</w:t>
      </w:r>
    </w:p>
    <w:p w14:paraId="7251F542" w14:textId="77777777" w:rsidR="004614AE" w:rsidRDefault="00000000">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heme="minorEastAsia" w:hAnsiTheme="minorEastAsia" w:cs="Times New Roman" w:hint="eastAsia"/>
          <w:bCs/>
          <w:sz w:val="24"/>
          <w:szCs w:val="24"/>
        </w:rPr>
        <w:t>启用侧袋机制</w:t>
      </w:r>
      <w:proofErr w:type="gramEnd"/>
      <w:r>
        <w:rPr>
          <w:rFonts w:asciiTheme="minorEastAsia" w:hAnsiTheme="minorEastAsia" w:cs="Times New Roman" w:hint="eastAsia"/>
          <w:bCs/>
          <w:sz w:val="24"/>
          <w:szCs w:val="24"/>
        </w:rPr>
        <w:t>，无需召开基金份额持有人大会审议。</w:t>
      </w:r>
    </w:p>
    <w:p w14:paraId="4D3AD0B9" w14:textId="77777777" w:rsidR="004614AE" w:rsidRDefault="00000000">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实施期间，本部分约定的投资组合比例、投资策略、组合限制、业绩</w:t>
      </w:r>
      <w:r>
        <w:rPr>
          <w:rFonts w:asciiTheme="minorEastAsia" w:hAnsiTheme="minorEastAsia" w:cs="Times New Roman" w:hint="eastAsia"/>
          <w:bCs/>
          <w:sz w:val="24"/>
          <w:szCs w:val="24"/>
        </w:rPr>
        <w:lastRenderedPageBreak/>
        <w:t>比较基准、风险收益特征等约定仅</w:t>
      </w:r>
      <w:proofErr w:type="gramStart"/>
      <w:r>
        <w:rPr>
          <w:rFonts w:asciiTheme="minorEastAsia" w:hAnsiTheme="minorEastAsia" w:cs="Times New Roman" w:hint="eastAsia"/>
          <w:bCs/>
          <w:sz w:val="24"/>
          <w:szCs w:val="24"/>
        </w:rPr>
        <w:t>适用于主袋账户</w:t>
      </w:r>
      <w:proofErr w:type="gramEnd"/>
      <w:r>
        <w:rPr>
          <w:rFonts w:asciiTheme="minorEastAsia" w:hAnsiTheme="minorEastAsia" w:cs="Times New Roman" w:hint="eastAsia"/>
          <w:bCs/>
          <w:sz w:val="24"/>
          <w:szCs w:val="24"/>
        </w:rPr>
        <w:t>。</w:t>
      </w:r>
    </w:p>
    <w:p w14:paraId="64662AD6" w14:textId="77777777" w:rsidR="004614AE" w:rsidRDefault="00000000">
      <w:pPr>
        <w:spacing w:line="360" w:lineRule="auto"/>
        <w:ind w:firstLineChars="200" w:firstLine="480"/>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的实施条件、实施程序、运作安排、投资安排、特定资产的处置变现和支付等对投资者权益有重大影响的事项详见招募说明书“侧袋机制”部分的规定。</w:t>
      </w:r>
    </w:p>
    <w:p w14:paraId="3E864795" w14:textId="77777777" w:rsidR="004614AE" w:rsidRDefault="00000000">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九、基金投资组合报告</w:t>
      </w:r>
    </w:p>
    <w:p w14:paraId="4074F1ED" w14:textId="77777777" w:rsidR="004614AE"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基金托管人国泰君安证券股份有限公司根据本基金合同规定，已复核了本报告中的财务指标、净值表现和投资组合报告等内容，保证复核内容不存在虚假记载、误导性陈述或者重大遗漏。</w:t>
      </w:r>
    </w:p>
    <w:p w14:paraId="6171DFEC" w14:textId="77777777" w:rsidR="004614AE"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本投资组合报告所载数据截至</w:t>
      </w:r>
      <w:r>
        <w:rPr>
          <w:rFonts w:asciiTheme="minorEastAsia" w:hAnsiTheme="minorEastAsia" w:cs="Arial"/>
          <w:sz w:val="24"/>
          <w:szCs w:val="24"/>
        </w:rPr>
        <w:t>2022</w:t>
      </w:r>
      <w:r>
        <w:rPr>
          <w:rFonts w:asciiTheme="minorEastAsia" w:hAnsiTheme="minorEastAsia" w:cs="Arial" w:hint="eastAsia"/>
          <w:sz w:val="24"/>
          <w:szCs w:val="24"/>
        </w:rPr>
        <w:t>年</w:t>
      </w:r>
      <w:r>
        <w:rPr>
          <w:rFonts w:asciiTheme="minorEastAsia" w:hAnsiTheme="minorEastAsia" w:cs="Arial"/>
          <w:sz w:val="24"/>
          <w:szCs w:val="24"/>
        </w:rPr>
        <w:t>9月30日</w:t>
      </w:r>
      <w:r>
        <w:rPr>
          <w:rFonts w:asciiTheme="minorEastAsia" w:hAnsiTheme="minorEastAsia" w:cs="Times New Roman"/>
          <w:bCs/>
          <w:sz w:val="24"/>
          <w:szCs w:val="24"/>
        </w:rPr>
        <w:t>，本报告中所列财务数据未经审计。</w:t>
      </w:r>
    </w:p>
    <w:p w14:paraId="68A83DDE" w14:textId="77777777" w:rsidR="004614AE" w:rsidRDefault="00000000" w:rsidP="00D3649B">
      <w:pPr>
        <w:pStyle w:val="zhangjiep"/>
        <w:numPr>
          <w:ilvl w:val="0"/>
          <w:numId w:val="4"/>
        </w:numPr>
        <w:rPr>
          <w:rFonts w:asciiTheme="minorEastAsia" w:eastAsiaTheme="minorEastAsia" w:hAnsiTheme="minorEastAsia" w:cs="Times New Roman"/>
          <w:bCs/>
          <w:kern w:val="2"/>
        </w:rPr>
      </w:pPr>
      <w:bookmarkStart w:id="214" w:name="_Toc117173479"/>
      <w:r>
        <w:rPr>
          <w:rFonts w:asciiTheme="minorEastAsia" w:eastAsiaTheme="minorEastAsia" w:hAnsiTheme="minorEastAsia" w:cs="Times New Roman" w:hint="eastAsia"/>
          <w:bCs/>
          <w:kern w:val="2"/>
        </w:rPr>
        <w:t>报告期末基金资产组合情况</w:t>
      </w:r>
      <w:bookmarkEnd w:id="214"/>
    </w:p>
    <w:tbl>
      <w:tblPr>
        <w:tblW w:w="0" w:type="auto"/>
        <w:tblInd w:w="108" w:type="dxa"/>
        <w:tblLook w:val="04A0" w:firstRow="1" w:lastRow="0" w:firstColumn="1" w:lastColumn="0" w:noHBand="0" w:noVBand="1"/>
      </w:tblPr>
      <w:tblGrid>
        <w:gridCol w:w="777"/>
        <w:gridCol w:w="2815"/>
        <w:gridCol w:w="2495"/>
        <w:gridCol w:w="2572"/>
      </w:tblGrid>
      <w:tr w:rsidR="004614AE" w14:paraId="609BA2FA" w14:textId="77777777">
        <w:tc>
          <w:tcPr>
            <w:tcW w:w="1340" w:type="dxa"/>
            <w:tcBorders>
              <w:top w:val="single" w:sz="8" w:space="0" w:color="000000"/>
              <w:left w:val="single" w:sz="8" w:space="0" w:color="000000"/>
              <w:bottom w:val="single" w:sz="6" w:space="0" w:color="000000"/>
              <w:right w:val="single" w:sz="8" w:space="0" w:color="000000"/>
            </w:tcBorders>
            <w:vAlign w:val="center"/>
          </w:tcPr>
          <w:p w14:paraId="195A656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3819" w:type="dxa"/>
            <w:tcBorders>
              <w:top w:val="single" w:sz="8" w:space="0" w:color="000000"/>
              <w:left w:val="single" w:sz="8" w:space="0" w:color="000000"/>
              <w:bottom w:val="single" w:sz="6" w:space="0" w:color="000000"/>
              <w:right w:val="single" w:sz="8" w:space="0" w:color="000000"/>
            </w:tcBorders>
            <w:vAlign w:val="center"/>
          </w:tcPr>
          <w:p w14:paraId="3BF0447B"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项目</w:t>
            </w:r>
          </w:p>
        </w:tc>
        <w:tc>
          <w:tcPr>
            <w:tcW w:w="2019" w:type="dxa"/>
            <w:tcBorders>
              <w:top w:val="single" w:sz="8" w:space="0" w:color="000000"/>
              <w:left w:val="single" w:sz="8" w:space="0" w:color="000000"/>
              <w:bottom w:val="single" w:sz="6" w:space="0" w:color="000000"/>
              <w:right w:val="single" w:sz="8" w:space="0" w:color="000000"/>
            </w:tcBorders>
            <w:vAlign w:val="center"/>
          </w:tcPr>
          <w:p w14:paraId="0B80016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c>
          <w:tcPr>
            <w:tcW w:w="3019" w:type="dxa"/>
            <w:tcBorders>
              <w:top w:val="single" w:sz="8" w:space="0" w:color="000000"/>
              <w:left w:val="single" w:sz="8" w:space="0" w:color="000000"/>
              <w:bottom w:val="single" w:sz="6" w:space="0" w:color="000000"/>
              <w:right w:val="single" w:sz="8" w:space="0" w:color="000000"/>
            </w:tcBorders>
            <w:vAlign w:val="center"/>
          </w:tcPr>
          <w:p w14:paraId="48C249F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占基金总资产的比例（</w:t>
            </w:r>
            <w:r>
              <w:rPr>
                <w:rFonts w:asciiTheme="minorEastAsia" w:eastAsiaTheme="minorEastAsia" w:hAnsiTheme="minorEastAsia" w:cs="Times New Roman"/>
                <w:bCs/>
                <w:kern w:val="2"/>
              </w:rPr>
              <w:t>%）</w:t>
            </w:r>
          </w:p>
        </w:tc>
      </w:tr>
      <w:tr w:rsidR="004614AE" w14:paraId="1258266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DC83766"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5775" w:type="dxa"/>
            <w:tcBorders>
              <w:top w:val="single" w:sz="8" w:space="0" w:color="000000"/>
              <w:left w:val="single" w:sz="8" w:space="0" w:color="000000"/>
              <w:bottom w:val="single" w:sz="6" w:space="0" w:color="000000"/>
              <w:right w:val="single" w:sz="8" w:space="0" w:color="000000"/>
            </w:tcBorders>
            <w:vAlign w:val="center"/>
          </w:tcPr>
          <w:p w14:paraId="15021115"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tcPr>
          <w:p w14:paraId="0B5621FB"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108,308,514.42</w:t>
            </w:r>
          </w:p>
        </w:tc>
        <w:tc>
          <w:tcPr>
            <w:tcW w:w="5775" w:type="dxa"/>
            <w:tcBorders>
              <w:top w:val="single" w:sz="8" w:space="0" w:color="000000"/>
              <w:left w:val="single" w:sz="8" w:space="0" w:color="000000"/>
              <w:bottom w:val="single" w:sz="6" w:space="0" w:color="000000"/>
              <w:right w:val="single" w:sz="8" w:space="0" w:color="000000"/>
            </w:tcBorders>
            <w:vAlign w:val="center"/>
          </w:tcPr>
          <w:p w14:paraId="02625B6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61.11</w:t>
            </w:r>
          </w:p>
        </w:tc>
      </w:tr>
      <w:tr w:rsidR="004614AE" w14:paraId="3BAF582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AC5FD8F" w14:textId="77777777" w:rsidR="004614AE" w:rsidRDefault="004614AE">
            <w:pPr>
              <w:rPr>
                <w:rFonts w:asciiTheme="minorEastAsia" w:hAnsiTheme="minorEastAsia" w:cs="Times New Roman"/>
                <w:bCs/>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tcPr>
          <w:p w14:paraId="789D340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tcPr>
          <w:p w14:paraId="41E1217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108,308,514.42</w:t>
            </w:r>
          </w:p>
        </w:tc>
        <w:tc>
          <w:tcPr>
            <w:tcW w:w="5775" w:type="dxa"/>
            <w:tcBorders>
              <w:top w:val="single" w:sz="8" w:space="0" w:color="000000"/>
              <w:left w:val="single" w:sz="8" w:space="0" w:color="000000"/>
              <w:bottom w:val="single" w:sz="6" w:space="0" w:color="000000"/>
              <w:right w:val="single" w:sz="8" w:space="0" w:color="000000"/>
            </w:tcBorders>
            <w:vAlign w:val="center"/>
          </w:tcPr>
          <w:p w14:paraId="74CEC6D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61.11</w:t>
            </w:r>
          </w:p>
        </w:tc>
      </w:tr>
      <w:tr w:rsidR="004614AE" w14:paraId="68FA3CE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0D5005E"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5775" w:type="dxa"/>
            <w:tcBorders>
              <w:top w:val="single" w:sz="8" w:space="0" w:color="000000"/>
              <w:left w:val="single" w:sz="8" w:space="0" w:color="000000"/>
              <w:bottom w:val="single" w:sz="6" w:space="0" w:color="000000"/>
              <w:right w:val="single" w:sz="8" w:space="0" w:color="000000"/>
            </w:tcBorders>
            <w:vAlign w:val="center"/>
          </w:tcPr>
          <w:p w14:paraId="167C053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tcPr>
          <w:p w14:paraId="2EE009F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63EBD293"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2521336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3001CA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5775" w:type="dxa"/>
            <w:tcBorders>
              <w:top w:val="single" w:sz="8" w:space="0" w:color="000000"/>
              <w:left w:val="single" w:sz="8" w:space="0" w:color="000000"/>
              <w:bottom w:val="single" w:sz="6" w:space="0" w:color="000000"/>
              <w:right w:val="single" w:sz="8" w:space="0" w:color="000000"/>
            </w:tcBorders>
            <w:vAlign w:val="center"/>
          </w:tcPr>
          <w:p w14:paraId="1658E4C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tcPr>
          <w:p w14:paraId="6B4C73A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6EFE196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537808F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5BDA5B4" w14:textId="77777777" w:rsidR="004614AE" w:rsidRDefault="004614AE">
            <w:pPr>
              <w:rPr>
                <w:rFonts w:asciiTheme="minorEastAsia" w:hAnsiTheme="minorEastAsia" w:cs="Times New Roman"/>
                <w:bCs/>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tcPr>
          <w:p w14:paraId="578A8F1B"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tcPr>
          <w:p w14:paraId="79A0D8CB"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2AA9E9B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761C86D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EFDC740" w14:textId="77777777" w:rsidR="004614AE" w:rsidRDefault="004614AE">
            <w:pPr>
              <w:rPr>
                <w:rFonts w:asciiTheme="minorEastAsia" w:hAnsiTheme="minorEastAsia" w:cs="Times New Roman"/>
                <w:bCs/>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tcPr>
          <w:p w14:paraId="28D1A6F6" w14:textId="77777777" w:rsidR="004614AE" w:rsidRDefault="00000000">
            <w:pPr>
              <w:pStyle w:val="biaogeleft"/>
              <w:wordWrap w:val="0"/>
              <w:ind w:left="75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tcPr>
          <w:p w14:paraId="0DFEF48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08F690C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6A9BA41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F6EE06B"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0" w:type="auto"/>
            <w:tcBorders>
              <w:top w:val="single" w:sz="8" w:space="0" w:color="000000"/>
              <w:left w:val="single" w:sz="8" w:space="0" w:color="000000"/>
              <w:bottom w:val="single" w:sz="6" w:space="0" w:color="000000"/>
              <w:right w:val="single" w:sz="8" w:space="0" w:color="000000"/>
            </w:tcBorders>
            <w:vAlign w:val="center"/>
          </w:tcPr>
          <w:p w14:paraId="1BA446C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tcPr>
          <w:p w14:paraId="083B4ACF"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65B1A1D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4780C21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6FF36D3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5775" w:type="dxa"/>
            <w:tcBorders>
              <w:top w:val="single" w:sz="8" w:space="0" w:color="000000"/>
              <w:left w:val="single" w:sz="8" w:space="0" w:color="000000"/>
              <w:bottom w:val="single" w:sz="6" w:space="0" w:color="000000"/>
              <w:right w:val="single" w:sz="8" w:space="0" w:color="000000"/>
            </w:tcBorders>
            <w:vAlign w:val="center"/>
          </w:tcPr>
          <w:p w14:paraId="68B17C7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金融衍生</w:t>
            </w:r>
            <w:proofErr w:type="gramStart"/>
            <w:r>
              <w:rPr>
                <w:rFonts w:asciiTheme="minorEastAsia" w:eastAsiaTheme="minorEastAsia" w:hAnsiTheme="minorEastAsia" w:cs="Times New Roman" w:hint="eastAsia"/>
                <w:bCs/>
                <w:kern w:val="2"/>
              </w:rPr>
              <w:t>品投资</w:t>
            </w:r>
            <w:proofErr w:type="gramEnd"/>
          </w:p>
        </w:tc>
        <w:tc>
          <w:tcPr>
            <w:tcW w:w="5775" w:type="dxa"/>
            <w:tcBorders>
              <w:top w:val="single" w:sz="8" w:space="0" w:color="000000"/>
              <w:left w:val="single" w:sz="8" w:space="0" w:color="000000"/>
              <w:bottom w:val="single" w:sz="6" w:space="0" w:color="000000"/>
              <w:right w:val="single" w:sz="8" w:space="0" w:color="000000"/>
            </w:tcBorders>
            <w:vAlign w:val="center"/>
          </w:tcPr>
          <w:p w14:paraId="7BFFF45B"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254E4A2F"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252339B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1A3D8F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5775" w:type="dxa"/>
            <w:tcBorders>
              <w:top w:val="single" w:sz="8" w:space="0" w:color="000000"/>
              <w:left w:val="single" w:sz="8" w:space="0" w:color="000000"/>
              <w:bottom w:val="single" w:sz="6" w:space="0" w:color="000000"/>
              <w:right w:val="single" w:sz="8" w:space="0" w:color="000000"/>
            </w:tcBorders>
            <w:vAlign w:val="center"/>
          </w:tcPr>
          <w:p w14:paraId="75C70398"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tcPr>
          <w:p w14:paraId="6EE1E131"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6A89021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49C5016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3696B15" w14:textId="77777777" w:rsidR="004614AE" w:rsidRDefault="004614AE">
            <w:pPr>
              <w:rPr>
                <w:rFonts w:asciiTheme="minorEastAsia" w:hAnsiTheme="minorEastAsia" w:cs="Times New Roman"/>
                <w:bCs/>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tcPr>
          <w:p w14:paraId="0E3DE36B"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tcPr>
          <w:p w14:paraId="774A2AB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73561DE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0D5B46D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25D39CF8"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5775" w:type="dxa"/>
            <w:tcBorders>
              <w:top w:val="single" w:sz="8" w:space="0" w:color="000000"/>
              <w:left w:val="single" w:sz="8" w:space="0" w:color="000000"/>
              <w:bottom w:val="single" w:sz="6" w:space="0" w:color="000000"/>
              <w:right w:val="single" w:sz="8" w:space="0" w:color="000000"/>
            </w:tcBorders>
            <w:vAlign w:val="center"/>
          </w:tcPr>
          <w:p w14:paraId="423993AF"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tcPr>
          <w:p w14:paraId="35E38641"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12,048,681.53</w:t>
            </w:r>
          </w:p>
        </w:tc>
        <w:tc>
          <w:tcPr>
            <w:tcW w:w="5775" w:type="dxa"/>
            <w:tcBorders>
              <w:top w:val="single" w:sz="8" w:space="0" w:color="000000"/>
              <w:left w:val="single" w:sz="8" w:space="0" w:color="000000"/>
              <w:bottom w:val="single" w:sz="6" w:space="0" w:color="000000"/>
              <w:right w:val="single" w:sz="8" w:space="0" w:color="000000"/>
            </w:tcBorders>
            <w:vAlign w:val="center"/>
          </w:tcPr>
          <w:p w14:paraId="74A231B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6.80</w:t>
            </w:r>
          </w:p>
        </w:tc>
      </w:tr>
      <w:tr w:rsidR="004614AE" w14:paraId="051FF79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1B8EFC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5775" w:type="dxa"/>
            <w:tcBorders>
              <w:top w:val="single" w:sz="8" w:space="0" w:color="000000"/>
              <w:left w:val="single" w:sz="8" w:space="0" w:color="000000"/>
              <w:bottom w:val="single" w:sz="6" w:space="0" w:color="000000"/>
              <w:right w:val="single" w:sz="8" w:space="0" w:color="000000"/>
            </w:tcBorders>
            <w:vAlign w:val="center"/>
          </w:tcPr>
          <w:p w14:paraId="2ED3B169"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tcPr>
          <w:p w14:paraId="0A49D64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56,870,994.04</w:t>
            </w:r>
          </w:p>
        </w:tc>
        <w:tc>
          <w:tcPr>
            <w:tcW w:w="5775" w:type="dxa"/>
            <w:tcBorders>
              <w:top w:val="single" w:sz="8" w:space="0" w:color="000000"/>
              <w:left w:val="single" w:sz="8" w:space="0" w:color="000000"/>
              <w:bottom w:val="single" w:sz="6" w:space="0" w:color="000000"/>
              <w:right w:val="single" w:sz="8" w:space="0" w:color="000000"/>
            </w:tcBorders>
            <w:vAlign w:val="center"/>
          </w:tcPr>
          <w:p w14:paraId="4DAD1C3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32.09</w:t>
            </w:r>
          </w:p>
        </w:tc>
      </w:tr>
      <w:tr w:rsidR="004614AE" w14:paraId="1A852A9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66B447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5775" w:type="dxa"/>
            <w:tcBorders>
              <w:top w:val="single" w:sz="8" w:space="0" w:color="000000"/>
              <w:left w:val="single" w:sz="8" w:space="0" w:color="000000"/>
              <w:bottom w:val="single" w:sz="6" w:space="0" w:color="000000"/>
              <w:right w:val="single" w:sz="8" w:space="0" w:color="000000"/>
            </w:tcBorders>
            <w:vAlign w:val="center"/>
          </w:tcPr>
          <w:p w14:paraId="4C2F2BF4"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5775" w:type="dxa"/>
            <w:tcBorders>
              <w:top w:val="single" w:sz="8" w:space="0" w:color="000000"/>
              <w:left w:val="single" w:sz="8" w:space="0" w:color="000000"/>
              <w:bottom w:val="single" w:sz="6" w:space="0" w:color="000000"/>
              <w:right w:val="single" w:sz="8" w:space="0" w:color="000000"/>
            </w:tcBorders>
            <w:vAlign w:val="center"/>
          </w:tcPr>
          <w:p w14:paraId="48B6007D"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177,228,189.99</w:t>
            </w:r>
          </w:p>
        </w:tc>
        <w:tc>
          <w:tcPr>
            <w:tcW w:w="5775" w:type="dxa"/>
            <w:tcBorders>
              <w:top w:val="single" w:sz="8" w:space="0" w:color="000000"/>
              <w:left w:val="single" w:sz="8" w:space="0" w:color="000000"/>
              <w:bottom w:val="single" w:sz="6" w:space="0" w:color="000000"/>
              <w:right w:val="single" w:sz="8" w:space="0" w:color="000000"/>
            </w:tcBorders>
            <w:vAlign w:val="center"/>
          </w:tcPr>
          <w:p w14:paraId="093D94E1"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100.00</w:t>
            </w:r>
          </w:p>
        </w:tc>
      </w:tr>
    </w:tbl>
    <w:p w14:paraId="01BEEAAD" w14:textId="77777777" w:rsidR="004614AE" w:rsidRDefault="004614AE">
      <w:pPr>
        <w:pStyle w:val="zhangjiep"/>
        <w:ind w:left="0"/>
        <w:rPr>
          <w:rFonts w:asciiTheme="minorEastAsia" w:eastAsiaTheme="minorEastAsia" w:hAnsiTheme="minorEastAsia" w:cs="Times New Roman"/>
          <w:bCs/>
          <w:kern w:val="2"/>
        </w:rPr>
      </w:pPr>
      <w:bookmarkStart w:id="215" w:name="_Toc117173480"/>
    </w:p>
    <w:p w14:paraId="143D94D7" w14:textId="77777777" w:rsidR="004614AE" w:rsidRDefault="00000000">
      <w:pPr>
        <w:pStyle w:val="zhangjiep"/>
        <w:ind w:left="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r>
        <w:rPr>
          <w:rFonts w:asciiTheme="minorEastAsia" w:eastAsiaTheme="minorEastAsia" w:hAnsiTheme="minorEastAsia" w:cs="Times New Roman" w:hint="eastAsia"/>
          <w:bCs/>
          <w:kern w:val="2"/>
        </w:rPr>
        <w:t>、报告期末按行业分类的股票投资组合</w:t>
      </w:r>
      <w:bookmarkEnd w:id="215"/>
    </w:p>
    <w:tbl>
      <w:tblPr>
        <w:tblW w:w="0" w:type="auto"/>
        <w:tblInd w:w="108" w:type="dxa"/>
        <w:tblLook w:val="04A0" w:firstRow="1" w:lastRow="0" w:firstColumn="1" w:lastColumn="0" w:noHBand="0" w:noVBand="1"/>
      </w:tblPr>
      <w:tblGrid>
        <w:gridCol w:w="795"/>
        <w:gridCol w:w="2596"/>
        <w:gridCol w:w="2596"/>
        <w:gridCol w:w="2672"/>
      </w:tblGrid>
      <w:tr w:rsidR="004614AE" w14:paraId="51AA32CE" w14:textId="77777777">
        <w:tc>
          <w:tcPr>
            <w:tcW w:w="1340" w:type="dxa"/>
            <w:tcBorders>
              <w:top w:val="single" w:sz="8" w:space="0" w:color="000000"/>
              <w:left w:val="single" w:sz="8" w:space="0" w:color="000000"/>
              <w:bottom w:val="single" w:sz="6" w:space="0" w:color="000000"/>
              <w:right w:val="single" w:sz="8" w:space="0" w:color="000000"/>
            </w:tcBorders>
            <w:vAlign w:val="center"/>
          </w:tcPr>
          <w:p w14:paraId="1983B31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代码</w:t>
            </w:r>
          </w:p>
        </w:tc>
        <w:tc>
          <w:tcPr>
            <w:tcW w:w="4019" w:type="dxa"/>
            <w:tcBorders>
              <w:top w:val="single" w:sz="8" w:space="0" w:color="000000"/>
              <w:left w:val="single" w:sz="8" w:space="0" w:color="000000"/>
              <w:bottom w:val="single" w:sz="6" w:space="0" w:color="000000"/>
              <w:right w:val="single" w:sz="8" w:space="0" w:color="000000"/>
            </w:tcBorders>
            <w:vAlign w:val="center"/>
          </w:tcPr>
          <w:p w14:paraId="6C7AE9B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tcPr>
          <w:p w14:paraId="4265530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2979" w:type="dxa"/>
            <w:tcBorders>
              <w:top w:val="single" w:sz="8" w:space="0" w:color="000000"/>
              <w:left w:val="single" w:sz="8" w:space="0" w:color="000000"/>
              <w:bottom w:val="single" w:sz="6" w:space="0" w:color="000000"/>
              <w:right w:val="single" w:sz="8" w:space="0" w:color="000000"/>
            </w:tcBorders>
            <w:vAlign w:val="center"/>
          </w:tcPr>
          <w:p w14:paraId="442EC78D"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r>
              <w:rPr>
                <w:rFonts w:asciiTheme="minorEastAsia" w:eastAsiaTheme="minorEastAsia" w:hAnsiTheme="minorEastAsia" w:cs="Times New Roman" w:hint="eastAsia"/>
                <w:bCs/>
                <w:kern w:val="2"/>
              </w:rPr>
              <w:lastRenderedPageBreak/>
              <w:t>（</w:t>
            </w:r>
            <w:r>
              <w:rPr>
                <w:rFonts w:asciiTheme="minorEastAsia" w:eastAsiaTheme="minorEastAsia" w:hAnsiTheme="minorEastAsia" w:cs="Times New Roman"/>
                <w:bCs/>
                <w:kern w:val="2"/>
              </w:rPr>
              <w:t>%）</w:t>
            </w:r>
          </w:p>
        </w:tc>
      </w:tr>
      <w:tr w:rsidR="004614AE" w14:paraId="03A966D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96BE6B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A</w:t>
            </w:r>
          </w:p>
        </w:tc>
        <w:tc>
          <w:tcPr>
            <w:tcW w:w="5775" w:type="dxa"/>
            <w:tcBorders>
              <w:top w:val="single" w:sz="8" w:space="0" w:color="000000"/>
              <w:left w:val="single" w:sz="8" w:space="0" w:color="000000"/>
              <w:bottom w:val="single" w:sz="6" w:space="0" w:color="000000"/>
              <w:right w:val="single" w:sz="8" w:space="0" w:color="000000"/>
            </w:tcBorders>
            <w:vAlign w:val="center"/>
          </w:tcPr>
          <w:p w14:paraId="0B7F118A"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24D095C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710FBBED"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318FB43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4DBF831"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B</w:t>
            </w:r>
          </w:p>
        </w:tc>
        <w:tc>
          <w:tcPr>
            <w:tcW w:w="5775" w:type="dxa"/>
            <w:tcBorders>
              <w:top w:val="single" w:sz="8" w:space="0" w:color="000000"/>
              <w:left w:val="single" w:sz="8" w:space="0" w:color="000000"/>
              <w:bottom w:val="single" w:sz="6" w:space="0" w:color="000000"/>
              <w:right w:val="single" w:sz="8" w:space="0" w:color="000000"/>
            </w:tcBorders>
            <w:vAlign w:val="center"/>
          </w:tcPr>
          <w:p w14:paraId="55CD235A"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采矿业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39D20C56"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19,663,232.00</w:t>
            </w:r>
          </w:p>
        </w:tc>
        <w:tc>
          <w:tcPr>
            <w:tcW w:w="5775" w:type="dxa"/>
            <w:tcBorders>
              <w:top w:val="single" w:sz="8" w:space="0" w:color="000000"/>
              <w:left w:val="single" w:sz="8" w:space="0" w:color="000000"/>
              <w:bottom w:val="single" w:sz="6" w:space="0" w:color="000000"/>
              <w:right w:val="single" w:sz="8" w:space="0" w:color="000000"/>
            </w:tcBorders>
            <w:vAlign w:val="center"/>
          </w:tcPr>
          <w:p w14:paraId="4A301483"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11.11</w:t>
            </w:r>
          </w:p>
        </w:tc>
      </w:tr>
      <w:tr w:rsidR="004614AE" w14:paraId="5D242BC4"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100840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C</w:t>
            </w:r>
          </w:p>
        </w:tc>
        <w:tc>
          <w:tcPr>
            <w:tcW w:w="5775" w:type="dxa"/>
            <w:tcBorders>
              <w:top w:val="single" w:sz="8" w:space="0" w:color="000000"/>
              <w:left w:val="single" w:sz="8" w:space="0" w:color="000000"/>
              <w:bottom w:val="single" w:sz="6" w:space="0" w:color="000000"/>
              <w:right w:val="single" w:sz="8" w:space="0" w:color="000000"/>
            </w:tcBorders>
            <w:vAlign w:val="center"/>
          </w:tcPr>
          <w:p w14:paraId="3BD604A4"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制造业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1C7CEA6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40,378,059.15</w:t>
            </w:r>
          </w:p>
        </w:tc>
        <w:tc>
          <w:tcPr>
            <w:tcW w:w="5775" w:type="dxa"/>
            <w:tcBorders>
              <w:top w:val="single" w:sz="8" w:space="0" w:color="000000"/>
              <w:left w:val="single" w:sz="8" w:space="0" w:color="000000"/>
              <w:bottom w:val="single" w:sz="6" w:space="0" w:color="000000"/>
              <w:right w:val="single" w:sz="8" w:space="0" w:color="000000"/>
            </w:tcBorders>
            <w:vAlign w:val="center"/>
          </w:tcPr>
          <w:p w14:paraId="7F39880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22.81</w:t>
            </w:r>
          </w:p>
        </w:tc>
      </w:tr>
      <w:tr w:rsidR="004614AE" w14:paraId="4838965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FAFD31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D</w:t>
            </w:r>
          </w:p>
        </w:tc>
        <w:tc>
          <w:tcPr>
            <w:tcW w:w="5775" w:type="dxa"/>
            <w:tcBorders>
              <w:top w:val="single" w:sz="8" w:space="0" w:color="000000"/>
              <w:left w:val="single" w:sz="8" w:space="0" w:color="000000"/>
              <w:bottom w:val="single" w:sz="6" w:space="0" w:color="000000"/>
              <w:right w:val="single" w:sz="8" w:space="0" w:color="000000"/>
            </w:tcBorders>
            <w:vAlign w:val="center"/>
          </w:tcPr>
          <w:p w14:paraId="27423835"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3272FFB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5,685,000.00</w:t>
            </w:r>
          </w:p>
        </w:tc>
        <w:tc>
          <w:tcPr>
            <w:tcW w:w="5775" w:type="dxa"/>
            <w:tcBorders>
              <w:top w:val="single" w:sz="8" w:space="0" w:color="000000"/>
              <w:left w:val="single" w:sz="8" w:space="0" w:color="000000"/>
              <w:bottom w:val="single" w:sz="6" w:space="0" w:color="000000"/>
              <w:right w:val="single" w:sz="8" w:space="0" w:color="000000"/>
            </w:tcBorders>
            <w:vAlign w:val="center"/>
          </w:tcPr>
          <w:p w14:paraId="00C95E7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3.21</w:t>
            </w:r>
          </w:p>
        </w:tc>
      </w:tr>
      <w:tr w:rsidR="004614AE" w14:paraId="7CEB91B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DEBCB5D"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E</w:t>
            </w:r>
          </w:p>
        </w:tc>
        <w:tc>
          <w:tcPr>
            <w:tcW w:w="5775" w:type="dxa"/>
            <w:tcBorders>
              <w:top w:val="single" w:sz="8" w:space="0" w:color="000000"/>
              <w:left w:val="single" w:sz="8" w:space="0" w:color="000000"/>
              <w:bottom w:val="single" w:sz="6" w:space="0" w:color="000000"/>
              <w:right w:val="single" w:sz="8" w:space="0" w:color="000000"/>
            </w:tcBorders>
            <w:vAlign w:val="center"/>
          </w:tcPr>
          <w:p w14:paraId="19E59298"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建筑业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1735829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355,500.00</w:t>
            </w:r>
          </w:p>
        </w:tc>
        <w:tc>
          <w:tcPr>
            <w:tcW w:w="5775" w:type="dxa"/>
            <w:tcBorders>
              <w:top w:val="single" w:sz="8" w:space="0" w:color="000000"/>
              <w:left w:val="single" w:sz="8" w:space="0" w:color="000000"/>
              <w:bottom w:val="single" w:sz="6" w:space="0" w:color="000000"/>
              <w:right w:val="single" w:sz="8" w:space="0" w:color="000000"/>
            </w:tcBorders>
            <w:vAlign w:val="center"/>
          </w:tcPr>
          <w:p w14:paraId="7ADFF5F4"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0.20</w:t>
            </w:r>
          </w:p>
        </w:tc>
      </w:tr>
      <w:tr w:rsidR="004614AE" w14:paraId="62C3B11F"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4411D7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F</w:t>
            </w:r>
          </w:p>
        </w:tc>
        <w:tc>
          <w:tcPr>
            <w:tcW w:w="5775" w:type="dxa"/>
            <w:tcBorders>
              <w:top w:val="single" w:sz="8" w:space="0" w:color="000000"/>
              <w:left w:val="single" w:sz="8" w:space="0" w:color="000000"/>
              <w:bottom w:val="single" w:sz="6" w:space="0" w:color="000000"/>
              <w:right w:val="single" w:sz="8" w:space="0" w:color="000000"/>
            </w:tcBorders>
            <w:vAlign w:val="center"/>
          </w:tcPr>
          <w:p w14:paraId="011493A3"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0D707E41"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2FA8334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157EC7A8"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86EECA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G</w:t>
            </w:r>
          </w:p>
        </w:tc>
        <w:tc>
          <w:tcPr>
            <w:tcW w:w="5775" w:type="dxa"/>
            <w:tcBorders>
              <w:top w:val="single" w:sz="8" w:space="0" w:color="000000"/>
              <w:left w:val="single" w:sz="8" w:space="0" w:color="000000"/>
              <w:bottom w:val="single" w:sz="6" w:space="0" w:color="000000"/>
              <w:right w:val="single" w:sz="8" w:space="0" w:color="000000"/>
            </w:tcBorders>
            <w:vAlign w:val="center"/>
          </w:tcPr>
          <w:p w14:paraId="2279CAE4"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356948D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2,261,520.00</w:t>
            </w:r>
          </w:p>
        </w:tc>
        <w:tc>
          <w:tcPr>
            <w:tcW w:w="5775" w:type="dxa"/>
            <w:tcBorders>
              <w:top w:val="single" w:sz="8" w:space="0" w:color="000000"/>
              <w:left w:val="single" w:sz="8" w:space="0" w:color="000000"/>
              <w:bottom w:val="single" w:sz="6" w:space="0" w:color="000000"/>
              <w:right w:val="single" w:sz="8" w:space="0" w:color="000000"/>
            </w:tcBorders>
            <w:vAlign w:val="center"/>
          </w:tcPr>
          <w:p w14:paraId="231C7344"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1.28</w:t>
            </w:r>
          </w:p>
        </w:tc>
      </w:tr>
      <w:tr w:rsidR="004614AE" w14:paraId="4865870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BBE243D"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H</w:t>
            </w:r>
          </w:p>
        </w:tc>
        <w:tc>
          <w:tcPr>
            <w:tcW w:w="5775" w:type="dxa"/>
            <w:tcBorders>
              <w:top w:val="single" w:sz="8" w:space="0" w:color="000000"/>
              <w:left w:val="single" w:sz="8" w:space="0" w:color="000000"/>
              <w:bottom w:val="single" w:sz="6" w:space="0" w:color="000000"/>
              <w:right w:val="single" w:sz="8" w:space="0" w:color="000000"/>
            </w:tcBorders>
            <w:vAlign w:val="center"/>
          </w:tcPr>
          <w:p w14:paraId="0881187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5B93908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471D417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1F9C490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79FA5A6E"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I</w:t>
            </w:r>
          </w:p>
        </w:tc>
        <w:tc>
          <w:tcPr>
            <w:tcW w:w="5775" w:type="dxa"/>
            <w:tcBorders>
              <w:top w:val="single" w:sz="8" w:space="0" w:color="000000"/>
              <w:left w:val="single" w:sz="8" w:space="0" w:color="000000"/>
              <w:bottom w:val="single" w:sz="6" w:space="0" w:color="000000"/>
              <w:right w:val="single" w:sz="8" w:space="0" w:color="000000"/>
            </w:tcBorders>
            <w:vAlign w:val="center"/>
          </w:tcPr>
          <w:p w14:paraId="146C18F6"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1206578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1858BEC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40EF3421"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9AACF90"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J</w:t>
            </w:r>
          </w:p>
        </w:tc>
        <w:tc>
          <w:tcPr>
            <w:tcW w:w="5775" w:type="dxa"/>
            <w:tcBorders>
              <w:top w:val="single" w:sz="8" w:space="0" w:color="000000"/>
              <w:left w:val="single" w:sz="8" w:space="0" w:color="000000"/>
              <w:bottom w:val="single" w:sz="6" w:space="0" w:color="000000"/>
              <w:right w:val="single" w:sz="8" w:space="0" w:color="000000"/>
            </w:tcBorders>
            <w:vAlign w:val="center"/>
          </w:tcPr>
          <w:p w14:paraId="38E9935E"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金融业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73C73EA2"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38,034,900.00</w:t>
            </w:r>
          </w:p>
        </w:tc>
        <w:tc>
          <w:tcPr>
            <w:tcW w:w="5775" w:type="dxa"/>
            <w:tcBorders>
              <w:top w:val="single" w:sz="8" w:space="0" w:color="000000"/>
              <w:left w:val="single" w:sz="8" w:space="0" w:color="000000"/>
              <w:bottom w:val="single" w:sz="6" w:space="0" w:color="000000"/>
              <w:right w:val="single" w:sz="8" w:space="0" w:color="000000"/>
            </w:tcBorders>
            <w:vAlign w:val="center"/>
          </w:tcPr>
          <w:p w14:paraId="3DBAC39D"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21.49</w:t>
            </w:r>
          </w:p>
        </w:tc>
      </w:tr>
      <w:tr w:rsidR="004614AE" w14:paraId="5E27DDCC"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3AFA484"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K</w:t>
            </w:r>
          </w:p>
        </w:tc>
        <w:tc>
          <w:tcPr>
            <w:tcW w:w="5775" w:type="dxa"/>
            <w:tcBorders>
              <w:top w:val="single" w:sz="8" w:space="0" w:color="000000"/>
              <w:left w:val="single" w:sz="8" w:space="0" w:color="000000"/>
              <w:bottom w:val="single" w:sz="6" w:space="0" w:color="000000"/>
              <w:right w:val="single" w:sz="8" w:space="0" w:color="000000"/>
            </w:tcBorders>
            <w:vAlign w:val="center"/>
          </w:tcPr>
          <w:p w14:paraId="74471D36"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6738A8D6"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1,800,000.00</w:t>
            </w:r>
          </w:p>
        </w:tc>
        <w:tc>
          <w:tcPr>
            <w:tcW w:w="5775" w:type="dxa"/>
            <w:tcBorders>
              <w:top w:val="single" w:sz="8" w:space="0" w:color="000000"/>
              <w:left w:val="single" w:sz="8" w:space="0" w:color="000000"/>
              <w:bottom w:val="single" w:sz="6" w:space="0" w:color="000000"/>
              <w:right w:val="single" w:sz="8" w:space="0" w:color="000000"/>
            </w:tcBorders>
            <w:vAlign w:val="center"/>
          </w:tcPr>
          <w:p w14:paraId="03B1FC4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1.02</w:t>
            </w:r>
          </w:p>
        </w:tc>
      </w:tr>
      <w:tr w:rsidR="004614AE" w14:paraId="2BECF3DD"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A74C92E"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L</w:t>
            </w:r>
          </w:p>
        </w:tc>
        <w:tc>
          <w:tcPr>
            <w:tcW w:w="5775" w:type="dxa"/>
            <w:tcBorders>
              <w:top w:val="single" w:sz="8" w:space="0" w:color="000000"/>
              <w:left w:val="single" w:sz="8" w:space="0" w:color="000000"/>
              <w:bottom w:val="single" w:sz="6" w:space="0" w:color="000000"/>
              <w:right w:val="single" w:sz="8" w:space="0" w:color="000000"/>
            </w:tcBorders>
            <w:vAlign w:val="center"/>
          </w:tcPr>
          <w:p w14:paraId="2D56BD08"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739EB52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2A98331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7EDA2580"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3C543E7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M</w:t>
            </w:r>
          </w:p>
        </w:tc>
        <w:tc>
          <w:tcPr>
            <w:tcW w:w="5775" w:type="dxa"/>
            <w:tcBorders>
              <w:top w:val="single" w:sz="8" w:space="0" w:color="000000"/>
              <w:left w:val="single" w:sz="8" w:space="0" w:color="000000"/>
              <w:bottom w:val="single" w:sz="6" w:space="0" w:color="000000"/>
              <w:right w:val="single" w:sz="8" w:space="0" w:color="000000"/>
            </w:tcBorders>
            <w:vAlign w:val="center"/>
          </w:tcPr>
          <w:p w14:paraId="06ECA177"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3EFB03F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130,303.27</w:t>
            </w:r>
          </w:p>
        </w:tc>
        <w:tc>
          <w:tcPr>
            <w:tcW w:w="5775" w:type="dxa"/>
            <w:tcBorders>
              <w:top w:val="single" w:sz="8" w:space="0" w:color="000000"/>
              <w:left w:val="single" w:sz="8" w:space="0" w:color="000000"/>
              <w:bottom w:val="single" w:sz="6" w:space="0" w:color="000000"/>
              <w:right w:val="single" w:sz="8" w:space="0" w:color="000000"/>
            </w:tcBorders>
            <w:vAlign w:val="center"/>
          </w:tcPr>
          <w:p w14:paraId="3ED4A56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0.07</w:t>
            </w:r>
          </w:p>
        </w:tc>
      </w:tr>
      <w:tr w:rsidR="004614AE" w14:paraId="17AE473A"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1DD8B7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N</w:t>
            </w:r>
          </w:p>
        </w:tc>
        <w:tc>
          <w:tcPr>
            <w:tcW w:w="5775" w:type="dxa"/>
            <w:tcBorders>
              <w:top w:val="single" w:sz="8" w:space="0" w:color="000000"/>
              <w:left w:val="single" w:sz="8" w:space="0" w:color="000000"/>
              <w:bottom w:val="single" w:sz="6" w:space="0" w:color="000000"/>
              <w:right w:val="single" w:sz="8" w:space="0" w:color="000000"/>
            </w:tcBorders>
            <w:vAlign w:val="center"/>
          </w:tcPr>
          <w:p w14:paraId="7B3C710D"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58CA069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596BCD42"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7C6F6D00"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3EF454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O</w:t>
            </w:r>
          </w:p>
        </w:tc>
        <w:tc>
          <w:tcPr>
            <w:tcW w:w="5775" w:type="dxa"/>
            <w:tcBorders>
              <w:top w:val="single" w:sz="8" w:space="0" w:color="000000"/>
              <w:left w:val="single" w:sz="8" w:space="0" w:color="000000"/>
              <w:bottom w:val="single" w:sz="6" w:space="0" w:color="000000"/>
              <w:right w:val="single" w:sz="8" w:space="0" w:color="000000"/>
            </w:tcBorders>
            <w:vAlign w:val="center"/>
          </w:tcPr>
          <w:p w14:paraId="5D417A06"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33F3321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13D56424"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6D254DE7"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59B5947B"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P</w:t>
            </w:r>
          </w:p>
        </w:tc>
        <w:tc>
          <w:tcPr>
            <w:tcW w:w="5775" w:type="dxa"/>
            <w:tcBorders>
              <w:top w:val="single" w:sz="8" w:space="0" w:color="000000"/>
              <w:left w:val="single" w:sz="8" w:space="0" w:color="000000"/>
              <w:bottom w:val="single" w:sz="6" w:space="0" w:color="000000"/>
              <w:right w:val="single" w:sz="8" w:space="0" w:color="000000"/>
            </w:tcBorders>
            <w:vAlign w:val="center"/>
          </w:tcPr>
          <w:p w14:paraId="260E19B6"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教育</w:t>
            </w:r>
          </w:p>
        </w:tc>
        <w:tc>
          <w:tcPr>
            <w:tcW w:w="5775" w:type="dxa"/>
            <w:tcBorders>
              <w:top w:val="single" w:sz="8" w:space="0" w:color="000000"/>
              <w:left w:val="single" w:sz="8" w:space="0" w:color="000000"/>
              <w:bottom w:val="single" w:sz="6" w:space="0" w:color="000000"/>
              <w:right w:val="single" w:sz="8" w:space="0" w:color="000000"/>
            </w:tcBorders>
            <w:vAlign w:val="center"/>
          </w:tcPr>
          <w:p w14:paraId="05FD2B9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5C7E1CD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0F320152"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B2A830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Q</w:t>
            </w:r>
          </w:p>
        </w:tc>
        <w:tc>
          <w:tcPr>
            <w:tcW w:w="5775" w:type="dxa"/>
            <w:tcBorders>
              <w:top w:val="single" w:sz="8" w:space="0" w:color="000000"/>
              <w:left w:val="single" w:sz="8" w:space="0" w:color="000000"/>
              <w:bottom w:val="single" w:sz="6" w:space="0" w:color="000000"/>
              <w:right w:val="single" w:sz="8" w:space="0" w:color="000000"/>
            </w:tcBorders>
            <w:vAlign w:val="center"/>
          </w:tcPr>
          <w:p w14:paraId="38F1F4AB"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tcPr>
          <w:p w14:paraId="35441C63"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1101DAC2"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767C5D33"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0C696D26"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R</w:t>
            </w:r>
          </w:p>
        </w:tc>
        <w:tc>
          <w:tcPr>
            <w:tcW w:w="5775" w:type="dxa"/>
            <w:tcBorders>
              <w:top w:val="single" w:sz="8" w:space="0" w:color="000000"/>
              <w:left w:val="single" w:sz="8" w:space="0" w:color="000000"/>
              <w:bottom w:val="single" w:sz="6" w:space="0" w:color="000000"/>
              <w:right w:val="single" w:sz="8" w:space="0" w:color="000000"/>
            </w:tcBorders>
            <w:vAlign w:val="center"/>
          </w:tcPr>
          <w:p w14:paraId="438D13C9"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tcPr>
          <w:p w14:paraId="163CDCB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37EC120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5609B016"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1C10526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S</w:t>
            </w:r>
          </w:p>
        </w:tc>
        <w:tc>
          <w:tcPr>
            <w:tcW w:w="5775" w:type="dxa"/>
            <w:tcBorders>
              <w:top w:val="single" w:sz="8" w:space="0" w:color="000000"/>
              <w:left w:val="single" w:sz="8" w:space="0" w:color="000000"/>
              <w:bottom w:val="single" w:sz="6" w:space="0" w:color="000000"/>
              <w:right w:val="single" w:sz="8" w:space="0" w:color="000000"/>
            </w:tcBorders>
            <w:vAlign w:val="center"/>
          </w:tcPr>
          <w:p w14:paraId="39353FF6"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综合</w:t>
            </w:r>
          </w:p>
        </w:tc>
        <w:tc>
          <w:tcPr>
            <w:tcW w:w="5775" w:type="dxa"/>
            <w:tcBorders>
              <w:top w:val="single" w:sz="8" w:space="0" w:color="000000"/>
              <w:left w:val="single" w:sz="8" w:space="0" w:color="000000"/>
              <w:bottom w:val="single" w:sz="6" w:space="0" w:color="000000"/>
              <w:right w:val="single" w:sz="8" w:space="0" w:color="000000"/>
            </w:tcBorders>
            <w:vAlign w:val="center"/>
          </w:tcPr>
          <w:p w14:paraId="4AE38959"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c>
          <w:tcPr>
            <w:tcW w:w="5775" w:type="dxa"/>
            <w:tcBorders>
              <w:top w:val="single" w:sz="8" w:space="0" w:color="000000"/>
              <w:left w:val="single" w:sz="8" w:space="0" w:color="000000"/>
              <w:bottom w:val="single" w:sz="6" w:space="0" w:color="000000"/>
              <w:right w:val="single" w:sz="8" w:space="0" w:color="000000"/>
            </w:tcBorders>
            <w:vAlign w:val="center"/>
          </w:tcPr>
          <w:p w14:paraId="1618F20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59EB330E" w14:textId="77777777">
        <w:tc>
          <w:tcPr>
            <w:tcW w:w="0" w:type="auto"/>
            <w:tcBorders>
              <w:top w:val="single" w:sz="8" w:space="0" w:color="000000"/>
              <w:left w:val="single" w:sz="8" w:space="0" w:color="000000"/>
              <w:bottom w:val="single" w:sz="6" w:space="0" w:color="000000"/>
              <w:right w:val="single" w:sz="8" w:space="0" w:color="000000"/>
            </w:tcBorders>
            <w:vAlign w:val="center"/>
          </w:tcPr>
          <w:p w14:paraId="4CB52903" w14:textId="77777777" w:rsidR="004614AE" w:rsidRDefault="004614AE">
            <w:pPr>
              <w:rPr>
                <w:rFonts w:asciiTheme="minorEastAsia" w:hAnsiTheme="minorEastAsia" w:cs="Times New Roman"/>
                <w:bCs/>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tcPr>
          <w:p w14:paraId="5CF33CF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5775" w:type="dxa"/>
            <w:tcBorders>
              <w:top w:val="single" w:sz="8" w:space="0" w:color="000000"/>
              <w:left w:val="single" w:sz="8" w:space="0" w:color="000000"/>
              <w:bottom w:val="single" w:sz="6" w:space="0" w:color="000000"/>
              <w:right w:val="single" w:sz="8" w:space="0" w:color="000000"/>
            </w:tcBorders>
            <w:vAlign w:val="center"/>
          </w:tcPr>
          <w:p w14:paraId="7A75D61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108,308,514.42</w:t>
            </w:r>
          </w:p>
        </w:tc>
        <w:tc>
          <w:tcPr>
            <w:tcW w:w="5775" w:type="dxa"/>
            <w:tcBorders>
              <w:top w:val="single" w:sz="8" w:space="0" w:color="000000"/>
              <w:left w:val="single" w:sz="8" w:space="0" w:color="000000"/>
              <w:bottom w:val="single" w:sz="6" w:space="0" w:color="000000"/>
              <w:right w:val="single" w:sz="8" w:space="0" w:color="000000"/>
            </w:tcBorders>
            <w:vAlign w:val="center"/>
          </w:tcPr>
          <w:p w14:paraId="15A444A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61.19</w:t>
            </w:r>
          </w:p>
        </w:tc>
      </w:tr>
    </w:tbl>
    <w:p w14:paraId="2F127F3F" w14:textId="77777777" w:rsidR="004614AE" w:rsidRDefault="004614AE">
      <w:pPr>
        <w:widowControl/>
        <w:jc w:val="left"/>
        <w:rPr>
          <w:rFonts w:asciiTheme="minorEastAsia" w:hAnsiTheme="minorEastAsia" w:cs="Times New Roman"/>
          <w:bCs/>
          <w:sz w:val="24"/>
          <w:szCs w:val="24"/>
        </w:rPr>
      </w:pPr>
    </w:p>
    <w:p w14:paraId="73A86196" w14:textId="77777777" w:rsidR="004614AE" w:rsidRDefault="00000000">
      <w:pPr>
        <w:pStyle w:val="zhangjiep"/>
        <w:rPr>
          <w:rFonts w:asciiTheme="minorEastAsia" w:eastAsiaTheme="minorEastAsia" w:hAnsiTheme="minorEastAsia" w:cs="Times New Roman"/>
          <w:bCs/>
          <w:kern w:val="2"/>
        </w:rPr>
      </w:pPr>
      <w:bookmarkStart w:id="216" w:name="_Toc117173481"/>
      <w:r>
        <w:rPr>
          <w:rFonts w:asciiTheme="minorEastAsia" w:eastAsiaTheme="minorEastAsia" w:hAnsiTheme="minorEastAsia" w:cs="Times New Roman"/>
          <w:bCs/>
          <w:kern w:val="2"/>
        </w:rPr>
        <w:t>3、 报告期末按公允价值占基金资产净值比例大小排序的前十名股票投资明细</w:t>
      </w:r>
      <w:bookmarkEnd w:id="216"/>
    </w:p>
    <w:tbl>
      <w:tblPr>
        <w:tblW w:w="8789" w:type="dxa"/>
        <w:tblInd w:w="108" w:type="dxa"/>
        <w:tblLook w:val="04A0" w:firstRow="1" w:lastRow="0" w:firstColumn="1" w:lastColumn="0" w:noHBand="0" w:noVBand="1"/>
      </w:tblPr>
      <w:tblGrid>
        <w:gridCol w:w="472"/>
        <w:gridCol w:w="1402"/>
        <w:gridCol w:w="1674"/>
        <w:gridCol w:w="1696"/>
        <w:gridCol w:w="1844"/>
        <w:gridCol w:w="1701"/>
      </w:tblGrid>
      <w:tr w:rsidR="004614AE" w14:paraId="77B2261E"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1DB49F3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1402" w:type="dxa"/>
            <w:tcBorders>
              <w:top w:val="single" w:sz="8" w:space="0" w:color="000000"/>
              <w:left w:val="single" w:sz="8" w:space="0" w:color="000000"/>
              <w:bottom w:val="single" w:sz="6" w:space="0" w:color="000000"/>
              <w:right w:val="single" w:sz="8" w:space="0" w:color="000000"/>
            </w:tcBorders>
            <w:vAlign w:val="center"/>
          </w:tcPr>
          <w:p w14:paraId="354C03A0"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股票代码</w:t>
            </w:r>
          </w:p>
        </w:tc>
        <w:tc>
          <w:tcPr>
            <w:tcW w:w="1674" w:type="dxa"/>
            <w:tcBorders>
              <w:top w:val="single" w:sz="8" w:space="0" w:color="000000"/>
              <w:left w:val="single" w:sz="8" w:space="0" w:color="000000"/>
              <w:bottom w:val="single" w:sz="6" w:space="0" w:color="000000"/>
              <w:right w:val="single" w:sz="8" w:space="0" w:color="000000"/>
            </w:tcBorders>
            <w:vAlign w:val="center"/>
          </w:tcPr>
          <w:p w14:paraId="4033EF6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股票名称</w:t>
            </w:r>
          </w:p>
        </w:tc>
        <w:tc>
          <w:tcPr>
            <w:tcW w:w="1696" w:type="dxa"/>
            <w:tcBorders>
              <w:top w:val="single" w:sz="8" w:space="0" w:color="000000"/>
              <w:left w:val="single" w:sz="8" w:space="0" w:color="000000"/>
              <w:bottom w:val="single" w:sz="6" w:space="0" w:color="000000"/>
              <w:right w:val="single" w:sz="8" w:space="0" w:color="000000"/>
            </w:tcBorders>
            <w:vAlign w:val="center"/>
          </w:tcPr>
          <w:p w14:paraId="23736FC6"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数量</w:t>
            </w:r>
            <w:r>
              <w:rPr>
                <w:rFonts w:asciiTheme="minorEastAsia" w:eastAsiaTheme="minorEastAsia" w:hAnsiTheme="minorEastAsia" w:cs="Times New Roman"/>
                <w:bCs/>
                <w:kern w:val="2"/>
              </w:rPr>
              <w:t>(股)</w:t>
            </w:r>
          </w:p>
        </w:tc>
        <w:tc>
          <w:tcPr>
            <w:tcW w:w="1844" w:type="dxa"/>
            <w:tcBorders>
              <w:top w:val="single" w:sz="8" w:space="0" w:color="000000"/>
              <w:left w:val="single" w:sz="8" w:space="0" w:color="000000"/>
              <w:bottom w:val="single" w:sz="6" w:space="0" w:color="000000"/>
              <w:right w:val="single" w:sz="8" w:space="0" w:color="000000"/>
            </w:tcBorders>
            <w:vAlign w:val="center"/>
          </w:tcPr>
          <w:p w14:paraId="1E93CB5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公允价值</w:t>
            </w:r>
            <w:r>
              <w:rPr>
                <w:rFonts w:asciiTheme="minorEastAsia" w:eastAsiaTheme="minorEastAsia" w:hAnsiTheme="minorEastAsia" w:cs="Times New Roman"/>
                <w:bCs/>
                <w:kern w:val="2"/>
              </w:rPr>
              <w:t>(元)</w:t>
            </w:r>
          </w:p>
        </w:tc>
        <w:tc>
          <w:tcPr>
            <w:tcW w:w="1701" w:type="dxa"/>
            <w:tcBorders>
              <w:top w:val="single" w:sz="8" w:space="0" w:color="000000"/>
              <w:left w:val="single" w:sz="8" w:space="0" w:color="000000"/>
              <w:bottom w:val="single" w:sz="6" w:space="0" w:color="000000"/>
              <w:right w:val="single" w:sz="8" w:space="0" w:color="000000"/>
            </w:tcBorders>
            <w:vAlign w:val="center"/>
          </w:tcPr>
          <w:p w14:paraId="26ED4664"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占基金资产净值比例（％）</w:t>
            </w:r>
          </w:p>
        </w:tc>
      </w:tr>
      <w:tr w:rsidR="004614AE" w14:paraId="4A37D8B7"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86D4B28"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1402" w:type="dxa"/>
            <w:tcBorders>
              <w:top w:val="single" w:sz="8" w:space="0" w:color="000000"/>
              <w:left w:val="single" w:sz="8" w:space="0" w:color="000000"/>
              <w:bottom w:val="single" w:sz="6" w:space="0" w:color="000000"/>
              <w:right w:val="single" w:sz="8" w:space="0" w:color="000000"/>
            </w:tcBorders>
            <w:vAlign w:val="center"/>
          </w:tcPr>
          <w:p w14:paraId="63E8F38D"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600519</w:t>
            </w:r>
          </w:p>
        </w:tc>
        <w:tc>
          <w:tcPr>
            <w:tcW w:w="1674" w:type="dxa"/>
            <w:tcBorders>
              <w:top w:val="single" w:sz="8" w:space="0" w:color="000000"/>
              <w:left w:val="single" w:sz="8" w:space="0" w:color="000000"/>
              <w:bottom w:val="single" w:sz="6" w:space="0" w:color="000000"/>
              <w:right w:val="single" w:sz="8" w:space="0" w:color="000000"/>
            </w:tcBorders>
            <w:vAlign w:val="center"/>
          </w:tcPr>
          <w:p w14:paraId="7AD46700"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贵州茅台</w:t>
            </w:r>
          </w:p>
        </w:tc>
        <w:tc>
          <w:tcPr>
            <w:tcW w:w="1696" w:type="dxa"/>
            <w:tcBorders>
              <w:top w:val="single" w:sz="8" w:space="0" w:color="000000"/>
              <w:left w:val="single" w:sz="8" w:space="0" w:color="000000"/>
              <w:bottom w:val="single" w:sz="6" w:space="0" w:color="000000"/>
              <w:right w:val="single" w:sz="8" w:space="0" w:color="000000"/>
            </w:tcBorders>
            <w:vAlign w:val="center"/>
          </w:tcPr>
          <w:p w14:paraId="418051B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72CC279B"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11,235,000.00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1D1859C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6.35</w:t>
            </w:r>
          </w:p>
        </w:tc>
      </w:tr>
      <w:tr w:rsidR="004614AE" w14:paraId="1CBA8F67"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5B81C6A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1402" w:type="dxa"/>
            <w:tcBorders>
              <w:top w:val="single" w:sz="8" w:space="0" w:color="000000"/>
              <w:left w:val="single" w:sz="8" w:space="0" w:color="000000"/>
              <w:bottom w:val="single" w:sz="6" w:space="0" w:color="000000"/>
              <w:right w:val="single" w:sz="8" w:space="0" w:color="000000"/>
            </w:tcBorders>
            <w:vAlign w:val="center"/>
          </w:tcPr>
          <w:p w14:paraId="1CAE331C"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601939</w:t>
            </w:r>
          </w:p>
        </w:tc>
        <w:tc>
          <w:tcPr>
            <w:tcW w:w="1674" w:type="dxa"/>
            <w:tcBorders>
              <w:top w:val="single" w:sz="8" w:space="0" w:color="000000"/>
              <w:left w:val="single" w:sz="8" w:space="0" w:color="000000"/>
              <w:bottom w:val="single" w:sz="6" w:space="0" w:color="000000"/>
              <w:right w:val="single" w:sz="8" w:space="0" w:color="000000"/>
            </w:tcBorders>
            <w:vAlign w:val="center"/>
          </w:tcPr>
          <w:p w14:paraId="61EB6F1E"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建设银行</w:t>
            </w:r>
          </w:p>
        </w:tc>
        <w:tc>
          <w:tcPr>
            <w:tcW w:w="1696" w:type="dxa"/>
            <w:tcBorders>
              <w:top w:val="single" w:sz="8" w:space="0" w:color="000000"/>
              <w:left w:val="single" w:sz="8" w:space="0" w:color="000000"/>
              <w:bottom w:val="single" w:sz="6" w:space="0" w:color="000000"/>
              <w:right w:val="single" w:sz="8" w:space="0" w:color="000000"/>
            </w:tcBorders>
            <w:vAlign w:val="center"/>
          </w:tcPr>
          <w:p w14:paraId="2012C9B6"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1,600,000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0BD10F9B"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8,832,000.00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6E50618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4.99</w:t>
            </w:r>
          </w:p>
        </w:tc>
      </w:tr>
      <w:tr w:rsidR="004614AE" w14:paraId="10C334D1"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3C1C129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1402" w:type="dxa"/>
            <w:tcBorders>
              <w:top w:val="single" w:sz="8" w:space="0" w:color="000000"/>
              <w:left w:val="single" w:sz="8" w:space="0" w:color="000000"/>
              <w:bottom w:val="single" w:sz="6" w:space="0" w:color="000000"/>
              <w:right w:val="single" w:sz="8" w:space="0" w:color="000000"/>
            </w:tcBorders>
            <w:vAlign w:val="center"/>
          </w:tcPr>
          <w:p w14:paraId="1C02498E"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601288</w:t>
            </w:r>
          </w:p>
        </w:tc>
        <w:tc>
          <w:tcPr>
            <w:tcW w:w="1674" w:type="dxa"/>
            <w:tcBorders>
              <w:top w:val="single" w:sz="8" w:space="0" w:color="000000"/>
              <w:left w:val="single" w:sz="8" w:space="0" w:color="000000"/>
              <w:bottom w:val="single" w:sz="6" w:space="0" w:color="000000"/>
              <w:right w:val="single" w:sz="8" w:space="0" w:color="000000"/>
            </w:tcBorders>
            <w:vAlign w:val="center"/>
          </w:tcPr>
          <w:p w14:paraId="1ECC9B7D"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农业银行</w:t>
            </w:r>
          </w:p>
        </w:tc>
        <w:tc>
          <w:tcPr>
            <w:tcW w:w="1696" w:type="dxa"/>
            <w:tcBorders>
              <w:top w:val="single" w:sz="8" w:space="0" w:color="000000"/>
              <w:left w:val="single" w:sz="8" w:space="0" w:color="000000"/>
              <w:bottom w:val="single" w:sz="6" w:space="0" w:color="000000"/>
              <w:right w:val="single" w:sz="8" w:space="0" w:color="000000"/>
            </w:tcBorders>
            <w:vAlign w:val="center"/>
          </w:tcPr>
          <w:p w14:paraId="2A75C82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3,000,000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038C4D6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8,580,000.00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3882E62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4.85</w:t>
            </w:r>
          </w:p>
        </w:tc>
      </w:tr>
      <w:tr w:rsidR="004614AE" w14:paraId="086F47CA"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2BCDEB9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lastRenderedPageBreak/>
              <w:t>4</w:t>
            </w:r>
          </w:p>
        </w:tc>
        <w:tc>
          <w:tcPr>
            <w:tcW w:w="1402" w:type="dxa"/>
            <w:tcBorders>
              <w:top w:val="single" w:sz="8" w:space="0" w:color="000000"/>
              <w:left w:val="single" w:sz="8" w:space="0" w:color="000000"/>
              <w:bottom w:val="single" w:sz="6" w:space="0" w:color="000000"/>
              <w:right w:val="single" w:sz="8" w:space="0" w:color="000000"/>
            </w:tcBorders>
            <w:vAlign w:val="center"/>
          </w:tcPr>
          <w:p w14:paraId="15D34258"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601398</w:t>
            </w:r>
          </w:p>
        </w:tc>
        <w:tc>
          <w:tcPr>
            <w:tcW w:w="1674" w:type="dxa"/>
            <w:tcBorders>
              <w:top w:val="single" w:sz="8" w:space="0" w:color="000000"/>
              <w:left w:val="single" w:sz="8" w:space="0" w:color="000000"/>
              <w:bottom w:val="single" w:sz="6" w:space="0" w:color="000000"/>
              <w:right w:val="single" w:sz="8" w:space="0" w:color="000000"/>
            </w:tcBorders>
            <w:vAlign w:val="center"/>
          </w:tcPr>
          <w:p w14:paraId="64A4D89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工商银行</w:t>
            </w:r>
          </w:p>
        </w:tc>
        <w:tc>
          <w:tcPr>
            <w:tcW w:w="1696" w:type="dxa"/>
            <w:tcBorders>
              <w:top w:val="single" w:sz="8" w:space="0" w:color="000000"/>
              <w:left w:val="single" w:sz="8" w:space="0" w:color="000000"/>
              <w:bottom w:val="single" w:sz="6" w:space="0" w:color="000000"/>
              <w:right w:val="single" w:sz="8" w:space="0" w:color="000000"/>
            </w:tcBorders>
            <w:vAlign w:val="center"/>
          </w:tcPr>
          <w:p w14:paraId="2315587F"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1,900,000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04F0B27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8,265,000.00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0FC41A6"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4.67</w:t>
            </w:r>
          </w:p>
        </w:tc>
      </w:tr>
      <w:tr w:rsidR="004614AE" w14:paraId="4AEC2513"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3021B2A0"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1402" w:type="dxa"/>
            <w:tcBorders>
              <w:top w:val="single" w:sz="8" w:space="0" w:color="000000"/>
              <w:left w:val="single" w:sz="8" w:space="0" w:color="000000"/>
              <w:bottom w:val="single" w:sz="6" w:space="0" w:color="000000"/>
              <w:right w:val="single" w:sz="8" w:space="0" w:color="000000"/>
            </w:tcBorders>
            <w:vAlign w:val="center"/>
          </w:tcPr>
          <w:p w14:paraId="17CE7E57"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601857</w:t>
            </w:r>
          </w:p>
        </w:tc>
        <w:tc>
          <w:tcPr>
            <w:tcW w:w="1674" w:type="dxa"/>
            <w:tcBorders>
              <w:top w:val="single" w:sz="8" w:space="0" w:color="000000"/>
              <w:left w:val="single" w:sz="8" w:space="0" w:color="000000"/>
              <w:bottom w:val="single" w:sz="6" w:space="0" w:color="000000"/>
              <w:right w:val="single" w:sz="8" w:space="0" w:color="000000"/>
            </w:tcBorders>
            <w:vAlign w:val="center"/>
          </w:tcPr>
          <w:p w14:paraId="67D19DC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中国石油</w:t>
            </w:r>
          </w:p>
        </w:tc>
        <w:tc>
          <w:tcPr>
            <w:tcW w:w="1696" w:type="dxa"/>
            <w:tcBorders>
              <w:top w:val="single" w:sz="8" w:space="0" w:color="000000"/>
              <w:left w:val="single" w:sz="8" w:space="0" w:color="000000"/>
              <w:bottom w:val="single" w:sz="6" w:space="0" w:color="000000"/>
              <w:right w:val="single" w:sz="8" w:space="0" w:color="000000"/>
            </w:tcBorders>
            <w:vAlign w:val="center"/>
          </w:tcPr>
          <w:p w14:paraId="6F9DE042"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1,600,000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16B13A71"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8,208,000.00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81BBB46"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4.64</w:t>
            </w:r>
          </w:p>
        </w:tc>
      </w:tr>
      <w:tr w:rsidR="004614AE" w14:paraId="3460FF22"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6057300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1402" w:type="dxa"/>
            <w:tcBorders>
              <w:top w:val="single" w:sz="8" w:space="0" w:color="000000"/>
              <w:left w:val="single" w:sz="8" w:space="0" w:color="000000"/>
              <w:bottom w:val="single" w:sz="6" w:space="0" w:color="000000"/>
              <w:right w:val="single" w:sz="8" w:space="0" w:color="000000"/>
            </w:tcBorders>
            <w:vAlign w:val="center"/>
          </w:tcPr>
          <w:p w14:paraId="0BDA6C7D"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601088</w:t>
            </w:r>
          </w:p>
        </w:tc>
        <w:tc>
          <w:tcPr>
            <w:tcW w:w="1674" w:type="dxa"/>
            <w:tcBorders>
              <w:top w:val="single" w:sz="8" w:space="0" w:color="000000"/>
              <w:left w:val="single" w:sz="8" w:space="0" w:color="000000"/>
              <w:bottom w:val="single" w:sz="6" w:space="0" w:color="000000"/>
              <w:right w:val="single" w:sz="8" w:space="0" w:color="000000"/>
            </w:tcBorders>
            <w:vAlign w:val="center"/>
          </w:tcPr>
          <w:p w14:paraId="5580B91F"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中国神华</w:t>
            </w:r>
          </w:p>
        </w:tc>
        <w:tc>
          <w:tcPr>
            <w:tcW w:w="1696" w:type="dxa"/>
            <w:tcBorders>
              <w:top w:val="single" w:sz="8" w:space="0" w:color="000000"/>
              <w:left w:val="single" w:sz="8" w:space="0" w:color="000000"/>
              <w:bottom w:val="single" w:sz="6" w:space="0" w:color="000000"/>
              <w:right w:val="single" w:sz="8" w:space="0" w:color="000000"/>
            </w:tcBorders>
            <w:vAlign w:val="center"/>
          </w:tcPr>
          <w:p w14:paraId="464ABF91"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228,800</w:t>
            </w:r>
          </w:p>
        </w:tc>
        <w:tc>
          <w:tcPr>
            <w:tcW w:w="1844" w:type="dxa"/>
            <w:tcBorders>
              <w:top w:val="single" w:sz="8" w:space="0" w:color="000000"/>
              <w:left w:val="single" w:sz="8" w:space="0" w:color="000000"/>
              <w:bottom w:val="single" w:sz="6" w:space="0" w:color="000000"/>
              <w:right w:val="single" w:sz="8" w:space="0" w:color="000000"/>
            </w:tcBorders>
            <w:vAlign w:val="center"/>
          </w:tcPr>
          <w:p w14:paraId="3CA3E75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7,239,232.00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6EE708E"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4.09</w:t>
            </w:r>
          </w:p>
        </w:tc>
      </w:tr>
      <w:tr w:rsidR="004614AE" w14:paraId="0BE341E5"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8288576"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1402" w:type="dxa"/>
            <w:tcBorders>
              <w:top w:val="single" w:sz="8" w:space="0" w:color="000000"/>
              <w:left w:val="single" w:sz="8" w:space="0" w:color="000000"/>
              <w:bottom w:val="single" w:sz="6" w:space="0" w:color="000000"/>
              <w:right w:val="single" w:sz="8" w:space="0" w:color="000000"/>
            </w:tcBorders>
            <w:vAlign w:val="center"/>
          </w:tcPr>
          <w:p w14:paraId="1594A5A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600887</w:t>
            </w:r>
          </w:p>
        </w:tc>
        <w:tc>
          <w:tcPr>
            <w:tcW w:w="1674" w:type="dxa"/>
            <w:tcBorders>
              <w:top w:val="single" w:sz="8" w:space="0" w:color="000000"/>
              <w:left w:val="single" w:sz="8" w:space="0" w:color="000000"/>
              <w:bottom w:val="single" w:sz="6" w:space="0" w:color="000000"/>
              <w:right w:val="single" w:sz="8" w:space="0" w:color="000000"/>
            </w:tcBorders>
            <w:vAlign w:val="center"/>
          </w:tcPr>
          <w:p w14:paraId="02A30050"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伊利股份</w:t>
            </w:r>
          </w:p>
        </w:tc>
        <w:tc>
          <w:tcPr>
            <w:tcW w:w="1696" w:type="dxa"/>
            <w:tcBorders>
              <w:top w:val="single" w:sz="8" w:space="0" w:color="000000"/>
              <w:left w:val="single" w:sz="8" w:space="0" w:color="000000"/>
              <w:bottom w:val="single" w:sz="6" w:space="0" w:color="000000"/>
              <w:right w:val="single" w:sz="8" w:space="0" w:color="000000"/>
            </w:tcBorders>
            <w:vAlign w:val="center"/>
          </w:tcPr>
          <w:p w14:paraId="424FA2F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042C2738"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6,596,000.00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2CE9440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3.73</w:t>
            </w:r>
          </w:p>
        </w:tc>
      </w:tr>
      <w:tr w:rsidR="004614AE" w14:paraId="2F619617"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2863AC0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1402" w:type="dxa"/>
            <w:tcBorders>
              <w:top w:val="single" w:sz="8" w:space="0" w:color="000000"/>
              <w:left w:val="single" w:sz="8" w:space="0" w:color="000000"/>
              <w:bottom w:val="single" w:sz="6" w:space="0" w:color="000000"/>
              <w:right w:val="single" w:sz="8" w:space="0" w:color="000000"/>
            </w:tcBorders>
            <w:vAlign w:val="center"/>
          </w:tcPr>
          <w:p w14:paraId="12CA9CF3"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601988</w:t>
            </w:r>
          </w:p>
        </w:tc>
        <w:tc>
          <w:tcPr>
            <w:tcW w:w="1674" w:type="dxa"/>
            <w:tcBorders>
              <w:top w:val="single" w:sz="8" w:space="0" w:color="000000"/>
              <w:left w:val="single" w:sz="8" w:space="0" w:color="000000"/>
              <w:bottom w:val="single" w:sz="6" w:space="0" w:color="000000"/>
              <w:right w:val="single" w:sz="8" w:space="0" w:color="000000"/>
            </w:tcBorders>
            <w:vAlign w:val="center"/>
          </w:tcPr>
          <w:p w14:paraId="01F3D00D"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中国银行</w:t>
            </w:r>
          </w:p>
        </w:tc>
        <w:tc>
          <w:tcPr>
            <w:tcW w:w="1696" w:type="dxa"/>
            <w:tcBorders>
              <w:top w:val="single" w:sz="8" w:space="0" w:color="000000"/>
              <w:left w:val="single" w:sz="8" w:space="0" w:color="000000"/>
              <w:bottom w:val="single" w:sz="6" w:space="0" w:color="000000"/>
              <w:right w:val="single" w:sz="8" w:space="0" w:color="000000"/>
            </w:tcBorders>
            <w:vAlign w:val="center"/>
          </w:tcPr>
          <w:p w14:paraId="018137ED"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554B313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6,180,000.00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0AC5C66"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3.49</w:t>
            </w:r>
          </w:p>
        </w:tc>
      </w:tr>
      <w:tr w:rsidR="004614AE" w14:paraId="5239D4D1"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4DC7AC7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w:t>
            </w:r>
          </w:p>
        </w:tc>
        <w:tc>
          <w:tcPr>
            <w:tcW w:w="1402" w:type="dxa"/>
            <w:tcBorders>
              <w:top w:val="single" w:sz="8" w:space="0" w:color="000000"/>
              <w:left w:val="single" w:sz="8" w:space="0" w:color="000000"/>
              <w:bottom w:val="single" w:sz="6" w:space="0" w:color="000000"/>
              <w:right w:val="single" w:sz="8" w:space="0" w:color="000000"/>
            </w:tcBorders>
            <w:vAlign w:val="center"/>
          </w:tcPr>
          <w:p w14:paraId="002F852F"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600900</w:t>
            </w:r>
          </w:p>
        </w:tc>
        <w:tc>
          <w:tcPr>
            <w:tcW w:w="1674" w:type="dxa"/>
            <w:tcBorders>
              <w:top w:val="single" w:sz="8" w:space="0" w:color="000000"/>
              <w:left w:val="single" w:sz="8" w:space="0" w:color="000000"/>
              <w:bottom w:val="single" w:sz="6" w:space="0" w:color="000000"/>
              <w:right w:val="single" w:sz="8" w:space="0" w:color="000000"/>
            </w:tcBorders>
            <w:vAlign w:val="center"/>
          </w:tcPr>
          <w:p w14:paraId="3A15018A"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长江电力</w:t>
            </w:r>
          </w:p>
        </w:tc>
        <w:tc>
          <w:tcPr>
            <w:tcW w:w="1696" w:type="dxa"/>
            <w:tcBorders>
              <w:top w:val="single" w:sz="8" w:space="0" w:color="000000"/>
              <w:left w:val="single" w:sz="8" w:space="0" w:color="000000"/>
              <w:bottom w:val="single" w:sz="6" w:space="0" w:color="000000"/>
              <w:right w:val="single" w:sz="8" w:space="0" w:color="000000"/>
            </w:tcBorders>
            <w:vAlign w:val="center"/>
          </w:tcPr>
          <w:p w14:paraId="52E8DE14"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250,000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4A9C906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5,685,000.00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735D029A"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3.21</w:t>
            </w:r>
          </w:p>
        </w:tc>
      </w:tr>
      <w:tr w:rsidR="004614AE" w14:paraId="2251A8C6" w14:textId="77777777">
        <w:tc>
          <w:tcPr>
            <w:tcW w:w="472" w:type="dxa"/>
            <w:tcBorders>
              <w:top w:val="single" w:sz="8" w:space="0" w:color="000000"/>
              <w:left w:val="single" w:sz="8" w:space="0" w:color="000000"/>
              <w:bottom w:val="single" w:sz="6" w:space="0" w:color="000000"/>
              <w:right w:val="single" w:sz="8" w:space="0" w:color="000000"/>
            </w:tcBorders>
            <w:vAlign w:val="center"/>
          </w:tcPr>
          <w:p w14:paraId="0FA62DF8"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w:t>
            </w:r>
          </w:p>
        </w:tc>
        <w:tc>
          <w:tcPr>
            <w:tcW w:w="1402" w:type="dxa"/>
            <w:tcBorders>
              <w:top w:val="single" w:sz="8" w:space="0" w:color="000000"/>
              <w:left w:val="single" w:sz="8" w:space="0" w:color="000000"/>
              <w:bottom w:val="single" w:sz="6" w:space="0" w:color="000000"/>
              <w:right w:val="single" w:sz="8" w:space="0" w:color="000000"/>
            </w:tcBorders>
            <w:vAlign w:val="center"/>
          </w:tcPr>
          <w:p w14:paraId="753E46FA"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000538</w:t>
            </w:r>
          </w:p>
        </w:tc>
        <w:tc>
          <w:tcPr>
            <w:tcW w:w="1674" w:type="dxa"/>
            <w:tcBorders>
              <w:top w:val="single" w:sz="8" w:space="0" w:color="000000"/>
              <w:left w:val="single" w:sz="8" w:space="0" w:color="000000"/>
              <w:bottom w:val="single" w:sz="6" w:space="0" w:color="000000"/>
              <w:right w:val="single" w:sz="8" w:space="0" w:color="000000"/>
            </w:tcBorders>
            <w:vAlign w:val="center"/>
          </w:tcPr>
          <w:p w14:paraId="7135D463"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云南白药</w:t>
            </w:r>
          </w:p>
        </w:tc>
        <w:tc>
          <w:tcPr>
            <w:tcW w:w="1696" w:type="dxa"/>
            <w:tcBorders>
              <w:top w:val="single" w:sz="8" w:space="0" w:color="000000"/>
              <w:left w:val="single" w:sz="8" w:space="0" w:color="000000"/>
              <w:bottom w:val="single" w:sz="6" w:space="0" w:color="000000"/>
              <w:right w:val="single" w:sz="8" w:space="0" w:color="000000"/>
            </w:tcBorders>
            <w:vAlign w:val="center"/>
          </w:tcPr>
          <w:p w14:paraId="3921C5A3"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100,000</w:t>
            </w:r>
          </w:p>
        </w:tc>
        <w:tc>
          <w:tcPr>
            <w:tcW w:w="1844" w:type="dxa"/>
            <w:tcBorders>
              <w:top w:val="single" w:sz="8" w:space="0" w:color="000000"/>
              <w:left w:val="single" w:sz="8" w:space="0" w:color="000000"/>
              <w:bottom w:val="single" w:sz="6" w:space="0" w:color="000000"/>
              <w:right w:val="single" w:sz="8" w:space="0" w:color="000000"/>
            </w:tcBorders>
            <w:vAlign w:val="center"/>
          </w:tcPr>
          <w:p w14:paraId="5FA7D8CD"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5,235,000.00</w:t>
            </w:r>
          </w:p>
        </w:tc>
        <w:tc>
          <w:tcPr>
            <w:tcW w:w="1701" w:type="dxa"/>
            <w:tcBorders>
              <w:top w:val="single" w:sz="8" w:space="0" w:color="000000"/>
              <w:left w:val="single" w:sz="8" w:space="0" w:color="000000"/>
              <w:bottom w:val="single" w:sz="6" w:space="0" w:color="000000"/>
              <w:right w:val="single" w:sz="8" w:space="0" w:color="000000"/>
            </w:tcBorders>
            <w:vAlign w:val="center"/>
          </w:tcPr>
          <w:p w14:paraId="45352177"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2.96</w:t>
            </w:r>
          </w:p>
        </w:tc>
      </w:tr>
    </w:tbl>
    <w:p w14:paraId="31C485E7" w14:textId="77777777" w:rsidR="004614AE" w:rsidRDefault="004614AE">
      <w:pPr>
        <w:widowControl/>
        <w:jc w:val="left"/>
        <w:rPr>
          <w:rFonts w:asciiTheme="minorEastAsia" w:hAnsiTheme="minorEastAsia" w:cs="Times New Roman"/>
          <w:bCs/>
          <w:sz w:val="24"/>
          <w:szCs w:val="24"/>
        </w:rPr>
      </w:pPr>
    </w:p>
    <w:p w14:paraId="5B51BDD1" w14:textId="77777777" w:rsidR="004614AE" w:rsidRDefault="00000000">
      <w:pPr>
        <w:pStyle w:val="zhangjiep"/>
        <w:rPr>
          <w:rFonts w:asciiTheme="minorEastAsia" w:eastAsiaTheme="minorEastAsia" w:hAnsiTheme="minorEastAsia" w:cs="Times New Roman"/>
          <w:bCs/>
          <w:kern w:val="2"/>
        </w:rPr>
      </w:pPr>
      <w:bookmarkStart w:id="217" w:name="_Toc117173482"/>
      <w:r>
        <w:rPr>
          <w:rFonts w:asciiTheme="minorEastAsia" w:eastAsiaTheme="minorEastAsia" w:hAnsiTheme="minorEastAsia" w:cs="Times New Roman"/>
          <w:bCs/>
          <w:kern w:val="2"/>
        </w:rPr>
        <w:t>4、 报告期末按债券品种分类的债券投资组合</w:t>
      </w:r>
      <w:bookmarkEnd w:id="217"/>
    </w:p>
    <w:p w14:paraId="69EBDF07"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18D80329" w14:textId="77777777" w:rsidR="004614AE" w:rsidRDefault="004614AE">
      <w:pPr>
        <w:widowControl/>
        <w:jc w:val="left"/>
        <w:rPr>
          <w:rFonts w:asciiTheme="minorEastAsia" w:hAnsiTheme="minorEastAsia" w:cs="Times New Roman"/>
          <w:bCs/>
          <w:sz w:val="24"/>
          <w:szCs w:val="24"/>
        </w:rPr>
      </w:pPr>
    </w:p>
    <w:p w14:paraId="31FDF9C9" w14:textId="77777777" w:rsidR="004614AE" w:rsidRDefault="00000000">
      <w:pPr>
        <w:pStyle w:val="zhangjiep"/>
        <w:rPr>
          <w:rFonts w:asciiTheme="minorEastAsia" w:eastAsiaTheme="minorEastAsia" w:hAnsiTheme="minorEastAsia" w:cs="Times New Roman"/>
          <w:bCs/>
          <w:kern w:val="2"/>
        </w:rPr>
      </w:pPr>
      <w:bookmarkStart w:id="218" w:name="_Toc117173483"/>
      <w:r>
        <w:rPr>
          <w:rFonts w:asciiTheme="minorEastAsia" w:eastAsiaTheme="minorEastAsia" w:hAnsiTheme="minorEastAsia" w:cs="Times New Roman"/>
          <w:bCs/>
          <w:kern w:val="2"/>
        </w:rPr>
        <w:t>5、 报告期末按公允价值占基金资产净值比例大小排序的前五名债券投资明细</w:t>
      </w:r>
      <w:bookmarkEnd w:id="218"/>
    </w:p>
    <w:p w14:paraId="77646F34"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本基金本报告期末未持有债券。</w:t>
      </w:r>
    </w:p>
    <w:p w14:paraId="630B2044" w14:textId="77777777" w:rsidR="004614AE" w:rsidRDefault="004614AE">
      <w:pPr>
        <w:widowControl/>
        <w:jc w:val="left"/>
        <w:rPr>
          <w:rFonts w:asciiTheme="minorEastAsia" w:hAnsiTheme="minorEastAsia" w:cs="Times New Roman"/>
          <w:bCs/>
          <w:sz w:val="24"/>
          <w:szCs w:val="24"/>
        </w:rPr>
      </w:pPr>
    </w:p>
    <w:p w14:paraId="3CE1ACA4" w14:textId="77777777" w:rsidR="004614AE" w:rsidRDefault="00000000">
      <w:pPr>
        <w:pStyle w:val="zhangjiep"/>
        <w:rPr>
          <w:rFonts w:asciiTheme="minorEastAsia" w:eastAsiaTheme="minorEastAsia" w:hAnsiTheme="minorEastAsia" w:cs="Times New Roman"/>
          <w:bCs/>
          <w:kern w:val="2"/>
        </w:rPr>
      </w:pPr>
      <w:bookmarkStart w:id="219" w:name="_Toc117173484"/>
      <w:r>
        <w:rPr>
          <w:rFonts w:asciiTheme="minorEastAsia" w:eastAsiaTheme="minorEastAsia" w:hAnsiTheme="minorEastAsia" w:cs="Times New Roman"/>
          <w:bCs/>
          <w:kern w:val="2"/>
        </w:rPr>
        <w:t>6、 报告期末按公允价值占基金资产净值比例大小排序的前十名资产支持证券投资明细</w:t>
      </w:r>
      <w:bookmarkEnd w:id="219"/>
    </w:p>
    <w:p w14:paraId="38A8E48C"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本基金本报告期末未持有资产支持证券。</w:t>
      </w:r>
    </w:p>
    <w:p w14:paraId="4254A7F3" w14:textId="77777777" w:rsidR="004614AE" w:rsidRDefault="004614AE">
      <w:pPr>
        <w:widowControl/>
        <w:jc w:val="left"/>
        <w:rPr>
          <w:rFonts w:asciiTheme="minorEastAsia" w:hAnsiTheme="minorEastAsia" w:cs="Times New Roman"/>
          <w:bCs/>
          <w:sz w:val="24"/>
          <w:szCs w:val="24"/>
        </w:rPr>
      </w:pPr>
    </w:p>
    <w:p w14:paraId="44BBEDFE" w14:textId="77777777" w:rsidR="004614AE" w:rsidRDefault="00000000">
      <w:pPr>
        <w:pStyle w:val="zhangjiep"/>
        <w:rPr>
          <w:rFonts w:asciiTheme="minorEastAsia" w:eastAsiaTheme="minorEastAsia" w:hAnsiTheme="minorEastAsia" w:cs="Times New Roman"/>
          <w:bCs/>
          <w:kern w:val="2"/>
        </w:rPr>
      </w:pPr>
      <w:bookmarkStart w:id="220" w:name="_Toc117173485"/>
      <w:r>
        <w:rPr>
          <w:rFonts w:asciiTheme="minorEastAsia" w:eastAsiaTheme="minorEastAsia" w:hAnsiTheme="minorEastAsia" w:cs="Times New Roman"/>
          <w:bCs/>
          <w:kern w:val="2"/>
        </w:rPr>
        <w:t>7、 报告期末按公允价值占基金资产净值比例大小排序的前五名贵金属投资明细</w:t>
      </w:r>
      <w:bookmarkEnd w:id="220"/>
    </w:p>
    <w:p w14:paraId="78A60582"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本基金本报告期末未持有贵金属。</w:t>
      </w:r>
    </w:p>
    <w:p w14:paraId="142E3D12" w14:textId="77777777" w:rsidR="004614AE" w:rsidRDefault="004614AE">
      <w:pPr>
        <w:widowControl/>
        <w:jc w:val="left"/>
        <w:rPr>
          <w:rFonts w:asciiTheme="minorEastAsia" w:hAnsiTheme="minorEastAsia" w:cs="Times New Roman"/>
          <w:bCs/>
          <w:sz w:val="24"/>
          <w:szCs w:val="24"/>
        </w:rPr>
      </w:pPr>
    </w:p>
    <w:p w14:paraId="4CE9A44B" w14:textId="77777777" w:rsidR="004614AE" w:rsidRDefault="00000000">
      <w:pPr>
        <w:pStyle w:val="zhangjiep"/>
        <w:rPr>
          <w:rFonts w:asciiTheme="minorEastAsia" w:eastAsiaTheme="minorEastAsia" w:hAnsiTheme="minorEastAsia" w:cs="Times New Roman"/>
          <w:bCs/>
          <w:kern w:val="2"/>
        </w:rPr>
      </w:pPr>
      <w:bookmarkStart w:id="221" w:name="_Toc117173486"/>
      <w:r>
        <w:rPr>
          <w:rFonts w:asciiTheme="minorEastAsia" w:eastAsiaTheme="minorEastAsia" w:hAnsiTheme="minorEastAsia" w:cs="Times New Roman"/>
          <w:bCs/>
          <w:kern w:val="2"/>
        </w:rPr>
        <w:t>8、 报告期末按公允价值占基金资产净值比例大小排序的前五名权证投资明细</w:t>
      </w:r>
      <w:bookmarkEnd w:id="221"/>
    </w:p>
    <w:p w14:paraId="3A50B966"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本基金本报告期末未持有权证。</w:t>
      </w:r>
    </w:p>
    <w:p w14:paraId="45E543F6" w14:textId="77777777" w:rsidR="004614AE" w:rsidRDefault="004614AE">
      <w:pPr>
        <w:widowControl/>
        <w:jc w:val="left"/>
        <w:rPr>
          <w:rFonts w:asciiTheme="minorEastAsia" w:hAnsiTheme="minorEastAsia" w:cs="Times New Roman"/>
          <w:bCs/>
          <w:sz w:val="24"/>
          <w:szCs w:val="24"/>
        </w:rPr>
      </w:pPr>
    </w:p>
    <w:p w14:paraId="076D2045" w14:textId="77777777" w:rsidR="004614AE" w:rsidRDefault="00000000">
      <w:pPr>
        <w:pStyle w:val="zhangjiep"/>
        <w:rPr>
          <w:rFonts w:asciiTheme="minorEastAsia" w:eastAsiaTheme="minorEastAsia" w:hAnsiTheme="minorEastAsia" w:cs="Times New Roman"/>
          <w:bCs/>
          <w:kern w:val="2"/>
        </w:rPr>
      </w:pPr>
      <w:bookmarkStart w:id="222" w:name="_Toc117173487"/>
      <w:r>
        <w:rPr>
          <w:rFonts w:asciiTheme="minorEastAsia" w:eastAsiaTheme="minorEastAsia" w:hAnsiTheme="minorEastAsia" w:cs="Times New Roman"/>
          <w:bCs/>
          <w:kern w:val="2"/>
        </w:rPr>
        <w:t>9</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报告期末本基金投资的股指期货交易情况说明</w:t>
      </w:r>
      <w:bookmarkEnd w:id="222"/>
    </w:p>
    <w:p w14:paraId="007B99C3"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报告期末本基金投资的股指期货持仓和损益明细</w:t>
      </w:r>
    </w:p>
    <w:p w14:paraId="20C68524"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7AEE6B80" w14:textId="77777777" w:rsidR="004614AE" w:rsidRDefault="004614AE">
      <w:pPr>
        <w:widowControl/>
        <w:jc w:val="left"/>
        <w:rPr>
          <w:rFonts w:asciiTheme="minorEastAsia" w:hAnsiTheme="minorEastAsia" w:cs="Times New Roman"/>
          <w:bCs/>
          <w:sz w:val="24"/>
          <w:szCs w:val="24"/>
        </w:rPr>
      </w:pPr>
    </w:p>
    <w:p w14:paraId="279F0666"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本基金投资股指期货的投资政策</w:t>
      </w:r>
    </w:p>
    <w:p w14:paraId="1AC540B6" w14:textId="77777777" w:rsidR="004614AE" w:rsidRDefault="00000000" w:rsidP="00D3649B">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本基金本报告期末未投资股指期货。</w:t>
      </w:r>
    </w:p>
    <w:p w14:paraId="1C504ECD" w14:textId="77777777" w:rsidR="004614AE" w:rsidRDefault="004614AE">
      <w:pPr>
        <w:widowControl/>
        <w:jc w:val="left"/>
        <w:rPr>
          <w:rFonts w:asciiTheme="minorEastAsia" w:hAnsiTheme="minorEastAsia" w:cs="Times New Roman"/>
          <w:bCs/>
          <w:sz w:val="24"/>
          <w:szCs w:val="24"/>
        </w:rPr>
      </w:pPr>
    </w:p>
    <w:p w14:paraId="4FEBC94A" w14:textId="77777777" w:rsidR="004614AE" w:rsidRDefault="00000000">
      <w:pPr>
        <w:pStyle w:val="zhangjiep"/>
        <w:rPr>
          <w:rFonts w:asciiTheme="minorEastAsia" w:eastAsiaTheme="minorEastAsia" w:hAnsiTheme="minorEastAsia" w:cs="Times New Roman"/>
          <w:bCs/>
          <w:kern w:val="2"/>
        </w:rPr>
      </w:pPr>
      <w:bookmarkStart w:id="223" w:name="_Toc117173488"/>
      <w:r>
        <w:rPr>
          <w:rFonts w:asciiTheme="minorEastAsia" w:eastAsiaTheme="minorEastAsia" w:hAnsiTheme="minorEastAsia" w:cs="Times New Roman"/>
          <w:bCs/>
          <w:kern w:val="2"/>
        </w:rPr>
        <w:t>10、 报告期末本基金投资的国债期货交易情况说明</w:t>
      </w:r>
      <w:bookmarkEnd w:id="223"/>
    </w:p>
    <w:p w14:paraId="23960C47"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本期国债期货投资政策</w:t>
      </w:r>
    </w:p>
    <w:p w14:paraId="4E61C4F4" w14:textId="77777777" w:rsidR="004614AE" w:rsidRDefault="00000000" w:rsidP="00D3649B">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17CD9138" w14:textId="77777777" w:rsidR="004614AE" w:rsidRDefault="004614AE">
      <w:pPr>
        <w:widowControl/>
        <w:jc w:val="left"/>
        <w:rPr>
          <w:rFonts w:asciiTheme="minorEastAsia" w:hAnsiTheme="minorEastAsia" w:cs="Times New Roman"/>
          <w:bCs/>
          <w:sz w:val="24"/>
          <w:szCs w:val="24"/>
        </w:rPr>
      </w:pPr>
    </w:p>
    <w:p w14:paraId="4448DD3F"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报告期末本基金投资的国债期货持仓和损益明细</w:t>
      </w:r>
    </w:p>
    <w:p w14:paraId="3A5C93CD"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lastRenderedPageBreak/>
        <w:t>本基金本报告期末未投资国债期货。</w:t>
      </w:r>
    </w:p>
    <w:p w14:paraId="0C9EF81E"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3） 本期国债期货投资评价</w:t>
      </w:r>
    </w:p>
    <w:p w14:paraId="49A145CE" w14:textId="77777777" w:rsidR="004614AE" w:rsidRDefault="00000000" w:rsidP="00D3649B">
      <w:pPr>
        <w:pStyle w:val="neirong"/>
        <w:spacing w:before="0"/>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本基金本报告期末未投资国债期货。</w:t>
      </w:r>
    </w:p>
    <w:p w14:paraId="4AFFBE6F" w14:textId="77777777" w:rsidR="004614AE" w:rsidRDefault="004614AE">
      <w:pPr>
        <w:widowControl/>
        <w:jc w:val="left"/>
        <w:rPr>
          <w:rFonts w:asciiTheme="minorEastAsia" w:hAnsiTheme="minorEastAsia" w:cs="Times New Roman"/>
          <w:bCs/>
          <w:sz w:val="24"/>
          <w:szCs w:val="24"/>
        </w:rPr>
      </w:pPr>
    </w:p>
    <w:p w14:paraId="503996EB" w14:textId="77777777" w:rsidR="004614AE" w:rsidRDefault="00000000">
      <w:pPr>
        <w:pStyle w:val="zhangjiep"/>
        <w:rPr>
          <w:rFonts w:asciiTheme="minorEastAsia" w:eastAsiaTheme="minorEastAsia" w:hAnsiTheme="minorEastAsia" w:cs="Times New Roman"/>
          <w:bCs/>
          <w:kern w:val="2"/>
        </w:rPr>
      </w:pPr>
      <w:bookmarkStart w:id="224" w:name="_Toc117173489"/>
      <w:r>
        <w:rPr>
          <w:rFonts w:asciiTheme="minorEastAsia" w:eastAsiaTheme="minorEastAsia" w:hAnsiTheme="minorEastAsia" w:cs="Times New Roman"/>
          <w:bCs/>
          <w:kern w:val="2"/>
        </w:rPr>
        <w:t>11、 投资组合报告附注</w:t>
      </w:r>
      <w:bookmarkEnd w:id="224"/>
      <w:r>
        <w:rPr>
          <w:rFonts w:asciiTheme="minorEastAsia" w:eastAsiaTheme="minorEastAsia" w:hAnsiTheme="minorEastAsia" w:cs="Times New Roman"/>
          <w:bCs/>
          <w:kern w:val="2"/>
        </w:rPr>
        <w:t xml:space="preserve"> </w:t>
      </w:r>
    </w:p>
    <w:p w14:paraId="4C5F931B"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1） 本基金投资的前十名证券的发行主体中，中国建设银行股份有限公司在报告编制日前一年内曾受到中国银行间市场交易商协会的处罚。中国农业银行股份有限公司在报告编制日前一年内曾受到国家税务总局凤凰县税务局税源管理及银保监会的处罚。中国工商银行股份有限公司在报告编制日前一年内曾受到银保监会的处罚。中国银行股份有限公司在报告编制日前一年内曾受到银保监会的处罚。</w:t>
      </w:r>
    </w:p>
    <w:p w14:paraId="099B5591" w14:textId="77777777" w:rsidR="004614AE" w:rsidRDefault="00000000">
      <w:pPr>
        <w:pStyle w:val="biaogeleft"/>
        <w:ind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本基金对上述主体发行的相关证券的投资决策程序符合相关法律法规及基金合同的要求。</w:t>
      </w:r>
    </w:p>
    <w:p w14:paraId="272E5E97" w14:textId="77777777" w:rsidR="004614AE" w:rsidRDefault="00000000">
      <w:pPr>
        <w:pStyle w:val="biaogeleft"/>
        <w:ind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除上述主体外，本基金投资的其他前十名证券的发行主体本期没有出现被监管部门立案调查，或在报告编制日前一年内受到公开谴责、处罚的情形。</w:t>
      </w:r>
    </w:p>
    <w:p w14:paraId="38EF8233" w14:textId="77777777" w:rsidR="004614AE" w:rsidRDefault="004614AE">
      <w:pPr>
        <w:widowControl/>
        <w:jc w:val="left"/>
        <w:rPr>
          <w:rFonts w:asciiTheme="minorEastAsia" w:hAnsiTheme="minorEastAsia" w:cs="Times New Roman"/>
          <w:bCs/>
          <w:sz w:val="24"/>
          <w:szCs w:val="24"/>
        </w:rPr>
      </w:pPr>
    </w:p>
    <w:p w14:paraId="5762B2F8"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2） 本基金投资的前十名股票没有超出基金合同规定的备选股票库。</w:t>
      </w:r>
    </w:p>
    <w:p w14:paraId="0078C923" w14:textId="77777777" w:rsidR="004614AE" w:rsidRDefault="004614AE">
      <w:pPr>
        <w:widowControl/>
        <w:jc w:val="left"/>
        <w:rPr>
          <w:rFonts w:asciiTheme="minorEastAsia" w:hAnsiTheme="minorEastAsia" w:cs="Times New Roman"/>
          <w:bCs/>
          <w:sz w:val="24"/>
          <w:szCs w:val="24"/>
        </w:rPr>
      </w:pPr>
    </w:p>
    <w:p w14:paraId="34C8EC8D"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3</w:t>
      </w: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 xml:space="preserve"> 其他资产构成</w:t>
      </w:r>
    </w:p>
    <w:tbl>
      <w:tblPr>
        <w:tblW w:w="9045" w:type="dxa"/>
        <w:tblInd w:w="108" w:type="dxa"/>
        <w:tblLook w:val="04A0" w:firstRow="1" w:lastRow="0" w:firstColumn="1" w:lastColumn="0" w:noHBand="0" w:noVBand="1"/>
      </w:tblPr>
      <w:tblGrid>
        <w:gridCol w:w="1276"/>
        <w:gridCol w:w="3709"/>
        <w:gridCol w:w="4060"/>
      </w:tblGrid>
      <w:tr w:rsidR="004614AE" w14:paraId="1C7BDC7C" w14:textId="77777777">
        <w:tc>
          <w:tcPr>
            <w:tcW w:w="1342" w:type="dxa"/>
            <w:tcBorders>
              <w:top w:val="single" w:sz="8" w:space="0" w:color="000000"/>
              <w:left w:val="single" w:sz="8" w:space="0" w:color="000000"/>
              <w:bottom w:val="single" w:sz="6" w:space="0" w:color="000000"/>
              <w:right w:val="single" w:sz="8" w:space="0" w:color="000000"/>
            </w:tcBorders>
            <w:vAlign w:val="center"/>
          </w:tcPr>
          <w:p w14:paraId="1B27B6D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序号</w:t>
            </w:r>
          </w:p>
        </w:tc>
        <w:tc>
          <w:tcPr>
            <w:tcW w:w="3974" w:type="dxa"/>
            <w:tcBorders>
              <w:top w:val="single" w:sz="8" w:space="0" w:color="000000"/>
              <w:left w:val="single" w:sz="8" w:space="0" w:color="000000"/>
              <w:bottom w:val="single" w:sz="6" w:space="0" w:color="000000"/>
              <w:right w:val="single" w:sz="8" w:space="0" w:color="000000"/>
            </w:tcBorders>
            <w:vAlign w:val="center"/>
          </w:tcPr>
          <w:p w14:paraId="5D9E1E5F"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名称</w:t>
            </w:r>
          </w:p>
        </w:tc>
        <w:tc>
          <w:tcPr>
            <w:tcW w:w="4334" w:type="dxa"/>
            <w:tcBorders>
              <w:top w:val="single" w:sz="8" w:space="0" w:color="000000"/>
              <w:left w:val="single" w:sz="8" w:space="0" w:color="000000"/>
              <w:bottom w:val="single" w:sz="6" w:space="0" w:color="000000"/>
              <w:right w:val="single" w:sz="8" w:space="0" w:color="000000"/>
            </w:tcBorders>
            <w:vAlign w:val="center"/>
          </w:tcPr>
          <w:p w14:paraId="160016E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金额</w:t>
            </w:r>
            <w:r>
              <w:rPr>
                <w:rFonts w:asciiTheme="minorEastAsia" w:eastAsiaTheme="minorEastAsia" w:hAnsiTheme="minorEastAsia" w:cs="Times New Roman"/>
                <w:bCs/>
                <w:kern w:val="2"/>
              </w:rPr>
              <w:t>(元)</w:t>
            </w:r>
          </w:p>
        </w:tc>
      </w:tr>
      <w:tr w:rsidR="004614AE" w14:paraId="5621E6F9"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56C653D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w:t>
            </w:r>
          </w:p>
        </w:tc>
        <w:tc>
          <w:tcPr>
            <w:tcW w:w="3974" w:type="dxa"/>
            <w:tcBorders>
              <w:top w:val="single" w:sz="8" w:space="0" w:color="000000"/>
              <w:left w:val="single" w:sz="8" w:space="0" w:color="000000"/>
              <w:bottom w:val="single" w:sz="6" w:space="0" w:color="000000"/>
              <w:right w:val="single" w:sz="8" w:space="0" w:color="000000"/>
            </w:tcBorders>
            <w:vAlign w:val="center"/>
          </w:tcPr>
          <w:p w14:paraId="118B544C"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tcPr>
          <w:p w14:paraId="292D9E62"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56,870,994.04</w:t>
            </w:r>
          </w:p>
        </w:tc>
      </w:tr>
      <w:tr w:rsidR="004614AE" w14:paraId="6B003041"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6DA6C25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w:t>
            </w:r>
          </w:p>
        </w:tc>
        <w:tc>
          <w:tcPr>
            <w:tcW w:w="3974" w:type="dxa"/>
            <w:tcBorders>
              <w:top w:val="single" w:sz="8" w:space="0" w:color="000000"/>
              <w:left w:val="single" w:sz="8" w:space="0" w:color="000000"/>
              <w:bottom w:val="single" w:sz="6" w:space="0" w:color="000000"/>
              <w:right w:val="single" w:sz="8" w:space="0" w:color="000000"/>
            </w:tcBorders>
            <w:vAlign w:val="center"/>
          </w:tcPr>
          <w:p w14:paraId="317A3BF4"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tcPr>
          <w:p w14:paraId="395AC9E5"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55F7B8B1"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0148143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3</w:t>
            </w:r>
          </w:p>
        </w:tc>
        <w:tc>
          <w:tcPr>
            <w:tcW w:w="3974" w:type="dxa"/>
            <w:tcBorders>
              <w:top w:val="single" w:sz="8" w:space="0" w:color="000000"/>
              <w:left w:val="single" w:sz="8" w:space="0" w:color="000000"/>
              <w:bottom w:val="single" w:sz="6" w:space="0" w:color="000000"/>
              <w:right w:val="single" w:sz="8" w:space="0" w:color="000000"/>
            </w:tcBorders>
            <w:vAlign w:val="center"/>
          </w:tcPr>
          <w:p w14:paraId="453B68E7"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tcPr>
          <w:p w14:paraId="13343C3D"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46C3E289"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1B75318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4</w:t>
            </w:r>
          </w:p>
        </w:tc>
        <w:tc>
          <w:tcPr>
            <w:tcW w:w="3974" w:type="dxa"/>
            <w:tcBorders>
              <w:top w:val="single" w:sz="8" w:space="0" w:color="000000"/>
              <w:left w:val="single" w:sz="8" w:space="0" w:color="000000"/>
              <w:bottom w:val="single" w:sz="6" w:space="0" w:color="000000"/>
              <w:right w:val="single" w:sz="8" w:space="0" w:color="000000"/>
            </w:tcBorders>
            <w:vAlign w:val="center"/>
          </w:tcPr>
          <w:p w14:paraId="79FA9A2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tcPr>
          <w:p w14:paraId="1DF7CEC3"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561E4A7E"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63D6777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w:t>
            </w:r>
          </w:p>
        </w:tc>
        <w:tc>
          <w:tcPr>
            <w:tcW w:w="3974" w:type="dxa"/>
            <w:tcBorders>
              <w:top w:val="single" w:sz="8" w:space="0" w:color="000000"/>
              <w:left w:val="single" w:sz="8" w:space="0" w:color="000000"/>
              <w:bottom w:val="single" w:sz="6" w:space="0" w:color="000000"/>
              <w:right w:val="single" w:sz="8" w:space="0" w:color="000000"/>
            </w:tcBorders>
            <w:vAlign w:val="center"/>
          </w:tcPr>
          <w:p w14:paraId="35B2C875"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tcPr>
          <w:p w14:paraId="26C10660"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644F4E6E"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631CB7C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w:t>
            </w:r>
          </w:p>
        </w:tc>
        <w:tc>
          <w:tcPr>
            <w:tcW w:w="3974" w:type="dxa"/>
            <w:tcBorders>
              <w:top w:val="single" w:sz="8" w:space="0" w:color="000000"/>
              <w:left w:val="single" w:sz="8" w:space="0" w:color="000000"/>
              <w:bottom w:val="single" w:sz="6" w:space="0" w:color="000000"/>
              <w:right w:val="single" w:sz="8" w:space="0" w:color="000000"/>
            </w:tcBorders>
            <w:vAlign w:val="center"/>
          </w:tcPr>
          <w:p w14:paraId="5FC29492"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tcPr>
          <w:p w14:paraId="46CA91FC"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17CB4C73"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5180C2A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7</w:t>
            </w:r>
          </w:p>
        </w:tc>
        <w:tc>
          <w:tcPr>
            <w:tcW w:w="3974" w:type="dxa"/>
            <w:tcBorders>
              <w:top w:val="single" w:sz="8" w:space="0" w:color="000000"/>
              <w:left w:val="single" w:sz="8" w:space="0" w:color="000000"/>
              <w:bottom w:val="single" w:sz="6" w:space="0" w:color="000000"/>
              <w:right w:val="single" w:sz="8" w:space="0" w:color="000000"/>
            </w:tcBorders>
            <w:vAlign w:val="center"/>
          </w:tcPr>
          <w:p w14:paraId="53B861B3"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其他</w:t>
            </w:r>
          </w:p>
        </w:tc>
        <w:tc>
          <w:tcPr>
            <w:tcW w:w="4334" w:type="dxa"/>
            <w:tcBorders>
              <w:top w:val="single" w:sz="8" w:space="0" w:color="000000"/>
              <w:left w:val="single" w:sz="8" w:space="0" w:color="000000"/>
              <w:bottom w:val="single" w:sz="6" w:space="0" w:color="000000"/>
              <w:right w:val="single" w:sz="8" w:space="0" w:color="000000"/>
            </w:tcBorders>
            <w:vAlign w:val="center"/>
          </w:tcPr>
          <w:p w14:paraId="6388F27B"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p>
        </w:tc>
      </w:tr>
      <w:tr w:rsidR="004614AE" w14:paraId="67B26DA3" w14:textId="77777777">
        <w:tc>
          <w:tcPr>
            <w:tcW w:w="720" w:type="dxa"/>
            <w:tcBorders>
              <w:top w:val="single" w:sz="8" w:space="0" w:color="000000"/>
              <w:left w:val="single" w:sz="8" w:space="0" w:color="000000"/>
              <w:bottom w:val="single" w:sz="6" w:space="0" w:color="000000"/>
              <w:right w:val="single" w:sz="8" w:space="0" w:color="000000"/>
            </w:tcBorders>
            <w:vAlign w:val="center"/>
          </w:tcPr>
          <w:p w14:paraId="6D40A39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8</w:t>
            </w:r>
          </w:p>
        </w:tc>
        <w:tc>
          <w:tcPr>
            <w:tcW w:w="3974" w:type="dxa"/>
            <w:tcBorders>
              <w:top w:val="single" w:sz="8" w:space="0" w:color="000000"/>
              <w:left w:val="single" w:sz="8" w:space="0" w:color="000000"/>
              <w:bottom w:val="single" w:sz="6" w:space="0" w:color="000000"/>
              <w:right w:val="single" w:sz="8" w:space="0" w:color="000000"/>
            </w:tcBorders>
            <w:vAlign w:val="center"/>
          </w:tcPr>
          <w:p w14:paraId="63D1444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合计</w:t>
            </w:r>
          </w:p>
        </w:tc>
        <w:tc>
          <w:tcPr>
            <w:tcW w:w="4334" w:type="dxa"/>
            <w:tcBorders>
              <w:top w:val="single" w:sz="8" w:space="0" w:color="000000"/>
              <w:left w:val="single" w:sz="8" w:space="0" w:color="000000"/>
              <w:bottom w:val="single" w:sz="6" w:space="0" w:color="000000"/>
              <w:right w:val="single" w:sz="8" w:space="0" w:color="000000"/>
            </w:tcBorders>
            <w:vAlign w:val="center"/>
          </w:tcPr>
          <w:p w14:paraId="6E344E72" w14:textId="77777777" w:rsidR="004614AE" w:rsidRDefault="00000000">
            <w:pPr>
              <w:pStyle w:val="biaogerigh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56,870,994.04</w:t>
            </w:r>
          </w:p>
        </w:tc>
      </w:tr>
    </w:tbl>
    <w:p w14:paraId="4324FABA" w14:textId="77777777" w:rsidR="004614AE" w:rsidRDefault="004614AE">
      <w:pPr>
        <w:widowControl/>
        <w:jc w:val="left"/>
        <w:rPr>
          <w:rFonts w:asciiTheme="minorEastAsia" w:hAnsiTheme="minorEastAsia" w:cs="Times New Roman"/>
          <w:bCs/>
          <w:sz w:val="24"/>
          <w:szCs w:val="24"/>
        </w:rPr>
      </w:pPr>
    </w:p>
    <w:p w14:paraId="7CB39CB7"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4） 报告期末持有的处于转股期的可转换债券明细</w:t>
      </w:r>
    </w:p>
    <w:p w14:paraId="11900EF2"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本基金本报告期末未持有处于转股期的可转换债券。</w:t>
      </w:r>
    </w:p>
    <w:p w14:paraId="5E9A1422" w14:textId="77777777" w:rsidR="004614AE" w:rsidRDefault="004614AE">
      <w:pPr>
        <w:widowControl/>
        <w:jc w:val="left"/>
        <w:rPr>
          <w:rFonts w:asciiTheme="minorEastAsia" w:hAnsiTheme="minorEastAsia" w:cs="Times New Roman"/>
          <w:bCs/>
          <w:sz w:val="24"/>
          <w:szCs w:val="24"/>
        </w:rPr>
      </w:pPr>
    </w:p>
    <w:p w14:paraId="58033B5C"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5） 报告</w:t>
      </w:r>
      <w:proofErr w:type="gramStart"/>
      <w:r>
        <w:rPr>
          <w:rFonts w:asciiTheme="minorEastAsia" w:eastAsiaTheme="minorEastAsia" w:hAnsiTheme="minorEastAsia" w:cs="Times New Roman" w:hint="eastAsia"/>
          <w:bCs/>
          <w:kern w:val="2"/>
        </w:rPr>
        <w:t>期末前</w:t>
      </w:r>
      <w:proofErr w:type="gramEnd"/>
      <w:r>
        <w:rPr>
          <w:rFonts w:asciiTheme="minorEastAsia" w:eastAsiaTheme="minorEastAsia" w:hAnsiTheme="minorEastAsia" w:cs="Times New Roman" w:hint="eastAsia"/>
          <w:bCs/>
          <w:kern w:val="2"/>
        </w:rPr>
        <w:t>十名股票中存在流通受限情况的说明</w:t>
      </w:r>
    </w:p>
    <w:p w14:paraId="0F091E8D" w14:textId="77777777" w:rsidR="004614AE" w:rsidRDefault="00000000">
      <w:pPr>
        <w:pStyle w:val="neirong"/>
        <w:ind w:firstLineChars="200" w:firstLine="48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本基金本报告</w:t>
      </w:r>
      <w:proofErr w:type="gramStart"/>
      <w:r>
        <w:rPr>
          <w:rFonts w:asciiTheme="minorEastAsia" w:eastAsiaTheme="minorEastAsia" w:hAnsiTheme="minorEastAsia" w:cs="Times New Roman" w:hint="eastAsia"/>
          <w:bCs/>
          <w:kern w:val="2"/>
        </w:rPr>
        <w:t>期末前</w:t>
      </w:r>
      <w:proofErr w:type="gramEnd"/>
      <w:r>
        <w:rPr>
          <w:rFonts w:asciiTheme="minorEastAsia" w:eastAsiaTheme="minorEastAsia" w:hAnsiTheme="minorEastAsia" w:cs="Times New Roman" w:hint="eastAsia"/>
          <w:bCs/>
          <w:kern w:val="2"/>
        </w:rPr>
        <w:t>十名股票中不存在流通受限股票。</w:t>
      </w:r>
    </w:p>
    <w:p w14:paraId="6BE5D0CD" w14:textId="77777777" w:rsidR="004614AE" w:rsidRDefault="004614AE">
      <w:pPr>
        <w:widowControl/>
        <w:jc w:val="left"/>
        <w:rPr>
          <w:rFonts w:asciiTheme="minorEastAsia" w:hAnsiTheme="minorEastAsia" w:cs="Times New Roman"/>
          <w:bCs/>
          <w:sz w:val="24"/>
          <w:szCs w:val="24"/>
        </w:rPr>
      </w:pPr>
    </w:p>
    <w:p w14:paraId="6A88308C"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w:t>
      </w:r>
      <w:r>
        <w:rPr>
          <w:rFonts w:asciiTheme="minorEastAsia" w:eastAsiaTheme="minorEastAsia" w:hAnsiTheme="minorEastAsia" w:cs="Times New Roman"/>
          <w:bCs/>
          <w:kern w:val="2"/>
        </w:rPr>
        <w:t>6） 投资组合报告附注的其他文字描述部分</w:t>
      </w:r>
    </w:p>
    <w:p w14:paraId="05BB503E" w14:textId="77777777" w:rsidR="004614AE" w:rsidRDefault="00000000">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由于四舍五入原因，分项之和与合计可能有尾差。</w:t>
      </w:r>
    </w:p>
    <w:p w14:paraId="7E0204C8" w14:textId="77777777" w:rsidR="004614AE" w:rsidRDefault="00000000">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lastRenderedPageBreak/>
        <w:t>十、基金净值表现</w:t>
      </w:r>
    </w:p>
    <w:p w14:paraId="2E7E5795" w14:textId="77777777" w:rsidR="004614AE" w:rsidRDefault="00000000">
      <w:pPr>
        <w:pStyle w:val="zhangjiep2"/>
        <w:rPr>
          <w:rFonts w:asciiTheme="minorEastAsia" w:hAnsiTheme="minorEastAsia" w:cs="Times New Roman"/>
          <w:bCs/>
        </w:rPr>
      </w:pPr>
      <w:r>
        <w:rPr>
          <w:rFonts w:asciiTheme="minorEastAsia" w:eastAsiaTheme="minorEastAsia" w:hAnsiTheme="minorEastAsia" w:cs="Times New Roman" w:hint="eastAsia"/>
          <w:bCs/>
          <w:kern w:val="2"/>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FF2AA66" w14:textId="77777777" w:rsidR="004614AE" w:rsidRDefault="004614AE">
      <w:pPr>
        <w:pStyle w:val="zhangjiep2"/>
        <w:ind w:firstLine="420"/>
        <w:rPr>
          <w:rFonts w:asciiTheme="minorEastAsia" w:hAnsiTheme="minorEastAsia" w:cs="Times New Roman"/>
          <w:bCs/>
        </w:rPr>
      </w:pPr>
    </w:p>
    <w:p w14:paraId="5B7FD887" w14:textId="77777777" w:rsidR="004614AE" w:rsidRDefault="00000000">
      <w:pPr>
        <w:pStyle w:val="zhangjiep2"/>
        <w:ind w:left="0"/>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1</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w:t>
      </w:r>
      <w:r>
        <w:rPr>
          <w:rFonts w:asciiTheme="minorEastAsia" w:eastAsiaTheme="minorEastAsia" w:hAnsiTheme="minorEastAsia" w:cs="Times New Roman"/>
          <w:bCs/>
          <w:kern w:val="2"/>
        </w:rPr>
        <w:t>A</w:t>
      </w:r>
      <w:r>
        <w:rPr>
          <w:rFonts w:asciiTheme="minorEastAsia" w:eastAsiaTheme="minorEastAsia" w:hAnsiTheme="minorEastAsia" w:cs="Times New Roman" w:hint="eastAsia"/>
          <w:bCs/>
          <w:kern w:val="2"/>
        </w:rPr>
        <w:t>（基金代码：012876）</w:t>
      </w:r>
      <w:r>
        <w:rPr>
          <w:rFonts w:asciiTheme="minorEastAsia" w:eastAsiaTheme="minorEastAsia" w:hAnsiTheme="minorEastAsia" w:cs="Times New Roman"/>
          <w:bCs/>
          <w:kern w:val="2"/>
        </w:rPr>
        <w:t xml:space="preserve"> </w:t>
      </w:r>
    </w:p>
    <w:tbl>
      <w:tblPr>
        <w:tblW w:w="9260" w:type="dxa"/>
        <w:jc w:val="center"/>
        <w:tblLook w:val="04A0" w:firstRow="1" w:lastRow="0" w:firstColumn="1" w:lastColumn="0" w:noHBand="0" w:noVBand="1"/>
      </w:tblPr>
      <w:tblGrid>
        <w:gridCol w:w="1631"/>
        <w:gridCol w:w="1243"/>
        <w:gridCol w:w="1278"/>
        <w:gridCol w:w="1278"/>
        <w:gridCol w:w="1278"/>
        <w:gridCol w:w="1278"/>
        <w:gridCol w:w="1274"/>
      </w:tblGrid>
      <w:tr w:rsidR="004614AE" w14:paraId="7D57D3CC"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52A2AC34"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71" w:type="pct"/>
            <w:tcBorders>
              <w:top w:val="single" w:sz="8" w:space="0" w:color="000000"/>
              <w:left w:val="single" w:sz="8" w:space="0" w:color="000000"/>
              <w:bottom w:val="single" w:sz="6" w:space="0" w:color="000000"/>
              <w:right w:val="single" w:sz="8" w:space="0" w:color="000000"/>
            </w:tcBorders>
            <w:vAlign w:val="center"/>
          </w:tcPr>
          <w:p w14:paraId="45B515B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净值增长率①</w:t>
            </w:r>
          </w:p>
        </w:tc>
        <w:tc>
          <w:tcPr>
            <w:tcW w:w="690" w:type="pct"/>
            <w:tcBorders>
              <w:top w:val="single" w:sz="8" w:space="0" w:color="000000"/>
              <w:left w:val="single" w:sz="8" w:space="0" w:color="000000"/>
              <w:bottom w:val="single" w:sz="6" w:space="0" w:color="000000"/>
              <w:right w:val="single" w:sz="8" w:space="0" w:color="000000"/>
            </w:tcBorders>
            <w:vAlign w:val="center"/>
          </w:tcPr>
          <w:p w14:paraId="4F0EEA9E"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净值增长率标准差②</w:t>
            </w:r>
          </w:p>
        </w:tc>
        <w:tc>
          <w:tcPr>
            <w:tcW w:w="690" w:type="pct"/>
            <w:tcBorders>
              <w:top w:val="single" w:sz="8" w:space="0" w:color="000000"/>
              <w:left w:val="single" w:sz="8" w:space="0" w:color="000000"/>
              <w:bottom w:val="single" w:sz="6" w:space="0" w:color="000000"/>
              <w:right w:val="single" w:sz="8" w:space="0" w:color="000000"/>
            </w:tcBorders>
            <w:vAlign w:val="center"/>
          </w:tcPr>
          <w:p w14:paraId="0A4B80C6"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业绩比较基准收益率③</w:t>
            </w:r>
          </w:p>
        </w:tc>
        <w:tc>
          <w:tcPr>
            <w:tcW w:w="690" w:type="pct"/>
            <w:tcBorders>
              <w:top w:val="single" w:sz="8" w:space="0" w:color="000000"/>
              <w:left w:val="single" w:sz="8" w:space="0" w:color="000000"/>
              <w:bottom w:val="single" w:sz="6" w:space="0" w:color="000000"/>
              <w:right w:val="single" w:sz="8" w:space="0" w:color="000000"/>
            </w:tcBorders>
            <w:vAlign w:val="center"/>
          </w:tcPr>
          <w:p w14:paraId="0D97E97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业绩比较基准收益率标准差④</w:t>
            </w:r>
          </w:p>
        </w:tc>
        <w:tc>
          <w:tcPr>
            <w:tcW w:w="690" w:type="pct"/>
            <w:tcBorders>
              <w:top w:val="single" w:sz="8" w:space="0" w:color="000000"/>
              <w:left w:val="single" w:sz="8" w:space="0" w:color="000000"/>
              <w:bottom w:val="single" w:sz="6" w:space="0" w:color="000000"/>
              <w:right w:val="single" w:sz="8" w:space="0" w:color="000000"/>
            </w:tcBorders>
            <w:vAlign w:val="center"/>
          </w:tcPr>
          <w:p w14:paraId="17E39920"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①</w:t>
            </w:r>
            <w:r>
              <w:rPr>
                <w:rFonts w:asciiTheme="minorEastAsia" w:eastAsiaTheme="minorEastAsia" w:hAnsiTheme="minorEastAsia" w:cs="Times New Roman"/>
                <w:bCs/>
                <w:kern w:val="2"/>
              </w:rPr>
              <w:t>-③</w:t>
            </w:r>
          </w:p>
        </w:tc>
        <w:tc>
          <w:tcPr>
            <w:tcW w:w="688" w:type="pct"/>
            <w:tcBorders>
              <w:top w:val="single" w:sz="8" w:space="0" w:color="000000"/>
              <w:left w:val="single" w:sz="8" w:space="0" w:color="000000"/>
              <w:bottom w:val="single" w:sz="6" w:space="0" w:color="000000"/>
              <w:right w:val="single" w:sz="8" w:space="0" w:color="000000"/>
            </w:tcBorders>
            <w:vAlign w:val="center"/>
          </w:tcPr>
          <w:p w14:paraId="11762AE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4614AE" w14:paraId="1B6B260E"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2D65460D"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71" w:type="pct"/>
            <w:tcBorders>
              <w:top w:val="single" w:sz="8" w:space="0" w:color="000000"/>
              <w:left w:val="single" w:sz="8" w:space="0" w:color="000000"/>
              <w:bottom w:val="single" w:sz="6" w:space="0" w:color="000000"/>
              <w:right w:val="single" w:sz="8" w:space="0" w:color="000000"/>
            </w:tcBorders>
            <w:vAlign w:val="center"/>
          </w:tcPr>
          <w:p w14:paraId="213D2DD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4313CDF8"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69D1868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26229DF2"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0.6</w:t>
            </w:r>
            <w:r>
              <w:rPr>
                <w:rFonts w:asciiTheme="minorEastAsia" w:eastAsiaTheme="minorEastAsia" w:hAnsiTheme="minorEastAsia" w:cs="Times New Roman" w:hint="eastAsia"/>
                <w:bCs/>
                <w:kern w:val="2"/>
              </w:rPr>
              <w:t>5</w:t>
            </w:r>
            <w:r>
              <w:rPr>
                <w:rFonts w:asciiTheme="minorEastAsia" w:eastAsiaTheme="minorEastAsia" w:hAnsiTheme="minorEastAsia" w:cs="Times New Roman"/>
                <w:bCs/>
                <w:kern w:val="2"/>
              </w:rPr>
              <w:t>%</w:t>
            </w:r>
          </w:p>
        </w:tc>
        <w:tc>
          <w:tcPr>
            <w:tcW w:w="690" w:type="pct"/>
            <w:tcBorders>
              <w:top w:val="single" w:sz="8" w:space="0" w:color="000000"/>
              <w:left w:val="single" w:sz="8" w:space="0" w:color="000000"/>
              <w:bottom w:val="single" w:sz="6" w:space="0" w:color="000000"/>
              <w:right w:val="single" w:sz="8" w:space="0" w:color="000000"/>
            </w:tcBorders>
            <w:vAlign w:val="center"/>
          </w:tcPr>
          <w:p w14:paraId="19120989" w14:textId="77777777" w:rsidR="004614AE"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8" w:type="pct"/>
            <w:tcBorders>
              <w:top w:val="single" w:sz="8" w:space="0" w:color="000000"/>
              <w:left w:val="single" w:sz="8" w:space="0" w:color="000000"/>
              <w:bottom w:val="single" w:sz="6" w:space="0" w:color="000000"/>
              <w:right w:val="single" w:sz="8" w:space="0" w:color="000000"/>
            </w:tcBorders>
            <w:vAlign w:val="center"/>
          </w:tcPr>
          <w:p w14:paraId="64047E38" w14:textId="77777777" w:rsidR="004614AE"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4614AE" w14:paraId="69A30D81" w14:textId="77777777">
        <w:trPr>
          <w:jc w:val="center"/>
        </w:trPr>
        <w:tc>
          <w:tcPr>
            <w:tcW w:w="881" w:type="pct"/>
            <w:tcBorders>
              <w:top w:val="single" w:sz="8" w:space="0" w:color="000000"/>
              <w:left w:val="single" w:sz="8" w:space="0" w:color="000000"/>
              <w:bottom w:val="single" w:sz="6" w:space="0" w:color="000000"/>
              <w:right w:val="single" w:sz="8" w:space="0" w:color="000000"/>
            </w:tcBorders>
            <w:vAlign w:val="center"/>
          </w:tcPr>
          <w:p w14:paraId="789F964A"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2022.09.30</w:t>
            </w:r>
          </w:p>
        </w:tc>
        <w:tc>
          <w:tcPr>
            <w:tcW w:w="671" w:type="pct"/>
            <w:tcBorders>
              <w:top w:val="single" w:sz="8" w:space="0" w:color="000000"/>
              <w:left w:val="single" w:sz="8" w:space="0" w:color="000000"/>
              <w:bottom w:val="single" w:sz="6" w:space="0" w:color="000000"/>
              <w:right w:val="single" w:sz="8" w:space="0" w:color="000000"/>
            </w:tcBorders>
            <w:vAlign w:val="center"/>
          </w:tcPr>
          <w:p w14:paraId="1D557F5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-9.53%</w:t>
            </w:r>
          </w:p>
        </w:tc>
        <w:tc>
          <w:tcPr>
            <w:tcW w:w="690" w:type="pct"/>
            <w:tcBorders>
              <w:top w:val="single" w:sz="8" w:space="0" w:color="000000"/>
              <w:left w:val="single" w:sz="8" w:space="0" w:color="000000"/>
              <w:bottom w:val="single" w:sz="6" w:space="0" w:color="000000"/>
              <w:right w:val="single" w:sz="8" w:space="0" w:color="000000"/>
            </w:tcBorders>
            <w:vAlign w:val="center"/>
          </w:tcPr>
          <w:p w14:paraId="7403A43E"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0.70%</w:t>
            </w:r>
          </w:p>
        </w:tc>
        <w:tc>
          <w:tcPr>
            <w:tcW w:w="690" w:type="pct"/>
            <w:tcBorders>
              <w:top w:val="single" w:sz="8" w:space="0" w:color="000000"/>
              <w:left w:val="single" w:sz="8" w:space="0" w:color="000000"/>
              <w:bottom w:val="single" w:sz="6" w:space="0" w:color="000000"/>
              <w:right w:val="single" w:sz="8" w:space="0" w:color="000000"/>
            </w:tcBorders>
            <w:vAlign w:val="center"/>
          </w:tcPr>
          <w:p w14:paraId="4AC0C4B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-15.87%</w:t>
            </w:r>
          </w:p>
        </w:tc>
        <w:tc>
          <w:tcPr>
            <w:tcW w:w="690" w:type="pct"/>
            <w:tcBorders>
              <w:top w:val="single" w:sz="8" w:space="0" w:color="000000"/>
              <w:left w:val="single" w:sz="8" w:space="0" w:color="000000"/>
              <w:bottom w:val="single" w:sz="6" w:space="0" w:color="000000"/>
              <w:right w:val="single" w:sz="8" w:space="0" w:color="000000"/>
            </w:tcBorders>
            <w:vAlign w:val="center"/>
          </w:tcPr>
          <w:p w14:paraId="6047E41E"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0.89%</w:t>
            </w:r>
          </w:p>
        </w:tc>
        <w:tc>
          <w:tcPr>
            <w:tcW w:w="690" w:type="pct"/>
            <w:tcBorders>
              <w:top w:val="single" w:sz="8" w:space="0" w:color="000000"/>
              <w:left w:val="single" w:sz="8" w:space="0" w:color="000000"/>
              <w:bottom w:val="single" w:sz="6" w:space="0" w:color="000000"/>
              <w:right w:val="single" w:sz="8" w:space="0" w:color="000000"/>
            </w:tcBorders>
            <w:vAlign w:val="center"/>
          </w:tcPr>
          <w:p w14:paraId="410736DA"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6.34%</w:t>
            </w:r>
          </w:p>
        </w:tc>
        <w:tc>
          <w:tcPr>
            <w:tcW w:w="688" w:type="pct"/>
            <w:tcBorders>
              <w:top w:val="single" w:sz="8" w:space="0" w:color="000000"/>
              <w:left w:val="single" w:sz="8" w:space="0" w:color="000000"/>
              <w:bottom w:val="single" w:sz="6" w:space="0" w:color="000000"/>
              <w:right w:val="single" w:sz="8" w:space="0" w:color="000000"/>
            </w:tcBorders>
            <w:vAlign w:val="center"/>
          </w:tcPr>
          <w:p w14:paraId="4CD02EDF"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-0.19%</w:t>
            </w:r>
          </w:p>
        </w:tc>
      </w:tr>
    </w:tbl>
    <w:p w14:paraId="2F4A0EAB" w14:textId="77777777" w:rsidR="004614AE" w:rsidRDefault="00000000">
      <w:pPr>
        <w:pStyle w:val="biaogeleft"/>
        <w:rPr>
          <w:rFonts w:asciiTheme="minorEastAsia" w:eastAsiaTheme="minorEastAsia" w:hAnsiTheme="minorEastAsia" w:cs="Times New Roman"/>
          <w:bCs/>
          <w:kern w:val="2"/>
        </w:rPr>
      </w:pP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2</w:t>
      </w:r>
      <w:r>
        <w:rPr>
          <w:rFonts w:asciiTheme="minorEastAsia" w:eastAsiaTheme="minorEastAsia" w:hAnsiTheme="minorEastAsia" w:cs="Times New Roman"/>
          <w:bCs/>
          <w:kern w:val="2"/>
        </w:rPr>
        <w:t>）</w:t>
      </w:r>
      <w:r>
        <w:rPr>
          <w:rFonts w:asciiTheme="minorEastAsia" w:eastAsiaTheme="minorEastAsia" w:hAnsiTheme="minorEastAsia" w:cs="Times New Roman" w:hint="eastAsia"/>
          <w:bCs/>
          <w:kern w:val="2"/>
        </w:rPr>
        <w:t>富荣福耀混合C（基金代码：012877）</w:t>
      </w:r>
    </w:p>
    <w:tbl>
      <w:tblPr>
        <w:tblW w:w="9261" w:type="dxa"/>
        <w:jc w:val="center"/>
        <w:tblLook w:val="04A0" w:firstRow="1" w:lastRow="0" w:firstColumn="1" w:lastColumn="0" w:noHBand="0" w:noVBand="1"/>
      </w:tblPr>
      <w:tblGrid>
        <w:gridCol w:w="1601"/>
        <w:gridCol w:w="1277"/>
        <w:gridCol w:w="1277"/>
        <w:gridCol w:w="1277"/>
        <w:gridCol w:w="1277"/>
        <w:gridCol w:w="1276"/>
        <w:gridCol w:w="1276"/>
      </w:tblGrid>
      <w:tr w:rsidR="004614AE" w14:paraId="5D4C237F"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472172D0"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阶段</w:t>
            </w:r>
          </w:p>
        </w:tc>
        <w:tc>
          <w:tcPr>
            <w:tcW w:w="689" w:type="pct"/>
            <w:tcBorders>
              <w:top w:val="single" w:sz="8" w:space="0" w:color="000000"/>
              <w:left w:val="single" w:sz="8" w:space="0" w:color="000000"/>
              <w:bottom w:val="single" w:sz="6" w:space="0" w:color="000000"/>
              <w:right w:val="single" w:sz="8" w:space="0" w:color="000000"/>
            </w:tcBorders>
            <w:vAlign w:val="center"/>
          </w:tcPr>
          <w:p w14:paraId="693E7458"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净值增长率①</w:t>
            </w:r>
          </w:p>
        </w:tc>
        <w:tc>
          <w:tcPr>
            <w:tcW w:w="689" w:type="pct"/>
            <w:tcBorders>
              <w:top w:val="single" w:sz="8" w:space="0" w:color="000000"/>
              <w:left w:val="single" w:sz="8" w:space="0" w:color="000000"/>
              <w:bottom w:val="single" w:sz="6" w:space="0" w:color="000000"/>
              <w:right w:val="single" w:sz="8" w:space="0" w:color="000000"/>
            </w:tcBorders>
            <w:vAlign w:val="center"/>
          </w:tcPr>
          <w:p w14:paraId="1C024B8F"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净值增长率标准差②</w:t>
            </w:r>
          </w:p>
        </w:tc>
        <w:tc>
          <w:tcPr>
            <w:tcW w:w="689" w:type="pct"/>
            <w:tcBorders>
              <w:top w:val="single" w:sz="8" w:space="0" w:color="000000"/>
              <w:left w:val="single" w:sz="8" w:space="0" w:color="000000"/>
              <w:bottom w:val="single" w:sz="6" w:space="0" w:color="000000"/>
              <w:right w:val="single" w:sz="8" w:space="0" w:color="000000"/>
            </w:tcBorders>
            <w:vAlign w:val="center"/>
          </w:tcPr>
          <w:p w14:paraId="1F195C88"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业绩比较基准收益率③</w:t>
            </w:r>
          </w:p>
        </w:tc>
        <w:tc>
          <w:tcPr>
            <w:tcW w:w="689" w:type="pct"/>
            <w:tcBorders>
              <w:top w:val="single" w:sz="8" w:space="0" w:color="000000"/>
              <w:left w:val="single" w:sz="8" w:space="0" w:color="000000"/>
              <w:bottom w:val="single" w:sz="6" w:space="0" w:color="000000"/>
              <w:right w:val="single" w:sz="8" w:space="0" w:color="000000"/>
            </w:tcBorders>
            <w:vAlign w:val="center"/>
          </w:tcPr>
          <w:p w14:paraId="2AFF8DFF"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业绩比较基准收益率标准差④</w:t>
            </w:r>
          </w:p>
        </w:tc>
        <w:tc>
          <w:tcPr>
            <w:tcW w:w="689" w:type="pct"/>
            <w:tcBorders>
              <w:top w:val="single" w:sz="8" w:space="0" w:color="000000"/>
              <w:left w:val="single" w:sz="8" w:space="0" w:color="000000"/>
              <w:bottom w:val="single" w:sz="6" w:space="0" w:color="000000"/>
              <w:right w:val="single" w:sz="8" w:space="0" w:color="000000"/>
            </w:tcBorders>
            <w:vAlign w:val="center"/>
          </w:tcPr>
          <w:p w14:paraId="28F7392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①</w:t>
            </w:r>
            <w:r>
              <w:rPr>
                <w:rFonts w:asciiTheme="minorEastAsia" w:eastAsiaTheme="minorEastAsia" w:hAnsiTheme="minorEastAsia" w:cs="Times New Roman"/>
                <w:bCs/>
                <w:kern w:val="2"/>
              </w:rPr>
              <w:t>-③</w:t>
            </w:r>
          </w:p>
        </w:tc>
        <w:tc>
          <w:tcPr>
            <w:tcW w:w="689" w:type="pct"/>
            <w:tcBorders>
              <w:top w:val="single" w:sz="8" w:space="0" w:color="000000"/>
              <w:left w:val="single" w:sz="8" w:space="0" w:color="000000"/>
              <w:bottom w:val="single" w:sz="6" w:space="0" w:color="000000"/>
              <w:right w:val="single" w:sz="8" w:space="0" w:color="000000"/>
            </w:tcBorders>
            <w:vAlign w:val="center"/>
          </w:tcPr>
          <w:p w14:paraId="2F57FB30"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②</w:t>
            </w:r>
            <w:r>
              <w:rPr>
                <w:rFonts w:asciiTheme="minorEastAsia" w:eastAsiaTheme="minorEastAsia" w:hAnsiTheme="minorEastAsia" w:cs="Times New Roman"/>
                <w:bCs/>
                <w:kern w:val="2"/>
              </w:rPr>
              <w:t>-④</w:t>
            </w:r>
          </w:p>
        </w:tc>
      </w:tr>
      <w:tr w:rsidR="004614AE" w14:paraId="59857089"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4CFAAEC8"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2021.12.27-2021.12.31</w:t>
            </w:r>
          </w:p>
        </w:tc>
        <w:tc>
          <w:tcPr>
            <w:tcW w:w="689" w:type="pct"/>
            <w:tcBorders>
              <w:top w:val="single" w:sz="8" w:space="0" w:color="000000"/>
              <w:left w:val="single" w:sz="8" w:space="0" w:color="000000"/>
              <w:bottom w:val="single" w:sz="6" w:space="0" w:color="000000"/>
              <w:right w:val="single" w:sz="8" w:space="0" w:color="000000"/>
            </w:tcBorders>
            <w:vAlign w:val="center"/>
          </w:tcPr>
          <w:p w14:paraId="480FFAD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0.02%</w:t>
            </w:r>
          </w:p>
        </w:tc>
        <w:tc>
          <w:tcPr>
            <w:tcW w:w="689" w:type="pct"/>
            <w:tcBorders>
              <w:top w:val="single" w:sz="8" w:space="0" w:color="000000"/>
              <w:left w:val="single" w:sz="8" w:space="0" w:color="000000"/>
              <w:bottom w:val="single" w:sz="6" w:space="0" w:color="000000"/>
              <w:right w:val="single" w:sz="8" w:space="0" w:color="000000"/>
            </w:tcBorders>
            <w:vAlign w:val="center"/>
          </w:tcPr>
          <w:p w14:paraId="28179959"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0.01%</w:t>
            </w:r>
          </w:p>
        </w:tc>
        <w:tc>
          <w:tcPr>
            <w:tcW w:w="689" w:type="pct"/>
            <w:tcBorders>
              <w:top w:val="single" w:sz="8" w:space="0" w:color="000000"/>
              <w:left w:val="single" w:sz="8" w:space="0" w:color="000000"/>
              <w:bottom w:val="single" w:sz="6" w:space="0" w:color="000000"/>
              <w:right w:val="single" w:sz="8" w:space="0" w:color="000000"/>
            </w:tcBorders>
            <w:vAlign w:val="center"/>
          </w:tcPr>
          <w:p w14:paraId="2C62B37D"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0.34%</w:t>
            </w:r>
          </w:p>
        </w:tc>
        <w:tc>
          <w:tcPr>
            <w:tcW w:w="689" w:type="pct"/>
            <w:tcBorders>
              <w:top w:val="single" w:sz="8" w:space="0" w:color="000000"/>
              <w:left w:val="single" w:sz="8" w:space="0" w:color="000000"/>
              <w:bottom w:val="single" w:sz="6" w:space="0" w:color="000000"/>
              <w:right w:val="single" w:sz="8" w:space="0" w:color="000000"/>
            </w:tcBorders>
            <w:vAlign w:val="center"/>
          </w:tcPr>
          <w:p w14:paraId="618C992D"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0.65%</w:t>
            </w:r>
          </w:p>
        </w:tc>
        <w:tc>
          <w:tcPr>
            <w:tcW w:w="689" w:type="pct"/>
            <w:tcBorders>
              <w:top w:val="single" w:sz="8" w:space="0" w:color="000000"/>
              <w:left w:val="single" w:sz="8" w:space="0" w:color="000000"/>
              <w:bottom w:val="single" w:sz="6" w:space="0" w:color="000000"/>
              <w:right w:val="single" w:sz="8" w:space="0" w:color="000000"/>
            </w:tcBorders>
            <w:vAlign w:val="center"/>
          </w:tcPr>
          <w:p w14:paraId="69DD3A39" w14:textId="77777777" w:rsidR="004614AE"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-0.32%</w:t>
            </w:r>
          </w:p>
        </w:tc>
        <w:tc>
          <w:tcPr>
            <w:tcW w:w="689" w:type="pct"/>
            <w:tcBorders>
              <w:top w:val="single" w:sz="8" w:space="0" w:color="000000"/>
              <w:left w:val="single" w:sz="8" w:space="0" w:color="000000"/>
              <w:bottom w:val="single" w:sz="6" w:space="0" w:color="000000"/>
              <w:right w:val="single" w:sz="8" w:space="0" w:color="000000"/>
            </w:tcBorders>
            <w:vAlign w:val="center"/>
          </w:tcPr>
          <w:p w14:paraId="670F859B" w14:textId="77777777" w:rsidR="004614AE" w:rsidRDefault="00000000">
            <w:pPr>
              <w:pStyle w:val="biaogecenter"/>
              <w:wordWrap w:val="0"/>
              <w:rPr>
                <w:rFonts w:asciiTheme="minorEastAsia" w:eastAsiaTheme="minorEastAsia" w:hAnsiTheme="minorEastAsia" w:cs="Times New Roman"/>
                <w:bCs/>
                <w:kern w:val="2"/>
              </w:rPr>
            </w:pPr>
            <w:r>
              <w:rPr>
                <w:rFonts w:hint="eastAsia"/>
                <w:color w:val="000000"/>
                <w:sz w:val="22"/>
                <w:szCs w:val="22"/>
              </w:rPr>
              <w:t>-0.64%</w:t>
            </w:r>
          </w:p>
        </w:tc>
      </w:tr>
      <w:tr w:rsidR="004614AE" w14:paraId="4C0C2580" w14:textId="77777777">
        <w:trPr>
          <w:jc w:val="center"/>
        </w:trPr>
        <w:tc>
          <w:tcPr>
            <w:tcW w:w="864" w:type="pct"/>
            <w:tcBorders>
              <w:top w:val="single" w:sz="8" w:space="0" w:color="000000"/>
              <w:left w:val="single" w:sz="8" w:space="0" w:color="000000"/>
              <w:bottom w:val="single" w:sz="6" w:space="0" w:color="000000"/>
              <w:right w:val="single" w:sz="8" w:space="0" w:color="000000"/>
            </w:tcBorders>
            <w:vAlign w:val="center"/>
          </w:tcPr>
          <w:p w14:paraId="6F3B20D1" w14:textId="77777777" w:rsidR="004614AE" w:rsidRDefault="00000000">
            <w:pPr>
              <w:pStyle w:val="biaogeleft"/>
              <w:wordWrap w:val="0"/>
              <w:rPr>
                <w:rFonts w:asciiTheme="minorEastAsia" w:eastAsiaTheme="minorEastAsia" w:hAnsiTheme="minorEastAsia" w:cs="Times New Roman"/>
                <w:bCs/>
                <w:kern w:val="2"/>
              </w:rPr>
            </w:pPr>
            <w:r>
              <w:rPr>
                <w:rFonts w:asciiTheme="minorEastAsia" w:eastAsiaTheme="minorEastAsia" w:hAnsiTheme="minorEastAsia" w:cs="Times New Roman" w:hint="eastAsia"/>
                <w:bCs/>
                <w:kern w:val="2"/>
              </w:rPr>
              <w:t>自基金合同生效日至</w:t>
            </w:r>
            <w:r>
              <w:rPr>
                <w:rFonts w:asciiTheme="minorEastAsia" w:eastAsiaTheme="minorEastAsia" w:hAnsiTheme="minorEastAsia" w:cs="Times New Roman"/>
                <w:bCs/>
                <w:kern w:val="2"/>
              </w:rPr>
              <w:t>2022.09.30</w:t>
            </w:r>
          </w:p>
        </w:tc>
        <w:tc>
          <w:tcPr>
            <w:tcW w:w="689" w:type="pct"/>
            <w:tcBorders>
              <w:top w:val="single" w:sz="8" w:space="0" w:color="000000"/>
              <w:left w:val="single" w:sz="8" w:space="0" w:color="000000"/>
              <w:bottom w:val="single" w:sz="6" w:space="0" w:color="000000"/>
              <w:right w:val="single" w:sz="8" w:space="0" w:color="000000"/>
            </w:tcBorders>
            <w:vAlign w:val="center"/>
          </w:tcPr>
          <w:p w14:paraId="4A66E517"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-9.81%</w:t>
            </w:r>
          </w:p>
        </w:tc>
        <w:tc>
          <w:tcPr>
            <w:tcW w:w="689" w:type="pct"/>
            <w:tcBorders>
              <w:top w:val="single" w:sz="8" w:space="0" w:color="000000"/>
              <w:left w:val="single" w:sz="8" w:space="0" w:color="000000"/>
              <w:bottom w:val="single" w:sz="6" w:space="0" w:color="000000"/>
              <w:right w:val="single" w:sz="8" w:space="0" w:color="000000"/>
            </w:tcBorders>
            <w:vAlign w:val="center"/>
          </w:tcPr>
          <w:p w14:paraId="686F843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0.70%</w:t>
            </w:r>
          </w:p>
        </w:tc>
        <w:tc>
          <w:tcPr>
            <w:tcW w:w="689" w:type="pct"/>
            <w:tcBorders>
              <w:top w:val="single" w:sz="8" w:space="0" w:color="000000"/>
              <w:left w:val="single" w:sz="8" w:space="0" w:color="000000"/>
              <w:bottom w:val="single" w:sz="6" w:space="0" w:color="000000"/>
              <w:right w:val="single" w:sz="8" w:space="0" w:color="000000"/>
            </w:tcBorders>
            <w:vAlign w:val="center"/>
          </w:tcPr>
          <w:p w14:paraId="1930ECAF"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-15.87%</w:t>
            </w:r>
          </w:p>
        </w:tc>
        <w:tc>
          <w:tcPr>
            <w:tcW w:w="689" w:type="pct"/>
            <w:tcBorders>
              <w:top w:val="single" w:sz="8" w:space="0" w:color="000000"/>
              <w:left w:val="single" w:sz="8" w:space="0" w:color="000000"/>
              <w:bottom w:val="single" w:sz="6" w:space="0" w:color="000000"/>
              <w:right w:val="single" w:sz="8" w:space="0" w:color="000000"/>
            </w:tcBorders>
            <w:vAlign w:val="center"/>
          </w:tcPr>
          <w:p w14:paraId="04F4A4DC"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0.89%</w:t>
            </w:r>
          </w:p>
        </w:tc>
        <w:tc>
          <w:tcPr>
            <w:tcW w:w="689" w:type="pct"/>
            <w:tcBorders>
              <w:top w:val="single" w:sz="8" w:space="0" w:color="000000"/>
              <w:left w:val="single" w:sz="8" w:space="0" w:color="000000"/>
              <w:bottom w:val="single" w:sz="6" w:space="0" w:color="000000"/>
              <w:right w:val="single" w:sz="8" w:space="0" w:color="000000"/>
            </w:tcBorders>
            <w:vAlign w:val="center"/>
          </w:tcPr>
          <w:p w14:paraId="386530A3"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6.06%</w:t>
            </w:r>
          </w:p>
        </w:tc>
        <w:tc>
          <w:tcPr>
            <w:tcW w:w="689" w:type="pct"/>
            <w:tcBorders>
              <w:top w:val="single" w:sz="8" w:space="0" w:color="000000"/>
              <w:left w:val="single" w:sz="8" w:space="0" w:color="000000"/>
              <w:bottom w:val="single" w:sz="6" w:space="0" w:color="000000"/>
              <w:right w:val="single" w:sz="8" w:space="0" w:color="000000"/>
            </w:tcBorders>
            <w:vAlign w:val="center"/>
          </w:tcPr>
          <w:p w14:paraId="1D07B735" w14:textId="77777777" w:rsidR="004614AE" w:rsidRDefault="00000000">
            <w:pPr>
              <w:pStyle w:val="biaogecenter"/>
              <w:wordWrap w:val="0"/>
              <w:rPr>
                <w:rFonts w:asciiTheme="minorEastAsia" w:eastAsiaTheme="minorEastAsia" w:hAnsiTheme="minorEastAsia" w:cs="Times New Roman"/>
                <w:bCs/>
                <w:kern w:val="2"/>
              </w:rPr>
            </w:pPr>
            <w:r>
              <w:rPr>
                <w:rFonts w:asciiTheme="minorEastAsia" w:eastAsiaTheme="minorEastAsia" w:hAnsiTheme="minorEastAsia" w:cs="Times New Roman"/>
                <w:bCs/>
                <w:kern w:val="2"/>
              </w:rPr>
              <w:t>-0.19%</w:t>
            </w:r>
          </w:p>
        </w:tc>
      </w:tr>
    </w:tbl>
    <w:p w14:paraId="090770A7" w14:textId="77777777" w:rsidR="004614AE" w:rsidRDefault="00000000">
      <w:pPr>
        <w:widowControl/>
        <w:spacing w:after="240"/>
        <w:jc w:val="left"/>
        <w:rPr>
          <w:rFonts w:asciiTheme="minorEastAsia" w:hAnsiTheme="minorEastAsia" w:cs="Times New Roman"/>
          <w:bCs/>
          <w:sz w:val="24"/>
          <w:szCs w:val="24"/>
        </w:rPr>
      </w:pPr>
      <w:r>
        <w:rPr>
          <w:rFonts w:asciiTheme="minorEastAsia" w:hAnsiTheme="minorEastAsia" w:cs="Times New Roman" w:hint="eastAsia"/>
          <w:bCs/>
          <w:sz w:val="24"/>
          <w:szCs w:val="24"/>
        </w:rPr>
        <w:t>注：本基金的业绩比较基准为：沪深</w:t>
      </w:r>
      <w:r>
        <w:rPr>
          <w:rFonts w:asciiTheme="minorEastAsia" w:hAnsiTheme="minorEastAsia" w:cs="Times New Roman"/>
          <w:bCs/>
          <w:sz w:val="24"/>
          <w:szCs w:val="24"/>
        </w:rPr>
        <w:t>300指数收益率×70%+中</w:t>
      </w:r>
      <w:proofErr w:type="gramStart"/>
      <w:r>
        <w:rPr>
          <w:rFonts w:asciiTheme="minorEastAsia" w:hAnsiTheme="minorEastAsia" w:cs="Times New Roman" w:hint="eastAsia"/>
          <w:bCs/>
          <w:sz w:val="24"/>
          <w:szCs w:val="24"/>
        </w:rPr>
        <w:t>债综合</w:t>
      </w:r>
      <w:proofErr w:type="gramEnd"/>
      <w:r>
        <w:rPr>
          <w:rFonts w:asciiTheme="minorEastAsia" w:hAnsiTheme="minorEastAsia" w:cs="Times New Roman" w:hint="eastAsia"/>
          <w:bCs/>
          <w:sz w:val="24"/>
          <w:szCs w:val="24"/>
        </w:rPr>
        <w:t>指数收益率×</w:t>
      </w:r>
      <w:r>
        <w:rPr>
          <w:rFonts w:asciiTheme="minorEastAsia" w:hAnsiTheme="minorEastAsia" w:cs="Times New Roman"/>
          <w:bCs/>
          <w:sz w:val="24"/>
          <w:szCs w:val="24"/>
        </w:rPr>
        <w:t>30% </w:t>
      </w:r>
    </w:p>
    <w:p w14:paraId="7D795F47" w14:textId="77777777" w:rsidR="004614AE" w:rsidRDefault="00000000">
      <w:pPr>
        <w:pStyle w:val="zhangjiep2"/>
        <w:rPr>
          <w:rFonts w:asciiTheme="minorEastAsia" w:eastAsiaTheme="minorEastAsia" w:hAnsiTheme="minorEastAsia" w:cs="Times New Roman"/>
          <w:bCs/>
          <w:kern w:val="2"/>
        </w:rPr>
      </w:pPr>
      <w:r>
        <w:rPr>
          <w:rFonts w:asciiTheme="minorEastAsia" w:eastAsiaTheme="minorEastAsia" w:hAnsiTheme="minorEastAsia" w:cs="Times New Roman"/>
          <w:bCs/>
          <w:kern w:val="2"/>
        </w:rPr>
        <w:t xml:space="preserve">2、 </w:t>
      </w:r>
      <w:r>
        <w:rPr>
          <w:rFonts w:asciiTheme="minorEastAsia" w:eastAsiaTheme="minorEastAsia" w:hAnsiTheme="minorEastAsia" w:cs="Times New Roman" w:hint="eastAsia"/>
          <w:bCs/>
          <w:kern w:val="2"/>
        </w:rPr>
        <w:t>自基金合同生效以来基金累计净值增长率变动及其与同期业绩比较基准收益率变动的比较</w:t>
      </w:r>
    </w:p>
    <w:p w14:paraId="344911DE" w14:textId="77777777" w:rsidR="004614AE" w:rsidRDefault="00000000">
      <w:pPr>
        <w:pStyle w:val="biaogeleft"/>
      </w:pPr>
      <w:r>
        <w:rPr>
          <w:rFonts w:hAnsi="等线"/>
          <w:noProof/>
          <w:color w:val="000000"/>
        </w:rPr>
        <w:lastRenderedPageBreak/>
        <w:drawing>
          <wp:inline distT="0" distB="0" distL="0" distR="0" wp14:anchorId="130A2E77" wp14:editId="08A5508B">
            <wp:extent cx="5600700" cy="3638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861578" name="图片 2"/>
                    <pic:cNvPicPr>
                      <a:picLocks noChangeAspect="1" noChangeArrowheads="1"/>
                    </pic:cNvPicPr>
                  </pic:nvPicPr>
                  <pic:blipFill>
                    <a:blip r:embed="rId55">
                      <a:extLst>
                        <a:ext uri="{28A0092B-C50C-407E-A947-70E740481C1C}">
                          <a14:useLocalDpi xmlns:a14="http://schemas.microsoft.com/office/drawing/2010/main" val="0"/>
                        </a:ext>
                      </a:extLst>
                    </a:blip>
                    <a:stretch>
                      <a:fillRect/>
                    </a:stretch>
                  </pic:blipFill>
                  <pic:spPr>
                    <a:xfrm>
                      <a:off x="0" y="0"/>
                      <a:ext cx="5600700" cy="3638550"/>
                    </a:xfrm>
                    <a:prstGeom prst="rect">
                      <a:avLst/>
                    </a:prstGeom>
                    <a:noFill/>
                    <a:ln>
                      <a:noFill/>
                    </a:ln>
                  </pic:spPr>
                </pic:pic>
              </a:graphicData>
            </a:graphic>
          </wp:inline>
        </w:drawing>
      </w:r>
    </w:p>
    <w:p w14:paraId="723F3ADA" w14:textId="77777777" w:rsidR="004614AE" w:rsidRDefault="00000000">
      <w:pPr>
        <w:pStyle w:val="biaogeleft"/>
      </w:pPr>
      <w:r>
        <w:rPr>
          <w:rFonts w:hAnsi="等线"/>
          <w:noProof/>
          <w:color w:val="000000"/>
        </w:rPr>
        <w:drawing>
          <wp:inline distT="0" distB="0" distL="0" distR="0" wp14:anchorId="490F98A5" wp14:editId="765FDBF6">
            <wp:extent cx="560070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952534" name="图片 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a:xfrm>
                      <a:off x="0" y="0"/>
                      <a:ext cx="5600700" cy="3638550"/>
                    </a:xfrm>
                    <a:prstGeom prst="rect">
                      <a:avLst/>
                    </a:prstGeom>
                    <a:noFill/>
                    <a:ln>
                      <a:noFill/>
                    </a:ln>
                  </pic:spPr>
                </pic:pic>
              </a:graphicData>
            </a:graphic>
          </wp:inline>
        </w:drawing>
      </w:r>
    </w:p>
    <w:p w14:paraId="7EC1A8CA" w14:textId="77777777" w:rsidR="004614AE" w:rsidRDefault="00000000" w:rsidP="00D3649B">
      <w:pPr>
        <w:spacing w:line="360" w:lineRule="auto"/>
        <w:rPr>
          <w:rFonts w:asciiTheme="minorEastAsia" w:hAnsiTheme="minorEastAsia" w:cs="Times New Roman"/>
          <w:bCs/>
          <w:sz w:val="24"/>
          <w:szCs w:val="24"/>
        </w:rPr>
      </w:pPr>
      <w:r>
        <w:rPr>
          <w:rFonts w:asciiTheme="minorEastAsia" w:hAnsiTheme="minorEastAsia" w:cs="Times New Roman" w:hint="eastAsia"/>
          <w:bCs/>
          <w:sz w:val="24"/>
          <w:szCs w:val="24"/>
        </w:rPr>
        <w:t>注：①本基金的基金合同于</w:t>
      </w:r>
      <w:r>
        <w:rPr>
          <w:rFonts w:asciiTheme="minorEastAsia" w:hAnsiTheme="minorEastAsia" w:cs="Times New Roman"/>
          <w:bCs/>
          <w:sz w:val="24"/>
          <w:szCs w:val="24"/>
        </w:rPr>
        <w:t>2021年12月27日生效，截至2022年9月30日止，本基金成立未满1年。</w:t>
      </w:r>
      <w:r>
        <w:rPr>
          <w:rFonts w:asciiTheme="minorEastAsia" w:hAnsiTheme="minorEastAsia" w:cs="Times New Roman"/>
          <w:bCs/>
          <w:sz w:val="24"/>
          <w:szCs w:val="24"/>
        </w:rPr>
        <w:br/>
        <w:t xml:space="preserve">    </w:t>
      </w:r>
      <w:r>
        <w:rPr>
          <w:rFonts w:asciiTheme="minorEastAsia" w:hAnsiTheme="minorEastAsia" w:cs="Times New Roman" w:hint="eastAsia"/>
          <w:bCs/>
          <w:sz w:val="24"/>
          <w:szCs w:val="24"/>
        </w:rPr>
        <w:t>②本基金的建仓期为</w:t>
      </w:r>
      <w:r>
        <w:rPr>
          <w:rFonts w:asciiTheme="minorEastAsia" w:hAnsiTheme="minorEastAsia" w:cs="Times New Roman"/>
          <w:bCs/>
          <w:sz w:val="24"/>
          <w:szCs w:val="24"/>
        </w:rPr>
        <w:t>6个月，建仓期结束时各项资产配置比例符合合同约定。</w:t>
      </w:r>
    </w:p>
    <w:p w14:paraId="6675474A" w14:textId="77777777" w:rsidR="004614AE" w:rsidRDefault="00000000">
      <w:pPr>
        <w:pStyle w:val="1"/>
        <w:jc w:val="center"/>
        <w:rPr>
          <w:sz w:val="30"/>
          <w:szCs w:val="30"/>
        </w:rPr>
      </w:pPr>
      <w:bookmarkStart w:id="225" w:name="_Toc416264546"/>
      <w:bookmarkStart w:id="226" w:name="_Toc68266297"/>
      <w:bookmarkStart w:id="227" w:name="_Toc119568466"/>
      <w:bookmarkStart w:id="228" w:name="_Toc123102458"/>
      <w:bookmarkStart w:id="229" w:name="_Toc123112239"/>
      <w:bookmarkStart w:id="230" w:name="_Toc31469"/>
      <w:bookmarkStart w:id="231" w:name="_Toc139991741"/>
      <w:bookmarkStart w:id="232" w:name="_Toc14725"/>
      <w:bookmarkStart w:id="233" w:name="_Toc26152"/>
      <w:bookmarkStart w:id="234" w:name="_Toc79392624"/>
      <w:bookmarkStart w:id="235" w:name="_Toc2255"/>
      <w:bookmarkStart w:id="236" w:name="_Toc98560357"/>
      <w:bookmarkStart w:id="237" w:name="_Toc123051457"/>
      <w:bookmarkStart w:id="238" w:name="_Toc26383"/>
      <w:bookmarkStart w:id="239" w:name="_Toc3244"/>
      <w:bookmarkStart w:id="240" w:name="_Toc26084"/>
      <w:bookmarkStart w:id="241" w:name="_Toc19520"/>
      <w:bookmarkStart w:id="242" w:name="_Toc21886"/>
      <w:bookmarkStart w:id="243" w:name="_Toc352229757"/>
      <w:bookmarkStart w:id="244" w:name="_Toc141703891"/>
      <w:bookmarkStart w:id="245" w:name="_Toc48649710"/>
      <w:bookmarkStart w:id="246" w:name="_Toc22674"/>
      <w:bookmarkStart w:id="247" w:name="_Toc1678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hint="eastAsia"/>
          <w:sz w:val="30"/>
          <w:szCs w:val="30"/>
        </w:rPr>
        <w:lastRenderedPageBreak/>
        <w:t>第十部分</w:t>
      </w:r>
      <w:r>
        <w:rPr>
          <w:sz w:val="30"/>
          <w:szCs w:val="30"/>
        </w:rPr>
        <w:t xml:space="preserve">  </w:t>
      </w:r>
      <w:r>
        <w:rPr>
          <w:rFonts w:hint="eastAsia"/>
          <w:sz w:val="30"/>
          <w:szCs w:val="30"/>
        </w:rPr>
        <w:t>基金的财产</w:t>
      </w:r>
      <w:bookmarkEnd w:id="225"/>
      <w:bookmarkEnd w:id="226"/>
      <w:bookmarkEnd w:id="227"/>
    </w:p>
    <w:p w14:paraId="3C3CD01A" w14:textId="77777777" w:rsidR="004614AE" w:rsidRDefault="00000000">
      <w:pPr>
        <w:autoSpaceDE w:val="0"/>
        <w:autoSpaceDN w:val="0"/>
        <w:spacing w:line="360" w:lineRule="auto"/>
        <w:ind w:firstLineChars="200" w:firstLine="480"/>
        <w:textAlignment w:val="bottom"/>
        <w:rPr>
          <w:bCs/>
          <w:sz w:val="24"/>
        </w:rPr>
      </w:pPr>
      <w:bookmarkStart w:id="248" w:name="_Toc214873600"/>
      <w:bookmarkStart w:id="249" w:name="_Toc263092319"/>
      <w:bookmarkStart w:id="250" w:name="_Toc416264547"/>
      <w:bookmarkStart w:id="251" w:name="_Toc11395"/>
      <w:bookmarkStart w:id="252" w:name="_Toc578"/>
      <w:bookmarkStart w:id="253" w:name="_Toc3872"/>
      <w:bookmarkStart w:id="254" w:name="_Toc2981"/>
      <w:bookmarkStart w:id="255" w:name="_Toc16437"/>
      <w:bookmarkStart w:id="256" w:name="_Toc352229758"/>
      <w:bookmarkStart w:id="257" w:name="_Toc5477"/>
      <w:bookmarkStart w:id="258" w:name="_Toc21917"/>
      <w:bookmarkStart w:id="259" w:name="_Toc13343"/>
      <w:bookmarkStart w:id="260" w:name="_Toc11351"/>
      <w:bookmarkStart w:id="261" w:name="_Toc801"/>
      <w:bookmarkStart w:id="262" w:name="_Toc22538"/>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hint="eastAsia"/>
          <w:bCs/>
          <w:sz w:val="24"/>
        </w:rPr>
        <w:t>一、基金资产总值</w:t>
      </w:r>
    </w:p>
    <w:p w14:paraId="040856B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基金资产总值是指基金拥有的各类有价证券、银行存款本息、基金应收款项及其他资产的价值总和。</w:t>
      </w:r>
    </w:p>
    <w:p w14:paraId="4EF3086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二、基金资产净值</w:t>
      </w:r>
    </w:p>
    <w:p w14:paraId="5C95A55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基金资产净值是指基金资产总值减去基金负债后的价值。</w:t>
      </w:r>
    </w:p>
    <w:p w14:paraId="73F5D41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三、基金财产的账户</w:t>
      </w:r>
    </w:p>
    <w:p w14:paraId="38D6B1D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F70D77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四、基金财产的保管和处分</w:t>
      </w:r>
    </w:p>
    <w:p w14:paraId="4707256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7832E88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p>
    <w:p w14:paraId="5410B7B9" w14:textId="77777777" w:rsidR="004614AE" w:rsidRDefault="00000000">
      <w:pPr>
        <w:widowControl/>
        <w:jc w:val="left"/>
        <w:rPr>
          <w:bCs/>
          <w:sz w:val="24"/>
        </w:rPr>
      </w:pPr>
      <w:r>
        <w:rPr>
          <w:bCs/>
          <w:sz w:val="24"/>
        </w:rPr>
        <w:br w:type="page"/>
      </w:r>
    </w:p>
    <w:p w14:paraId="20652520" w14:textId="77777777" w:rsidR="004614AE" w:rsidRDefault="00000000">
      <w:pPr>
        <w:pStyle w:val="1"/>
        <w:jc w:val="center"/>
        <w:rPr>
          <w:sz w:val="30"/>
          <w:szCs w:val="30"/>
        </w:rPr>
      </w:pPr>
      <w:bookmarkStart w:id="263" w:name="_Toc68266298"/>
      <w:bookmarkStart w:id="264" w:name="_Toc119568467"/>
      <w:r>
        <w:rPr>
          <w:rFonts w:hint="eastAsia"/>
          <w:sz w:val="30"/>
          <w:szCs w:val="30"/>
        </w:rPr>
        <w:lastRenderedPageBreak/>
        <w:t>第十一部分</w:t>
      </w:r>
      <w:r>
        <w:rPr>
          <w:sz w:val="30"/>
          <w:szCs w:val="30"/>
        </w:rPr>
        <w:t xml:space="preserve">  </w:t>
      </w:r>
      <w:r>
        <w:rPr>
          <w:rFonts w:hint="eastAsia"/>
          <w:sz w:val="30"/>
          <w:szCs w:val="30"/>
        </w:rPr>
        <w:t>基金资产的估值</w:t>
      </w:r>
      <w:bookmarkEnd w:id="248"/>
      <w:bookmarkEnd w:id="249"/>
      <w:bookmarkEnd w:id="250"/>
      <w:bookmarkEnd w:id="263"/>
      <w:bookmarkEnd w:id="264"/>
    </w:p>
    <w:p w14:paraId="634E0C32"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一、估值日</w:t>
      </w:r>
    </w:p>
    <w:p w14:paraId="4436D69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本基金的估值日为本基金相关的证券、期货交易场所的交易日以及国家法律法规规定需要对外披露基金净值的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06D4604A"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二、估值对象</w:t>
      </w:r>
    </w:p>
    <w:p w14:paraId="1C7EB82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基金所拥有的股票、存托凭证、股指期货合约、国债期货合约、债券和银行存款本息、资产支持证券、应收款项、其它投资、股票期权合约等资产及负债。</w:t>
      </w:r>
    </w:p>
    <w:p w14:paraId="446B454C"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三、估值原则</w:t>
      </w:r>
    </w:p>
    <w:p w14:paraId="624E56F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基金管理人在确定相关金融资产和金融负债的公允价值时，应符合《企业会计准则》、监管部门有关规定。</w:t>
      </w:r>
    </w:p>
    <w:p w14:paraId="726C14B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6333B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3C3530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755678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12713ED9"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四、估值方法</w:t>
      </w:r>
    </w:p>
    <w:p w14:paraId="1D84C30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、证券交易所上市的有价证券的估值</w:t>
      </w:r>
    </w:p>
    <w:p w14:paraId="093AC63A"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ED35B0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7D5767E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1D3A767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）交易所上市交易的可转换债券以每日收盘价作为估值全价；</w:t>
      </w:r>
    </w:p>
    <w:p w14:paraId="66DE9F6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5</w:t>
      </w:r>
      <w:r>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Pr>
          <w:bCs/>
          <w:sz w:val="24"/>
        </w:rPr>
        <w:t>；</w:t>
      </w:r>
    </w:p>
    <w:p w14:paraId="0595D77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0768CD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、处于未上市期间的有价证券应区分如下情况处理：</w:t>
      </w:r>
    </w:p>
    <w:p w14:paraId="3F0549C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48EC29F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2711C371"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3</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6F83851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、全国银行间债券市场交易的债券、资产支持证券等固定收益品种，以第三方估值机构提供的价格数据估值。</w:t>
      </w:r>
    </w:p>
    <w:p w14:paraId="2394ADC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、同一证券同时在两个或两个以上市场交易的，按证券所处的市场分别估值。</w:t>
      </w:r>
    </w:p>
    <w:p w14:paraId="19DC560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、本基金投资国债期货合约、股指期货合约、股票期权合约，一般以估值当日结算价进行估值，估值当日无结算价的，且最近交易日后经济环境未发生重大变化的，采用最近交易日结算价估值。</w:t>
      </w:r>
    </w:p>
    <w:p w14:paraId="34DD5277" w14:textId="77777777" w:rsidR="004614AE" w:rsidRDefault="00000000">
      <w:pPr>
        <w:autoSpaceDE w:val="0"/>
        <w:autoSpaceDN w:val="0"/>
        <w:spacing w:line="360" w:lineRule="auto"/>
        <w:ind w:firstLineChars="200" w:firstLine="480"/>
        <w:textAlignment w:val="bottom"/>
        <w:rPr>
          <w:bCs/>
          <w:sz w:val="24"/>
        </w:rPr>
      </w:pPr>
      <w:r>
        <w:rPr>
          <w:bCs/>
          <w:sz w:val="24"/>
        </w:rPr>
        <w:t>6</w:t>
      </w:r>
      <w:r>
        <w:rPr>
          <w:rFonts w:hint="eastAsia"/>
          <w:bCs/>
          <w:sz w:val="24"/>
        </w:rPr>
        <w:t>、本基金投资存托凭证的估值核算，依照境内上市交易的股票执行。</w:t>
      </w:r>
    </w:p>
    <w:p w14:paraId="29B165BD" w14:textId="77777777" w:rsidR="004614AE" w:rsidRDefault="00000000">
      <w:pPr>
        <w:autoSpaceDE w:val="0"/>
        <w:autoSpaceDN w:val="0"/>
        <w:spacing w:line="360" w:lineRule="auto"/>
        <w:ind w:firstLineChars="200" w:firstLine="480"/>
        <w:textAlignment w:val="bottom"/>
        <w:rPr>
          <w:bCs/>
          <w:sz w:val="24"/>
        </w:rPr>
      </w:pPr>
      <w:r>
        <w:rPr>
          <w:bCs/>
          <w:sz w:val="24"/>
        </w:rPr>
        <w:t>7</w:t>
      </w:r>
      <w:r>
        <w:rPr>
          <w:rFonts w:hint="eastAsia"/>
          <w:bCs/>
          <w:sz w:val="24"/>
        </w:rPr>
        <w:t>、其他资产按法律法规或监管机构有关规定进行估值。</w:t>
      </w:r>
    </w:p>
    <w:p w14:paraId="1598DA94" w14:textId="77777777" w:rsidR="004614AE" w:rsidRDefault="00000000">
      <w:pPr>
        <w:autoSpaceDE w:val="0"/>
        <w:autoSpaceDN w:val="0"/>
        <w:spacing w:line="360" w:lineRule="auto"/>
        <w:ind w:firstLineChars="200" w:firstLine="480"/>
        <w:textAlignment w:val="bottom"/>
        <w:rPr>
          <w:bCs/>
          <w:sz w:val="24"/>
        </w:rPr>
      </w:pPr>
      <w:r>
        <w:rPr>
          <w:bCs/>
          <w:sz w:val="24"/>
        </w:rPr>
        <w:t>8</w:t>
      </w:r>
      <w:r>
        <w:rPr>
          <w:rFonts w:hint="eastAsia"/>
          <w:bCs/>
          <w:sz w:val="24"/>
        </w:rPr>
        <w:t>、如有确凿证据表明按上述方法进行估值不能客观反映其公允价值的，基金管理人可根据具体情况与基金托管人商定后，按最能反映公允价值的方法估值。</w:t>
      </w:r>
    </w:p>
    <w:p w14:paraId="24062E38" w14:textId="77777777" w:rsidR="004614AE" w:rsidRDefault="00000000">
      <w:pPr>
        <w:autoSpaceDE w:val="0"/>
        <w:autoSpaceDN w:val="0"/>
        <w:spacing w:line="360" w:lineRule="auto"/>
        <w:ind w:firstLineChars="200" w:firstLine="480"/>
        <w:textAlignment w:val="bottom"/>
        <w:rPr>
          <w:bCs/>
          <w:sz w:val="24"/>
        </w:rPr>
      </w:pPr>
      <w:r>
        <w:rPr>
          <w:bCs/>
          <w:sz w:val="24"/>
        </w:rPr>
        <w:t>9</w:t>
      </w:r>
      <w:r>
        <w:rPr>
          <w:rFonts w:hint="eastAsia"/>
          <w:bCs/>
          <w:sz w:val="24"/>
        </w:rPr>
        <w:t>、当本基金发生大额申购或赎回情形时，基金管理人可以对本基金采用摆动定价机制，以确保基金估值的公平性。</w:t>
      </w:r>
    </w:p>
    <w:p w14:paraId="1C27D4A4" w14:textId="77777777" w:rsidR="004614AE" w:rsidRDefault="00000000">
      <w:pPr>
        <w:autoSpaceDE w:val="0"/>
        <w:autoSpaceDN w:val="0"/>
        <w:spacing w:line="360" w:lineRule="auto"/>
        <w:ind w:firstLineChars="200" w:firstLine="480"/>
        <w:textAlignment w:val="bottom"/>
        <w:rPr>
          <w:bCs/>
          <w:sz w:val="24"/>
        </w:rPr>
      </w:pPr>
      <w:r>
        <w:rPr>
          <w:bCs/>
          <w:sz w:val="24"/>
        </w:rPr>
        <w:t>10</w:t>
      </w:r>
      <w:r>
        <w:rPr>
          <w:rFonts w:hint="eastAsia"/>
          <w:bCs/>
          <w:sz w:val="24"/>
        </w:rPr>
        <w:t>、相关法律法规以及监管部门有强制规定的，从其规定。如有新增事项，按国家最新规定估值。</w:t>
      </w:r>
    </w:p>
    <w:p w14:paraId="3F15573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0BED4C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根据有关法律法规，基金资产净值计算和基金会计核算的义务由基金管理人承担，基金托管人承担复核责任。本基金的基金会计</w:t>
      </w:r>
      <w:proofErr w:type="gramStart"/>
      <w:r>
        <w:rPr>
          <w:rFonts w:hint="eastAsia"/>
          <w:bCs/>
          <w:sz w:val="24"/>
        </w:rPr>
        <w:t>主责任</w:t>
      </w:r>
      <w:proofErr w:type="gramEnd"/>
      <w:r>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23F6D328"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五、估值程序</w:t>
      </w:r>
    </w:p>
    <w:p w14:paraId="4F0F63B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、各类基金份额净值是按照每个工作日闭市后，该类基金资产净值除以当日</w:t>
      </w:r>
      <w:r>
        <w:rPr>
          <w:rFonts w:hint="eastAsia"/>
          <w:bCs/>
          <w:sz w:val="24"/>
        </w:rPr>
        <w:lastRenderedPageBreak/>
        <w:t>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位四舍五入，由此产生的收益或损失由基金财产承担。基金管理人可以设立大额赎回情形下的净值精度应急调整机制。国家另有规定的，从其规定。</w:t>
      </w:r>
    </w:p>
    <w:p w14:paraId="1C7180E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基金管理人每个工作日计算基金资产净值及各类基金份额净值，经基金托管人复核，并按规定公告。</w:t>
      </w:r>
    </w:p>
    <w:p w14:paraId="496B0FC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2B4A55A3"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六、估值错误的处理</w:t>
      </w:r>
    </w:p>
    <w:p w14:paraId="5DC4151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基金管理人和基金托管人将采取必要、适当、合理的措施确保基金资产估值的准确性、及时性。当任一类基金份额净值小数点后</w:t>
      </w:r>
      <w:r>
        <w:rPr>
          <w:rFonts w:hint="eastAsia"/>
          <w:bCs/>
          <w:sz w:val="24"/>
        </w:rPr>
        <w:t>4</w:t>
      </w:r>
      <w:r>
        <w:rPr>
          <w:rFonts w:hint="eastAsia"/>
          <w:bCs/>
          <w:sz w:val="24"/>
        </w:rPr>
        <w:t>位以内</w:t>
      </w:r>
      <w:r>
        <w:rPr>
          <w:rFonts w:hint="eastAsia"/>
          <w:bCs/>
          <w:sz w:val="24"/>
        </w:rPr>
        <w:t>(</w:t>
      </w:r>
      <w:r>
        <w:rPr>
          <w:rFonts w:hint="eastAsia"/>
          <w:bCs/>
          <w:sz w:val="24"/>
        </w:rPr>
        <w:t>含第</w:t>
      </w:r>
      <w:r>
        <w:rPr>
          <w:rFonts w:hint="eastAsia"/>
          <w:bCs/>
          <w:sz w:val="24"/>
        </w:rPr>
        <w:t>4</w:t>
      </w:r>
      <w:r>
        <w:rPr>
          <w:rFonts w:hint="eastAsia"/>
          <w:bCs/>
          <w:sz w:val="24"/>
        </w:rPr>
        <w:t>位</w:t>
      </w:r>
      <w:r>
        <w:rPr>
          <w:rFonts w:hint="eastAsia"/>
          <w:bCs/>
          <w:sz w:val="24"/>
        </w:rPr>
        <w:t>)</w:t>
      </w:r>
      <w:r>
        <w:rPr>
          <w:rFonts w:hint="eastAsia"/>
          <w:bCs/>
          <w:sz w:val="24"/>
        </w:rPr>
        <w:t>发生估值错误时，视为该类基金份额净值错误。</w:t>
      </w:r>
    </w:p>
    <w:p w14:paraId="466A337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基金合同的当事人应按照以下约定处理：</w:t>
      </w:r>
    </w:p>
    <w:p w14:paraId="7345AF8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、估值错误类型</w:t>
      </w:r>
    </w:p>
    <w:p w14:paraId="536BB09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运作过程中，如果由于基金管理人或基金托管人、或登记机构、或证券经纪机构、或销售机构、或投资人自身的过错造成估值错误，导致其他当事人遭受损失的，过错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14:paraId="6561CBD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上述估值错误的主要类型包括但不限于：资料申报差错、数据传输差错、数据计算差错、系统故障差错、下达指令差错等。</w:t>
      </w:r>
    </w:p>
    <w:p w14:paraId="73D6128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、估值错误处理原则</w:t>
      </w:r>
    </w:p>
    <w:p w14:paraId="7690D46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D32334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w:t>
      </w:r>
      <w:r>
        <w:rPr>
          <w:rFonts w:hint="eastAsia"/>
          <w:bCs/>
          <w:sz w:val="24"/>
        </w:rPr>
        <w:lastRenderedPageBreak/>
        <w:t>并且仅对估值错误的有关直接当事人负责，不对第三方负责。</w:t>
      </w:r>
    </w:p>
    <w:p w14:paraId="79E661B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63EABE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14:paraId="7D55864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、估值错误处理程序</w:t>
      </w:r>
    </w:p>
    <w:p w14:paraId="550CFE9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估值错误被发现后，有关的当事人应当及时进行处理，处理的程序如下：</w:t>
      </w:r>
    </w:p>
    <w:p w14:paraId="6E90256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14:paraId="2AF7908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14:paraId="76702FD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14:paraId="48E7DF5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4</w:t>
      </w:r>
      <w:r>
        <w:rPr>
          <w:rFonts w:hint="eastAsia"/>
          <w:bCs/>
          <w:sz w:val="24"/>
        </w:rPr>
        <w:t>）根据估值错误处理的方法，需要修改基金份额登记机构交易数据的，由基金份额登记机构进行更正，并就估值错误的更正向有关当事人进行确认。</w:t>
      </w:r>
    </w:p>
    <w:p w14:paraId="026FC1E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、基金份额净值估值错误处理的方法如下：</w:t>
      </w:r>
    </w:p>
    <w:p w14:paraId="146DB43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w:t>
      </w:r>
      <w:r>
        <w:rPr>
          <w:rFonts w:hint="eastAsia"/>
          <w:bCs/>
          <w:sz w:val="24"/>
        </w:rPr>
        <w:t>）基金份额净值计算出现错误时，基金管理人应当立即予以纠正，通报基金托管人，并采取合理的措施防止损失进一步扩大。</w:t>
      </w:r>
    </w:p>
    <w:p w14:paraId="4FA6CBB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w:t>
      </w:r>
      <w:r>
        <w:rPr>
          <w:rFonts w:hint="eastAsia"/>
          <w:bCs/>
          <w:sz w:val="24"/>
        </w:rPr>
        <w:t>）错误偏差达到某类基金份额净值的</w:t>
      </w:r>
      <w:r>
        <w:rPr>
          <w:rFonts w:hint="eastAsia"/>
          <w:bCs/>
          <w:sz w:val="24"/>
        </w:rPr>
        <w:t>0.25%</w:t>
      </w:r>
      <w:r>
        <w:rPr>
          <w:rFonts w:hint="eastAsia"/>
          <w:bCs/>
          <w:sz w:val="24"/>
        </w:rPr>
        <w:t>时，基金管理人应当通报基金托管人并报中国证监会备案；错误偏差达到某类基金份额净值的</w:t>
      </w:r>
      <w:r>
        <w:rPr>
          <w:rFonts w:hint="eastAsia"/>
          <w:bCs/>
          <w:sz w:val="24"/>
        </w:rPr>
        <w:t>0.5%</w:t>
      </w:r>
      <w:r>
        <w:rPr>
          <w:rFonts w:hint="eastAsia"/>
          <w:bCs/>
          <w:sz w:val="24"/>
        </w:rPr>
        <w:t>时，基金管理人应当公告，并报中国证监会备案。</w:t>
      </w:r>
    </w:p>
    <w:p w14:paraId="4CE2FFE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3</w:t>
      </w:r>
      <w:r>
        <w:rPr>
          <w:rFonts w:hint="eastAsia"/>
          <w:bCs/>
          <w:sz w:val="24"/>
        </w:rPr>
        <w:t>）前述内容如法律法规或监管机关另有规定的，从其规定处理。</w:t>
      </w:r>
    </w:p>
    <w:p w14:paraId="3B7F3BFF"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七、暂停估值的情形</w:t>
      </w:r>
    </w:p>
    <w:p w14:paraId="1B2D76A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、基金投资所涉及的证券、期货交易市场遇法定节假日或因其他原因暂停营业时；</w:t>
      </w:r>
    </w:p>
    <w:p w14:paraId="3A2D0C41"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2</w:t>
      </w:r>
      <w:r>
        <w:rPr>
          <w:rFonts w:hint="eastAsia"/>
          <w:bCs/>
          <w:sz w:val="24"/>
        </w:rPr>
        <w:t>、因不可抗力或其他情形致使基金管理人、基金托管人无法准确评估基金资产价值时；</w:t>
      </w:r>
    </w:p>
    <w:p w14:paraId="6D3BE69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以上的，经与基金托管人协商确认后，基金管理人应当暂停基金估值；</w:t>
      </w:r>
    </w:p>
    <w:p w14:paraId="2E09110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、法律法规、中国证监会和基金合同认定的其它情形。</w:t>
      </w:r>
    </w:p>
    <w:p w14:paraId="2CE031E9"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八、基金净值的确认</w:t>
      </w:r>
    </w:p>
    <w:p w14:paraId="2FE779B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w:t>
      </w:r>
    </w:p>
    <w:p w14:paraId="5E35DCB7"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九、特殊情形的处理</w:t>
      </w:r>
    </w:p>
    <w:p w14:paraId="536133E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、基金管理人、基金托管人按估值方法的第</w:t>
      </w:r>
      <w:r>
        <w:rPr>
          <w:bCs/>
          <w:sz w:val="24"/>
        </w:rPr>
        <w:t>8</w:t>
      </w:r>
      <w:r>
        <w:rPr>
          <w:rFonts w:hint="eastAsia"/>
          <w:bCs/>
          <w:sz w:val="24"/>
        </w:rPr>
        <w:t>项进行估值时，所造成的误差不作为基金资产估值错误处理。</w:t>
      </w:r>
    </w:p>
    <w:p w14:paraId="5310A2B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由于不可抗力原因，或由于证券、期货交易所、证券经纪机构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404048F6" w14:textId="77777777" w:rsidR="004614AE" w:rsidRDefault="00000000">
      <w:pPr>
        <w:autoSpaceDE w:val="0"/>
        <w:autoSpaceDN w:val="0"/>
        <w:spacing w:line="360" w:lineRule="auto"/>
        <w:ind w:firstLineChars="200" w:firstLine="482"/>
        <w:textAlignment w:val="bottom"/>
        <w:rPr>
          <w:b/>
          <w:bCs/>
          <w:sz w:val="24"/>
        </w:rPr>
      </w:pPr>
      <w:r>
        <w:rPr>
          <w:rFonts w:hint="eastAsia"/>
          <w:b/>
          <w:bCs/>
          <w:sz w:val="24"/>
        </w:rPr>
        <w:t>十、实施</w:t>
      </w:r>
      <w:proofErr w:type="gramStart"/>
      <w:r>
        <w:rPr>
          <w:rFonts w:hint="eastAsia"/>
          <w:b/>
          <w:bCs/>
          <w:sz w:val="24"/>
        </w:rPr>
        <w:t>侧袋机制</w:t>
      </w:r>
      <w:proofErr w:type="gramEnd"/>
      <w:r>
        <w:rPr>
          <w:rFonts w:hint="eastAsia"/>
          <w:b/>
          <w:bCs/>
          <w:sz w:val="24"/>
        </w:rPr>
        <w:t>期间的基金资产估值</w:t>
      </w:r>
    </w:p>
    <w:p w14:paraId="7D3BDB7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的基金净值信息，暂停</w:t>
      </w:r>
      <w:proofErr w:type="gramStart"/>
      <w:r>
        <w:rPr>
          <w:rFonts w:hint="eastAsia"/>
          <w:bCs/>
          <w:sz w:val="24"/>
        </w:rPr>
        <w:t>披露侧袋账户</w:t>
      </w:r>
      <w:proofErr w:type="gramEnd"/>
      <w:r>
        <w:rPr>
          <w:rFonts w:hint="eastAsia"/>
          <w:bCs/>
          <w:sz w:val="24"/>
        </w:rPr>
        <w:t>的基金净值信息。</w:t>
      </w:r>
    </w:p>
    <w:p w14:paraId="7C5F0C64" w14:textId="77777777" w:rsidR="004614AE" w:rsidRDefault="00000000">
      <w:pPr>
        <w:widowControl/>
        <w:jc w:val="left"/>
        <w:rPr>
          <w:bCs/>
          <w:sz w:val="24"/>
        </w:rPr>
      </w:pPr>
      <w:r>
        <w:rPr>
          <w:bCs/>
          <w:sz w:val="24"/>
        </w:rPr>
        <w:br w:type="page"/>
      </w:r>
    </w:p>
    <w:p w14:paraId="656B3FF4" w14:textId="77777777" w:rsidR="004614AE" w:rsidRDefault="00000000">
      <w:pPr>
        <w:pStyle w:val="1"/>
        <w:jc w:val="center"/>
        <w:rPr>
          <w:sz w:val="30"/>
          <w:szCs w:val="30"/>
        </w:rPr>
      </w:pPr>
      <w:bookmarkStart w:id="265" w:name="_Toc416264548"/>
      <w:bookmarkStart w:id="266" w:name="_Toc68266299"/>
      <w:bookmarkStart w:id="267" w:name="_Toc263092320"/>
      <w:bookmarkStart w:id="268" w:name="_Toc119568468"/>
      <w:bookmarkEnd w:id="251"/>
      <w:bookmarkEnd w:id="252"/>
      <w:bookmarkEnd w:id="253"/>
      <w:bookmarkEnd w:id="254"/>
      <w:bookmarkEnd w:id="255"/>
      <w:bookmarkEnd w:id="256"/>
      <w:bookmarkEnd w:id="257"/>
      <w:bookmarkEnd w:id="258"/>
      <w:bookmarkEnd w:id="259"/>
      <w:bookmarkEnd w:id="260"/>
      <w:bookmarkEnd w:id="261"/>
      <w:bookmarkEnd w:id="262"/>
      <w:r>
        <w:rPr>
          <w:rFonts w:hint="eastAsia"/>
          <w:sz w:val="30"/>
          <w:szCs w:val="30"/>
        </w:rPr>
        <w:lastRenderedPageBreak/>
        <w:t>第十二部分</w:t>
      </w:r>
      <w:r>
        <w:rPr>
          <w:sz w:val="30"/>
          <w:szCs w:val="30"/>
        </w:rPr>
        <w:t xml:space="preserve">  </w:t>
      </w:r>
      <w:r>
        <w:rPr>
          <w:rFonts w:hint="eastAsia"/>
          <w:sz w:val="30"/>
          <w:szCs w:val="30"/>
        </w:rPr>
        <w:t>基金的收益分配</w:t>
      </w:r>
      <w:bookmarkEnd w:id="265"/>
      <w:bookmarkEnd w:id="266"/>
      <w:bookmarkEnd w:id="267"/>
      <w:bookmarkEnd w:id="268"/>
    </w:p>
    <w:p w14:paraId="5E815592" w14:textId="77777777" w:rsidR="004614AE" w:rsidRDefault="00000000">
      <w:pPr>
        <w:autoSpaceDE w:val="0"/>
        <w:autoSpaceDN w:val="0"/>
        <w:spacing w:line="360" w:lineRule="auto"/>
        <w:ind w:firstLineChars="200" w:firstLine="480"/>
        <w:textAlignment w:val="bottom"/>
        <w:rPr>
          <w:bCs/>
          <w:sz w:val="24"/>
        </w:rPr>
      </w:pPr>
      <w:bookmarkStart w:id="269" w:name="_Toc416264549"/>
      <w:bookmarkStart w:id="270" w:name="_Toc147463128"/>
      <w:bookmarkStart w:id="271" w:name="_Toc263092321"/>
      <w:bookmarkStart w:id="272" w:name="_Toc21073401"/>
      <w:bookmarkStart w:id="273" w:name="_Toc214873602"/>
      <w:bookmarkStart w:id="274" w:name="_Toc12357181"/>
      <w:bookmarkStart w:id="275" w:name="_Toc7802"/>
      <w:bookmarkStart w:id="276" w:name="_Toc31917"/>
      <w:bookmarkStart w:id="277" w:name="_Toc17782"/>
      <w:bookmarkStart w:id="278" w:name="_Toc352229760"/>
      <w:bookmarkStart w:id="279" w:name="_Toc141703894"/>
      <w:bookmarkStart w:id="280" w:name="_Toc871"/>
      <w:bookmarkStart w:id="281" w:name="_Toc139991744"/>
      <w:bookmarkStart w:id="282" w:name="_Toc19714"/>
      <w:bookmarkStart w:id="283" w:name="_Toc27832"/>
      <w:bookmarkStart w:id="284" w:name="_Toc2623"/>
      <w:r>
        <w:rPr>
          <w:rFonts w:hint="eastAsia"/>
          <w:bCs/>
          <w:sz w:val="24"/>
        </w:rPr>
        <w:t>一、基金利润的构成</w:t>
      </w:r>
    </w:p>
    <w:p w14:paraId="22BCAB6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3B07DDA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二、基金可供分配利润</w:t>
      </w:r>
    </w:p>
    <w:p w14:paraId="37CEACE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基金可供分配利润指截至收益分配基准日基金未分配利润与未分配利润中已实现收益的孰低数。</w:t>
      </w:r>
    </w:p>
    <w:p w14:paraId="0ECBE8F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三、基金收益分配原则</w:t>
      </w:r>
    </w:p>
    <w:p w14:paraId="3FB53DC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270F99F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Pr>
          <w:rFonts w:hint="eastAsia"/>
          <w:bCs/>
          <w:sz w:val="24"/>
        </w:rPr>
        <w:t xml:space="preserve">A </w:t>
      </w:r>
      <w:r>
        <w:rPr>
          <w:rFonts w:hint="eastAsia"/>
          <w:bCs/>
          <w:sz w:val="24"/>
        </w:rPr>
        <w:t>类和</w:t>
      </w:r>
      <w:r>
        <w:rPr>
          <w:rFonts w:hint="eastAsia"/>
          <w:bCs/>
          <w:sz w:val="24"/>
        </w:rPr>
        <w:t>C</w:t>
      </w:r>
      <w:r>
        <w:rPr>
          <w:rFonts w:hint="eastAsia"/>
          <w:bCs/>
          <w:sz w:val="24"/>
        </w:rPr>
        <w:t>类基金份额分别选择不同的分红方式；同一投资人持有的同一类别的基金份额只能选择一种分红方式，如投资人在不同销售机构选择的分红方式不同，</w:t>
      </w:r>
      <w:proofErr w:type="gramStart"/>
      <w:r>
        <w:rPr>
          <w:rFonts w:hint="eastAsia"/>
          <w:bCs/>
          <w:sz w:val="24"/>
        </w:rPr>
        <w:t>则基金</w:t>
      </w:r>
      <w:proofErr w:type="gramEnd"/>
      <w:r>
        <w:rPr>
          <w:rFonts w:hint="eastAsia"/>
          <w:bCs/>
          <w:sz w:val="24"/>
        </w:rPr>
        <w:t>份额登记机构将以投资人最后一次选择的分红方式为准；</w:t>
      </w:r>
    </w:p>
    <w:p w14:paraId="1C91713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、基金收益分配后各类基金份额净值不能低于面值，即基金收益分配基准日的各类基金份额净值减去每单位该类别基金份额收益分配金额后不能低于面值；</w:t>
      </w:r>
    </w:p>
    <w:p w14:paraId="12B038F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、由于本基金</w:t>
      </w:r>
      <w:r>
        <w:rPr>
          <w:rFonts w:hint="eastAsia"/>
          <w:bCs/>
          <w:sz w:val="24"/>
        </w:rPr>
        <w:t xml:space="preserve">A </w:t>
      </w:r>
      <w:r>
        <w:rPr>
          <w:rFonts w:hint="eastAsia"/>
          <w:bCs/>
          <w:sz w:val="24"/>
        </w:rPr>
        <w:t>类基金份额不收取销售服务费，</w:t>
      </w:r>
      <w:r>
        <w:rPr>
          <w:rFonts w:hint="eastAsia"/>
          <w:bCs/>
          <w:sz w:val="24"/>
        </w:rPr>
        <w:t xml:space="preserve">C </w:t>
      </w:r>
      <w:r>
        <w:rPr>
          <w:rFonts w:hint="eastAsia"/>
          <w:bCs/>
          <w:sz w:val="24"/>
        </w:rPr>
        <w:t>类基金份额收取销售服务费，各基金份额类别对应的可分配收益将有所不同，本基金同一基金份额类别内的每一基金份额享有同等分配权；</w:t>
      </w:r>
    </w:p>
    <w:p w14:paraId="0D85751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53E95FF3" w14:textId="77777777" w:rsidR="004614AE" w:rsidRDefault="00000000">
      <w:pPr>
        <w:spacing w:line="360" w:lineRule="auto"/>
        <w:ind w:firstLineChars="225" w:firstLine="540"/>
        <w:rPr>
          <w:bCs/>
          <w:sz w:val="24"/>
        </w:rPr>
      </w:pPr>
      <w:r>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3B12C56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四、收益分配方案</w:t>
      </w:r>
    </w:p>
    <w:p w14:paraId="5A2B7E8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基金收益分配方案中应载明截止收益分配基准日的可供分配利润、基金收益分配对象、分配时间、分配数额及比例、分配方式等内容。</w:t>
      </w:r>
    </w:p>
    <w:p w14:paraId="51A285F1"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五、收益分配方案的确定、公告与实施</w:t>
      </w:r>
    </w:p>
    <w:p w14:paraId="62F95A8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本基金收益分配方案由基金管理人拟定，并由基金托管人复核，依照《信息披露办法》的有关规定在规定媒介公告。</w:t>
      </w:r>
    </w:p>
    <w:p w14:paraId="131296B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六、基金收益分配中发生的费用</w:t>
      </w:r>
    </w:p>
    <w:p w14:paraId="4B2C50E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7E29969F"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七、实施</w:t>
      </w:r>
      <w:proofErr w:type="gramStart"/>
      <w:r>
        <w:rPr>
          <w:rFonts w:cs="Arial" w:hint="eastAsia"/>
          <w:color w:val="000000"/>
          <w:sz w:val="24"/>
        </w:rPr>
        <w:t>侧袋机制</w:t>
      </w:r>
      <w:proofErr w:type="gramEnd"/>
      <w:r>
        <w:rPr>
          <w:rFonts w:cs="Arial" w:hint="eastAsia"/>
          <w:color w:val="000000"/>
          <w:sz w:val="24"/>
        </w:rPr>
        <w:t>期间的收益分配</w:t>
      </w:r>
    </w:p>
    <w:p w14:paraId="1C843BA3"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w:t>
      </w:r>
      <w:proofErr w:type="gramStart"/>
      <w:r>
        <w:rPr>
          <w:rFonts w:cs="Arial" w:hint="eastAsia"/>
          <w:color w:val="000000"/>
          <w:sz w:val="24"/>
        </w:rPr>
        <w:t>侧袋账户</w:t>
      </w:r>
      <w:proofErr w:type="gramEnd"/>
      <w:r>
        <w:rPr>
          <w:rFonts w:cs="Arial" w:hint="eastAsia"/>
          <w:color w:val="000000"/>
          <w:sz w:val="24"/>
        </w:rPr>
        <w:t>不进行收益分配。</w:t>
      </w:r>
    </w:p>
    <w:p w14:paraId="17F0A905" w14:textId="77777777" w:rsidR="004614AE" w:rsidRDefault="004614AE">
      <w:pPr>
        <w:autoSpaceDE w:val="0"/>
        <w:autoSpaceDN w:val="0"/>
        <w:spacing w:line="360" w:lineRule="auto"/>
        <w:ind w:firstLineChars="200" w:firstLine="480"/>
        <w:textAlignment w:val="bottom"/>
        <w:rPr>
          <w:bCs/>
          <w:sz w:val="24"/>
        </w:rPr>
      </w:pPr>
    </w:p>
    <w:p w14:paraId="0690DF44" w14:textId="77777777" w:rsidR="004614AE" w:rsidRDefault="00000000">
      <w:pPr>
        <w:widowControl/>
        <w:jc w:val="left"/>
        <w:rPr>
          <w:bCs/>
          <w:sz w:val="24"/>
        </w:rPr>
      </w:pPr>
      <w:r>
        <w:rPr>
          <w:bCs/>
          <w:sz w:val="24"/>
        </w:rPr>
        <w:br w:type="page"/>
      </w:r>
    </w:p>
    <w:p w14:paraId="7ED1DAE3" w14:textId="77777777" w:rsidR="004614AE" w:rsidRDefault="00000000">
      <w:pPr>
        <w:pStyle w:val="1"/>
        <w:jc w:val="center"/>
        <w:rPr>
          <w:sz w:val="30"/>
          <w:szCs w:val="30"/>
        </w:rPr>
      </w:pPr>
      <w:bookmarkStart w:id="285" w:name="_Toc68266300"/>
      <w:bookmarkStart w:id="286" w:name="_Toc119568469"/>
      <w:r>
        <w:rPr>
          <w:rFonts w:hint="eastAsia"/>
          <w:sz w:val="30"/>
          <w:szCs w:val="30"/>
        </w:rPr>
        <w:lastRenderedPageBreak/>
        <w:t>第十三部分</w:t>
      </w:r>
      <w:r>
        <w:rPr>
          <w:sz w:val="30"/>
          <w:szCs w:val="30"/>
        </w:rPr>
        <w:t xml:space="preserve">  </w:t>
      </w:r>
      <w:r>
        <w:rPr>
          <w:rFonts w:hint="eastAsia"/>
          <w:sz w:val="30"/>
          <w:szCs w:val="30"/>
        </w:rPr>
        <w:t>基金费用与税收</w:t>
      </w:r>
      <w:bookmarkEnd w:id="269"/>
      <w:bookmarkEnd w:id="270"/>
      <w:bookmarkEnd w:id="271"/>
      <w:bookmarkEnd w:id="272"/>
      <w:bookmarkEnd w:id="273"/>
      <w:bookmarkEnd w:id="274"/>
      <w:bookmarkEnd w:id="285"/>
      <w:bookmarkEnd w:id="286"/>
    </w:p>
    <w:p w14:paraId="53C73697" w14:textId="77777777" w:rsidR="004614AE" w:rsidRDefault="00000000">
      <w:pPr>
        <w:autoSpaceDE w:val="0"/>
        <w:autoSpaceDN w:val="0"/>
        <w:spacing w:line="360" w:lineRule="auto"/>
        <w:ind w:firstLineChars="200" w:firstLine="480"/>
        <w:textAlignment w:val="bottom"/>
        <w:rPr>
          <w:bCs/>
          <w:sz w:val="24"/>
        </w:rPr>
      </w:pPr>
      <w:bookmarkStart w:id="287" w:name="_Toc214873603"/>
      <w:bookmarkStart w:id="288" w:name="_Toc263092322"/>
      <w:bookmarkStart w:id="289" w:name="_Toc416264550"/>
      <w:bookmarkStart w:id="290" w:name="_Toc19706"/>
      <w:bookmarkStart w:id="291" w:name="_Toc32227"/>
      <w:bookmarkStart w:id="292" w:name="_Toc12105"/>
      <w:bookmarkStart w:id="293" w:name="_Toc32041"/>
      <w:bookmarkStart w:id="294" w:name="_Toc15779"/>
      <w:bookmarkStart w:id="295" w:name="_Toc19752"/>
      <w:bookmarkStart w:id="296" w:name="_Toc6493"/>
      <w:bookmarkStart w:id="297" w:name="_Toc32046"/>
      <w:bookmarkStart w:id="298" w:name="_Toc13987"/>
      <w:bookmarkStart w:id="299" w:name="_Toc139991745"/>
      <w:bookmarkStart w:id="300" w:name="_Toc24601"/>
      <w:bookmarkStart w:id="301" w:name="_Toc141703895"/>
      <w:bookmarkStart w:id="302" w:name="_Toc352229761"/>
      <w:bookmarkStart w:id="303" w:name="_Toc3365"/>
      <w:bookmarkEnd w:id="275"/>
      <w:bookmarkEnd w:id="276"/>
      <w:bookmarkEnd w:id="277"/>
      <w:bookmarkEnd w:id="278"/>
      <w:bookmarkEnd w:id="279"/>
      <w:bookmarkEnd w:id="280"/>
      <w:bookmarkEnd w:id="281"/>
      <w:bookmarkEnd w:id="282"/>
      <w:bookmarkEnd w:id="283"/>
      <w:bookmarkEnd w:id="284"/>
      <w:r>
        <w:rPr>
          <w:rFonts w:hint="eastAsia"/>
          <w:bCs/>
          <w:sz w:val="24"/>
        </w:rPr>
        <w:t>一、基金费用的种类</w:t>
      </w:r>
    </w:p>
    <w:p w14:paraId="1C86301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p>
    <w:p w14:paraId="62EF0DF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07F8688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5FCE865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、除法律法规、中国证监会另有规定外，《基金合同》生效后与基金相关的信息披露费用；</w:t>
      </w:r>
    </w:p>
    <w:p w14:paraId="1104912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、《基金合同》生效后与基金相关的会计师费、律师费、诉讼费和仲裁费；</w:t>
      </w:r>
    </w:p>
    <w:p w14:paraId="7741149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、基金份额持有人大会费用；</w:t>
      </w:r>
    </w:p>
    <w:p w14:paraId="16C041D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、基金的证券、期货、期权交易费用；</w:t>
      </w:r>
    </w:p>
    <w:p w14:paraId="68A9E21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、基金的银行汇划费用；</w:t>
      </w:r>
    </w:p>
    <w:p w14:paraId="58536D2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、基金的相关账户的开户及维护费用；</w:t>
      </w:r>
    </w:p>
    <w:p w14:paraId="138FB1D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bCs/>
          <w:sz w:val="24"/>
        </w:rPr>
        <w:t>0</w:t>
      </w:r>
      <w:r>
        <w:rPr>
          <w:rFonts w:hint="eastAsia"/>
          <w:bCs/>
          <w:sz w:val="24"/>
        </w:rPr>
        <w:t>、按照国家有关规定和《基金合同》约定，可以在基金财产中列支的其他费用。</w:t>
      </w:r>
    </w:p>
    <w:p w14:paraId="0AA52BF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二、基金费用计提方法、计提标准和支付方式</w:t>
      </w:r>
    </w:p>
    <w:p w14:paraId="7D946D6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、基金管理人的管理费</w:t>
      </w:r>
      <w:r>
        <w:rPr>
          <w:rFonts w:hint="eastAsia"/>
          <w:bCs/>
          <w:sz w:val="24"/>
        </w:rPr>
        <w:t xml:space="preserve"> </w:t>
      </w:r>
    </w:p>
    <w:p w14:paraId="423718D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本基金的管理费按前一日基金资产净值的</w:t>
      </w:r>
      <w:r>
        <w:rPr>
          <w:rFonts w:hint="eastAsia"/>
          <w:bCs/>
          <w:sz w:val="24"/>
        </w:rPr>
        <w:t>0.6%</w:t>
      </w:r>
      <w:r>
        <w:rPr>
          <w:rFonts w:hint="eastAsia"/>
          <w:bCs/>
          <w:sz w:val="24"/>
        </w:rPr>
        <w:t>的年费率计提。管理费的计算方法如下：</w:t>
      </w:r>
    </w:p>
    <w:p w14:paraId="56C0979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w:t>
      </w:r>
      <w:r>
        <w:rPr>
          <w:rFonts w:hint="eastAsia"/>
          <w:bCs/>
          <w:sz w:val="24"/>
        </w:rPr>
        <w:t>÷当年天数</w:t>
      </w:r>
    </w:p>
    <w:p w14:paraId="3584717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为每日应计提的基金管理费</w:t>
      </w:r>
    </w:p>
    <w:p w14:paraId="3502CF5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为前一日的基金资产净值</w:t>
      </w:r>
    </w:p>
    <w:p w14:paraId="47D9B51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个工作日自动从基金资产中一次性支付给基金管理人。若遇法定节假日、休息日或不可抗力致使无法按时支付的，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0604334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、基金托管人的托管费</w:t>
      </w:r>
    </w:p>
    <w:p w14:paraId="6A3100E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本基金的托管费按前一日基金资产净值的</w:t>
      </w:r>
      <w:r>
        <w:rPr>
          <w:rFonts w:hint="eastAsia"/>
          <w:bCs/>
          <w:sz w:val="24"/>
        </w:rPr>
        <w:t>0.20%</w:t>
      </w:r>
      <w:r>
        <w:rPr>
          <w:rFonts w:hint="eastAsia"/>
          <w:bCs/>
          <w:sz w:val="24"/>
        </w:rPr>
        <w:t>的年费率计提。托管费的计算方法如下：</w:t>
      </w:r>
    </w:p>
    <w:p w14:paraId="74FCF91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0.20%</w:t>
      </w:r>
      <w:r>
        <w:rPr>
          <w:rFonts w:hint="eastAsia"/>
          <w:bCs/>
          <w:sz w:val="24"/>
        </w:rPr>
        <w:t>÷当年天数</w:t>
      </w:r>
    </w:p>
    <w:p w14:paraId="27EC7FE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为每日应计提的基金托管费</w:t>
      </w:r>
    </w:p>
    <w:p w14:paraId="36F4BD7B"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E</w:t>
      </w:r>
      <w:r>
        <w:rPr>
          <w:rFonts w:hint="eastAsia"/>
          <w:bCs/>
          <w:sz w:val="24"/>
        </w:rPr>
        <w:t>为前一日的基金资产净值</w:t>
      </w:r>
    </w:p>
    <w:p w14:paraId="6615E05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基金托管费每日计提，逐日累计至每月月末，按月支付。由基金管理人授权基金托管人于次月第</w:t>
      </w:r>
      <w:r>
        <w:rPr>
          <w:rFonts w:hint="eastAsia"/>
          <w:bCs/>
          <w:sz w:val="24"/>
        </w:rPr>
        <w:t>5</w:t>
      </w:r>
      <w:r>
        <w:rPr>
          <w:rFonts w:hint="eastAsia"/>
          <w:bCs/>
          <w:sz w:val="24"/>
        </w:rPr>
        <w:t>个工作日自动从基金资产中一次性支付给基金托管人。若遇法定节假日、休息日或不可抗力致使无法按时支付的，</w:t>
      </w:r>
      <w:r>
        <w:rPr>
          <w:rFonts w:ascii="宋体" w:hAnsi="宋体" w:hint="eastAsia"/>
          <w:color w:val="000000"/>
          <w:kern w:val="0"/>
          <w:sz w:val="24"/>
        </w:rPr>
        <w:t>顺延至最近可支付日支付</w:t>
      </w:r>
      <w:r>
        <w:rPr>
          <w:rFonts w:ascii="宋体" w:hAnsi="宋体" w:hint="eastAsia"/>
          <w:kern w:val="0"/>
          <w:sz w:val="24"/>
        </w:rPr>
        <w:t>。</w:t>
      </w:r>
    </w:p>
    <w:p w14:paraId="704D30F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5C5C641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 xml:space="preserve">0.40% </w:t>
      </w:r>
      <w:r>
        <w:rPr>
          <w:rFonts w:hint="eastAsia"/>
          <w:bCs/>
          <w:sz w:val="24"/>
        </w:rPr>
        <w:t>。销售服务费的计算方法如下：</w:t>
      </w:r>
    </w:p>
    <w:p w14:paraId="5F79E4C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 xml:space="preserve">0.40% </w:t>
      </w:r>
      <w:r>
        <w:rPr>
          <w:rFonts w:hint="eastAsia"/>
          <w:bCs/>
          <w:sz w:val="24"/>
        </w:rPr>
        <w:t>÷当年天数</w:t>
      </w:r>
    </w:p>
    <w:p w14:paraId="624ABF9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68A51C7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E</w:t>
      </w:r>
      <w:r>
        <w:rPr>
          <w:rFonts w:hint="eastAsia"/>
          <w:bCs/>
          <w:sz w:val="24"/>
        </w:rPr>
        <w:t>为前一日</w:t>
      </w:r>
      <w:r>
        <w:rPr>
          <w:rFonts w:hint="eastAsia"/>
          <w:bCs/>
          <w:sz w:val="24"/>
        </w:rPr>
        <w:t>C</w:t>
      </w:r>
      <w:r>
        <w:rPr>
          <w:rFonts w:hint="eastAsia"/>
          <w:bCs/>
          <w:sz w:val="24"/>
        </w:rPr>
        <w:t>类基金份额的基金资产净值</w:t>
      </w:r>
    </w:p>
    <w:p w14:paraId="21429AF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C</w:t>
      </w:r>
      <w:r>
        <w:rPr>
          <w:rFonts w:hint="eastAsia"/>
          <w:bCs/>
          <w:sz w:val="24"/>
        </w:rPr>
        <w:t>类基金份额的销售服务费每日计提，逐日累计至每月月末，按月支付。由基金管理人授权基金托管人于次月第</w:t>
      </w:r>
      <w:r>
        <w:rPr>
          <w:rFonts w:hint="eastAsia"/>
          <w:bCs/>
          <w:sz w:val="24"/>
        </w:rPr>
        <w:t>5</w:t>
      </w:r>
      <w:r>
        <w:rPr>
          <w:rFonts w:hint="eastAsia"/>
          <w:bCs/>
          <w:sz w:val="24"/>
        </w:rPr>
        <w:t>个工作日自动从基金资产中一次性支付给登记机构，由登记机构分别支付给销售机构。若遇法定节假日、休息日或不可抗力致使无法按时支付的，支付日期顺延。</w:t>
      </w:r>
    </w:p>
    <w:p w14:paraId="133FA80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上述“一、基金费用的种类”中第</w:t>
      </w:r>
      <w:r>
        <w:rPr>
          <w:rFonts w:hint="eastAsia"/>
          <w:bCs/>
          <w:sz w:val="24"/>
        </w:rPr>
        <w:t>4</w:t>
      </w:r>
      <w:r>
        <w:rPr>
          <w:rFonts w:hint="eastAsia"/>
          <w:bCs/>
          <w:sz w:val="24"/>
        </w:rPr>
        <w:t>－</w:t>
      </w:r>
      <w:r>
        <w:rPr>
          <w:rFonts w:hint="eastAsia"/>
          <w:bCs/>
          <w:sz w:val="24"/>
        </w:rPr>
        <w:t>1</w:t>
      </w:r>
      <w:r>
        <w:rPr>
          <w:bCs/>
          <w:sz w:val="24"/>
        </w:rPr>
        <w:t>0</w:t>
      </w:r>
      <w:r>
        <w:rPr>
          <w:rFonts w:hint="eastAsia"/>
          <w:bCs/>
          <w:sz w:val="24"/>
        </w:rPr>
        <w:t>项费用，根据有关法规及相应协议规定，按费用实际支出金额列入当期费用，由基金托管人根据基金管理人指令并参照行业惯例从基金财产中支付。</w:t>
      </w:r>
    </w:p>
    <w:p w14:paraId="0C1D2A0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三、不列入基金费用的项目</w:t>
      </w:r>
    </w:p>
    <w:p w14:paraId="55E0EA3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下列费用不列入基金费用：</w:t>
      </w:r>
    </w:p>
    <w:p w14:paraId="3086EE6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、基金管理人和基金托管人因未履行或未完全履行义务导致的费用支出或基金财产的损失；</w:t>
      </w:r>
    </w:p>
    <w:p w14:paraId="4374501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、基金管理人和基金托管人处理与基金运作无关的事项发生的费用；</w:t>
      </w:r>
    </w:p>
    <w:p w14:paraId="6030589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、《基金合同》生效前的相关费用；</w:t>
      </w:r>
    </w:p>
    <w:p w14:paraId="39C29BF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、其他根据相关法律法规及中国证监会的有关规定不得列入基金费用的项目。</w:t>
      </w:r>
    </w:p>
    <w:p w14:paraId="79E59AFB" w14:textId="77777777" w:rsidR="004614AE" w:rsidRDefault="00000000">
      <w:pPr>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787789FD" w14:textId="77777777" w:rsidR="004614AE" w:rsidRDefault="00000000">
      <w:pPr>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账户资产变现后方可列支，有关费用可酌情收取或减免，但不得收取管理费，其他费用详见招募说明书“侧袋机制”部分或相关公告的规定。</w:t>
      </w:r>
    </w:p>
    <w:p w14:paraId="1CF5A40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五、基金税收</w:t>
      </w:r>
    </w:p>
    <w:p w14:paraId="16A2506D"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本基金运作过程中涉及的各纳税主体，其纳税义务按国家税收法律、法规执行。</w:t>
      </w:r>
    </w:p>
    <w:p w14:paraId="6BF41BB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基金财产投资的相关税收，由基金份额持有人承担，基金管理人或者其他扣缴义务人按照国家有关税收征收的规定代扣代缴。</w:t>
      </w:r>
    </w:p>
    <w:p w14:paraId="0ED75B0D" w14:textId="77777777" w:rsidR="004614AE" w:rsidRDefault="004614AE">
      <w:pPr>
        <w:autoSpaceDE w:val="0"/>
        <w:autoSpaceDN w:val="0"/>
        <w:spacing w:line="360" w:lineRule="auto"/>
        <w:ind w:firstLineChars="200" w:firstLine="480"/>
        <w:textAlignment w:val="bottom"/>
        <w:rPr>
          <w:bCs/>
          <w:sz w:val="24"/>
        </w:rPr>
      </w:pPr>
    </w:p>
    <w:p w14:paraId="76CCBE09" w14:textId="77777777" w:rsidR="004614AE" w:rsidRDefault="00000000">
      <w:pPr>
        <w:widowControl/>
        <w:jc w:val="left"/>
        <w:rPr>
          <w:bCs/>
          <w:sz w:val="24"/>
        </w:rPr>
      </w:pPr>
      <w:r>
        <w:rPr>
          <w:bCs/>
          <w:sz w:val="24"/>
        </w:rPr>
        <w:br w:type="page"/>
      </w:r>
    </w:p>
    <w:p w14:paraId="27A367F1" w14:textId="77777777" w:rsidR="004614AE" w:rsidRDefault="00000000">
      <w:pPr>
        <w:pStyle w:val="1"/>
        <w:jc w:val="center"/>
        <w:rPr>
          <w:sz w:val="30"/>
          <w:szCs w:val="30"/>
        </w:rPr>
      </w:pPr>
      <w:bookmarkStart w:id="304" w:name="_Toc68266301"/>
      <w:bookmarkStart w:id="305" w:name="_Toc119568470"/>
      <w:r>
        <w:rPr>
          <w:rFonts w:hint="eastAsia"/>
          <w:sz w:val="30"/>
          <w:szCs w:val="30"/>
        </w:rPr>
        <w:lastRenderedPageBreak/>
        <w:t>第十四部分</w:t>
      </w:r>
      <w:r>
        <w:rPr>
          <w:sz w:val="30"/>
          <w:szCs w:val="30"/>
        </w:rPr>
        <w:t xml:space="preserve">  </w:t>
      </w:r>
      <w:r>
        <w:rPr>
          <w:rFonts w:hint="eastAsia"/>
          <w:sz w:val="30"/>
          <w:szCs w:val="30"/>
        </w:rPr>
        <w:t>基金的会计与审计</w:t>
      </w:r>
      <w:bookmarkEnd w:id="287"/>
      <w:bookmarkEnd w:id="288"/>
      <w:bookmarkEnd w:id="289"/>
      <w:bookmarkEnd w:id="304"/>
      <w:bookmarkEnd w:id="305"/>
    </w:p>
    <w:p w14:paraId="42D7480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一、基金会计政策</w:t>
      </w:r>
    </w:p>
    <w:p w14:paraId="57F2958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、基金管理人为本基金的基金会计责任方；</w:t>
      </w:r>
    </w:p>
    <w:p w14:paraId="105F07E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、基金的会计年度为公历年度的</w:t>
      </w:r>
      <w:r>
        <w:rPr>
          <w:rFonts w:hint="eastAsia"/>
          <w:bCs/>
          <w:sz w:val="24"/>
        </w:rPr>
        <w:t>1</w:t>
      </w:r>
      <w:r>
        <w:rPr>
          <w:rFonts w:hint="eastAsia"/>
          <w:bCs/>
          <w:sz w:val="24"/>
        </w:rPr>
        <w:t>月</w:t>
      </w:r>
      <w:r>
        <w:rPr>
          <w:rFonts w:hint="eastAsia"/>
          <w:bCs/>
          <w:sz w:val="24"/>
        </w:rPr>
        <w:t>1</w:t>
      </w:r>
      <w:r>
        <w:rPr>
          <w:rFonts w:hint="eastAsia"/>
          <w:bCs/>
          <w:sz w:val="24"/>
        </w:rPr>
        <w:t>日至</w:t>
      </w:r>
      <w:r>
        <w:rPr>
          <w:rFonts w:hint="eastAsia"/>
          <w:bCs/>
          <w:sz w:val="24"/>
        </w:rPr>
        <w:t>12</w:t>
      </w:r>
      <w:r>
        <w:rPr>
          <w:rFonts w:hint="eastAsia"/>
          <w:bCs/>
          <w:sz w:val="24"/>
        </w:rPr>
        <w:t>月</w:t>
      </w:r>
      <w:r>
        <w:rPr>
          <w:rFonts w:hint="eastAsia"/>
          <w:bCs/>
          <w:sz w:val="24"/>
        </w:rPr>
        <w:t>31</w:t>
      </w:r>
      <w:r>
        <w:rPr>
          <w:rFonts w:hint="eastAsia"/>
          <w:bCs/>
          <w:sz w:val="24"/>
        </w:rPr>
        <w:t>日；基金首次募集的会计年度按如下原则：如果《基金合同》生效少于</w:t>
      </w:r>
      <w:r>
        <w:rPr>
          <w:rFonts w:hint="eastAsia"/>
          <w:bCs/>
          <w:sz w:val="24"/>
        </w:rPr>
        <w:t>2</w:t>
      </w:r>
      <w:r>
        <w:rPr>
          <w:rFonts w:hint="eastAsia"/>
          <w:bCs/>
          <w:sz w:val="24"/>
        </w:rPr>
        <w:t>个月，可以并入下一个会计年度披露；</w:t>
      </w:r>
    </w:p>
    <w:p w14:paraId="28BE002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、基金核算以人民币为记账本位币，以人民币元为记账单位；</w:t>
      </w:r>
    </w:p>
    <w:p w14:paraId="1C19BC7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、会计制度执行国家有关会计制度；</w:t>
      </w:r>
    </w:p>
    <w:p w14:paraId="225F7C8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、本基金独立建账、独立核算；</w:t>
      </w:r>
    </w:p>
    <w:p w14:paraId="4438ADA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、基金管理人及基金托管人各自保留完整的会计账目、凭证并进行日常的会计核算，按照有关规定编制基金会计报表；</w:t>
      </w:r>
    </w:p>
    <w:p w14:paraId="4D6A56A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、基金托管人每月与基金管理人就基金的会计核算、报表编制等进行核对并以书面方式确认。</w:t>
      </w:r>
    </w:p>
    <w:p w14:paraId="038C0C7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二、基金的年度审计</w:t>
      </w:r>
    </w:p>
    <w:p w14:paraId="2EC7982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3A252FB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、会计师事务所更换经办注册会计师，应事先征得基金管理人同意。</w:t>
      </w:r>
    </w:p>
    <w:p w14:paraId="3FA3682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、基金管理人认为有充足理由更换会计师事务所，须通报基金托管人。更换会计师事务所需依照《信息披露办法》的有关规定在规定媒介公告。</w:t>
      </w:r>
    </w:p>
    <w:p w14:paraId="7ADE70C2" w14:textId="77777777" w:rsidR="004614AE" w:rsidRDefault="00000000">
      <w:pPr>
        <w:widowControl/>
        <w:jc w:val="left"/>
        <w:rPr>
          <w:bCs/>
          <w:sz w:val="24"/>
        </w:rPr>
      </w:pPr>
      <w:r>
        <w:rPr>
          <w:bCs/>
          <w:sz w:val="24"/>
        </w:rPr>
        <w:br w:type="page"/>
      </w:r>
    </w:p>
    <w:p w14:paraId="4298BA36" w14:textId="77777777" w:rsidR="004614AE" w:rsidRDefault="00000000">
      <w:pPr>
        <w:pStyle w:val="1"/>
        <w:jc w:val="center"/>
        <w:rPr>
          <w:sz w:val="30"/>
          <w:szCs w:val="30"/>
        </w:rPr>
      </w:pPr>
      <w:bookmarkStart w:id="306" w:name="_Toc214873604"/>
      <w:bookmarkStart w:id="307" w:name="_Toc416264551"/>
      <w:bookmarkStart w:id="308" w:name="_Toc68266302"/>
      <w:bookmarkStart w:id="309" w:name="_Toc263092323"/>
      <w:bookmarkStart w:id="310" w:name="_Toc79978642"/>
      <w:bookmarkStart w:id="311" w:name="_Toc119568471"/>
      <w:bookmarkStart w:id="312" w:name="_Toc21829"/>
      <w:bookmarkStart w:id="313" w:name="_Toc178"/>
      <w:bookmarkStart w:id="314" w:name="_Toc25883"/>
      <w:bookmarkStart w:id="315" w:name="_Toc139991746"/>
      <w:bookmarkStart w:id="316" w:name="_Toc15351"/>
      <w:bookmarkStart w:id="317" w:name="_Toc3656"/>
      <w:bookmarkStart w:id="318" w:name="_Toc12761"/>
      <w:bookmarkStart w:id="319" w:name="_Toc141703896"/>
      <w:bookmarkStart w:id="320" w:name="_Toc20052"/>
      <w:bookmarkStart w:id="321" w:name="_Toc93226149"/>
      <w:bookmarkStart w:id="322" w:name="_Toc22552"/>
      <w:bookmarkStart w:id="323" w:name="_Toc1617"/>
      <w:bookmarkStart w:id="324" w:name="_Toc128310499"/>
      <w:bookmarkStart w:id="325" w:name="_Toc352229762"/>
      <w:bookmarkStart w:id="326" w:name="_Toc92662707"/>
      <w:bookmarkStart w:id="327" w:name="_Toc19558"/>
      <w:bookmarkStart w:id="328" w:name="_Toc15525"/>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lastRenderedPageBreak/>
        <w:t>第十五部分</w:t>
      </w:r>
      <w:r>
        <w:rPr>
          <w:sz w:val="30"/>
          <w:szCs w:val="30"/>
        </w:rPr>
        <w:t xml:space="preserve">  </w:t>
      </w:r>
      <w:r>
        <w:rPr>
          <w:rFonts w:hint="eastAsia"/>
          <w:sz w:val="30"/>
          <w:szCs w:val="30"/>
        </w:rPr>
        <w:t>基金的信息披露</w:t>
      </w:r>
      <w:bookmarkEnd w:id="306"/>
      <w:bookmarkEnd w:id="307"/>
      <w:bookmarkEnd w:id="308"/>
      <w:bookmarkEnd w:id="309"/>
      <w:bookmarkEnd w:id="310"/>
      <w:bookmarkEnd w:id="311"/>
    </w:p>
    <w:p w14:paraId="782C8DA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6042DF9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二、信息披露义务人</w:t>
      </w:r>
    </w:p>
    <w:p w14:paraId="0088660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本基金信息披露义务人包括基金管理人、基金托管人、召集基金份额持有人大会的基金份额持有人等法律、行政法规和中国证监会规定的自然人、法人和非法人组织。</w:t>
      </w:r>
    </w:p>
    <w:p w14:paraId="0BBE903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8AEF22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14:paraId="5A8DCB8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三、本基金信息披露义务人承诺公开披露的基金信息，不得有下列行为：</w:t>
      </w:r>
    </w:p>
    <w:p w14:paraId="0CC4EE9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、虚假记载、误导性陈述或者重大遗漏；</w:t>
      </w:r>
    </w:p>
    <w:p w14:paraId="7A00F29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、对证券投资业绩进行预测；</w:t>
      </w:r>
    </w:p>
    <w:p w14:paraId="116844E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、违规承诺收益或者承担损失；</w:t>
      </w:r>
    </w:p>
    <w:p w14:paraId="68274F7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、诋毁其他基金管理人、基金托管人或者基金销售机构；</w:t>
      </w:r>
    </w:p>
    <w:p w14:paraId="47207F5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、登载任何自然人、法人和非法人组织的祝贺性、恭维性或推荐性的文字；</w:t>
      </w:r>
    </w:p>
    <w:p w14:paraId="44C30BA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、中国证监会禁止的其他行为。</w:t>
      </w:r>
    </w:p>
    <w:p w14:paraId="09A2924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四、本基金公开披露的信息应采用中文文本。同时采用外文文本的，基金信息披露义务人应保证不同文本的内容一致。不同文本之间发生歧义的，以中文文本为准。</w:t>
      </w:r>
    </w:p>
    <w:p w14:paraId="3CD1B53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本基金公开披露的信息采用阿拉伯数字；除特别说明外，货币单位为人民币元。</w:t>
      </w:r>
    </w:p>
    <w:p w14:paraId="54228EA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五、公开披露的基金信息</w:t>
      </w:r>
    </w:p>
    <w:p w14:paraId="4CC8281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公开披露的基金信息包括：</w:t>
      </w:r>
    </w:p>
    <w:p w14:paraId="35B6B86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（一）基金招募说明书、《基金合同》、基金托管协议、基金产品资料概要</w:t>
      </w:r>
    </w:p>
    <w:p w14:paraId="3DCCE3D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、《基金合同》是界定《基金合同》当事人的各项权利、义务关系，明确基金</w:t>
      </w:r>
      <w:r>
        <w:rPr>
          <w:rFonts w:hint="eastAsia"/>
          <w:bCs/>
          <w:sz w:val="24"/>
        </w:rPr>
        <w:lastRenderedPageBreak/>
        <w:t>份额持有人大会召开的规则及具体程序，说明基金产品的特性等涉及基金投资者重大利益的事项的法律文件。</w:t>
      </w:r>
    </w:p>
    <w:p w14:paraId="784C9CB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E24355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、基金托管协议是界定基金托管人和基金管理人在基金财产保管及基金运作监督等活动中的权利、义务关系的法律文件。</w:t>
      </w:r>
    </w:p>
    <w:p w14:paraId="3E1F8BB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B3F08E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募集申请经中国证监会注册后，基金管理人在基金份额发售的三日前，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1C4451B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（二）基金份额发售公告</w:t>
      </w:r>
    </w:p>
    <w:p w14:paraId="03FFB93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基金管理人应当就基金份额发售的具体事宜编制基金份额发售公告，并在披露招募说明书的当日登载于规定媒介上。</w:t>
      </w:r>
    </w:p>
    <w:p w14:paraId="0472384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（三）《基金合同》生效公告</w:t>
      </w:r>
    </w:p>
    <w:p w14:paraId="2CE48F9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基金管理人应当在收到中国证监会确认文件的次日在规定媒介上登载《基金合同》生效公告。</w:t>
      </w:r>
    </w:p>
    <w:p w14:paraId="57668C3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（四）基金净值信息</w:t>
      </w:r>
    </w:p>
    <w:p w14:paraId="141E28C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《基金合同》生效后，在开始办理基金份额申购或者赎回前，基金管理人应当</w:t>
      </w:r>
      <w:r>
        <w:rPr>
          <w:rFonts w:hint="eastAsia"/>
          <w:bCs/>
          <w:sz w:val="24"/>
        </w:rPr>
        <w:lastRenderedPageBreak/>
        <w:t>至少每周在规定网站披露一次各类基金份额净值和各类基金份额累计净值。</w:t>
      </w:r>
    </w:p>
    <w:p w14:paraId="640FD58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在开始办理基金份额申购或者赎回后，基金管理人应当在不晚于每个开放日的次日，通过规定网站、基金销售机构网站或营业网点披露开放日的各类基金份额净值和各类基金份额累计净值。</w:t>
      </w:r>
    </w:p>
    <w:p w14:paraId="4E7F777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基金管理人应在不晚于半年度和年度最后一日的次日，在规定网站披露半年度和年度最后一日的各类基金份额净值和各类基金份额累计净值。</w:t>
      </w:r>
    </w:p>
    <w:p w14:paraId="0B168E1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（五）基金份额申购、赎回价格</w:t>
      </w:r>
    </w:p>
    <w:p w14:paraId="7B54A50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794BAD4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（六）基金定期报告，包括基金年度报告、基金中期报告和基金季度报告</w:t>
      </w:r>
    </w:p>
    <w:p w14:paraId="6743250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15F06C3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4374385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基金管理人应当在每个季度结束之日起</w:t>
      </w:r>
      <w:r>
        <w:rPr>
          <w:rFonts w:hint="eastAsia"/>
          <w:bCs/>
          <w:sz w:val="24"/>
        </w:rPr>
        <w:t>15</w:t>
      </w:r>
      <w:r>
        <w:rPr>
          <w:rFonts w:hint="eastAsia"/>
          <w:bCs/>
          <w:sz w:val="24"/>
        </w:rPr>
        <w:t>个工作日内，编制完成基金季度报告，将季度报告登载在规定网站上，并将季度报告提示性公告登载在规定报刊上。</w:t>
      </w:r>
    </w:p>
    <w:p w14:paraId="5CA1806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《基金合同》生效不足</w:t>
      </w:r>
      <w:r>
        <w:rPr>
          <w:rFonts w:hint="eastAsia"/>
          <w:bCs/>
          <w:sz w:val="24"/>
        </w:rPr>
        <w:t>2</w:t>
      </w:r>
      <w:r>
        <w:rPr>
          <w:rFonts w:hint="eastAsia"/>
          <w:bCs/>
          <w:sz w:val="24"/>
        </w:rPr>
        <w:t>个月的，基金管理人可以不编制当期季度报告、中期报告或者年度报告。</w:t>
      </w:r>
    </w:p>
    <w:p w14:paraId="3AC898E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3C9DF44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基金管理人应当在基金年度报告和中期报告中披露基金组合资产情况及其流动性风险分析等。</w:t>
      </w:r>
    </w:p>
    <w:p w14:paraId="12B17AB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（七）临时报告</w:t>
      </w:r>
    </w:p>
    <w:p w14:paraId="3DBDDBC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本基金发生重大事件，有关信息披露义务人应当依照《信息披露办法》的有关</w:t>
      </w:r>
      <w:r>
        <w:rPr>
          <w:rFonts w:hint="eastAsia"/>
          <w:bCs/>
          <w:sz w:val="24"/>
        </w:rPr>
        <w:lastRenderedPageBreak/>
        <w:t>规定编制临时报告书，并登载在规定报刊和规定网站上。</w:t>
      </w:r>
    </w:p>
    <w:p w14:paraId="37A45F1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前款所称重大事件，是指可能对基金份额持有人权益或者基金份额的价格产生重大影响的下列事件：</w:t>
      </w:r>
    </w:p>
    <w:p w14:paraId="37DFF4D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、基金份额持有人大会的召开及决定的事项；</w:t>
      </w:r>
    </w:p>
    <w:p w14:paraId="25C13BB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、基金合同终止、基金清算；</w:t>
      </w:r>
    </w:p>
    <w:p w14:paraId="011BCFB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、转换基金运作方式、基金合并；</w:t>
      </w:r>
    </w:p>
    <w:p w14:paraId="22FD68B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、更换基金管理人、基金托管人、基金份额登记机构，基金改聘会计师事务所；</w:t>
      </w:r>
    </w:p>
    <w:p w14:paraId="6EA7134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1A9AF46E" w14:textId="77777777" w:rsidR="004614AE" w:rsidRDefault="00000000">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、基金管理人、基金托管人的法定名称、住所发生变更；</w:t>
      </w:r>
    </w:p>
    <w:p w14:paraId="459FDE3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、基金管理人变更持有百分之五以上股权的股东、基金管理人的实际控制人变更；</w:t>
      </w:r>
    </w:p>
    <w:p w14:paraId="211D2EB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、基金募集期延长或提前结束募集；</w:t>
      </w:r>
    </w:p>
    <w:p w14:paraId="7796D01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、基金管理人高级管理人员、基金经理和基金托管人专门基金托管部门负责人发生变动；</w:t>
      </w:r>
    </w:p>
    <w:p w14:paraId="6FB8F9F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265B224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11</w:t>
      </w:r>
      <w:r>
        <w:rPr>
          <w:rFonts w:hint="eastAsia"/>
          <w:bCs/>
          <w:sz w:val="24"/>
        </w:rPr>
        <w:t>、涉及基金财产、基金管理业务、基金托管业务的诉讼或仲裁；</w:t>
      </w:r>
    </w:p>
    <w:p w14:paraId="113E964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918A44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163C46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14</w:t>
      </w:r>
      <w:r>
        <w:rPr>
          <w:rFonts w:hint="eastAsia"/>
          <w:bCs/>
          <w:sz w:val="24"/>
        </w:rPr>
        <w:t>、基金收益分配事项；</w:t>
      </w:r>
    </w:p>
    <w:p w14:paraId="5B72D0F3"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15</w:t>
      </w:r>
      <w:r>
        <w:rPr>
          <w:rFonts w:hint="eastAsia"/>
          <w:bCs/>
          <w:sz w:val="24"/>
        </w:rPr>
        <w:t>、管理费、托管费、销售服务费、申购费、赎回费等费用计提标准、计提方式和费率发生变更；</w:t>
      </w:r>
    </w:p>
    <w:p w14:paraId="5EC6EE3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16</w:t>
      </w:r>
      <w:r>
        <w:rPr>
          <w:rFonts w:hint="eastAsia"/>
          <w:bCs/>
          <w:sz w:val="24"/>
        </w:rPr>
        <w:t>、某一类基金份额净值计价错误达该类基金份额净值百分之零点五；</w:t>
      </w:r>
    </w:p>
    <w:p w14:paraId="10ACA791"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17</w:t>
      </w:r>
      <w:r>
        <w:rPr>
          <w:rFonts w:hint="eastAsia"/>
          <w:bCs/>
          <w:sz w:val="24"/>
        </w:rPr>
        <w:t>、本基金开始办理申购、赎回；</w:t>
      </w:r>
    </w:p>
    <w:p w14:paraId="4AA5306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18</w:t>
      </w:r>
      <w:r>
        <w:rPr>
          <w:rFonts w:hint="eastAsia"/>
          <w:bCs/>
          <w:sz w:val="24"/>
        </w:rPr>
        <w:t>、本基金发生巨额赎回并延期办理；</w:t>
      </w:r>
    </w:p>
    <w:p w14:paraId="3E3DD6C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19</w:t>
      </w:r>
      <w:r>
        <w:rPr>
          <w:rFonts w:hint="eastAsia"/>
          <w:bCs/>
          <w:sz w:val="24"/>
        </w:rPr>
        <w:t>、本基金连续发生巨额赎回并暂停接受赎回申请或延缓支付赎回款项；</w:t>
      </w:r>
    </w:p>
    <w:p w14:paraId="6564519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20</w:t>
      </w:r>
      <w:r>
        <w:rPr>
          <w:rFonts w:hint="eastAsia"/>
          <w:bCs/>
          <w:sz w:val="24"/>
        </w:rPr>
        <w:t>、本基金暂停接受申购、赎回申请或重新接受申购、赎回申请；</w:t>
      </w:r>
    </w:p>
    <w:p w14:paraId="549B503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21</w:t>
      </w:r>
      <w:r>
        <w:rPr>
          <w:rFonts w:hint="eastAsia"/>
          <w:bCs/>
          <w:sz w:val="24"/>
        </w:rPr>
        <w:t>、在发生涉及基金申购、赎回事项调整或潜在影响投资者赎回等重大事项时；</w:t>
      </w:r>
    </w:p>
    <w:p w14:paraId="656154E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22</w:t>
      </w:r>
      <w:r>
        <w:rPr>
          <w:rFonts w:hint="eastAsia"/>
          <w:bCs/>
          <w:sz w:val="24"/>
        </w:rPr>
        <w:t>、基金管理人采用摆动定价机制进行估值；</w:t>
      </w:r>
    </w:p>
    <w:p w14:paraId="6203E71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23</w:t>
      </w:r>
      <w:r>
        <w:rPr>
          <w:rFonts w:hint="eastAsia"/>
          <w:bCs/>
          <w:sz w:val="24"/>
        </w:rPr>
        <w:t>、调整基金份额类别设置；</w:t>
      </w:r>
    </w:p>
    <w:p w14:paraId="4AC5DCE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2</w:t>
      </w:r>
      <w:r>
        <w:rPr>
          <w:bCs/>
          <w:sz w:val="24"/>
        </w:rPr>
        <w:t>4</w:t>
      </w:r>
      <w:r>
        <w:rPr>
          <w:rFonts w:hint="eastAsia"/>
          <w:bCs/>
          <w:sz w:val="24"/>
        </w:rPr>
        <w:t>、基金信息披露义务人认为可能对基金份额持有人权益或者基金份额的价格产生重大影响的其他事项或中国证监会规定的其他事项。</w:t>
      </w:r>
    </w:p>
    <w:p w14:paraId="23B9ACC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（八）澄清公告</w:t>
      </w:r>
    </w:p>
    <w:p w14:paraId="2525C34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34C1601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（九）基金份额持有人大会决议</w:t>
      </w:r>
    </w:p>
    <w:p w14:paraId="799068B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基金份额持有人大会决定的事项，应当依法报中国证监会备案，并予以公告。</w:t>
      </w:r>
    </w:p>
    <w:p w14:paraId="340EE357"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（十）清算报告</w:t>
      </w:r>
    </w:p>
    <w:p w14:paraId="3A3461F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基金终止运作的，基金管理人应当依法组织基金财产清算小组对基金财产进行清算并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069E0C2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（十一）实施</w:t>
      </w:r>
      <w:proofErr w:type="gramStart"/>
      <w:r>
        <w:rPr>
          <w:rFonts w:hint="eastAsia"/>
          <w:bCs/>
          <w:sz w:val="24"/>
        </w:rPr>
        <w:t>侧袋机制</w:t>
      </w:r>
      <w:proofErr w:type="gramEnd"/>
      <w:r>
        <w:rPr>
          <w:rFonts w:hint="eastAsia"/>
          <w:bCs/>
          <w:sz w:val="24"/>
        </w:rPr>
        <w:t>期间的信息披露</w:t>
      </w:r>
    </w:p>
    <w:p w14:paraId="7845177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0DA1641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（十二）中国证监会规定的其他信息。</w:t>
      </w:r>
    </w:p>
    <w:p w14:paraId="038A24A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65AD8B30"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基金管理人应当在季度报告、中期报告、年度报告等定期报告和招募说明书（更新）等文件中披露国债期货交易情况，包括投资政策、持仓情况、损益情况、风险</w:t>
      </w:r>
      <w:r>
        <w:rPr>
          <w:rFonts w:hint="eastAsia"/>
          <w:bCs/>
          <w:sz w:val="24"/>
        </w:rPr>
        <w:lastRenderedPageBreak/>
        <w:t>指标等，并充分揭示国债期货交易对本基金总体风险的影响以及是否符合既定的投资政策和投资目标。</w:t>
      </w:r>
    </w:p>
    <w:p w14:paraId="4DC18CD3" w14:textId="77777777" w:rsidR="004614AE" w:rsidRDefault="00000000">
      <w:pPr>
        <w:spacing w:line="360" w:lineRule="auto"/>
        <w:ind w:firstLineChars="200" w:firstLine="480"/>
        <w:rPr>
          <w:bCs/>
          <w:sz w:val="24"/>
        </w:rPr>
      </w:pPr>
      <w:r>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1544531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93399E6"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基金管理人在本基金投资非公开发行股票后两个交易日内，在中国证监会规定媒介披露所投资非公开发行股票的名称、数量、总成本、账面价值，以及总成本和账面价值占基金资产净值的比例、锁定期等信息。</w:t>
      </w:r>
    </w:p>
    <w:p w14:paraId="4BA40DE1"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六、信息披露事务管理</w:t>
      </w:r>
    </w:p>
    <w:p w14:paraId="6FB55E5B"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基金管理人、基金托管人应当建立健全信息披露管理制度，指定专门部门及高级管理人员负责管理信息披露事务。</w:t>
      </w:r>
    </w:p>
    <w:p w14:paraId="1BF1BF4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基金信息披露义务人公开披露基金信息，应当符合中国证监会相关基金信息披露内容与格式准则等法规的规定。</w:t>
      </w:r>
    </w:p>
    <w:p w14:paraId="2444925D"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75AFC5C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7342AAB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F9C4FCD" w14:textId="77777777" w:rsidR="004614AE" w:rsidRDefault="00000000">
      <w:pPr>
        <w:autoSpaceDE w:val="0"/>
        <w:autoSpaceDN w:val="0"/>
        <w:spacing w:line="360" w:lineRule="auto"/>
        <w:ind w:firstLineChars="200" w:firstLine="480"/>
        <w:textAlignment w:val="bottom"/>
        <w:rPr>
          <w:bCs/>
          <w:sz w:val="24"/>
        </w:rPr>
      </w:pPr>
      <w:r>
        <w:rPr>
          <w:rFonts w:hint="eastAsia"/>
          <w:bCs/>
          <w:sz w:val="24"/>
        </w:rPr>
        <w:lastRenderedPageBreak/>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0AAE482A"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rFonts w:hint="eastAsia"/>
          <w:bCs/>
          <w:sz w:val="24"/>
        </w:rPr>
        <w:t>年。</w:t>
      </w:r>
    </w:p>
    <w:p w14:paraId="5B131AD2"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七、信息披露文件的存放与查阅</w:t>
      </w:r>
    </w:p>
    <w:p w14:paraId="06F8C089"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依法必须披露的信息发布后，基金管理人、基金托管人应当按照相关法律法规规定将信息置备于公司住所，供社会公众查阅、复制。</w:t>
      </w:r>
    </w:p>
    <w:p w14:paraId="0FFEFDD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八、暂停或延迟信息披露的情形</w:t>
      </w:r>
    </w:p>
    <w:p w14:paraId="445E0D08" w14:textId="77777777" w:rsidR="004614AE" w:rsidRDefault="0000000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、不可抗力；</w:t>
      </w:r>
    </w:p>
    <w:p w14:paraId="6726CE83" w14:textId="77777777" w:rsidR="004614AE" w:rsidRDefault="00000000">
      <w:pPr>
        <w:spacing w:line="360" w:lineRule="auto"/>
        <w:ind w:firstLineChars="200" w:firstLine="480"/>
        <w:rPr>
          <w:bCs/>
          <w:sz w:val="24"/>
        </w:rPr>
      </w:pPr>
      <w:r>
        <w:rPr>
          <w:bCs/>
          <w:sz w:val="24"/>
        </w:rPr>
        <w:t>2</w:t>
      </w:r>
      <w:r>
        <w:rPr>
          <w:bCs/>
          <w:sz w:val="24"/>
        </w:rPr>
        <w:t>、</w:t>
      </w:r>
      <w:r>
        <w:rPr>
          <w:rFonts w:hint="eastAsia"/>
          <w:bCs/>
          <w:sz w:val="24"/>
        </w:rPr>
        <w:t>发生暂停估值的情形；</w:t>
      </w:r>
    </w:p>
    <w:p w14:paraId="56CD52ED" w14:textId="77777777" w:rsidR="004614AE" w:rsidRDefault="00000000">
      <w:pPr>
        <w:autoSpaceDE w:val="0"/>
        <w:autoSpaceDN w:val="0"/>
        <w:spacing w:line="360" w:lineRule="auto"/>
        <w:ind w:firstLineChars="200" w:firstLine="480"/>
        <w:textAlignment w:val="bottom"/>
        <w:rPr>
          <w:bCs/>
          <w:sz w:val="24"/>
        </w:rPr>
      </w:pPr>
      <w:r>
        <w:rPr>
          <w:bCs/>
          <w:sz w:val="24"/>
        </w:rPr>
        <w:t>3</w:t>
      </w:r>
      <w:r>
        <w:rPr>
          <w:rFonts w:hint="eastAsia"/>
          <w:bCs/>
          <w:sz w:val="24"/>
        </w:rPr>
        <w:t>、法律法规、中国证监会规定或基金合同认定的其他情形。</w:t>
      </w:r>
    </w:p>
    <w:p w14:paraId="1DF3380C" w14:textId="77777777" w:rsidR="004614AE" w:rsidRDefault="00000000">
      <w:pPr>
        <w:autoSpaceDE w:val="0"/>
        <w:autoSpaceDN w:val="0"/>
        <w:spacing w:line="360" w:lineRule="auto"/>
        <w:ind w:firstLineChars="200" w:firstLine="480"/>
        <w:textAlignment w:val="bottom"/>
        <w:rPr>
          <w:bCs/>
          <w:sz w:val="24"/>
        </w:rPr>
      </w:pPr>
      <w:r>
        <w:rPr>
          <w:rFonts w:hint="eastAsia"/>
          <w:bCs/>
          <w:sz w:val="24"/>
        </w:rPr>
        <w:t>九、本基金信息披露事项以法律法规规定及本章节约定的内容为准。</w:t>
      </w:r>
    </w:p>
    <w:p w14:paraId="16B9F80F" w14:textId="77777777" w:rsidR="004614AE" w:rsidRDefault="004614AE">
      <w:pPr>
        <w:autoSpaceDE w:val="0"/>
        <w:autoSpaceDN w:val="0"/>
        <w:spacing w:line="360" w:lineRule="auto"/>
        <w:ind w:firstLineChars="200" w:firstLine="480"/>
        <w:textAlignment w:val="bottom"/>
        <w:rPr>
          <w:bCs/>
          <w:sz w:val="24"/>
        </w:rPr>
      </w:pPr>
    </w:p>
    <w:p w14:paraId="776E06CD" w14:textId="77777777" w:rsidR="004614AE" w:rsidRDefault="00000000">
      <w:pPr>
        <w:pStyle w:val="1"/>
        <w:spacing w:before="240" w:after="240"/>
        <w:jc w:val="center"/>
        <w:rPr>
          <w:rFonts w:cs="Arial"/>
          <w:b w:val="0"/>
          <w:sz w:val="30"/>
          <w:szCs w:val="30"/>
        </w:rPr>
      </w:pPr>
      <w:r>
        <w:rPr>
          <w:bCs/>
        </w:rPr>
        <w:br w:type="page"/>
      </w:r>
      <w:bookmarkStart w:id="329" w:name="_Toc16224"/>
      <w:bookmarkStart w:id="330" w:name="_Toc63866832"/>
      <w:bookmarkStart w:id="331" w:name="_Toc68266303"/>
      <w:bookmarkStart w:id="332" w:name="_Toc49433828"/>
      <w:bookmarkStart w:id="333" w:name="_Toc119568472"/>
      <w:r>
        <w:rPr>
          <w:rFonts w:cs="Arial" w:hint="eastAsia"/>
          <w:sz w:val="30"/>
          <w:szCs w:val="30"/>
        </w:rPr>
        <w:lastRenderedPageBreak/>
        <w:t xml:space="preserve">第十六部分 </w:t>
      </w:r>
      <w:proofErr w:type="gramStart"/>
      <w:r>
        <w:rPr>
          <w:rFonts w:cs="Arial" w:hint="eastAsia"/>
          <w:sz w:val="30"/>
          <w:szCs w:val="30"/>
        </w:rPr>
        <w:t>侧袋机制</w:t>
      </w:r>
      <w:bookmarkEnd w:id="329"/>
      <w:bookmarkEnd w:id="330"/>
      <w:bookmarkEnd w:id="331"/>
      <w:bookmarkEnd w:id="332"/>
      <w:bookmarkEnd w:id="333"/>
      <w:proofErr w:type="gramEnd"/>
    </w:p>
    <w:p w14:paraId="5307DEE2"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一、</w:t>
      </w:r>
      <w:proofErr w:type="gramStart"/>
      <w:r>
        <w:rPr>
          <w:rFonts w:cs="Arial" w:hint="eastAsia"/>
          <w:color w:val="000000"/>
          <w:sz w:val="24"/>
        </w:rPr>
        <w:t>侧袋机制</w:t>
      </w:r>
      <w:proofErr w:type="gramEnd"/>
      <w:r>
        <w:rPr>
          <w:rFonts w:cs="Arial" w:hint="eastAsia"/>
          <w:color w:val="000000"/>
          <w:sz w:val="24"/>
        </w:rPr>
        <w:t>的实施条件</w:t>
      </w:r>
    </w:p>
    <w:p w14:paraId="6FFE5A0B"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cs="Arial" w:hint="eastAsia"/>
          <w:color w:val="000000"/>
          <w:sz w:val="24"/>
        </w:rPr>
        <w:t>启用侧袋机制</w:t>
      </w:r>
      <w:proofErr w:type="gramEnd"/>
      <w:r>
        <w:rPr>
          <w:rFonts w:cs="Arial" w:hint="eastAsia"/>
          <w:color w:val="000000"/>
          <w:sz w:val="24"/>
        </w:rPr>
        <w:t>，无需召开基金份额持有人大会审议。</w:t>
      </w:r>
    </w:p>
    <w:p w14:paraId="0BD13EF3"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基金管理人应当在启用</w:t>
      </w:r>
      <w:proofErr w:type="gramStart"/>
      <w:r>
        <w:rPr>
          <w:rFonts w:cs="Arial" w:hint="eastAsia"/>
          <w:color w:val="000000"/>
          <w:sz w:val="24"/>
        </w:rPr>
        <w:t>侧袋机制</w:t>
      </w:r>
      <w:proofErr w:type="gramEnd"/>
      <w:r>
        <w:rPr>
          <w:rFonts w:cs="Arial" w:hint="eastAsia"/>
          <w:color w:val="000000"/>
          <w:sz w:val="24"/>
        </w:rPr>
        <w:t>后及时发布临时公告，并及时聘请</w:t>
      </w:r>
      <w:proofErr w:type="gramStart"/>
      <w:r>
        <w:rPr>
          <w:rFonts w:cs="Arial" w:hint="eastAsia"/>
          <w:color w:val="000000"/>
          <w:sz w:val="24"/>
        </w:rPr>
        <w:t>侧袋机制</w:t>
      </w:r>
      <w:proofErr w:type="gramEnd"/>
      <w:r>
        <w:rPr>
          <w:rFonts w:cs="Arial" w:hint="eastAsia"/>
          <w:color w:val="000000"/>
          <w:sz w:val="24"/>
        </w:rPr>
        <w:t>启用日发表意见且符合《中华人民共和国证券法》规定的会计师事务所进行审计并披露专项审计意见。</w:t>
      </w:r>
    </w:p>
    <w:p w14:paraId="7568B9EE"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二、实施</w:t>
      </w:r>
      <w:proofErr w:type="gramStart"/>
      <w:r>
        <w:rPr>
          <w:rFonts w:cs="Arial" w:hint="eastAsia"/>
          <w:color w:val="000000"/>
          <w:sz w:val="24"/>
        </w:rPr>
        <w:t>侧袋机制</w:t>
      </w:r>
      <w:proofErr w:type="gramEnd"/>
      <w:r>
        <w:rPr>
          <w:rFonts w:cs="Arial" w:hint="eastAsia"/>
          <w:color w:val="000000"/>
          <w:sz w:val="24"/>
        </w:rPr>
        <w:t>期间基金份额的申购与赎回</w:t>
      </w:r>
    </w:p>
    <w:p w14:paraId="4DB1CE81"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、启用</w:t>
      </w:r>
      <w:proofErr w:type="gramStart"/>
      <w:r>
        <w:rPr>
          <w:rFonts w:cs="Arial" w:hint="eastAsia"/>
          <w:color w:val="000000"/>
          <w:sz w:val="24"/>
        </w:rPr>
        <w:t>侧袋机制</w:t>
      </w:r>
      <w:proofErr w:type="gramEnd"/>
      <w:r>
        <w:rPr>
          <w:rFonts w:cs="Arial" w:hint="eastAsia"/>
          <w:color w:val="000000"/>
          <w:sz w:val="24"/>
        </w:rPr>
        <w:t>当日，基金登记机构以基金份额持有人的原有账户份额为基础，确认</w:t>
      </w:r>
      <w:proofErr w:type="gramStart"/>
      <w:r>
        <w:rPr>
          <w:rFonts w:cs="Arial" w:hint="eastAsia"/>
          <w:color w:val="000000"/>
          <w:sz w:val="24"/>
        </w:rPr>
        <w:t>相应侧袋账户</w:t>
      </w:r>
      <w:proofErr w:type="gramEnd"/>
      <w:r>
        <w:rPr>
          <w:rFonts w:cs="Arial" w:hint="eastAsia"/>
          <w:color w:val="000000"/>
          <w:sz w:val="24"/>
        </w:rPr>
        <w:t>基金份额持有人名册和份额；当日收到的申购申请，按照启用</w:t>
      </w:r>
      <w:proofErr w:type="gramStart"/>
      <w:r>
        <w:rPr>
          <w:rFonts w:cs="Arial" w:hint="eastAsia"/>
          <w:color w:val="000000"/>
          <w:sz w:val="24"/>
        </w:rPr>
        <w:t>侧袋机制</w:t>
      </w:r>
      <w:proofErr w:type="gramEnd"/>
      <w:r>
        <w:rPr>
          <w:rFonts w:cs="Arial" w:hint="eastAsia"/>
          <w:color w:val="000000"/>
          <w:sz w:val="24"/>
        </w:rPr>
        <w:t>后</w:t>
      </w:r>
      <w:proofErr w:type="gramStart"/>
      <w:r>
        <w:rPr>
          <w:rFonts w:cs="Arial" w:hint="eastAsia"/>
          <w:color w:val="000000"/>
          <w:sz w:val="24"/>
        </w:rPr>
        <w:t>的主袋账户</w:t>
      </w:r>
      <w:proofErr w:type="gramEnd"/>
      <w:r>
        <w:rPr>
          <w:rFonts w:cs="Arial" w:hint="eastAsia"/>
          <w:color w:val="000000"/>
          <w:sz w:val="24"/>
        </w:rPr>
        <w:t>份额办理；当日收到的赎回申请，仅</w:t>
      </w:r>
      <w:proofErr w:type="gramStart"/>
      <w:r>
        <w:rPr>
          <w:rFonts w:cs="Arial" w:hint="eastAsia"/>
          <w:color w:val="000000"/>
          <w:sz w:val="24"/>
        </w:rPr>
        <w:t>办理主袋账户</w:t>
      </w:r>
      <w:proofErr w:type="gramEnd"/>
      <w:r>
        <w:rPr>
          <w:rFonts w:cs="Arial" w:hint="eastAsia"/>
          <w:color w:val="000000"/>
          <w:sz w:val="24"/>
        </w:rPr>
        <w:t>的赎回申请并支付赎回款项。</w:t>
      </w:r>
    </w:p>
    <w:p w14:paraId="394C0C32"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、实施</w:t>
      </w:r>
      <w:proofErr w:type="gramStart"/>
      <w:r>
        <w:rPr>
          <w:rFonts w:cs="Arial" w:hint="eastAsia"/>
          <w:color w:val="000000"/>
          <w:sz w:val="24"/>
        </w:rPr>
        <w:t>侧袋机制</w:t>
      </w:r>
      <w:proofErr w:type="gramEnd"/>
      <w:r>
        <w:rPr>
          <w:rFonts w:cs="Arial" w:hint="eastAsia"/>
          <w:color w:val="000000"/>
          <w:sz w:val="24"/>
        </w:rPr>
        <w:t>期间，基金管理人</w:t>
      </w:r>
      <w:proofErr w:type="gramStart"/>
      <w:r>
        <w:rPr>
          <w:rFonts w:cs="Arial" w:hint="eastAsia"/>
          <w:color w:val="000000"/>
          <w:sz w:val="24"/>
        </w:rPr>
        <w:t>应对侧袋账户</w:t>
      </w:r>
      <w:proofErr w:type="gramEnd"/>
      <w:r>
        <w:rPr>
          <w:rFonts w:cs="Arial" w:hint="eastAsia"/>
          <w:color w:val="000000"/>
          <w:sz w:val="24"/>
        </w:rPr>
        <w:t>份额实行独立管理，</w:t>
      </w:r>
      <w:proofErr w:type="gramStart"/>
      <w:r>
        <w:rPr>
          <w:rFonts w:cs="Arial" w:hint="eastAsia"/>
          <w:color w:val="000000"/>
          <w:sz w:val="24"/>
        </w:rPr>
        <w:t>主袋账户</w:t>
      </w:r>
      <w:proofErr w:type="gramEnd"/>
      <w:r>
        <w:rPr>
          <w:rFonts w:cs="Arial" w:hint="eastAsia"/>
          <w:color w:val="000000"/>
          <w:sz w:val="24"/>
        </w:rPr>
        <w:t>沿用</w:t>
      </w:r>
      <w:proofErr w:type="gramStart"/>
      <w:r>
        <w:rPr>
          <w:rFonts w:cs="Arial" w:hint="eastAsia"/>
          <w:color w:val="000000"/>
          <w:sz w:val="24"/>
        </w:rPr>
        <w:t>原基金</w:t>
      </w:r>
      <w:proofErr w:type="gramEnd"/>
      <w:r>
        <w:rPr>
          <w:rFonts w:cs="Arial" w:hint="eastAsia"/>
          <w:color w:val="000000"/>
          <w:sz w:val="24"/>
        </w:rPr>
        <w:t>代码，</w:t>
      </w:r>
      <w:proofErr w:type="gramStart"/>
      <w:r>
        <w:rPr>
          <w:rFonts w:cs="Arial" w:hint="eastAsia"/>
          <w:color w:val="000000"/>
          <w:sz w:val="24"/>
        </w:rPr>
        <w:t>侧袋账户</w:t>
      </w:r>
      <w:proofErr w:type="gramEnd"/>
      <w:r>
        <w:rPr>
          <w:rFonts w:cs="Arial" w:hint="eastAsia"/>
          <w:color w:val="000000"/>
          <w:sz w:val="24"/>
        </w:rPr>
        <w:t>使用独立的基金代码。基金管理人不</w:t>
      </w:r>
      <w:proofErr w:type="gramStart"/>
      <w:r>
        <w:rPr>
          <w:rFonts w:cs="Arial" w:hint="eastAsia"/>
          <w:color w:val="000000"/>
          <w:sz w:val="24"/>
        </w:rPr>
        <w:t>办理侧袋账户</w:t>
      </w:r>
      <w:proofErr w:type="gramEnd"/>
      <w:r>
        <w:rPr>
          <w:rFonts w:cs="Arial" w:hint="eastAsia"/>
          <w:color w:val="000000"/>
          <w:sz w:val="24"/>
        </w:rPr>
        <w:t>份额的申购、赎回和转换；同时，基金管理人按照基金合同和招募说明书的约定</w:t>
      </w:r>
      <w:proofErr w:type="gramStart"/>
      <w:r>
        <w:rPr>
          <w:rFonts w:cs="Arial" w:hint="eastAsia"/>
          <w:color w:val="000000"/>
          <w:sz w:val="24"/>
        </w:rPr>
        <w:t>办理主袋账户</w:t>
      </w:r>
      <w:proofErr w:type="gramEnd"/>
      <w:r>
        <w:rPr>
          <w:rFonts w:cs="Arial" w:hint="eastAsia"/>
          <w:color w:val="000000"/>
          <w:sz w:val="24"/>
        </w:rPr>
        <w:t>份额的赎回，并</w:t>
      </w:r>
      <w:proofErr w:type="gramStart"/>
      <w:r>
        <w:rPr>
          <w:rFonts w:cs="Arial" w:hint="eastAsia"/>
          <w:color w:val="000000"/>
          <w:sz w:val="24"/>
        </w:rPr>
        <w:t>根据主袋账户</w:t>
      </w:r>
      <w:proofErr w:type="gramEnd"/>
      <w:r>
        <w:rPr>
          <w:rFonts w:cs="Arial" w:hint="eastAsia"/>
          <w:color w:val="000000"/>
          <w:sz w:val="24"/>
        </w:rPr>
        <w:t>运作情况确定是否暂停申购，具体事项届时将由基金管理人在相关公告中规定。</w:t>
      </w:r>
    </w:p>
    <w:p w14:paraId="357CB221"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、基金管理人应</w:t>
      </w:r>
      <w:proofErr w:type="gramStart"/>
      <w:r>
        <w:rPr>
          <w:rFonts w:cs="Arial" w:hint="eastAsia"/>
          <w:color w:val="000000"/>
          <w:sz w:val="24"/>
        </w:rPr>
        <w:t>按照主袋账户</w:t>
      </w:r>
      <w:proofErr w:type="gramEnd"/>
      <w:r>
        <w:rPr>
          <w:rFonts w:cs="Arial" w:hint="eastAsia"/>
          <w:color w:val="000000"/>
          <w:sz w:val="24"/>
        </w:rPr>
        <w:t>的份额净值</w:t>
      </w:r>
      <w:proofErr w:type="gramStart"/>
      <w:r>
        <w:rPr>
          <w:rFonts w:cs="Arial" w:hint="eastAsia"/>
          <w:color w:val="000000"/>
          <w:sz w:val="24"/>
        </w:rPr>
        <w:t>办理主袋账户</w:t>
      </w:r>
      <w:proofErr w:type="gramEnd"/>
      <w:r>
        <w:rPr>
          <w:rFonts w:cs="Arial" w:hint="eastAsia"/>
          <w:color w:val="000000"/>
          <w:sz w:val="24"/>
        </w:rPr>
        <w:t>份额的申购和赎回。本招募说明书“基金份额的申购与赎回”部分的申购、赎回规定</w:t>
      </w:r>
      <w:proofErr w:type="gramStart"/>
      <w:r>
        <w:rPr>
          <w:rFonts w:cs="Arial" w:hint="eastAsia"/>
          <w:color w:val="000000"/>
          <w:sz w:val="24"/>
        </w:rPr>
        <w:t>适用于主袋账户</w:t>
      </w:r>
      <w:proofErr w:type="gramEnd"/>
      <w:r>
        <w:rPr>
          <w:rFonts w:cs="Arial" w:hint="eastAsia"/>
          <w:color w:val="000000"/>
          <w:sz w:val="24"/>
        </w:rPr>
        <w:t>份额。巨额赎回按照单个开放</w:t>
      </w:r>
      <w:proofErr w:type="gramStart"/>
      <w:r>
        <w:rPr>
          <w:rFonts w:cs="Arial" w:hint="eastAsia"/>
          <w:color w:val="000000"/>
          <w:sz w:val="24"/>
        </w:rPr>
        <w:t>日内主袋账户</w:t>
      </w:r>
      <w:proofErr w:type="gramEnd"/>
      <w:r>
        <w:rPr>
          <w:rFonts w:cs="Arial" w:hint="eastAsia"/>
          <w:color w:val="000000"/>
          <w:sz w:val="24"/>
        </w:rPr>
        <w:t>份额净赎回申请超过前一开放日</w:t>
      </w:r>
      <w:proofErr w:type="gramStart"/>
      <w:r>
        <w:rPr>
          <w:rFonts w:cs="Arial" w:hint="eastAsia"/>
          <w:color w:val="000000"/>
          <w:sz w:val="24"/>
        </w:rPr>
        <w:t>的主袋账户</w:t>
      </w:r>
      <w:proofErr w:type="gramEnd"/>
      <w:r>
        <w:rPr>
          <w:rFonts w:cs="Arial" w:hint="eastAsia"/>
          <w:color w:val="000000"/>
          <w:sz w:val="24"/>
        </w:rPr>
        <w:t>总份额的</w:t>
      </w:r>
      <w:r>
        <w:rPr>
          <w:rFonts w:cs="Arial" w:hint="eastAsia"/>
          <w:color w:val="000000"/>
          <w:sz w:val="24"/>
        </w:rPr>
        <w:t>10%</w:t>
      </w:r>
      <w:r>
        <w:rPr>
          <w:rFonts w:cs="Arial" w:hint="eastAsia"/>
          <w:color w:val="000000"/>
          <w:sz w:val="24"/>
        </w:rPr>
        <w:t>认定。</w:t>
      </w:r>
    </w:p>
    <w:p w14:paraId="0BCA7F46"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三、实施</w:t>
      </w:r>
      <w:proofErr w:type="gramStart"/>
      <w:r>
        <w:rPr>
          <w:rFonts w:cs="Arial" w:hint="eastAsia"/>
          <w:color w:val="000000"/>
          <w:sz w:val="24"/>
        </w:rPr>
        <w:t>侧袋机制</w:t>
      </w:r>
      <w:proofErr w:type="gramEnd"/>
      <w:r>
        <w:rPr>
          <w:rFonts w:cs="Arial" w:hint="eastAsia"/>
          <w:color w:val="000000"/>
          <w:sz w:val="24"/>
        </w:rPr>
        <w:t>期间的基金投资及业绩</w:t>
      </w:r>
    </w:p>
    <w:p w14:paraId="72814764" w14:textId="77777777" w:rsidR="004614AE"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实施期间，招募说明书“基金的投资”部分约定的投资组合比例、投资策略、组合限制、业绩比较基准、风险收益特征等约定仅</w:t>
      </w:r>
      <w:proofErr w:type="gramStart"/>
      <w:r>
        <w:rPr>
          <w:rFonts w:cs="Arial" w:hint="eastAsia"/>
          <w:color w:val="000000"/>
          <w:sz w:val="24"/>
        </w:rPr>
        <w:t>适用于主袋账户</w:t>
      </w:r>
      <w:proofErr w:type="gramEnd"/>
      <w:r>
        <w:rPr>
          <w:rFonts w:cs="Arial" w:hint="eastAsia"/>
          <w:color w:val="000000"/>
          <w:sz w:val="24"/>
        </w:rPr>
        <w:t>。基金管理人计算各项投资运作指标和基金业绩指标时仅需</w:t>
      </w:r>
      <w:proofErr w:type="gramStart"/>
      <w:r>
        <w:rPr>
          <w:rFonts w:cs="Arial" w:hint="eastAsia"/>
          <w:color w:val="000000"/>
          <w:sz w:val="24"/>
        </w:rPr>
        <w:t>考虑主袋账户</w:t>
      </w:r>
      <w:proofErr w:type="gramEnd"/>
      <w:r>
        <w:rPr>
          <w:rFonts w:cs="Arial" w:hint="eastAsia"/>
          <w:color w:val="000000"/>
          <w:sz w:val="24"/>
        </w:rPr>
        <w:t>资产。</w:t>
      </w:r>
    </w:p>
    <w:p w14:paraId="649CB28C"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基金管理人原则上应当在</w:t>
      </w:r>
      <w:proofErr w:type="gramStart"/>
      <w:r>
        <w:rPr>
          <w:rFonts w:cs="Arial" w:hint="eastAsia"/>
          <w:color w:val="000000"/>
          <w:sz w:val="24"/>
        </w:rPr>
        <w:t>侧袋机制</w:t>
      </w:r>
      <w:proofErr w:type="gramEnd"/>
      <w:r>
        <w:rPr>
          <w:rFonts w:cs="Arial" w:hint="eastAsia"/>
          <w:color w:val="000000"/>
          <w:sz w:val="24"/>
        </w:rPr>
        <w:t>启用后</w:t>
      </w:r>
      <w:r>
        <w:rPr>
          <w:rFonts w:cs="Arial" w:hint="eastAsia"/>
          <w:color w:val="000000"/>
          <w:sz w:val="24"/>
        </w:rPr>
        <w:t>20</w:t>
      </w:r>
      <w:r>
        <w:rPr>
          <w:rFonts w:cs="Arial" w:hint="eastAsia"/>
          <w:color w:val="000000"/>
          <w:sz w:val="24"/>
        </w:rPr>
        <w:t>个交易日内完成</w:t>
      </w:r>
      <w:proofErr w:type="gramStart"/>
      <w:r>
        <w:rPr>
          <w:rFonts w:cs="Arial" w:hint="eastAsia"/>
          <w:color w:val="000000"/>
          <w:sz w:val="24"/>
        </w:rPr>
        <w:t>对主袋账户</w:t>
      </w:r>
      <w:proofErr w:type="gramEnd"/>
      <w:r>
        <w:rPr>
          <w:rFonts w:cs="Arial" w:hint="eastAsia"/>
          <w:color w:val="000000"/>
          <w:sz w:val="24"/>
        </w:rPr>
        <w:t>投资</w:t>
      </w:r>
      <w:r>
        <w:rPr>
          <w:rFonts w:cs="Arial" w:hint="eastAsia"/>
          <w:color w:val="000000"/>
          <w:sz w:val="24"/>
        </w:rPr>
        <w:lastRenderedPageBreak/>
        <w:t>组合的调整，因资产流动性受限等中国证监会规定的情形除外。</w:t>
      </w:r>
    </w:p>
    <w:p w14:paraId="6A7AA25D"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基金管理人不得</w:t>
      </w:r>
      <w:proofErr w:type="gramStart"/>
      <w:r>
        <w:rPr>
          <w:rFonts w:cs="Arial" w:hint="eastAsia"/>
          <w:color w:val="000000"/>
          <w:sz w:val="24"/>
        </w:rPr>
        <w:t>在侧袋账户</w:t>
      </w:r>
      <w:proofErr w:type="gramEnd"/>
      <w:r>
        <w:rPr>
          <w:rFonts w:cs="Arial" w:hint="eastAsia"/>
          <w:color w:val="000000"/>
          <w:sz w:val="24"/>
        </w:rPr>
        <w:t>中进行除特定资产处置变现以外的其他投资操作。</w:t>
      </w:r>
    </w:p>
    <w:p w14:paraId="7DB3AD23" w14:textId="77777777" w:rsidR="004614AE"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实施期间，基金管理人、基金服务机构在计算基金业绩相关指标时仅</w:t>
      </w:r>
      <w:proofErr w:type="gramStart"/>
      <w:r>
        <w:rPr>
          <w:rFonts w:cs="Arial" w:hint="eastAsia"/>
          <w:color w:val="000000"/>
          <w:sz w:val="24"/>
        </w:rPr>
        <w:t>考虑主袋账户</w:t>
      </w:r>
      <w:proofErr w:type="gramEnd"/>
      <w:r>
        <w:rPr>
          <w:rFonts w:cs="Arial" w:hint="eastAsia"/>
          <w:color w:val="000000"/>
          <w:sz w:val="24"/>
        </w:rPr>
        <w:t>资产，</w:t>
      </w:r>
      <w:proofErr w:type="gramStart"/>
      <w:r>
        <w:rPr>
          <w:rFonts w:cs="Arial" w:hint="eastAsia"/>
          <w:color w:val="000000"/>
          <w:sz w:val="24"/>
        </w:rPr>
        <w:t>分割侧袋账户</w:t>
      </w:r>
      <w:proofErr w:type="gramEnd"/>
      <w:r>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7106125F"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四、实施</w:t>
      </w:r>
      <w:proofErr w:type="gramStart"/>
      <w:r>
        <w:rPr>
          <w:rFonts w:cs="Arial" w:hint="eastAsia"/>
          <w:color w:val="000000"/>
          <w:sz w:val="24"/>
        </w:rPr>
        <w:t>侧袋机制</w:t>
      </w:r>
      <w:proofErr w:type="gramEnd"/>
      <w:r>
        <w:rPr>
          <w:rFonts w:cs="Arial" w:hint="eastAsia"/>
          <w:color w:val="000000"/>
          <w:sz w:val="24"/>
        </w:rPr>
        <w:t>期间的基金估值与会计核算</w:t>
      </w:r>
    </w:p>
    <w:p w14:paraId="10FBADB1"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的，基金管理人和基金托管人</w:t>
      </w:r>
      <w:proofErr w:type="gramStart"/>
      <w:r>
        <w:rPr>
          <w:rFonts w:cs="Arial" w:hint="eastAsia"/>
          <w:color w:val="000000"/>
          <w:sz w:val="24"/>
        </w:rPr>
        <w:t>应对主袋账户</w:t>
      </w:r>
      <w:proofErr w:type="gramEnd"/>
      <w:r>
        <w:rPr>
          <w:rFonts w:cs="Arial" w:hint="eastAsia"/>
          <w:color w:val="000000"/>
          <w:sz w:val="24"/>
        </w:rPr>
        <w:t>资产进行估值并</w:t>
      </w:r>
      <w:proofErr w:type="gramStart"/>
      <w:r>
        <w:rPr>
          <w:rFonts w:cs="Arial" w:hint="eastAsia"/>
          <w:color w:val="000000"/>
          <w:sz w:val="24"/>
        </w:rPr>
        <w:t>披露主袋账户</w:t>
      </w:r>
      <w:proofErr w:type="gramEnd"/>
      <w:r>
        <w:rPr>
          <w:rFonts w:cs="Arial" w:hint="eastAsia"/>
          <w:color w:val="000000"/>
          <w:sz w:val="24"/>
        </w:rPr>
        <w:t>的基金净值信息，暂停</w:t>
      </w:r>
      <w:proofErr w:type="gramStart"/>
      <w:r>
        <w:rPr>
          <w:rFonts w:cs="Arial" w:hint="eastAsia"/>
          <w:color w:val="000000"/>
          <w:sz w:val="24"/>
        </w:rPr>
        <w:t>披露侧袋账户</w:t>
      </w:r>
      <w:proofErr w:type="gramEnd"/>
      <w:r>
        <w:rPr>
          <w:rFonts w:cs="Arial" w:hint="eastAsia"/>
          <w:color w:val="000000"/>
          <w:sz w:val="24"/>
        </w:rPr>
        <w:t>的基金净值信息。</w:t>
      </w:r>
      <w:proofErr w:type="gramStart"/>
      <w:r>
        <w:rPr>
          <w:rFonts w:cs="Arial" w:hint="eastAsia"/>
          <w:color w:val="000000"/>
          <w:sz w:val="24"/>
        </w:rPr>
        <w:t>侧袋机制</w:t>
      </w:r>
      <w:proofErr w:type="gramEnd"/>
      <w:r>
        <w:rPr>
          <w:rFonts w:cs="Arial" w:hint="eastAsia"/>
          <w:color w:val="000000"/>
          <w:sz w:val="24"/>
        </w:rPr>
        <w:t>实施期间，基金管理人</w:t>
      </w:r>
      <w:proofErr w:type="gramStart"/>
      <w:r>
        <w:rPr>
          <w:rFonts w:cs="Arial" w:hint="eastAsia"/>
          <w:color w:val="000000"/>
          <w:sz w:val="24"/>
        </w:rPr>
        <w:t>应对侧袋账户</w:t>
      </w:r>
      <w:proofErr w:type="gramEnd"/>
      <w:r>
        <w:rPr>
          <w:rFonts w:cs="Arial" w:hint="eastAsia"/>
          <w:color w:val="000000"/>
          <w:sz w:val="24"/>
        </w:rPr>
        <w:t>单独设置账套，实行独立核算。如果本基金同时存在</w:t>
      </w:r>
      <w:proofErr w:type="gramStart"/>
      <w:r>
        <w:rPr>
          <w:rFonts w:cs="Arial" w:hint="eastAsia"/>
          <w:color w:val="000000"/>
          <w:sz w:val="24"/>
        </w:rPr>
        <w:t>多个侧袋账户</w:t>
      </w:r>
      <w:proofErr w:type="gramEnd"/>
      <w:r>
        <w:rPr>
          <w:rFonts w:cs="Arial" w:hint="eastAsia"/>
          <w:color w:val="000000"/>
          <w:sz w:val="24"/>
        </w:rPr>
        <w:t>，</w:t>
      </w:r>
      <w:proofErr w:type="gramStart"/>
      <w:r>
        <w:rPr>
          <w:rFonts w:cs="Arial" w:hint="eastAsia"/>
          <w:color w:val="000000"/>
          <w:sz w:val="24"/>
        </w:rPr>
        <w:t>不同侧袋账户</w:t>
      </w:r>
      <w:proofErr w:type="gramEnd"/>
      <w:r>
        <w:rPr>
          <w:rFonts w:cs="Arial" w:hint="eastAsia"/>
          <w:color w:val="000000"/>
          <w:sz w:val="24"/>
        </w:rPr>
        <w:t>应分开进行核算。</w:t>
      </w:r>
      <w:proofErr w:type="gramStart"/>
      <w:r>
        <w:rPr>
          <w:rFonts w:cs="Arial" w:hint="eastAsia"/>
          <w:color w:val="000000"/>
          <w:sz w:val="24"/>
        </w:rPr>
        <w:t>侧袋账户</w:t>
      </w:r>
      <w:proofErr w:type="gramEnd"/>
      <w:r>
        <w:rPr>
          <w:rFonts w:cs="Arial" w:hint="eastAsia"/>
          <w:color w:val="000000"/>
          <w:sz w:val="24"/>
        </w:rPr>
        <w:t>的会计核算应符合《企业会计准则》的相关要求。</w:t>
      </w:r>
    </w:p>
    <w:p w14:paraId="2243176D"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五、实施</w:t>
      </w:r>
      <w:proofErr w:type="gramStart"/>
      <w:r>
        <w:rPr>
          <w:rFonts w:cs="Arial" w:hint="eastAsia"/>
          <w:color w:val="000000"/>
          <w:sz w:val="24"/>
        </w:rPr>
        <w:t>侧袋机制</w:t>
      </w:r>
      <w:proofErr w:type="gramEnd"/>
      <w:r>
        <w:rPr>
          <w:rFonts w:cs="Arial" w:hint="eastAsia"/>
          <w:color w:val="000000"/>
          <w:sz w:val="24"/>
        </w:rPr>
        <w:t>期间的基金费用</w:t>
      </w:r>
    </w:p>
    <w:p w14:paraId="02E665F3"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本基金实施</w:t>
      </w:r>
      <w:proofErr w:type="gramStart"/>
      <w:r>
        <w:rPr>
          <w:rFonts w:cs="Arial" w:hint="eastAsia"/>
          <w:color w:val="000000"/>
          <w:sz w:val="24"/>
        </w:rPr>
        <w:t>侧袋机制</w:t>
      </w:r>
      <w:proofErr w:type="gramEnd"/>
      <w:r>
        <w:rPr>
          <w:rFonts w:cs="Arial" w:hint="eastAsia"/>
          <w:color w:val="000000"/>
          <w:sz w:val="24"/>
        </w:rPr>
        <w:t>的，</w:t>
      </w:r>
      <w:proofErr w:type="gramStart"/>
      <w:r>
        <w:rPr>
          <w:rFonts w:cs="Arial" w:hint="eastAsia"/>
          <w:color w:val="000000"/>
          <w:sz w:val="24"/>
        </w:rPr>
        <w:t>主袋账户</w:t>
      </w:r>
      <w:proofErr w:type="gramEnd"/>
      <w:r>
        <w:rPr>
          <w:rFonts w:cs="Arial" w:hint="eastAsia"/>
          <w:color w:val="000000"/>
          <w:sz w:val="24"/>
        </w:rPr>
        <w:t>的管理费和托管费</w:t>
      </w:r>
      <w:proofErr w:type="gramStart"/>
      <w:r>
        <w:rPr>
          <w:rFonts w:cs="Arial" w:hint="eastAsia"/>
          <w:color w:val="000000"/>
          <w:sz w:val="24"/>
        </w:rPr>
        <w:t>按主袋账户</w:t>
      </w:r>
      <w:proofErr w:type="gramEnd"/>
      <w:r>
        <w:rPr>
          <w:rFonts w:cs="Arial" w:hint="eastAsia"/>
          <w:color w:val="000000"/>
          <w:sz w:val="24"/>
        </w:rPr>
        <w:t>基金资产净值作为基数计提；</w:t>
      </w:r>
      <w:proofErr w:type="gramStart"/>
      <w:r>
        <w:rPr>
          <w:rFonts w:cs="Arial" w:hint="eastAsia"/>
          <w:color w:val="000000"/>
          <w:sz w:val="24"/>
        </w:rPr>
        <w:t>主袋账户</w:t>
      </w:r>
      <w:proofErr w:type="gramEnd"/>
      <w:r>
        <w:rPr>
          <w:rFonts w:cs="Arial" w:hint="eastAsia"/>
          <w:color w:val="000000"/>
          <w:sz w:val="24"/>
        </w:rPr>
        <w:t>的</w:t>
      </w:r>
      <w:r>
        <w:rPr>
          <w:rFonts w:cs="Arial" w:hint="eastAsia"/>
          <w:color w:val="000000"/>
          <w:sz w:val="24"/>
        </w:rPr>
        <w:t>C</w:t>
      </w:r>
      <w:r>
        <w:rPr>
          <w:rFonts w:cs="Arial" w:hint="eastAsia"/>
          <w:color w:val="000000"/>
          <w:sz w:val="24"/>
        </w:rPr>
        <w:t>类基金份额的销售服务费仍</w:t>
      </w:r>
      <w:proofErr w:type="gramStart"/>
      <w:r>
        <w:rPr>
          <w:rFonts w:cs="Arial" w:hint="eastAsia"/>
          <w:color w:val="000000"/>
          <w:sz w:val="24"/>
        </w:rPr>
        <w:t>按主袋账户</w:t>
      </w:r>
      <w:proofErr w:type="gramEnd"/>
      <w:r>
        <w:rPr>
          <w:rFonts w:cs="Arial" w:hint="eastAsia"/>
          <w:color w:val="000000"/>
          <w:sz w:val="24"/>
        </w:rPr>
        <w:t>C</w:t>
      </w:r>
      <w:r>
        <w:rPr>
          <w:rFonts w:cs="Arial" w:hint="eastAsia"/>
          <w:color w:val="000000"/>
          <w:sz w:val="24"/>
        </w:rPr>
        <w:t>类基金份额的基金资产净值作为基数计提。</w:t>
      </w:r>
      <w:proofErr w:type="gramStart"/>
      <w:r>
        <w:rPr>
          <w:rFonts w:cs="Arial" w:hint="eastAsia"/>
          <w:color w:val="000000"/>
          <w:sz w:val="24"/>
        </w:rPr>
        <w:t>与侧袋账户</w:t>
      </w:r>
      <w:proofErr w:type="gramEnd"/>
      <w:r>
        <w:rPr>
          <w:rFonts w:cs="Arial" w:hint="eastAsia"/>
          <w:color w:val="000000"/>
          <w:sz w:val="24"/>
        </w:rPr>
        <w:t>有关的费用可</w:t>
      </w:r>
      <w:proofErr w:type="gramStart"/>
      <w:r>
        <w:rPr>
          <w:rFonts w:cs="Arial" w:hint="eastAsia"/>
          <w:color w:val="000000"/>
          <w:sz w:val="24"/>
        </w:rPr>
        <w:t>从侧袋账户</w:t>
      </w:r>
      <w:proofErr w:type="gramEnd"/>
      <w:r>
        <w:rPr>
          <w:rFonts w:cs="Arial" w:hint="eastAsia"/>
          <w:color w:val="000000"/>
          <w:sz w:val="24"/>
        </w:rPr>
        <w:t>中列支，但应</w:t>
      </w:r>
      <w:proofErr w:type="gramStart"/>
      <w:r>
        <w:rPr>
          <w:rFonts w:cs="Arial" w:hint="eastAsia"/>
          <w:color w:val="000000"/>
          <w:sz w:val="24"/>
        </w:rPr>
        <w:t>待侧袋</w:t>
      </w:r>
      <w:proofErr w:type="gramEnd"/>
      <w:r>
        <w:rPr>
          <w:rFonts w:cs="Arial" w:hint="eastAsia"/>
          <w:color w:val="000000"/>
          <w:sz w:val="24"/>
        </w:rPr>
        <w:t>账户资产变现后方可列支，有关费用可酌情收取或减免，但不得收取管理费，其他费用详见相关公告的规定。因启用</w:t>
      </w:r>
      <w:proofErr w:type="gramStart"/>
      <w:r>
        <w:rPr>
          <w:rFonts w:cs="Arial" w:hint="eastAsia"/>
          <w:color w:val="000000"/>
          <w:sz w:val="24"/>
        </w:rPr>
        <w:t>侧袋机制</w:t>
      </w:r>
      <w:proofErr w:type="gramEnd"/>
      <w:r>
        <w:rPr>
          <w:rFonts w:cs="Arial" w:hint="eastAsia"/>
          <w:color w:val="000000"/>
          <w:sz w:val="24"/>
        </w:rPr>
        <w:t>产生的咨询、审计费用等由基金管理人承担。</w:t>
      </w:r>
    </w:p>
    <w:p w14:paraId="5BE1DB57"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六、</w:t>
      </w:r>
      <w:proofErr w:type="gramStart"/>
      <w:r>
        <w:rPr>
          <w:rFonts w:cs="Arial" w:hint="eastAsia"/>
          <w:color w:val="000000"/>
          <w:sz w:val="24"/>
        </w:rPr>
        <w:t>侧袋账户</w:t>
      </w:r>
      <w:proofErr w:type="gramEnd"/>
      <w:r>
        <w:rPr>
          <w:rFonts w:cs="Arial" w:hint="eastAsia"/>
          <w:color w:val="000000"/>
          <w:sz w:val="24"/>
        </w:rPr>
        <w:t>中特定资产的处置变现和支付</w:t>
      </w:r>
    </w:p>
    <w:p w14:paraId="02A87E11"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Pr>
          <w:rFonts w:cs="Arial" w:hint="eastAsia"/>
          <w:color w:val="000000"/>
          <w:sz w:val="24"/>
        </w:rPr>
        <w:t>向侧袋账户</w:t>
      </w:r>
      <w:proofErr w:type="gramEnd"/>
      <w:r>
        <w:rPr>
          <w:rFonts w:cs="Arial" w:hint="eastAsia"/>
          <w:color w:val="000000"/>
          <w:sz w:val="24"/>
        </w:rPr>
        <w:t>份额持有人支付对应变现款项。</w:t>
      </w:r>
    </w:p>
    <w:p w14:paraId="14F8F40C" w14:textId="77777777" w:rsidR="004614AE"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w:t>
      </w:r>
      <w:proofErr w:type="gramStart"/>
      <w:r>
        <w:rPr>
          <w:rFonts w:cs="Arial" w:hint="eastAsia"/>
          <w:color w:val="000000"/>
          <w:sz w:val="24"/>
        </w:rPr>
        <w:t>无论侧袋账户</w:t>
      </w:r>
      <w:proofErr w:type="gramEnd"/>
      <w:r>
        <w:rPr>
          <w:rFonts w:cs="Arial" w:hint="eastAsia"/>
          <w:color w:val="000000"/>
          <w:sz w:val="24"/>
        </w:rPr>
        <w:t>资产是否全部完成变现，基金管理人都应当及时</w:t>
      </w:r>
      <w:proofErr w:type="gramStart"/>
      <w:r>
        <w:rPr>
          <w:rFonts w:cs="Arial" w:hint="eastAsia"/>
          <w:color w:val="000000"/>
          <w:sz w:val="24"/>
        </w:rPr>
        <w:t>向侧袋账户</w:t>
      </w:r>
      <w:proofErr w:type="gramEnd"/>
      <w:r>
        <w:rPr>
          <w:rFonts w:cs="Arial" w:hint="eastAsia"/>
          <w:color w:val="000000"/>
          <w:sz w:val="24"/>
        </w:rPr>
        <w:t>全部份额持有人支付已变现部分对应的款项。</w:t>
      </w:r>
      <w:proofErr w:type="gramStart"/>
      <w:r>
        <w:rPr>
          <w:rFonts w:cs="Arial" w:hint="eastAsia"/>
          <w:color w:val="000000"/>
          <w:sz w:val="24"/>
        </w:rPr>
        <w:t>若侧袋</w:t>
      </w:r>
      <w:proofErr w:type="gramEnd"/>
      <w:r>
        <w:rPr>
          <w:rFonts w:cs="Arial" w:hint="eastAsia"/>
          <w:color w:val="000000"/>
          <w:sz w:val="24"/>
        </w:rPr>
        <w:t>账户资产无法一次性完成处置变现，基金管理人在每次处置变现后均应按照相关法律法规要求及时发布临时公告。</w:t>
      </w:r>
    </w:p>
    <w:p w14:paraId="2DB727BC" w14:textId="77777777" w:rsidR="004614AE"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侧袋账户</w:t>
      </w:r>
      <w:proofErr w:type="gramEnd"/>
      <w:r>
        <w:rPr>
          <w:rFonts w:cs="Arial" w:hint="eastAsia"/>
          <w:color w:val="000000"/>
          <w:sz w:val="24"/>
        </w:rPr>
        <w:t>资产全部完成变现并终止</w:t>
      </w:r>
      <w:proofErr w:type="gramStart"/>
      <w:r>
        <w:rPr>
          <w:rFonts w:cs="Arial" w:hint="eastAsia"/>
          <w:color w:val="000000"/>
          <w:sz w:val="24"/>
        </w:rPr>
        <w:t>侧袋机制</w:t>
      </w:r>
      <w:proofErr w:type="gramEnd"/>
      <w:r>
        <w:rPr>
          <w:rFonts w:cs="Arial" w:hint="eastAsia"/>
          <w:color w:val="000000"/>
          <w:sz w:val="24"/>
        </w:rPr>
        <w:t>后，基金管理人应及时聘请符合《中华人民共和国证券法》规定的会计师事务所进行审计并披露专项审计意见。</w:t>
      </w:r>
    </w:p>
    <w:p w14:paraId="667C2AB1" w14:textId="77777777" w:rsidR="004614AE"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lastRenderedPageBreak/>
        <w:t>侧袋账户</w:t>
      </w:r>
      <w:proofErr w:type="gramEnd"/>
      <w:r>
        <w:rPr>
          <w:rFonts w:cs="Arial" w:hint="eastAsia"/>
          <w:color w:val="000000"/>
          <w:sz w:val="24"/>
        </w:rPr>
        <w:t>资产完全清算后，基金管理人应</w:t>
      </w:r>
      <w:proofErr w:type="gramStart"/>
      <w:r>
        <w:rPr>
          <w:rFonts w:cs="Arial" w:hint="eastAsia"/>
          <w:color w:val="000000"/>
          <w:sz w:val="24"/>
        </w:rPr>
        <w:t>注销侧袋账户</w:t>
      </w:r>
      <w:proofErr w:type="gramEnd"/>
      <w:r>
        <w:rPr>
          <w:rFonts w:cs="Arial" w:hint="eastAsia"/>
          <w:color w:val="000000"/>
          <w:sz w:val="24"/>
        </w:rPr>
        <w:t>。</w:t>
      </w:r>
    </w:p>
    <w:p w14:paraId="447EA882"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七、</w:t>
      </w:r>
      <w:proofErr w:type="gramStart"/>
      <w:r>
        <w:rPr>
          <w:rFonts w:cs="Arial" w:hint="eastAsia"/>
          <w:color w:val="000000"/>
          <w:sz w:val="24"/>
        </w:rPr>
        <w:t>侧袋机制</w:t>
      </w:r>
      <w:proofErr w:type="gramEnd"/>
      <w:r>
        <w:rPr>
          <w:rFonts w:cs="Arial" w:hint="eastAsia"/>
          <w:color w:val="000000"/>
          <w:sz w:val="24"/>
        </w:rPr>
        <w:t>的信息披露</w:t>
      </w:r>
    </w:p>
    <w:p w14:paraId="4A1365C2"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1</w:t>
      </w:r>
      <w:r>
        <w:rPr>
          <w:rFonts w:cs="Arial" w:hint="eastAsia"/>
          <w:color w:val="000000"/>
          <w:sz w:val="24"/>
        </w:rPr>
        <w:t>、临时公告</w:t>
      </w:r>
    </w:p>
    <w:p w14:paraId="653397D8"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在</w:t>
      </w:r>
      <w:proofErr w:type="gramStart"/>
      <w:r>
        <w:rPr>
          <w:rFonts w:cs="Arial" w:hint="eastAsia"/>
          <w:color w:val="000000"/>
          <w:sz w:val="24"/>
        </w:rPr>
        <w:t>启用侧袋机制</w:t>
      </w:r>
      <w:proofErr w:type="gramEnd"/>
      <w:r>
        <w:rPr>
          <w:rFonts w:cs="Arial" w:hint="eastAsia"/>
          <w:color w:val="000000"/>
          <w:sz w:val="24"/>
        </w:rPr>
        <w:t>、处置特定资产、终止</w:t>
      </w:r>
      <w:proofErr w:type="gramStart"/>
      <w:r>
        <w:rPr>
          <w:rFonts w:cs="Arial" w:hint="eastAsia"/>
          <w:color w:val="000000"/>
          <w:sz w:val="24"/>
        </w:rPr>
        <w:t>侧袋机制</w:t>
      </w:r>
      <w:proofErr w:type="gramEnd"/>
      <w:r>
        <w:rPr>
          <w:rFonts w:cs="Arial" w:hint="eastAsia"/>
          <w:color w:val="000000"/>
          <w:sz w:val="24"/>
        </w:rPr>
        <w:t>以及发生其他可能对投资者利益产生重大影响的事项后基金管理人应及时发布临时公告。</w:t>
      </w:r>
    </w:p>
    <w:p w14:paraId="0755278B"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2</w:t>
      </w:r>
      <w:r>
        <w:rPr>
          <w:rFonts w:cs="Arial" w:hint="eastAsia"/>
          <w:color w:val="000000"/>
          <w:sz w:val="24"/>
        </w:rPr>
        <w:t>、基金净值信息</w:t>
      </w:r>
    </w:p>
    <w:p w14:paraId="68DAAC73"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基金管理人应按照招募说明书“基金的信息披露”部分规定的基金净值信息披露方式和频率</w:t>
      </w:r>
      <w:proofErr w:type="gramStart"/>
      <w:r>
        <w:rPr>
          <w:rFonts w:cs="Arial" w:hint="eastAsia"/>
          <w:color w:val="000000"/>
          <w:sz w:val="24"/>
        </w:rPr>
        <w:t>披露主袋账户</w:t>
      </w:r>
      <w:proofErr w:type="gramEnd"/>
      <w:r>
        <w:rPr>
          <w:rFonts w:cs="Arial" w:hint="eastAsia"/>
          <w:color w:val="000000"/>
          <w:sz w:val="24"/>
        </w:rPr>
        <w:t>份额的基金份额净值和基金份额累计净值。实施</w:t>
      </w:r>
      <w:proofErr w:type="gramStart"/>
      <w:r>
        <w:rPr>
          <w:rFonts w:cs="Arial" w:hint="eastAsia"/>
          <w:color w:val="000000"/>
          <w:sz w:val="24"/>
        </w:rPr>
        <w:t>侧袋机制</w:t>
      </w:r>
      <w:proofErr w:type="gramEnd"/>
      <w:r>
        <w:rPr>
          <w:rFonts w:cs="Arial" w:hint="eastAsia"/>
          <w:color w:val="000000"/>
          <w:sz w:val="24"/>
        </w:rPr>
        <w:t>期间，本基金暂停</w:t>
      </w:r>
      <w:proofErr w:type="gramStart"/>
      <w:r>
        <w:rPr>
          <w:rFonts w:cs="Arial" w:hint="eastAsia"/>
          <w:color w:val="000000"/>
          <w:sz w:val="24"/>
        </w:rPr>
        <w:t>披露侧袋账户</w:t>
      </w:r>
      <w:proofErr w:type="gramEnd"/>
      <w:r>
        <w:rPr>
          <w:rFonts w:cs="Arial" w:hint="eastAsia"/>
          <w:color w:val="000000"/>
          <w:sz w:val="24"/>
        </w:rPr>
        <w:t>的基金净值信息。</w:t>
      </w:r>
    </w:p>
    <w:p w14:paraId="2816B762"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3</w:t>
      </w:r>
      <w:r>
        <w:rPr>
          <w:rFonts w:cs="Arial" w:hint="eastAsia"/>
          <w:color w:val="000000"/>
          <w:sz w:val="24"/>
        </w:rPr>
        <w:t>、定期报告</w:t>
      </w:r>
    </w:p>
    <w:p w14:paraId="0A85EAE5" w14:textId="77777777" w:rsidR="004614AE" w:rsidRDefault="00000000">
      <w:pPr>
        <w:autoSpaceDE w:val="0"/>
        <w:autoSpaceDN w:val="0"/>
        <w:adjustRightInd w:val="0"/>
        <w:spacing w:line="360" w:lineRule="auto"/>
        <w:ind w:firstLineChars="200" w:firstLine="480"/>
        <w:rPr>
          <w:rFonts w:cs="Arial"/>
          <w:color w:val="000000"/>
          <w:sz w:val="24"/>
        </w:rPr>
      </w:pPr>
      <w:proofErr w:type="gramStart"/>
      <w:r>
        <w:rPr>
          <w:rFonts w:cs="Arial" w:hint="eastAsia"/>
          <w:color w:val="000000"/>
          <w:sz w:val="24"/>
        </w:rPr>
        <w:t>侧袋机制</w:t>
      </w:r>
      <w:proofErr w:type="gramEnd"/>
      <w:r>
        <w:rPr>
          <w:rFonts w:cs="Arial" w:hint="eastAsia"/>
          <w:color w:val="000000"/>
          <w:sz w:val="24"/>
        </w:rPr>
        <w:t>实施期间，基金管理人应当在基金定期报告中披露报告期</w:t>
      </w:r>
      <w:proofErr w:type="gramStart"/>
      <w:r>
        <w:rPr>
          <w:rFonts w:cs="Arial" w:hint="eastAsia"/>
          <w:color w:val="000000"/>
          <w:sz w:val="24"/>
        </w:rPr>
        <w:t>内侧袋</w:t>
      </w:r>
      <w:proofErr w:type="gramEnd"/>
      <w:r>
        <w:rPr>
          <w:rFonts w:cs="Arial" w:hint="eastAsia"/>
          <w:color w:val="000000"/>
          <w:sz w:val="24"/>
        </w:rPr>
        <w:t>账户相关信息，基金定期报告中的基金会计报表仅需</w:t>
      </w:r>
      <w:proofErr w:type="gramStart"/>
      <w:r>
        <w:rPr>
          <w:rFonts w:cs="Arial" w:hint="eastAsia"/>
          <w:color w:val="000000"/>
          <w:sz w:val="24"/>
        </w:rPr>
        <w:t>针对主袋账户</w:t>
      </w:r>
      <w:proofErr w:type="gramEnd"/>
      <w:r>
        <w:rPr>
          <w:rFonts w:cs="Arial" w:hint="eastAsia"/>
          <w:color w:val="000000"/>
          <w:sz w:val="24"/>
        </w:rPr>
        <w:t>进行编制。</w:t>
      </w:r>
      <w:proofErr w:type="gramStart"/>
      <w:r>
        <w:rPr>
          <w:rFonts w:cs="Arial" w:hint="eastAsia"/>
          <w:color w:val="000000"/>
          <w:sz w:val="24"/>
        </w:rPr>
        <w:t>侧袋账户</w:t>
      </w:r>
      <w:proofErr w:type="gramEnd"/>
      <w:r>
        <w:rPr>
          <w:rFonts w:cs="Arial" w:hint="eastAsia"/>
          <w:color w:val="000000"/>
          <w:sz w:val="24"/>
        </w:rPr>
        <w:t>相关信息在定期报告中单独进行披露。会计师事务所对基金年度报告进行审计时，应对报告期内基金</w:t>
      </w:r>
      <w:proofErr w:type="gramStart"/>
      <w:r>
        <w:rPr>
          <w:rFonts w:cs="Arial" w:hint="eastAsia"/>
          <w:color w:val="000000"/>
          <w:sz w:val="24"/>
        </w:rPr>
        <w:t>侧袋机制</w:t>
      </w:r>
      <w:proofErr w:type="gramEnd"/>
      <w:r>
        <w:rPr>
          <w:rFonts w:cs="Arial" w:hint="eastAsia"/>
          <w:color w:val="000000"/>
          <w:sz w:val="24"/>
        </w:rPr>
        <w:t>运行相关的会计核算和年度报告披露，执行适当程序并发表审计意见。</w:t>
      </w:r>
    </w:p>
    <w:p w14:paraId="4E9100D2" w14:textId="77777777" w:rsidR="004614AE" w:rsidRDefault="00000000">
      <w:pPr>
        <w:autoSpaceDE w:val="0"/>
        <w:autoSpaceDN w:val="0"/>
        <w:adjustRightInd w:val="0"/>
        <w:spacing w:line="360" w:lineRule="auto"/>
        <w:ind w:firstLineChars="200" w:firstLine="480"/>
        <w:rPr>
          <w:rFonts w:cs="Arial"/>
          <w:color w:val="000000"/>
          <w:sz w:val="24"/>
        </w:rPr>
      </w:pPr>
      <w:r>
        <w:rPr>
          <w:rFonts w:cs="Arial" w:hint="eastAsia"/>
          <w:color w:val="000000"/>
          <w:sz w:val="24"/>
        </w:rPr>
        <w:t>八、本部</w:t>
      </w:r>
      <w:proofErr w:type="gramStart"/>
      <w:r>
        <w:rPr>
          <w:rFonts w:cs="Arial" w:hint="eastAsia"/>
          <w:color w:val="000000"/>
          <w:sz w:val="24"/>
        </w:rPr>
        <w:t>分关于侧袋机制</w:t>
      </w:r>
      <w:proofErr w:type="gramEnd"/>
      <w:r>
        <w:rPr>
          <w:rFonts w:cs="Arial" w:hint="eastAsia"/>
          <w:color w:val="000000"/>
          <w:sz w:val="24"/>
        </w:rPr>
        <w:t>的相关规定，凡是直接引用法律法规或监管规则的部分，如将来法律法规或监管规则修改导致相关内容被取消或变更的，或将来法律法规或监管规则针对</w:t>
      </w:r>
      <w:proofErr w:type="gramStart"/>
      <w:r>
        <w:rPr>
          <w:rFonts w:cs="Arial" w:hint="eastAsia"/>
          <w:color w:val="000000"/>
          <w:sz w:val="24"/>
        </w:rPr>
        <w:t>侧袋机制</w:t>
      </w:r>
      <w:proofErr w:type="gramEnd"/>
      <w:r>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2BD969E2" w14:textId="77777777" w:rsidR="004614AE" w:rsidRDefault="004614AE">
      <w:pPr>
        <w:autoSpaceDE w:val="0"/>
        <w:autoSpaceDN w:val="0"/>
        <w:adjustRightInd w:val="0"/>
        <w:spacing w:line="360" w:lineRule="auto"/>
        <w:ind w:firstLineChars="200" w:firstLine="480"/>
        <w:rPr>
          <w:rFonts w:cs="Arial"/>
          <w:color w:val="000000"/>
          <w:sz w:val="24"/>
        </w:rPr>
        <w:sectPr w:rsidR="004614AE">
          <w:headerReference w:type="even" r:id="rId57"/>
          <w:headerReference w:type="default" r:id="rId58"/>
          <w:footerReference w:type="default" r:id="rId59"/>
          <w:headerReference w:type="first" r:id="rId60"/>
          <w:footerReference w:type="first" r:id="rId61"/>
          <w:pgSz w:w="11907" w:h="16840"/>
          <w:pgMar w:top="1440" w:right="1559" w:bottom="1440" w:left="1797" w:header="907" w:footer="964" w:gutter="0"/>
          <w:pgNumType w:chapStyle="1"/>
          <w:cols w:space="425"/>
          <w:titlePg/>
          <w:docGrid w:type="lines" w:linePitch="312"/>
        </w:sectPr>
      </w:pPr>
    </w:p>
    <w:p w14:paraId="4EBFC4AA" w14:textId="77777777" w:rsidR="004614AE" w:rsidRDefault="004614AE">
      <w:pPr>
        <w:widowControl/>
        <w:jc w:val="left"/>
        <w:rPr>
          <w:bCs/>
          <w:sz w:val="24"/>
        </w:rPr>
      </w:pPr>
    </w:p>
    <w:p w14:paraId="2DE88520" w14:textId="77777777" w:rsidR="004614AE" w:rsidRDefault="00000000">
      <w:pPr>
        <w:pStyle w:val="1"/>
        <w:jc w:val="center"/>
        <w:rPr>
          <w:sz w:val="30"/>
          <w:szCs w:val="30"/>
        </w:rPr>
      </w:pPr>
      <w:bookmarkStart w:id="334" w:name="_Toc147463125"/>
      <w:bookmarkStart w:id="335" w:name="_Toc21073398"/>
      <w:bookmarkStart w:id="336" w:name="_Toc214873605"/>
      <w:bookmarkStart w:id="337" w:name="_Toc12357178"/>
      <w:bookmarkStart w:id="338" w:name="_Toc68266304"/>
      <w:bookmarkStart w:id="339" w:name="_Toc263092324"/>
      <w:bookmarkStart w:id="340" w:name="_Toc416264552"/>
      <w:bookmarkStart w:id="341" w:name="_Toc119568473"/>
      <w:bookmarkStart w:id="342" w:name="_Toc92662708"/>
      <w:bookmarkStart w:id="343" w:name="_Toc93226150"/>
      <w:bookmarkStart w:id="344" w:name="_Toc29695"/>
      <w:bookmarkStart w:id="345" w:name="_Toc17499"/>
      <w:bookmarkStart w:id="346" w:name="_Toc13255"/>
      <w:bookmarkStart w:id="347" w:name="_Toc10894"/>
      <w:bookmarkStart w:id="348" w:name="_Toc141703897"/>
      <w:bookmarkStart w:id="349" w:name="_Toc352229763"/>
      <w:bookmarkStart w:id="350" w:name="_Toc18007"/>
      <w:bookmarkStart w:id="351" w:name="_Toc31736"/>
      <w:bookmarkStart w:id="352" w:name="_Toc128310500"/>
      <w:bookmarkStart w:id="353" w:name="_Toc1043"/>
      <w:bookmarkStart w:id="354" w:name="_Toc28961"/>
      <w:bookmarkStart w:id="355" w:name="_Toc18747"/>
      <w:bookmarkStart w:id="356" w:name="_Toc21206"/>
      <w:bookmarkStart w:id="357" w:name="_Toc139991747"/>
      <w:bookmarkStart w:id="358" w:name="_Toc2385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Fonts w:hint="eastAsia"/>
          <w:sz w:val="30"/>
          <w:szCs w:val="30"/>
        </w:rPr>
        <w:t>第十七部分</w:t>
      </w:r>
      <w:r>
        <w:rPr>
          <w:sz w:val="30"/>
          <w:szCs w:val="30"/>
        </w:rPr>
        <w:t xml:space="preserve">  </w:t>
      </w:r>
      <w:r>
        <w:rPr>
          <w:rFonts w:hint="eastAsia"/>
          <w:sz w:val="30"/>
          <w:szCs w:val="30"/>
        </w:rPr>
        <w:t>风险揭示</w:t>
      </w:r>
      <w:bookmarkEnd w:id="334"/>
      <w:bookmarkEnd w:id="335"/>
      <w:bookmarkEnd w:id="336"/>
      <w:bookmarkEnd w:id="337"/>
      <w:bookmarkEnd w:id="338"/>
      <w:bookmarkEnd w:id="339"/>
      <w:bookmarkEnd w:id="340"/>
      <w:bookmarkEnd w:id="341"/>
    </w:p>
    <w:p w14:paraId="4C47EE85"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Times New Roman" w:hint="eastAsia"/>
          <w:sz w:val="24"/>
          <w:szCs w:val="24"/>
        </w:rPr>
        <w:t>一、投资于本基金的主要风险</w:t>
      </w:r>
    </w:p>
    <w:p w14:paraId="7E96529B"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67EC12E5"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669DCE81"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4F08199B"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04CB3AFC"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03A289B3"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0D895BB1"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698F4999"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39076A8B"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6C8F28EA"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4B2191B8"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1E00B4B"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6B1E3913"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存托凭证、债券和货币市场工具等），同时本基金基于分散投资的原则在行业和个</w:t>
      </w:r>
      <w:proofErr w:type="gramStart"/>
      <w:r>
        <w:rPr>
          <w:rFonts w:asciiTheme="minorEastAsia" w:hAnsiTheme="minorEastAsia" w:cs="Arial" w:hint="eastAsia"/>
          <w:bCs/>
          <w:sz w:val="24"/>
          <w:szCs w:val="24"/>
        </w:rPr>
        <w:t>券</w:t>
      </w:r>
      <w:proofErr w:type="gramEnd"/>
      <w:r>
        <w:rPr>
          <w:rFonts w:asciiTheme="minorEastAsia" w:hAnsiTheme="minorEastAsia" w:cs="Arial" w:hint="eastAsia"/>
          <w:bCs/>
          <w:sz w:val="24"/>
          <w:szCs w:val="24"/>
        </w:rPr>
        <w:t>方面未有高集中度的特征，综合评估在正常市场环境下本基金的流动性风险适中。</w:t>
      </w:r>
    </w:p>
    <w:p w14:paraId="01807F46"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 xml:space="preserve">（2）巨额赎回情形下的流动性风险管理措施 </w:t>
      </w:r>
    </w:p>
    <w:p w14:paraId="399F4D2A"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2F600898"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12368756"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50F2B918" w14:textId="77777777" w:rsidR="004614AE"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（4）实施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对投资者的影响</w:t>
      </w:r>
    </w:p>
    <w:p w14:paraId="0AB3B92B" w14:textId="77777777" w:rsidR="004614AE" w:rsidRDefault="00000000">
      <w:pPr>
        <w:adjustRightInd w:val="0"/>
        <w:snapToGrid w:val="0"/>
        <w:spacing w:line="360" w:lineRule="auto"/>
        <w:ind w:firstLineChars="200" w:firstLine="480"/>
        <w:rPr>
          <w:rFonts w:ascii="宋体" w:hAnsi="宋体" w:cs="Arial"/>
          <w:kern w:val="0"/>
          <w:sz w:val="24"/>
          <w:szCs w:val="24"/>
        </w:rPr>
      </w:pP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是一种流动性风险管理工具，是将特定资产分离</w:t>
      </w:r>
      <w:proofErr w:type="gramStart"/>
      <w:r>
        <w:rPr>
          <w:rFonts w:ascii="宋体" w:hAnsi="宋体" w:cs="Arial" w:hint="eastAsia"/>
          <w:kern w:val="0"/>
          <w:sz w:val="24"/>
          <w:szCs w:val="24"/>
        </w:rPr>
        <w:t>至专门的侧袋</w:t>
      </w:r>
      <w:proofErr w:type="gramEnd"/>
      <w:r>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后，</w:t>
      </w:r>
      <w:proofErr w:type="gramStart"/>
      <w:r>
        <w:rPr>
          <w:rFonts w:ascii="宋体" w:hAnsi="宋体" w:cs="Arial" w:hint="eastAsia"/>
          <w:kern w:val="0"/>
          <w:sz w:val="24"/>
          <w:szCs w:val="24"/>
        </w:rPr>
        <w:t>侧袋账户</w:t>
      </w:r>
      <w:proofErr w:type="gramEnd"/>
      <w:r>
        <w:rPr>
          <w:rFonts w:ascii="宋体" w:hAnsi="宋体" w:cs="Arial" w:hint="eastAsia"/>
          <w:kern w:val="0"/>
          <w:sz w:val="24"/>
          <w:szCs w:val="24"/>
        </w:rPr>
        <w:t>份额将停止披露基金份额净值，并不得办理申购、赎回和转换，</w:t>
      </w:r>
      <w:proofErr w:type="gramStart"/>
      <w:r>
        <w:rPr>
          <w:rFonts w:ascii="宋体" w:hAnsi="宋体" w:cs="Arial" w:hint="eastAsia"/>
          <w:kern w:val="0"/>
          <w:sz w:val="24"/>
          <w:szCs w:val="24"/>
        </w:rPr>
        <w:t>仅主袋</w:t>
      </w:r>
      <w:proofErr w:type="gramEnd"/>
      <w:r>
        <w:rPr>
          <w:rFonts w:ascii="宋体" w:hAnsi="宋体" w:cs="Arial" w:hint="eastAsia"/>
          <w:kern w:val="0"/>
          <w:sz w:val="24"/>
          <w:szCs w:val="24"/>
        </w:rPr>
        <w:t>账户份额按规定开放赎回，因此启用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时持有基金份额的持有人将在启用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后同时</w:t>
      </w:r>
      <w:proofErr w:type="gramStart"/>
      <w:r>
        <w:rPr>
          <w:rFonts w:ascii="宋体" w:hAnsi="宋体" w:cs="Arial" w:hint="eastAsia"/>
          <w:kern w:val="0"/>
          <w:sz w:val="24"/>
          <w:szCs w:val="24"/>
        </w:rPr>
        <w:t>拥有主袋账户</w:t>
      </w:r>
      <w:proofErr w:type="gramEnd"/>
      <w:r>
        <w:rPr>
          <w:rFonts w:ascii="宋体" w:hAnsi="宋体" w:cs="Arial" w:hint="eastAsia"/>
          <w:kern w:val="0"/>
          <w:sz w:val="24"/>
          <w:szCs w:val="24"/>
        </w:rPr>
        <w:t>份额和</w:t>
      </w:r>
      <w:proofErr w:type="gramStart"/>
      <w:r>
        <w:rPr>
          <w:rFonts w:ascii="宋体" w:hAnsi="宋体" w:cs="Arial" w:hint="eastAsia"/>
          <w:kern w:val="0"/>
          <w:sz w:val="24"/>
          <w:szCs w:val="24"/>
        </w:rPr>
        <w:t>侧袋</w:t>
      </w:r>
      <w:proofErr w:type="gramEnd"/>
      <w:r>
        <w:rPr>
          <w:rFonts w:ascii="宋体" w:hAnsi="宋体" w:cs="Arial" w:hint="eastAsia"/>
          <w:kern w:val="0"/>
          <w:sz w:val="24"/>
          <w:szCs w:val="24"/>
        </w:rPr>
        <w:t>账户份额，</w:t>
      </w:r>
      <w:proofErr w:type="gramStart"/>
      <w:r>
        <w:rPr>
          <w:rFonts w:ascii="宋体" w:hAnsi="宋体" w:cs="Arial" w:hint="eastAsia"/>
          <w:kern w:val="0"/>
          <w:sz w:val="24"/>
          <w:szCs w:val="24"/>
        </w:rPr>
        <w:t>侧袋账户</w:t>
      </w:r>
      <w:proofErr w:type="gramEnd"/>
      <w:r>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时的特定资产的估值，基金份额持有人可能因此面临损失。</w:t>
      </w:r>
    </w:p>
    <w:p w14:paraId="2BD36C3B" w14:textId="77777777" w:rsidR="004614AE"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t>期间，基金管理人计算各项投资运作指标和基金业绩指标时</w:t>
      </w:r>
      <w:proofErr w:type="gramStart"/>
      <w:r>
        <w:rPr>
          <w:rFonts w:ascii="宋体" w:hAnsi="宋体" w:cs="Arial" w:hint="eastAsia"/>
          <w:kern w:val="0"/>
          <w:sz w:val="24"/>
          <w:szCs w:val="24"/>
        </w:rPr>
        <w:t>以主袋账户</w:t>
      </w:r>
      <w:proofErr w:type="gramEnd"/>
      <w:r>
        <w:rPr>
          <w:rFonts w:ascii="宋体" w:hAnsi="宋体" w:cs="Arial" w:hint="eastAsia"/>
          <w:kern w:val="0"/>
          <w:sz w:val="24"/>
          <w:szCs w:val="24"/>
        </w:rPr>
        <w:t>资产为基准，不</w:t>
      </w:r>
      <w:proofErr w:type="gramStart"/>
      <w:r>
        <w:rPr>
          <w:rFonts w:ascii="宋体" w:hAnsi="宋体" w:cs="Arial" w:hint="eastAsia"/>
          <w:kern w:val="0"/>
          <w:sz w:val="24"/>
          <w:szCs w:val="24"/>
        </w:rPr>
        <w:t>反映侧袋账户</w:t>
      </w:r>
      <w:proofErr w:type="gramEnd"/>
      <w:r>
        <w:rPr>
          <w:rFonts w:ascii="宋体" w:hAnsi="宋体" w:cs="Arial" w:hint="eastAsia"/>
          <w:kern w:val="0"/>
          <w:sz w:val="24"/>
          <w:szCs w:val="24"/>
        </w:rPr>
        <w:t>特定资产的真实价值及变化情况。本基金不</w:t>
      </w:r>
      <w:proofErr w:type="gramStart"/>
      <w:r>
        <w:rPr>
          <w:rFonts w:ascii="宋体" w:hAnsi="宋体" w:cs="Arial" w:hint="eastAsia"/>
          <w:kern w:val="0"/>
          <w:sz w:val="24"/>
          <w:szCs w:val="24"/>
        </w:rPr>
        <w:t>披露侧袋账户</w:t>
      </w:r>
      <w:proofErr w:type="gramEnd"/>
      <w:r>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68EBE374" w14:textId="77777777" w:rsidR="004614AE" w:rsidRDefault="00000000">
      <w:pPr>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基金管理人将</w:t>
      </w:r>
      <w:proofErr w:type="gramStart"/>
      <w:r>
        <w:rPr>
          <w:rFonts w:ascii="宋体" w:hAnsi="宋体" w:cs="Arial" w:hint="eastAsia"/>
          <w:kern w:val="0"/>
          <w:sz w:val="24"/>
          <w:szCs w:val="24"/>
        </w:rPr>
        <w:t>根据主袋账户</w:t>
      </w:r>
      <w:proofErr w:type="gramEnd"/>
      <w:r>
        <w:rPr>
          <w:rFonts w:ascii="宋体" w:hAnsi="宋体" w:cs="Arial" w:hint="eastAsia"/>
          <w:kern w:val="0"/>
          <w:sz w:val="24"/>
          <w:szCs w:val="24"/>
        </w:rPr>
        <w:t>运作情况合理确定申购政策，因此实施</w:t>
      </w:r>
      <w:proofErr w:type="gramStart"/>
      <w:r>
        <w:rPr>
          <w:rFonts w:ascii="宋体" w:hAnsi="宋体" w:cs="Arial" w:hint="eastAsia"/>
          <w:kern w:val="0"/>
          <w:sz w:val="24"/>
          <w:szCs w:val="24"/>
        </w:rPr>
        <w:t>侧袋机制</w:t>
      </w:r>
      <w:proofErr w:type="gramEnd"/>
      <w:r>
        <w:rPr>
          <w:rFonts w:ascii="宋体" w:hAnsi="宋体" w:cs="Arial" w:hint="eastAsia"/>
          <w:kern w:val="0"/>
          <w:sz w:val="24"/>
          <w:szCs w:val="24"/>
        </w:rPr>
        <w:lastRenderedPageBreak/>
        <w:t>后主袋账户份额存在暂停申购的可能。</w:t>
      </w:r>
    </w:p>
    <w:p w14:paraId="3C81D90B"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5C705728"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5CCC8367"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2CD9F982"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145CA11"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w:t>
      </w:r>
    </w:p>
    <w:p w14:paraId="2D65BFD9"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w:t>
      </w:r>
      <w:proofErr w:type="gramStart"/>
      <w:r>
        <w:rPr>
          <w:rFonts w:asciiTheme="minorEastAsia" w:hAnsiTheme="minorEastAsia" w:cs="Arial" w:hint="eastAsia"/>
          <w:bCs/>
          <w:sz w:val="24"/>
          <w:szCs w:val="24"/>
        </w:rPr>
        <w:t>规</w:t>
      </w:r>
      <w:proofErr w:type="gramEnd"/>
      <w:r>
        <w:rPr>
          <w:rFonts w:asciiTheme="minorEastAsia" w:hAnsiTheme="minorEastAsia" w:cs="Arial" w:hint="eastAsia"/>
          <w:bCs/>
          <w:sz w:val="24"/>
          <w:szCs w:val="24"/>
        </w:rPr>
        <w:t>风险指基金管理或运作过程中，违反国家法律、法规的规定，或者违反《基金合同》有关规定的风险。</w:t>
      </w:r>
    </w:p>
    <w:p w14:paraId="337DC139"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二、投资于本基金的特有风险</w:t>
      </w:r>
    </w:p>
    <w:p w14:paraId="7A6A75EE"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13B1D93"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w:t>
      </w:r>
      <w:proofErr w:type="gramStart"/>
      <w:r>
        <w:rPr>
          <w:rFonts w:asciiTheme="minorEastAsia" w:hAnsiTheme="minorEastAsia" w:cs="Arial" w:hint="eastAsia"/>
          <w:bCs/>
          <w:sz w:val="24"/>
          <w:szCs w:val="24"/>
        </w:rPr>
        <w:t>品投资</w:t>
      </w:r>
      <w:proofErr w:type="gramEnd"/>
      <w:r>
        <w:rPr>
          <w:rFonts w:asciiTheme="minorEastAsia" w:hAnsiTheme="minorEastAsia" w:cs="Arial" w:hint="eastAsia"/>
          <w:bCs/>
          <w:sz w:val="24"/>
          <w:szCs w:val="24"/>
        </w:rPr>
        <w:t>风险</w:t>
      </w:r>
    </w:p>
    <w:p w14:paraId="33EA82D2"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Pr>
          <w:rFonts w:asciiTheme="minorEastAsia" w:hAnsiTheme="minorEastAsia" w:cs="Arial" w:hint="eastAsia"/>
          <w:bCs/>
          <w:sz w:val="24"/>
          <w:szCs w:val="24"/>
        </w:rPr>
        <w:t>衍生品需承受</w:t>
      </w:r>
      <w:proofErr w:type="gramEnd"/>
      <w:r>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46A973C7"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6DCB69B0"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lastRenderedPageBreak/>
        <w:t>3、资产支持证券投资风险</w:t>
      </w:r>
    </w:p>
    <w:p w14:paraId="2FA28152"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Pr>
          <w:rFonts w:asciiTheme="minorEastAsia" w:hAnsiTheme="minorEastAsia" w:cs="Arial" w:hint="eastAsia"/>
          <w:bCs/>
          <w:sz w:val="24"/>
          <w:szCs w:val="24"/>
        </w:rPr>
        <w:t>池产生</w:t>
      </w:r>
      <w:proofErr w:type="gramEnd"/>
      <w:r>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Pr>
          <w:rFonts w:asciiTheme="minorEastAsia" w:hAnsiTheme="minorEastAsia" w:cs="Arial" w:hint="eastAsia"/>
          <w:bCs/>
          <w:sz w:val="24"/>
          <w:szCs w:val="24"/>
        </w:rPr>
        <w:t>资产池所产生</w:t>
      </w:r>
      <w:proofErr w:type="gramEnd"/>
      <w:r>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847EE59"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4、股票期权投资风险</w:t>
      </w:r>
    </w:p>
    <w:p w14:paraId="4A8F91B7"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00D5FAF7"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5、存托凭证投资风险</w:t>
      </w:r>
    </w:p>
    <w:p w14:paraId="2C099545"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Pr>
          <w:rFonts w:asciiTheme="minorEastAsia" w:hAnsiTheme="minorEastAsia" w:cs="Arial" w:hint="eastAsia"/>
          <w:bCs/>
          <w:sz w:val="24"/>
          <w:szCs w:val="24"/>
        </w:rPr>
        <w:t>托协议</w:t>
      </w:r>
      <w:proofErr w:type="gramEnd"/>
      <w:r>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6B0531C"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三、其他风险</w:t>
      </w:r>
    </w:p>
    <w:p w14:paraId="35710C63"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4CF4FE6E"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6DD196A1"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lastRenderedPageBreak/>
        <w:t>2</w:t>
      </w:r>
      <w:r>
        <w:rPr>
          <w:rFonts w:asciiTheme="minorEastAsia" w:hAnsiTheme="minorEastAsia" w:cs="Arial" w:hint="eastAsia"/>
          <w:bCs/>
          <w:sz w:val="24"/>
          <w:szCs w:val="24"/>
        </w:rPr>
        <w:t>、法律风险</w:t>
      </w:r>
    </w:p>
    <w:p w14:paraId="1C8C8212"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5566AF73"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5F65B07B" w14:textId="77777777" w:rsidR="004614AE" w:rsidRDefault="00000000">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5B30597D" w14:textId="77777777" w:rsidR="004614AE" w:rsidRDefault="00000000">
      <w:pPr>
        <w:widowControl/>
        <w:spacing w:line="360" w:lineRule="auto"/>
        <w:ind w:firstLine="420"/>
        <w:jc w:val="left"/>
        <w:rPr>
          <w:rFonts w:asciiTheme="minorEastAsia" w:hAnsiTheme="minorEastAsia" w:cs="Arial"/>
          <w:bCs/>
          <w:sz w:val="24"/>
          <w:szCs w:val="24"/>
        </w:rPr>
      </w:pPr>
      <w:r>
        <w:rPr>
          <w:rFonts w:asciiTheme="minorEastAsia" w:hAnsiTheme="minorEastAsia" w:cs="Arial"/>
          <w:bCs/>
          <w:sz w:val="24"/>
          <w:szCs w:val="24"/>
        </w:rPr>
        <w:t>4、基金管理人职责终止风险</w:t>
      </w:r>
    </w:p>
    <w:p w14:paraId="68E60572" w14:textId="77777777" w:rsidR="004614AE" w:rsidRDefault="00000000">
      <w:pPr>
        <w:widowControl/>
        <w:spacing w:line="360" w:lineRule="auto"/>
        <w:ind w:firstLine="420"/>
        <w:jc w:val="left"/>
        <w:rPr>
          <w:rFonts w:asciiTheme="minorEastAsia" w:hAnsiTheme="minorEastAsia" w:cs="Arial"/>
          <w:bCs/>
          <w:sz w:val="24"/>
          <w:szCs w:val="24"/>
        </w:rPr>
        <w:sectPr w:rsidR="004614AE">
          <w:headerReference w:type="even" r:id="rId62"/>
          <w:headerReference w:type="default" r:id="rId63"/>
          <w:footerReference w:type="default" r:id="rId64"/>
          <w:headerReference w:type="first" r:id="rId65"/>
          <w:pgSz w:w="11906" w:h="16838"/>
          <w:pgMar w:top="1440" w:right="1800" w:bottom="1440" w:left="1800" w:header="851" w:footer="992" w:gutter="0"/>
          <w:pgNumType w:chapStyle="1"/>
          <w:cols w:space="720"/>
          <w:docGrid w:type="lines" w:linePitch="312"/>
        </w:sectPr>
      </w:pPr>
      <w:r>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Pr>
          <w:rFonts w:asciiTheme="minorEastAsia" w:hAnsiTheme="minorEastAsia" w:cs="Arial" w:hint="eastAsia"/>
          <w:bCs/>
          <w:sz w:val="24"/>
          <w:szCs w:val="24"/>
        </w:rPr>
        <w:t>新任基金</w:t>
      </w:r>
      <w:proofErr w:type="gramEnd"/>
      <w:r>
        <w:rPr>
          <w:rFonts w:asciiTheme="minorEastAsia" w:hAnsiTheme="minorEastAsia" w:cs="Arial" w:hint="eastAsia"/>
          <w:bCs/>
          <w:sz w:val="24"/>
          <w:szCs w:val="24"/>
        </w:rPr>
        <w:t>管理人之间责任划分的，相关基金管理人对各自履职行为依法承担责任。</w:t>
      </w:r>
    </w:p>
    <w:p w14:paraId="5B6BDBFA" w14:textId="77777777" w:rsidR="004614AE" w:rsidRDefault="00000000">
      <w:pPr>
        <w:pStyle w:val="1"/>
        <w:ind w:firstLine="600"/>
        <w:jc w:val="center"/>
      </w:pPr>
      <w:bookmarkStart w:id="359" w:name="_Toc68266305"/>
      <w:bookmarkStart w:id="360" w:name="_Toc119568474"/>
      <w:r>
        <w:rPr>
          <w:rFonts w:hint="eastAsia"/>
          <w:sz w:val="30"/>
          <w:szCs w:val="30"/>
        </w:rPr>
        <w:lastRenderedPageBreak/>
        <w:t>第十八部分</w:t>
      </w:r>
      <w:r>
        <w:rPr>
          <w:sz w:val="30"/>
          <w:szCs w:val="30"/>
        </w:rPr>
        <w:t xml:space="preserve">  </w:t>
      </w:r>
      <w:bookmarkEnd w:id="342"/>
      <w:bookmarkEnd w:id="343"/>
      <w:r>
        <w:rPr>
          <w:rFonts w:hint="eastAsia"/>
          <w:sz w:val="30"/>
          <w:szCs w:val="30"/>
        </w:rPr>
        <w:t>基金合同的变更、终止与基金财产的清算</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53E2DF6F" w14:textId="77777777" w:rsidR="004614AE" w:rsidRDefault="00000000">
      <w:pPr>
        <w:autoSpaceDE w:val="0"/>
        <w:autoSpaceDN w:val="0"/>
        <w:spacing w:line="360" w:lineRule="auto"/>
        <w:ind w:firstLineChars="200" w:firstLine="480"/>
        <w:textAlignment w:val="bottom"/>
        <w:rPr>
          <w:bCs/>
          <w:sz w:val="24"/>
        </w:rPr>
      </w:pPr>
      <w:bookmarkStart w:id="361" w:name="_Toc79392639"/>
      <w:bookmarkStart w:id="362" w:name="_Toc11802"/>
      <w:bookmarkStart w:id="363" w:name="_Toc8512"/>
      <w:bookmarkStart w:id="364" w:name="_Toc193"/>
      <w:bookmarkStart w:id="365" w:name="_Toc1173"/>
      <w:bookmarkStart w:id="366" w:name="_Toc1421"/>
      <w:bookmarkStart w:id="367" w:name="_Toc29289"/>
      <w:bookmarkStart w:id="368" w:name="_Toc11049"/>
      <w:bookmarkStart w:id="369" w:name="_Toc21351"/>
      <w:bookmarkStart w:id="370" w:name="_Toc12028"/>
      <w:bookmarkStart w:id="371" w:name="_Toc93226151"/>
      <w:bookmarkStart w:id="372" w:name="_Toc31866"/>
      <w:bookmarkStart w:id="373" w:name="_Toc139991748"/>
      <w:bookmarkStart w:id="374" w:name="_Toc3056"/>
      <w:bookmarkStart w:id="375" w:name="_Toc92662709"/>
      <w:bookmarkStart w:id="376" w:name="_Toc128310501"/>
      <w:bookmarkStart w:id="377" w:name="_Toc352229764"/>
      <w:bookmarkStart w:id="378" w:name="_Toc141703898"/>
      <w:r>
        <w:rPr>
          <w:bCs/>
          <w:sz w:val="24"/>
        </w:rPr>
        <w:t>一、《基金合同》的变更</w:t>
      </w:r>
      <w:bookmarkEnd w:id="361"/>
    </w:p>
    <w:p w14:paraId="41A28874" w14:textId="77777777" w:rsidR="004614AE" w:rsidRDefault="00000000">
      <w:pPr>
        <w:autoSpaceDE w:val="0"/>
        <w:autoSpaceDN w:val="0"/>
        <w:spacing w:line="360" w:lineRule="auto"/>
        <w:ind w:firstLineChars="200" w:firstLine="480"/>
        <w:textAlignment w:val="bottom"/>
        <w:rPr>
          <w:bCs/>
          <w:sz w:val="24"/>
        </w:rPr>
      </w:pPr>
      <w:r>
        <w:rPr>
          <w:bCs/>
          <w:sz w:val="24"/>
        </w:rPr>
        <w:t>1</w:t>
      </w:r>
      <w:r>
        <w:rPr>
          <w:bCs/>
          <w:sz w:val="24"/>
        </w:rPr>
        <w:t>、变更基金合同</w:t>
      </w:r>
      <w:r>
        <w:rPr>
          <w:rFonts w:hint="eastAsia"/>
          <w:bCs/>
          <w:sz w:val="24"/>
        </w:rPr>
        <w:t>涉及</w:t>
      </w:r>
      <w:r>
        <w:rPr>
          <w:bCs/>
          <w:sz w:val="24"/>
        </w:rPr>
        <w:t>法律法规规定或</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359AFE5" w14:textId="77777777" w:rsidR="004614AE" w:rsidRDefault="00000000">
      <w:pPr>
        <w:autoSpaceDE w:val="0"/>
        <w:autoSpaceDN w:val="0"/>
        <w:spacing w:line="360" w:lineRule="auto"/>
        <w:ind w:firstLineChars="200" w:firstLine="480"/>
        <w:textAlignment w:val="bottom"/>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自表决通过之日起生效，并</w:t>
      </w:r>
      <w:proofErr w:type="gramStart"/>
      <w:r>
        <w:rPr>
          <w:rFonts w:hint="eastAsia"/>
          <w:bCs/>
          <w:sz w:val="24"/>
        </w:rPr>
        <w:t>自决议</w:t>
      </w:r>
      <w:proofErr w:type="gramEnd"/>
      <w:r>
        <w:rPr>
          <w:rFonts w:hint="eastAsia"/>
          <w:bCs/>
          <w:sz w:val="24"/>
        </w:rPr>
        <w:t>生效后依照《信息披露办法》的有关规定在</w:t>
      </w:r>
      <w:r>
        <w:rPr>
          <w:bCs/>
          <w:sz w:val="24"/>
        </w:rPr>
        <w:t>规定媒介公告。</w:t>
      </w:r>
    </w:p>
    <w:p w14:paraId="72BDB14A" w14:textId="77777777" w:rsidR="004614AE" w:rsidRDefault="00000000">
      <w:pPr>
        <w:autoSpaceDE w:val="0"/>
        <w:autoSpaceDN w:val="0"/>
        <w:spacing w:line="360" w:lineRule="auto"/>
        <w:ind w:firstLineChars="200" w:firstLine="480"/>
        <w:textAlignment w:val="bottom"/>
        <w:rPr>
          <w:bCs/>
          <w:sz w:val="24"/>
        </w:rPr>
      </w:pPr>
      <w:r>
        <w:rPr>
          <w:bCs/>
          <w:sz w:val="24"/>
        </w:rPr>
        <w:t>二、《基金合同》的终止事由</w:t>
      </w:r>
    </w:p>
    <w:p w14:paraId="72476090" w14:textId="77777777" w:rsidR="004614AE" w:rsidRDefault="00000000">
      <w:pPr>
        <w:autoSpaceDE w:val="0"/>
        <w:autoSpaceDN w:val="0"/>
        <w:spacing w:line="360" w:lineRule="auto"/>
        <w:ind w:firstLineChars="200" w:firstLine="480"/>
        <w:textAlignment w:val="bottom"/>
        <w:rPr>
          <w:bCs/>
          <w:sz w:val="24"/>
        </w:rPr>
      </w:pPr>
      <w:r>
        <w:rPr>
          <w:bCs/>
          <w:sz w:val="24"/>
        </w:rPr>
        <w:t>有下列情形之一的，</w:t>
      </w:r>
      <w:r>
        <w:rPr>
          <w:rFonts w:hint="eastAsia"/>
          <w:bCs/>
          <w:sz w:val="24"/>
        </w:rPr>
        <w:t>经履行相关程序后，</w:t>
      </w:r>
      <w:r>
        <w:rPr>
          <w:bCs/>
          <w:sz w:val="24"/>
        </w:rPr>
        <w:t>《基金合同》应当终止：</w:t>
      </w:r>
    </w:p>
    <w:p w14:paraId="375057BE" w14:textId="77777777" w:rsidR="004614AE" w:rsidRDefault="00000000">
      <w:pPr>
        <w:autoSpaceDE w:val="0"/>
        <w:autoSpaceDN w:val="0"/>
        <w:spacing w:line="360" w:lineRule="auto"/>
        <w:ind w:firstLineChars="200" w:firstLine="480"/>
        <w:textAlignment w:val="bottom"/>
        <w:rPr>
          <w:bCs/>
          <w:sz w:val="24"/>
        </w:rPr>
      </w:pPr>
      <w:r>
        <w:rPr>
          <w:bCs/>
          <w:sz w:val="24"/>
        </w:rPr>
        <w:t>1</w:t>
      </w:r>
      <w:r>
        <w:rPr>
          <w:bCs/>
          <w:sz w:val="24"/>
        </w:rPr>
        <w:t>、基金份额持有人大会决定终止的；</w:t>
      </w:r>
    </w:p>
    <w:p w14:paraId="2042EF5D" w14:textId="77777777" w:rsidR="004614AE" w:rsidRDefault="00000000">
      <w:pPr>
        <w:autoSpaceDE w:val="0"/>
        <w:autoSpaceDN w:val="0"/>
        <w:spacing w:line="360" w:lineRule="auto"/>
        <w:ind w:firstLineChars="200" w:firstLine="480"/>
        <w:textAlignment w:val="bottom"/>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2E5865F" w14:textId="77777777" w:rsidR="004614AE" w:rsidRDefault="00000000">
      <w:pPr>
        <w:autoSpaceDE w:val="0"/>
        <w:autoSpaceDN w:val="0"/>
        <w:spacing w:line="360" w:lineRule="auto"/>
        <w:ind w:firstLineChars="200" w:firstLine="480"/>
        <w:textAlignment w:val="bottom"/>
        <w:rPr>
          <w:bCs/>
          <w:sz w:val="24"/>
        </w:rPr>
      </w:pPr>
      <w:r>
        <w:rPr>
          <w:rFonts w:hint="eastAsia"/>
          <w:bCs/>
          <w:sz w:val="24"/>
        </w:rPr>
        <w:t>3</w:t>
      </w:r>
      <w:r>
        <w:rPr>
          <w:bCs/>
          <w:sz w:val="24"/>
        </w:rPr>
        <w:t>、《基金合同》约定的其他情形；</w:t>
      </w:r>
    </w:p>
    <w:p w14:paraId="7A60BE34" w14:textId="77777777" w:rsidR="004614AE" w:rsidRDefault="00000000">
      <w:pPr>
        <w:autoSpaceDE w:val="0"/>
        <w:autoSpaceDN w:val="0"/>
        <w:spacing w:line="360" w:lineRule="auto"/>
        <w:ind w:firstLineChars="200" w:firstLine="480"/>
        <w:textAlignment w:val="bottom"/>
        <w:rPr>
          <w:bCs/>
          <w:sz w:val="24"/>
        </w:rPr>
      </w:pPr>
      <w:r>
        <w:rPr>
          <w:rFonts w:hint="eastAsia"/>
          <w:bCs/>
          <w:sz w:val="24"/>
        </w:rPr>
        <w:t>4</w:t>
      </w:r>
      <w:r>
        <w:rPr>
          <w:bCs/>
          <w:sz w:val="24"/>
        </w:rPr>
        <w:t>、相关法律法规和中国证监会规定的其他情况。</w:t>
      </w:r>
    </w:p>
    <w:p w14:paraId="6C6DCCF8" w14:textId="77777777" w:rsidR="004614AE" w:rsidRDefault="00000000">
      <w:pPr>
        <w:autoSpaceDE w:val="0"/>
        <w:autoSpaceDN w:val="0"/>
        <w:spacing w:line="360" w:lineRule="auto"/>
        <w:ind w:firstLineChars="200" w:firstLine="480"/>
        <w:textAlignment w:val="bottom"/>
        <w:rPr>
          <w:bCs/>
          <w:sz w:val="24"/>
        </w:rPr>
      </w:pPr>
      <w:r>
        <w:rPr>
          <w:bCs/>
          <w:sz w:val="24"/>
        </w:rPr>
        <w:t>三、基金财产的清算</w:t>
      </w:r>
    </w:p>
    <w:p w14:paraId="4B5D3E81" w14:textId="77777777" w:rsidR="004614AE" w:rsidRDefault="00000000">
      <w:pPr>
        <w:autoSpaceDE w:val="0"/>
        <w:autoSpaceDN w:val="0"/>
        <w:spacing w:line="360" w:lineRule="auto"/>
        <w:ind w:firstLineChars="200" w:firstLine="480"/>
        <w:textAlignment w:val="bottom"/>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w:t>
      </w:r>
      <w:r>
        <w:rPr>
          <w:rFonts w:hint="eastAsia"/>
          <w:bCs/>
          <w:sz w:val="24"/>
        </w:rPr>
        <w:t>或临时基金管理人</w:t>
      </w:r>
      <w:r>
        <w:rPr>
          <w:bCs/>
          <w:sz w:val="24"/>
        </w:rPr>
        <w:t>组织基金财产清算小组并在中国证监会的监督下进行基金清算。</w:t>
      </w:r>
    </w:p>
    <w:p w14:paraId="5333B0CE" w14:textId="77777777" w:rsidR="004614AE" w:rsidRDefault="00000000">
      <w:pPr>
        <w:autoSpaceDE w:val="0"/>
        <w:autoSpaceDN w:val="0"/>
        <w:spacing w:line="360" w:lineRule="auto"/>
        <w:ind w:firstLineChars="200" w:firstLine="480"/>
        <w:textAlignment w:val="bottom"/>
        <w:rPr>
          <w:bCs/>
          <w:sz w:val="24"/>
        </w:rPr>
      </w:pPr>
      <w:r>
        <w:rPr>
          <w:bCs/>
          <w:sz w:val="24"/>
        </w:rPr>
        <w:t>2</w:t>
      </w:r>
      <w:r>
        <w:rPr>
          <w:bCs/>
          <w:sz w:val="24"/>
        </w:rPr>
        <w:t>、基金财产清算小组组成：基金财产清算小组成员由基金管理人</w:t>
      </w:r>
      <w:r>
        <w:rPr>
          <w:rFonts w:hint="eastAsia"/>
          <w:bCs/>
          <w:sz w:val="24"/>
        </w:rPr>
        <w:t>或临时基金管理人</w:t>
      </w:r>
      <w:r>
        <w:rPr>
          <w:bCs/>
          <w:sz w:val="24"/>
        </w:rPr>
        <w:t>、基金托管人、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14:paraId="0112B5CB" w14:textId="77777777" w:rsidR="004614AE" w:rsidRDefault="00000000">
      <w:pPr>
        <w:autoSpaceDE w:val="0"/>
        <w:autoSpaceDN w:val="0"/>
        <w:spacing w:line="360" w:lineRule="auto"/>
        <w:ind w:firstLineChars="200" w:firstLine="480"/>
        <w:textAlignment w:val="bottom"/>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5D4CFE3" w14:textId="77777777" w:rsidR="004614AE" w:rsidRDefault="00000000">
      <w:pPr>
        <w:autoSpaceDE w:val="0"/>
        <w:autoSpaceDN w:val="0"/>
        <w:spacing w:line="360" w:lineRule="auto"/>
        <w:ind w:firstLineChars="200" w:firstLine="480"/>
        <w:textAlignment w:val="bottom"/>
        <w:rPr>
          <w:bCs/>
          <w:sz w:val="24"/>
        </w:rPr>
      </w:pPr>
      <w:r>
        <w:rPr>
          <w:bCs/>
          <w:sz w:val="24"/>
        </w:rPr>
        <w:t>4</w:t>
      </w:r>
      <w:r>
        <w:rPr>
          <w:bCs/>
          <w:sz w:val="24"/>
        </w:rPr>
        <w:t>、基金财产清算程序：</w:t>
      </w:r>
    </w:p>
    <w:p w14:paraId="10381894" w14:textId="77777777" w:rsidR="004614AE" w:rsidRDefault="00000000">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）《基金合同》终止情形出现时，由基金财产清算小组统一接管基金；</w:t>
      </w:r>
    </w:p>
    <w:p w14:paraId="53138DED" w14:textId="77777777" w:rsidR="004614AE" w:rsidRDefault="00000000">
      <w:pPr>
        <w:autoSpaceDE w:val="0"/>
        <w:autoSpaceDN w:val="0"/>
        <w:spacing w:line="360" w:lineRule="auto"/>
        <w:ind w:firstLineChars="200" w:firstLine="480"/>
        <w:textAlignment w:val="bottom"/>
        <w:rPr>
          <w:bCs/>
          <w:sz w:val="24"/>
        </w:rPr>
      </w:pPr>
      <w:r>
        <w:rPr>
          <w:bCs/>
          <w:sz w:val="24"/>
        </w:rPr>
        <w:t>（</w:t>
      </w:r>
      <w:r>
        <w:rPr>
          <w:bCs/>
          <w:sz w:val="24"/>
        </w:rPr>
        <w:t>2</w:t>
      </w:r>
      <w:r>
        <w:rPr>
          <w:bCs/>
          <w:sz w:val="24"/>
        </w:rPr>
        <w:t>）对基金财产和债权债务进行清理和确认；</w:t>
      </w:r>
    </w:p>
    <w:p w14:paraId="3038A4BA" w14:textId="77777777" w:rsidR="004614AE" w:rsidRDefault="00000000">
      <w:pPr>
        <w:autoSpaceDE w:val="0"/>
        <w:autoSpaceDN w:val="0"/>
        <w:spacing w:line="360" w:lineRule="auto"/>
        <w:ind w:firstLineChars="200" w:firstLine="480"/>
        <w:textAlignment w:val="bottom"/>
        <w:rPr>
          <w:bCs/>
          <w:sz w:val="24"/>
        </w:rPr>
      </w:pPr>
      <w:r>
        <w:rPr>
          <w:bCs/>
          <w:sz w:val="24"/>
        </w:rPr>
        <w:t>（</w:t>
      </w:r>
      <w:r>
        <w:rPr>
          <w:bCs/>
          <w:sz w:val="24"/>
        </w:rPr>
        <w:t>3</w:t>
      </w:r>
      <w:r>
        <w:rPr>
          <w:bCs/>
          <w:sz w:val="24"/>
        </w:rPr>
        <w:t>）对基金财产进行估值和变现；</w:t>
      </w:r>
    </w:p>
    <w:p w14:paraId="08142F11" w14:textId="77777777" w:rsidR="004614AE" w:rsidRDefault="00000000">
      <w:pPr>
        <w:autoSpaceDE w:val="0"/>
        <w:autoSpaceDN w:val="0"/>
        <w:spacing w:line="360" w:lineRule="auto"/>
        <w:ind w:firstLineChars="200" w:firstLine="480"/>
        <w:textAlignment w:val="bottom"/>
        <w:rPr>
          <w:bCs/>
          <w:sz w:val="24"/>
        </w:rPr>
      </w:pPr>
      <w:r>
        <w:rPr>
          <w:bCs/>
          <w:sz w:val="24"/>
        </w:rPr>
        <w:t>（</w:t>
      </w:r>
      <w:r>
        <w:rPr>
          <w:bCs/>
          <w:sz w:val="24"/>
        </w:rPr>
        <w:t>4</w:t>
      </w:r>
      <w:r>
        <w:rPr>
          <w:bCs/>
          <w:sz w:val="24"/>
        </w:rPr>
        <w:t>）制作清算报告；</w:t>
      </w:r>
    </w:p>
    <w:p w14:paraId="095E5B32" w14:textId="77777777" w:rsidR="004614AE" w:rsidRDefault="00000000">
      <w:pPr>
        <w:autoSpaceDE w:val="0"/>
        <w:autoSpaceDN w:val="0"/>
        <w:spacing w:line="360" w:lineRule="auto"/>
        <w:ind w:firstLineChars="200" w:firstLine="480"/>
        <w:textAlignment w:val="bottom"/>
        <w:rPr>
          <w:bCs/>
          <w:sz w:val="24"/>
        </w:rPr>
      </w:pPr>
      <w:r>
        <w:rPr>
          <w:bCs/>
          <w:sz w:val="24"/>
        </w:rPr>
        <w:lastRenderedPageBreak/>
        <w:t>（</w:t>
      </w:r>
      <w:r>
        <w:rPr>
          <w:bCs/>
          <w:sz w:val="24"/>
        </w:rPr>
        <w:t>5</w:t>
      </w:r>
      <w:r>
        <w:rPr>
          <w:bCs/>
          <w:sz w:val="24"/>
        </w:rPr>
        <w:t>）聘请符合《中华人民共和国证券法》规定</w:t>
      </w:r>
      <w:r>
        <w:rPr>
          <w:rFonts w:hint="eastAsia"/>
          <w:bCs/>
          <w:sz w:val="24"/>
        </w:rPr>
        <w:t>的</w:t>
      </w:r>
      <w:r>
        <w:rPr>
          <w:bCs/>
          <w:sz w:val="24"/>
        </w:rPr>
        <w:t>会计师事务所对清算报告进行外部审计，聘请律师事务所对清算报告出具法律意见书；</w:t>
      </w:r>
    </w:p>
    <w:p w14:paraId="03DD539A" w14:textId="77777777" w:rsidR="004614AE" w:rsidRDefault="00000000">
      <w:pPr>
        <w:autoSpaceDE w:val="0"/>
        <w:autoSpaceDN w:val="0"/>
        <w:spacing w:line="360" w:lineRule="auto"/>
        <w:ind w:firstLineChars="200" w:firstLine="480"/>
        <w:textAlignment w:val="bottom"/>
        <w:rPr>
          <w:bCs/>
          <w:sz w:val="24"/>
        </w:rPr>
      </w:pPr>
      <w:r>
        <w:rPr>
          <w:bCs/>
          <w:sz w:val="24"/>
        </w:rPr>
        <w:t>（</w:t>
      </w:r>
      <w:r>
        <w:rPr>
          <w:bCs/>
          <w:sz w:val="24"/>
        </w:rPr>
        <w:t>6</w:t>
      </w:r>
      <w:r>
        <w:rPr>
          <w:bCs/>
          <w:sz w:val="24"/>
        </w:rPr>
        <w:t>）将清算报告报中国证监会备案并公告</w:t>
      </w:r>
      <w:r>
        <w:rPr>
          <w:rFonts w:hint="eastAsia"/>
          <w:bCs/>
          <w:sz w:val="24"/>
        </w:rPr>
        <w:t>；</w:t>
      </w:r>
    </w:p>
    <w:p w14:paraId="5CDCE487" w14:textId="77777777" w:rsidR="004614AE" w:rsidRDefault="00000000">
      <w:pPr>
        <w:autoSpaceDE w:val="0"/>
        <w:autoSpaceDN w:val="0"/>
        <w:spacing w:line="360" w:lineRule="auto"/>
        <w:ind w:firstLineChars="200" w:firstLine="480"/>
        <w:textAlignment w:val="bottom"/>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213807FB" w14:textId="77777777" w:rsidR="004614AE" w:rsidRDefault="00000000">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但因本基金所持证券的流动性受到限制而不能及时变现的，清算期限可相应顺延</w:t>
      </w:r>
      <w:r>
        <w:rPr>
          <w:bCs/>
          <w:sz w:val="24"/>
        </w:rPr>
        <w:t>。</w:t>
      </w:r>
    </w:p>
    <w:p w14:paraId="7D96E21A" w14:textId="77777777" w:rsidR="004614AE" w:rsidRDefault="00000000">
      <w:pPr>
        <w:autoSpaceDE w:val="0"/>
        <w:autoSpaceDN w:val="0"/>
        <w:spacing w:line="360" w:lineRule="auto"/>
        <w:ind w:firstLineChars="200" w:firstLine="480"/>
        <w:textAlignment w:val="bottom"/>
        <w:rPr>
          <w:bCs/>
          <w:sz w:val="24"/>
        </w:rPr>
      </w:pPr>
      <w:r>
        <w:rPr>
          <w:bCs/>
          <w:sz w:val="24"/>
        </w:rPr>
        <w:t>四、清算费用</w:t>
      </w:r>
    </w:p>
    <w:p w14:paraId="206CE8F2" w14:textId="77777777" w:rsidR="004614AE" w:rsidRDefault="00000000">
      <w:pPr>
        <w:autoSpaceDE w:val="0"/>
        <w:autoSpaceDN w:val="0"/>
        <w:spacing w:line="360" w:lineRule="auto"/>
        <w:ind w:firstLineChars="200" w:firstLine="480"/>
        <w:textAlignment w:val="bottom"/>
        <w:rPr>
          <w:bCs/>
          <w:sz w:val="24"/>
        </w:rPr>
      </w:pPr>
      <w:r>
        <w:rPr>
          <w:bCs/>
          <w:sz w:val="24"/>
        </w:rPr>
        <w:t>清算费用是指基金财产清算小组在进行基金清算过程中发生的所有合理费用，清算费用由基金财产清算小组优先从基金财产中支付。</w:t>
      </w:r>
    </w:p>
    <w:p w14:paraId="0D315C2A" w14:textId="77777777" w:rsidR="004614AE" w:rsidRDefault="00000000">
      <w:pPr>
        <w:autoSpaceDE w:val="0"/>
        <w:autoSpaceDN w:val="0"/>
        <w:spacing w:line="360" w:lineRule="auto"/>
        <w:ind w:firstLineChars="200" w:firstLine="480"/>
        <w:textAlignment w:val="bottom"/>
        <w:rPr>
          <w:bCs/>
          <w:sz w:val="24"/>
        </w:rPr>
      </w:pPr>
      <w:r>
        <w:rPr>
          <w:bCs/>
          <w:sz w:val="24"/>
        </w:rPr>
        <w:t>五、基金财产清算剩余资产的分配</w:t>
      </w:r>
    </w:p>
    <w:p w14:paraId="39A97F57" w14:textId="77777777" w:rsidR="004614AE" w:rsidRDefault="00000000">
      <w:pPr>
        <w:autoSpaceDE w:val="0"/>
        <w:autoSpaceDN w:val="0"/>
        <w:spacing w:line="360" w:lineRule="auto"/>
        <w:ind w:firstLineChars="200" w:firstLine="480"/>
        <w:textAlignment w:val="bottom"/>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3686FC68" w14:textId="77777777" w:rsidR="004614AE" w:rsidRDefault="00000000">
      <w:pPr>
        <w:autoSpaceDE w:val="0"/>
        <w:autoSpaceDN w:val="0"/>
        <w:spacing w:line="360" w:lineRule="auto"/>
        <w:ind w:firstLineChars="200" w:firstLine="480"/>
        <w:textAlignment w:val="bottom"/>
        <w:rPr>
          <w:bCs/>
          <w:sz w:val="24"/>
        </w:rPr>
      </w:pPr>
      <w:r>
        <w:rPr>
          <w:bCs/>
          <w:sz w:val="24"/>
        </w:rPr>
        <w:t>六、基金财产清算的公告</w:t>
      </w:r>
    </w:p>
    <w:p w14:paraId="738DE66A" w14:textId="77777777" w:rsidR="004614AE" w:rsidRDefault="00000000">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Pr>
          <w:bCs/>
          <w:sz w:val="24"/>
        </w:rPr>
        <w:t>规定</w:t>
      </w:r>
      <w:r>
        <w:rPr>
          <w:rFonts w:hint="eastAsia"/>
          <w:bCs/>
          <w:sz w:val="24"/>
        </w:rPr>
        <w:t>网站上，并将清算报告提示性公告登载在规定报刊上</w:t>
      </w:r>
      <w:r>
        <w:rPr>
          <w:bCs/>
          <w:sz w:val="24"/>
        </w:rPr>
        <w:t>。</w:t>
      </w:r>
    </w:p>
    <w:p w14:paraId="25CD5909" w14:textId="77777777" w:rsidR="004614AE" w:rsidRDefault="00000000">
      <w:pPr>
        <w:autoSpaceDE w:val="0"/>
        <w:autoSpaceDN w:val="0"/>
        <w:spacing w:line="360" w:lineRule="auto"/>
        <w:ind w:firstLineChars="200" w:firstLine="480"/>
        <w:textAlignment w:val="bottom"/>
        <w:rPr>
          <w:bCs/>
          <w:sz w:val="24"/>
        </w:rPr>
      </w:pPr>
      <w:r>
        <w:rPr>
          <w:bCs/>
          <w:sz w:val="24"/>
        </w:rPr>
        <w:t>七、基金财产清算账册及文件的保存</w:t>
      </w:r>
    </w:p>
    <w:p w14:paraId="51DD70BB" w14:textId="77777777" w:rsidR="004614AE" w:rsidRDefault="00000000">
      <w:pPr>
        <w:adjustRightInd w:val="0"/>
        <w:snapToGrid w:val="0"/>
        <w:spacing w:line="360" w:lineRule="auto"/>
        <w:ind w:firstLineChars="200" w:firstLine="480"/>
        <w:rPr>
          <w:rFonts w:asciiTheme="minorEastAsia" w:hAnsiTheme="minorEastAsia" w:cs="Times New Roman"/>
          <w:sz w:val="24"/>
          <w:szCs w:val="24"/>
        </w:rPr>
      </w:pPr>
      <w:r>
        <w:rPr>
          <w:bCs/>
          <w:sz w:val="24"/>
        </w:rPr>
        <w:t>基金财产清算账册及有关文件由基金托管人保存，保存期限不低于法律法规</w:t>
      </w:r>
      <w:r>
        <w:rPr>
          <w:rFonts w:hint="eastAsia"/>
          <w:bCs/>
          <w:sz w:val="24"/>
        </w:rPr>
        <w:t>规定</w:t>
      </w:r>
      <w:r>
        <w:rPr>
          <w:bCs/>
          <w:sz w:val="24"/>
        </w:rPr>
        <w:t>的最低期限。</w:t>
      </w:r>
      <w:r>
        <w:rPr>
          <w:rFonts w:asciiTheme="minorEastAsia" w:hAnsiTheme="minorEastAsia" w:cs="Times New Roman"/>
          <w:sz w:val="24"/>
          <w:szCs w:val="24"/>
        </w:rPr>
        <w:br w:type="page"/>
      </w:r>
    </w:p>
    <w:p w14:paraId="373A9432" w14:textId="77777777" w:rsidR="004614AE" w:rsidRDefault="004614AE">
      <w:pPr>
        <w:adjustRightInd w:val="0"/>
        <w:snapToGrid w:val="0"/>
        <w:spacing w:line="360" w:lineRule="auto"/>
        <w:ind w:firstLineChars="200" w:firstLine="480"/>
        <w:rPr>
          <w:rFonts w:asciiTheme="minorEastAsia" w:hAnsiTheme="minorEastAsia" w:cs="Times New Roman"/>
          <w:sz w:val="24"/>
          <w:szCs w:val="24"/>
        </w:rPr>
      </w:pPr>
    </w:p>
    <w:p w14:paraId="5D5408F8" w14:textId="77777777" w:rsidR="004614AE" w:rsidRDefault="00000000">
      <w:pPr>
        <w:pStyle w:val="1"/>
        <w:jc w:val="center"/>
        <w:rPr>
          <w:sz w:val="30"/>
          <w:szCs w:val="30"/>
        </w:rPr>
      </w:pPr>
      <w:bookmarkStart w:id="379" w:name="_Toc263092326"/>
      <w:bookmarkStart w:id="380" w:name="_Toc416264553"/>
      <w:bookmarkStart w:id="381" w:name="_Toc214873607"/>
      <w:bookmarkStart w:id="382" w:name="_Toc119568475"/>
      <w:bookmarkStart w:id="383" w:name="_Toc123102466"/>
      <w:bookmarkStart w:id="384" w:name="_Toc8059"/>
      <w:bookmarkStart w:id="385" w:name="_Toc123112247"/>
      <w:bookmarkStart w:id="386" w:name="_Toc352229765"/>
      <w:bookmarkStart w:id="387" w:name="_Toc98560364"/>
      <w:bookmarkStart w:id="388" w:name="_Toc9005"/>
      <w:bookmarkStart w:id="389" w:name="_Toc27464"/>
      <w:bookmarkStart w:id="390" w:name="_Toc7170"/>
      <w:bookmarkStart w:id="391" w:name="_Toc10006"/>
      <w:bookmarkStart w:id="392" w:name="_Toc11113"/>
      <w:bookmarkStart w:id="393" w:name="_Toc8049"/>
      <w:bookmarkStart w:id="394" w:name="_Toc22978"/>
      <w:bookmarkStart w:id="395" w:name="_Toc139991749"/>
      <w:bookmarkStart w:id="396" w:name="_Toc25647"/>
      <w:bookmarkStart w:id="397" w:name="_Toc123051465"/>
      <w:bookmarkStart w:id="398" w:name="_Toc29891"/>
      <w:bookmarkStart w:id="399" w:name="_Toc141703899"/>
      <w:bookmarkStart w:id="400" w:name="_Toc6237"/>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Fonts w:hint="eastAsia"/>
          <w:sz w:val="30"/>
          <w:szCs w:val="30"/>
        </w:rPr>
        <w:t>第十九部分</w:t>
      </w:r>
      <w:r>
        <w:rPr>
          <w:sz w:val="30"/>
          <w:szCs w:val="30"/>
        </w:rPr>
        <w:t xml:space="preserve">  </w:t>
      </w:r>
      <w:r>
        <w:rPr>
          <w:rFonts w:hint="eastAsia"/>
          <w:sz w:val="30"/>
          <w:szCs w:val="30"/>
        </w:rPr>
        <w:t>基金合同的内容摘要</w:t>
      </w:r>
      <w:bookmarkEnd w:id="379"/>
      <w:bookmarkEnd w:id="380"/>
      <w:bookmarkEnd w:id="381"/>
      <w:bookmarkEnd w:id="382"/>
    </w:p>
    <w:p w14:paraId="7BE904E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一、基金份额持有人、基金管理人和基金托管人的权利、义务</w:t>
      </w:r>
    </w:p>
    <w:p w14:paraId="356D366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39CDFC3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2E50C2A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6B48A59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5D053D5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2D0E0D6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0F247B5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059B789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386D179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4C2F99B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59288D0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03B6D19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17940A8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（11）在《基金合同》约定的范围内，拒绝或暂停受理申购、赎回或转换申请； </w:t>
      </w:r>
    </w:p>
    <w:p w14:paraId="2564305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0F9E360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（13）在法律法规允许的前提下，为基金的利益依法为基金进行融资；</w:t>
      </w:r>
    </w:p>
    <w:p w14:paraId="438C1AB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（14）以基金管理人的名义，代表基金份额持有人的利益行使诉讼权利或者实施其他法律行为；</w:t>
      </w:r>
      <w:r>
        <w:rPr>
          <w:rFonts w:asciiTheme="minorEastAsia" w:hAnsiTheme="minorEastAsia" w:cs="Times New Roman" w:hint="eastAsia"/>
          <w:bCs/>
          <w:sz w:val="24"/>
          <w:szCs w:val="24"/>
        </w:rPr>
        <w:tab/>
      </w:r>
    </w:p>
    <w:p w14:paraId="70E8B1D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Pr>
          <w:rFonts w:asciiTheme="minorEastAsia" w:hAnsiTheme="minorEastAsia" w:cs="Times New Roman" w:hint="eastAsia"/>
          <w:bCs/>
          <w:sz w:val="24"/>
          <w:szCs w:val="24"/>
        </w:rPr>
        <w:tab/>
      </w:r>
    </w:p>
    <w:p w14:paraId="29FB987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（16）在符合有关法律、法规的前提下，制订和调整有关基金认购、申购、赎回、转换、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过户、转托管和收益分配等的业务规则；</w:t>
      </w:r>
    </w:p>
    <w:p w14:paraId="3415D85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（17）法律法规及中国证监会规定的和《基金合同》约定的其他权利。</w:t>
      </w:r>
    </w:p>
    <w:p w14:paraId="45194EC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76F02BF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76D29BD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08B2229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34E4A77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42FA0A3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w:t>
      </w:r>
      <w:proofErr w:type="gramStart"/>
      <w:r>
        <w:rPr>
          <w:rFonts w:asciiTheme="minorEastAsia" w:hAnsiTheme="minorEastAsia" w:cs="Times New Roman" w:hint="eastAsia"/>
          <w:bCs/>
          <w:sz w:val="24"/>
          <w:szCs w:val="24"/>
        </w:rPr>
        <w:t>独立,</w:t>
      </w:r>
      <w:proofErr w:type="gramEnd"/>
      <w:r>
        <w:rPr>
          <w:rFonts w:asciiTheme="minorEastAsia" w:hAnsiTheme="minorEastAsia" w:cs="Times New Roman" w:hint="eastAsia"/>
          <w:bCs/>
          <w:sz w:val="24"/>
          <w:szCs w:val="24"/>
        </w:rPr>
        <w:t>对所管理的不同基金分别管理，分别记账，进行证券投资；</w:t>
      </w:r>
    </w:p>
    <w:p w14:paraId="0D67262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493003F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52149AA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7B7DF1E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29B600B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（10）编制季度报告、中期报告和年度报告；</w:t>
      </w:r>
    </w:p>
    <w:p w14:paraId="46461F3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0B280CF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w:t>
      </w:r>
      <w:r>
        <w:rPr>
          <w:rFonts w:asciiTheme="minorEastAsia" w:hAnsiTheme="minorEastAsia" w:cs="Times New Roman" w:hint="eastAsia"/>
          <w:bCs/>
          <w:sz w:val="24"/>
          <w:szCs w:val="24"/>
        </w:rPr>
        <w:lastRenderedPageBreak/>
        <w:t>向他人泄露，但依法向监管机构、司法机关及审计、法律等外部专业顾问提供的除外；</w:t>
      </w:r>
    </w:p>
    <w:p w14:paraId="1A86625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（13）按《基金合同》的约定确定基金收益分配方案，及时向基金份额持有人分配基金收益；</w:t>
      </w:r>
    </w:p>
    <w:p w14:paraId="3077215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65478F0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546D9C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（16）按规定保存基金财产管理业务活动的会计账册、报表、记录和其他相关资料，保存期限不低于法律法规规定的最低期限；</w:t>
      </w:r>
    </w:p>
    <w:p w14:paraId="0A1CB5A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A70A64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1EA79B8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1F066A8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54327B4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FAFA39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0023A11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r>
        <w:rPr>
          <w:rFonts w:asciiTheme="minorEastAsia" w:hAnsiTheme="minorEastAsia" w:cs="Times New Roman" w:hint="eastAsia"/>
          <w:bCs/>
          <w:sz w:val="24"/>
          <w:szCs w:val="24"/>
        </w:rPr>
        <w:tab/>
      </w:r>
    </w:p>
    <w:p w14:paraId="71E6A80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38C9A7E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2B3B458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（26）建立并保存基金份额持有人名册；</w:t>
      </w:r>
    </w:p>
    <w:p w14:paraId="1BE7022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0849FE7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w:t>
      </w:r>
      <w:r>
        <w:rPr>
          <w:rFonts w:asciiTheme="minorEastAsia" w:hAnsiTheme="minorEastAsia" w:cs="Times New Roman" w:hint="eastAsia"/>
          <w:bCs/>
          <w:sz w:val="24"/>
          <w:szCs w:val="24"/>
        </w:rPr>
        <w:tab/>
        <w:t>基金托管人的权利与义务</w:t>
      </w:r>
    </w:p>
    <w:p w14:paraId="19B3D77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235E184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w:t>
      </w:r>
      <w:proofErr w:type="gramStart"/>
      <w:r>
        <w:rPr>
          <w:rFonts w:asciiTheme="minorEastAsia" w:hAnsiTheme="minorEastAsia" w:cs="Times New Roman" w:hint="eastAsia"/>
          <w:bCs/>
          <w:sz w:val="24"/>
          <w:szCs w:val="24"/>
        </w:rPr>
        <w:t>律法规</w:t>
      </w:r>
      <w:proofErr w:type="gramEnd"/>
      <w:r>
        <w:rPr>
          <w:rFonts w:asciiTheme="minorEastAsia" w:hAnsiTheme="minorEastAsia" w:cs="Times New Roman" w:hint="eastAsia"/>
          <w:bCs/>
          <w:sz w:val="24"/>
          <w:szCs w:val="24"/>
        </w:rPr>
        <w:t>和《基金合同》的规定安全保管基金财产；</w:t>
      </w:r>
    </w:p>
    <w:p w14:paraId="6BD6DF3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2D3D54D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4ED51B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（4）根据相关市场规则，为基金开设托管账户、证券账户及其他投资所需账户，为基金办理证券、期货交易资金清算；</w:t>
      </w:r>
    </w:p>
    <w:p w14:paraId="3F64B27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152083E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1B70557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3F8B59F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6007719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189D4FF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610E98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1DCC2F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7D30DB3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5656CA7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（6）按规定开设基金财产的托管账户和证券账户等投资所需账户，按照《基金合同》、《托管协议》的约定，根据基金管理人的投资指令，及时办理清算、交割事宜；</w:t>
      </w:r>
    </w:p>
    <w:p w14:paraId="5AA2DA7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34A4559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（8）复核、审查基金管理人计算的基金资产净值、基金份额净值、基金份额申购、赎回价格；</w:t>
      </w:r>
    </w:p>
    <w:p w14:paraId="1F74181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43CDC1F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797DC4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（11）保存基金托管业务活动的记录、账册、报表和其他相关资料不低于法律法规规定的最低期限；</w:t>
      </w:r>
    </w:p>
    <w:p w14:paraId="27E97F2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（12）从基金管理人或其委托的登记机构处接收并保存基金份额持有人名册；</w:t>
      </w:r>
    </w:p>
    <w:p w14:paraId="43C0F22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5C17D32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190D915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388C585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（16）按照法律法规和《基金合同》及《托管协议》的规定监督基金管理人的投资运作；</w:t>
      </w:r>
    </w:p>
    <w:p w14:paraId="7B26F1B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201455C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（18）面临解散、依法被撤销或者被依法宣告破产时，及时报告中国证监会，并通知基金管理人；</w:t>
      </w:r>
    </w:p>
    <w:p w14:paraId="472B414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（19）因违反《基金合同》及《托管协议》导致基金财产损失时，应承担赔偿责任，其赔偿责任不因其退任而免除；</w:t>
      </w:r>
    </w:p>
    <w:p w14:paraId="617525E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663BDD3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21A2801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7217D40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（三）基金份额持有人的权利与义务</w:t>
      </w:r>
    </w:p>
    <w:p w14:paraId="172E182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份额的行为即视为对《基金合同》的承认和接受，基金投资者</w:t>
      </w:r>
      <w:proofErr w:type="gramStart"/>
      <w:r>
        <w:rPr>
          <w:rFonts w:asciiTheme="minorEastAsia" w:hAnsiTheme="minorEastAsia" w:cs="Times New Roman" w:hint="eastAsia"/>
          <w:bCs/>
          <w:sz w:val="24"/>
          <w:szCs w:val="24"/>
        </w:rPr>
        <w:t>自依据</w:t>
      </w:r>
      <w:proofErr w:type="gramEnd"/>
      <w:r>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E61D46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除法律法规另有规定或基金合同另有约定外，同一类别每份基金份额具有同等的合法权益。</w:t>
      </w:r>
    </w:p>
    <w:p w14:paraId="6A1E68C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2BA59F3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0BD8BD9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14ED484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（3）依照法律及基金合同的约定转让或者申请赎回其持有的基金份额；</w:t>
      </w:r>
    </w:p>
    <w:p w14:paraId="6DFBB00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6B9BDDC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5597AC7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36BFA88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71B1C47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4BCC1A7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702061C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2555117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4B8C2FB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14:paraId="5C0E5FE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2E813EF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（4）交纳基金认购、申购款项及法律法规和《基金合同》所规定的费用；</w:t>
      </w:r>
    </w:p>
    <w:p w14:paraId="2F5A3A3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3379173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477B954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6B19D26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58A89F1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bCs/>
          <w:sz w:val="24"/>
          <w:szCs w:val="24"/>
        </w:rPr>
        <w:t>（</w:t>
      </w:r>
      <w:r>
        <w:rPr>
          <w:rFonts w:asciiTheme="minorEastAsia" w:hAnsiTheme="minorEastAsia" w:cs="Times New Roman" w:hint="eastAsia"/>
          <w:bCs/>
          <w:sz w:val="24"/>
          <w:szCs w:val="24"/>
        </w:rPr>
        <w:t>9）遵守基金管理人、基金托管人、销售机构和登记机构的相关交易及业务规则；</w:t>
      </w:r>
    </w:p>
    <w:p w14:paraId="57EB221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（10）提供基金管理人和监管机构依法要求提供的信息，以及不时的更新和补充，并保证其真实性；</w:t>
      </w:r>
    </w:p>
    <w:p w14:paraId="7288DC0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Pr>
          <w:rFonts w:asciiTheme="minorEastAsia" w:hAnsiTheme="minorEastAsia" w:cs="Times New Roman"/>
          <w:bCs/>
          <w:sz w:val="24"/>
          <w:szCs w:val="24"/>
        </w:rPr>
        <w:t>11</w:t>
      </w:r>
      <w:r>
        <w:rPr>
          <w:rFonts w:asciiTheme="minorEastAsia" w:hAnsiTheme="minorEastAsia" w:cs="Times New Roman" w:hint="eastAsia"/>
          <w:bCs/>
          <w:sz w:val="24"/>
          <w:szCs w:val="24"/>
        </w:rPr>
        <w:t>）法律法规及中国证监会规定的和《基金合同》约定的其他义务。</w:t>
      </w:r>
    </w:p>
    <w:p w14:paraId="076DA71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二、基金份额持有人大会召集、议事及表决的程序和规则</w:t>
      </w:r>
    </w:p>
    <w:p w14:paraId="14AF561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2586E0E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w:t>
      </w:r>
      <w:proofErr w:type="gramStart"/>
      <w:r>
        <w:rPr>
          <w:rFonts w:asciiTheme="minorEastAsia" w:hAnsiTheme="minorEastAsia" w:cs="Times New Roman" w:hint="eastAsia"/>
          <w:bCs/>
          <w:sz w:val="24"/>
          <w:szCs w:val="24"/>
        </w:rPr>
        <w:t>基金基金</w:t>
      </w:r>
      <w:proofErr w:type="gramEnd"/>
      <w:r>
        <w:rPr>
          <w:rFonts w:asciiTheme="minorEastAsia" w:hAnsiTheme="minorEastAsia" w:cs="Times New Roman" w:hint="eastAsia"/>
          <w:bCs/>
          <w:sz w:val="24"/>
          <w:szCs w:val="24"/>
        </w:rPr>
        <w:t>份额持有人大会不设立日常机构。</w:t>
      </w:r>
    </w:p>
    <w:p w14:paraId="426E3C3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1A088BA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1、除法律法规、中国证监会另有规定或基金合同另有约定的以外，当出现或需要决定下列事由之一的，应当召开基金份额持有人大会：</w:t>
      </w:r>
    </w:p>
    <w:p w14:paraId="54E1792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w:t>
      </w:r>
    </w:p>
    <w:p w14:paraId="68F29D7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3E8F000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0F0199D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4B77798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（5）调整基金管理人、基金托管人的报酬标准或提高销售服务费率；</w:t>
      </w:r>
    </w:p>
    <w:p w14:paraId="417E71F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2AE6A12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6CC0B37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（8）变更基金投资目标、范围或策略；</w:t>
      </w:r>
    </w:p>
    <w:p w14:paraId="37B126A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2224D9D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7AC4F82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71709FB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08AD496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7AE6380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6D01550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（1）法律法规要求增加的基金费用的收取；</w:t>
      </w:r>
    </w:p>
    <w:p w14:paraId="6728467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（2）在法律法规和《基金合同》规定的范围内调整本基金的申购费率、调低赎回费率、调低销售服务费率或变更收费方式；</w:t>
      </w:r>
    </w:p>
    <w:p w14:paraId="0F23F10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w:t>
      </w:r>
      <w:proofErr w:type="gramStart"/>
      <w:r>
        <w:rPr>
          <w:rFonts w:asciiTheme="minorEastAsia" w:hAnsiTheme="minorEastAsia" w:cs="Times New Roman" w:hint="eastAsia"/>
          <w:bCs/>
          <w:sz w:val="24"/>
          <w:szCs w:val="24"/>
        </w:rPr>
        <w:t>因相应</w:t>
      </w:r>
      <w:proofErr w:type="gramEnd"/>
      <w:r>
        <w:rPr>
          <w:rFonts w:asciiTheme="minorEastAsia" w:hAnsiTheme="minorEastAsia" w:cs="Times New Roman" w:hint="eastAsia"/>
          <w:bCs/>
          <w:sz w:val="24"/>
          <w:szCs w:val="24"/>
        </w:rPr>
        <w:t>的法律法规发生变动而应当对《基金合同》进行修改；</w:t>
      </w:r>
    </w:p>
    <w:p w14:paraId="70E1D94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2358724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（5）增加新的基金份额类别或者停止现有基金份额类别的销售等，或对基金份额分类办法及规则进行调整；</w:t>
      </w:r>
    </w:p>
    <w:p w14:paraId="1325A5C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（6）基金管理人、销售机构、登记机构调整有关基金认购、申购、赎回、转换、</w:t>
      </w:r>
      <w:proofErr w:type="gramStart"/>
      <w:r>
        <w:rPr>
          <w:rFonts w:asciiTheme="minorEastAsia" w:hAnsiTheme="minorEastAsia" w:cs="Times New Roman" w:hint="eastAsia"/>
          <w:bCs/>
          <w:sz w:val="24"/>
          <w:szCs w:val="24"/>
        </w:rPr>
        <w:t>非交易</w:t>
      </w:r>
      <w:proofErr w:type="gramEnd"/>
      <w:r>
        <w:rPr>
          <w:rFonts w:asciiTheme="minorEastAsia" w:hAnsiTheme="minorEastAsia" w:cs="Times New Roman" w:hint="eastAsia"/>
          <w:bCs/>
          <w:sz w:val="24"/>
          <w:szCs w:val="24"/>
        </w:rPr>
        <w:t>过户、转托管等业务的规则；</w:t>
      </w:r>
    </w:p>
    <w:p w14:paraId="26567B4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（7）在法律法规允许的情况下，且在对现有基金份额持有人利益无实质性不利影响的前提下，推出新业务或服务；</w:t>
      </w:r>
    </w:p>
    <w:p w14:paraId="5EC4D39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（8）按照法律法规和《基金合同》规定不需召开基金份额持有人大会的其他情形。</w:t>
      </w:r>
    </w:p>
    <w:p w14:paraId="3FF5746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467EC67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0890AE8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2、基金管理人未按规定召集或不能召集时，由基金托管人召集；</w:t>
      </w:r>
    </w:p>
    <w:p w14:paraId="31844F1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3BDA8A8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A015C3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13ACD5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37E57BD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79CDE2F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1、召开基金份额持有人大会，召集人应于会议召开前30日，依据有关规定进行公告。基金份额持有人大会通知应至少载明以下内容：</w:t>
      </w:r>
    </w:p>
    <w:p w14:paraId="6A8A00F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4B53E3B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w:t>
      </w:r>
      <w:proofErr w:type="gramStart"/>
      <w:r>
        <w:rPr>
          <w:rFonts w:asciiTheme="minorEastAsia" w:hAnsiTheme="minorEastAsia" w:cs="Times New Roman" w:hint="eastAsia"/>
          <w:bCs/>
          <w:sz w:val="24"/>
          <w:szCs w:val="24"/>
        </w:rPr>
        <w:t>拟审议</w:t>
      </w:r>
      <w:proofErr w:type="gramEnd"/>
      <w:r>
        <w:rPr>
          <w:rFonts w:asciiTheme="minorEastAsia" w:hAnsiTheme="minorEastAsia" w:cs="Times New Roman" w:hint="eastAsia"/>
          <w:bCs/>
          <w:sz w:val="24"/>
          <w:szCs w:val="24"/>
        </w:rPr>
        <w:t>的事项、议事程序和表决方式；</w:t>
      </w:r>
    </w:p>
    <w:p w14:paraId="6C53B11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61BE398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（4）授权委托证明的内容要求（包括但不限于代理人身份，代理权限和代理有效期限等）、送达时间和地点；</w:t>
      </w:r>
    </w:p>
    <w:p w14:paraId="59B2502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28B9CD0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7AFB256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0FD6286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5D7A37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Theme="minorEastAsia" w:hAnsiTheme="minorEastAsia" w:cs="Times New Roman" w:hint="eastAsia"/>
          <w:bCs/>
          <w:sz w:val="24"/>
          <w:szCs w:val="24"/>
        </w:rPr>
        <w:t>拒不派</w:t>
      </w:r>
      <w:proofErr w:type="gramEnd"/>
      <w:r>
        <w:rPr>
          <w:rFonts w:asciiTheme="minorEastAsia" w:hAnsiTheme="minorEastAsia" w:cs="Times New Roman" w:hint="eastAsia"/>
          <w:bCs/>
          <w:sz w:val="24"/>
          <w:szCs w:val="24"/>
        </w:rPr>
        <w:t>代表对表决意见的计票进行监督的，不影响表决意见的计票效力。</w:t>
      </w:r>
    </w:p>
    <w:p w14:paraId="5CA62B9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6DE2741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38CF12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10C014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4996BF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w:t>
      </w:r>
    </w:p>
    <w:p w14:paraId="3CCFA9B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05AD9F6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会议通知载明的其他方式在表决截止日以前送达至召集人指定的地址或系统。通讯开会应以书面方式或会议通知载明的其他方式进行表决。</w:t>
      </w:r>
    </w:p>
    <w:p w14:paraId="70C808E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450B713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63044F2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75E9AF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w:t>
      </w:r>
    </w:p>
    <w:p w14:paraId="436C986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381E8B1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6CBDB7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3、在法律法规和监管机关允许的情况下，本基金的基金份额持有人亦可采用其他非书面方式授权其代理人出席基金份额持有人大会并行使表决权，具体方式由会议召集人确定并在会议通知中列明。</w:t>
      </w:r>
    </w:p>
    <w:p w14:paraId="55AFF8D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具体方式由会议召集人确定并在会议通知中列明。</w:t>
      </w:r>
    </w:p>
    <w:p w14:paraId="5AEB27C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0A62C46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0A168B7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DF08C4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3043316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1CCBF91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581ECC2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308BD3B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Theme="minorEastAsia" w:hAnsiTheme="minorEastAsia" w:cs="Times New Roman" w:hint="eastAsia"/>
          <w:bCs/>
          <w:sz w:val="24"/>
          <w:szCs w:val="24"/>
        </w:rPr>
        <w:t>作出</w:t>
      </w:r>
      <w:proofErr w:type="gramEnd"/>
      <w:r>
        <w:rPr>
          <w:rFonts w:asciiTheme="minorEastAsia" w:hAnsiTheme="minorEastAsia" w:cs="Times New Roman" w:hint="eastAsia"/>
          <w:bCs/>
          <w:sz w:val="24"/>
          <w:szCs w:val="24"/>
        </w:rPr>
        <w:t>的决议的效力。</w:t>
      </w:r>
    </w:p>
    <w:p w14:paraId="7F4690A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w:t>
      </w:r>
      <w:proofErr w:type="gramStart"/>
      <w:r>
        <w:rPr>
          <w:rFonts w:asciiTheme="minorEastAsia" w:hAnsiTheme="minorEastAsia" w:cs="Times New Roman" w:hint="eastAsia"/>
          <w:bCs/>
          <w:sz w:val="24"/>
          <w:szCs w:val="24"/>
        </w:rPr>
        <w:t>册</w:t>
      </w:r>
      <w:proofErr w:type="gramEnd"/>
      <w:r>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51289A8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1DBD260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7C69A7F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7C5DE0D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3887427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380CB4A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A7B4F1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法律法规、中国证监会另有规定或基金合同另有约定的以外，转换基金运作方式、更换基金管理人或者基金托管人、终止《基金合同》、本基金与其他基金合并以特别决议通过方为有效。</w:t>
      </w:r>
    </w:p>
    <w:p w14:paraId="47954EA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45F7A38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48494EB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3F5E29D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1A78B32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237E2EB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Theme="minorEastAsia" w:hAnsiTheme="minorEastAsia" w:cs="Times New Roman" w:hint="eastAsia"/>
          <w:bCs/>
          <w:sz w:val="24"/>
          <w:szCs w:val="24"/>
        </w:rPr>
        <w:t>或大会</w:t>
      </w:r>
      <w:proofErr w:type="gramEnd"/>
      <w:r>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w:t>
      </w:r>
      <w:r>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3AD3283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51BB1BA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（3）如果会议主持人或基金份额持有人或代理人对于提交的表决结果有异议，可以在宣布表决结果后立即对所投票</w:t>
      </w:r>
      <w:proofErr w:type="gramStart"/>
      <w:r>
        <w:rPr>
          <w:rFonts w:asciiTheme="minorEastAsia" w:hAnsiTheme="minorEastAsia" w:cs="Times New Roman" w:hint="eastAsia"/>
          <w:bCs/>
          <w:sz w:val="24"/>
          <w:szCs w:val="24"/>
        </w:rPr>
        <w:t>数要求</w:t>
      </w:r>
      <w:proofErr w:type="gramEnd"/>
      <w:r>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1221973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2DB1D006"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198649E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Theme="minorEastAsia" w:hAnsiTheme="minorEastAsia" w:cs="Times New Roman" w:hint="eastAsia"/>
          <w:bCs/>
          <w:sz w:val="24"/>
          <w:szCs w:val="24"/>
        </w:rPr>
        <w:t>人拒派</w:t>
      </w:r>
      <w:proofErr w:type="gramEnd"/>
      <w:r>
        <w:rPr>
          <w:rFonts w:asciiTheme="minorEastAsia" w:hAnsiTheme="minorEastAsia" w:cs="Times New Roman" w:hint="eastAsia"/>
          <w:bCs/>
          <w:sz w:val="24"/>
          <w:szCs w:val="24"/>
        </w:rPr>
        <w:t>代表对表决意见的计票进行监督的，不影响计票和表决结果。</w:t>
      </w:r>
    </w:p>
    <w:p w14:paraId="4FCCEC1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038A26C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65FE031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5CC8A98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191C474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6CE85C1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（九）实施</w:t>
      </w: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期间基金份额持有人大会的特殊约定</w:t>
      </w:r>
    </w:p>
    <w:p w14:paraId="2920E52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若本基金</w:t>
      </w:r>
      <w:proofErr w:type="gramStart"/>
      <w:r>
        <w:rPr>
          <w:rFonts w:asciiTheme="minorEastAsia" w:hAnsiTheme="minorEastAsia" w:cs="Times New Roman" w:hint="eastAsia"/>
          <w:bCs/>
          <w:sz w:val="24"/>
          <w:szCs w:val="24"/>
        </w:rPr>
        <w:t>实施侧袋机制</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则相关</w:t>
      </w:r>
      <w:proofErr w:type="gramEnd"/>
      <w:r>
        <w:rPr>
          <w:rFonts w:asciiTheme="minorEastAsia" w:hAnsiTheme="minorEastAsia" w:cs="Times New Roman" w:hint="eastAsia"/>
          <w:bCs/>
          <w:sz w:val="24"/>
          <w:szCs w:val="24"/>
        </w:rPr>
        <w:t>基金份额或表决权的比例</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w:t>
      </w:r>
      <w:proofErr w:type="gramStart"/>
      <w:r>
        <w:rPr>
          <w:rFonts w:asciiTheme="minorEastAsia" w:hAnsiTheme="minorEastAsia" w:cs="Times New Roman" w:hint="eastAsia"/>
          <w:bCs/>
          <w:sz w:val="24"/>
          <w:szCs w:val="24"/>
        </w:rPr>
        <w:t>人和侧袋份额</w:t>
      </w:r>
      <w:proofErr w:type="gramEnd"/>
      <w:r>
        <w:rPr>
          <w:rFonts w:asciiTheme="minorEastAsia" w:hAnsiTheme="minorEastAsia" w:cs="Times New Roman" w:hint="eastAsia"/>
          <w:bCs/>
          <w:sz w:val="24"/>
          <w:szCs w:val="24"/>
        </w:rPr>
        <w:t>持有人分别持有或代表的基金份额或表决权符合该等比例，但</w:t>
      </w:r>
      <w:proofErr w:type="gramStart"/>
      <w:r>
        <w:rPr>
          <w:rFonts w:asciiTheme="minorEastAsia" w:hAnsiTheme="minorEastAsia" w:cs="Times New Roman" w:hint="eastAsia"/>
          <w:bCs/>
          <w:sz w:val="24"/>
          <w:szCs w:val="24"/>
        </w:rPr>
        <w:t>若相关</w:t>
      </w:r>
      <w:proofErr w:type="gramEnd"/>
      <w:r>
        <w:rPr>
          <w:rFonts w:asciiTheme="minorEastAsia" w:hAnsiTheme="minorEastAsia" w:cs="Times New Roman" w:hint="eastAsia"/>
          <w:bCs/>
          <w:sz w:val="24"/>
          <w:szCs w:val="24"/>
        </w:rPr>
        <w:lastRenderedPageBreak/>
        <w:t>基金份额持有人大会召集和审议事项不</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的，则仅</w:t>
      </w:r>
      <w:proofErr w:type="gramStart"/>
      <w:r>
        <w:rPr>
          <w:rFonts w:asciiTheme="minorEastAsia" w:hAnsiTheme="minorEastAsia" w:cs="Times New Roman" w:hint="eastAsia"/>
          <w:bCs/>
          <w:sz w:val="24"/>
          <w:szCs w:val="24"/>
        </w:rPr>
        <w:t>指主袋份额</w:t>
      </w:r>
      <w:proofErr w:type="gramEnd"/>
      <w:r>
        <w:rPr>
          <w:rFonts w:asciiTheme="minorEastAsia" w:hAnsiTheme="minorEastAsia" w:cs="Times New Roman" w:hint="eastAsia"/>
          <w:bCs/>
          <w:sz w:val="24"/>
          <w:szCs w:val="24"/>
        </w:rPr>
        <w:t>持有人持有或代表的基金份额或表决权符合该等比例：</w:t>
      </w:r>
    </w:p>
    <w:p w14:paraId="6E02B44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1、基金份额持有人行使提议权、召集权、提名权所需单独或合计代表相关基金份额10%以上（含10%）；</w:t>
      </w:r>
    </w:p>
    <w:p w14:paraId="78CB9FD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2、现场开会的到会者在权益登记日代表的基金份额不少于本基金在权益登记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36C12D51"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基金份额的二分之一（含二分之一）；</w:t>
      </w:r>
    </w:p>
    <w:p w14:paraId="2BF4474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w:t>
      </w:r>
      <w:proofErr w:type="gramStart"/>
      <w:r>
        <w:rPr>
          <w:rFonts w:asciiTheme="minorEastAsia" w:hAnsiTheme="minorEastAsia" w:cs="Times New Roman" w:hint="eastAsia"/>
          <w:bCs/>
          <w:sz w:val="24"/>
          <w:szCs w:val="24"/>
        </w:rPr>
        <w:t>若参</w:t>
      </w:r>
      <w:proofErr w:type="gramEnd"/>
      <w:r>
        <w:rPr>
          <w:rFonts w:asciiTheme="minorEastAsia" w:hAnsiTheme="minorEastAsia" w:cs="Times New Roman" w:hint="eastAsia"/>
          <w:bCs/>
          <w:sz w:val="24"/>
          <w:szCs w:val="24"/>
        </w:rPr>
        <w:t>与基金份额持有人大会投票的基金份额持有人所持有的基金份额小于在权益登记</w:t>
      </w:r>
      <w:proofErr w:type="gramStart"/>
      <w:r>
        <w:rPr>
          <w:rFonts w:asciiTheme="minorEastAsia" w:hAnsiTheme="minorEastAsia" w:cs="Times New Roman" w:hint="eastAsia"/>
          <w:bCs/>
          <w:sz w:val="24"/>
          <w:szCs w:val="24"/>
        </w:rPr>
        <w:t>日相关</w:t>
      </w:r>
      <w:proofErr w:type="gramEnd"/>
      <w:r>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55F5A3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5、现场开会由出席大会的基金份额持有人和代理人所持表决权的二分之一以上（含二分之一）选举产生一名基金份额持有人作为该次基金份额持有人大会的主持人；</w:t>
      </w:r>
    </w:p>
    <w:p w14:paraId="4615C22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4BC5626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6E5BD66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实施期间，基金份额持有人大会审议事项</w:t>
      </w:r>
      <w:proofErr w:type="gramStart"/>
      <w:r>
        <w:rPr>
          <w:rFonts w:asciiTheme="minorEastAsia" w:hAnsiTheme="minorEastAsia" w:cs="Times New Roman" w:hint="eastAsia"/>
          <w:bCs/>
          <w:sz w:val="24"/>
          <w:szCs w:val="24"/>
        </w:rPr>
        <w:t>涉及主袋账户</w:t>
      </w:r>
      <w:proofErr w:type="gramEnd"/>
      <w:r>
        <w:rPr>
          <w:rFonts w:asciiTheme="minorEastAsia" w:hAnsiTheme="minorEastAsia" w:cs="Times New Roman" w:hint="eastAsia"/>
          <w:bCs/>
          <w:sz w:val="24"/>
          <w:szCs w:val="24"/>
        </w:rPr>
        <w:t>和</w:t>
      </w:r>
      <w:proofErr w:type="gramStart"/>
      <w:r>
        <w:rPr>
          <w:rFonts w:asciiTheme="minorEastAsia" w:hAnsiTheme="minorEastAsia" w:cs="Times New Roman" w:hint="eastAsia"/>
          <w:bCs/>
          <w:sz w:val="24"/>
          <w:szCs w:val="24"/>
        </w:rPr>
        <w:t>侧袋</w:t>
      </w:r>
      <w:proofErr w:type="gramEnd"/>
      <w:r>
        <w:rPr>
          <w:rFonts w:asciiTheme="minorEastAsia" w:hAnsiTheme="minorEastAsia" w:cs="Times New Roman" w:hint="eastAsia"/>
          <w:bCs/>
          <w:sz w:val="24"/>
          <w:szCs w:val="24"/>
        </w:rPr>
        <w:t>账户的，应分别</w:t>
      </w:r>
      <w:proofErr w:type="gramStart"/>
      <w:r>
        <w:rPr>
          <w:rFonts w:asciiTheme="minorEastAsia" w:hAnsiTheme="minorEastAsia" w:cs="Times New Roman" w:hint="eastAsia"/>
          <w:bCs/>
          <w:sz w:val="24"/>
          <w:szCs w:val="24"/>
        </w:rPr>
        <w:t>由主袋账户</w:t>
      </w:r>
      <w:proofErr w:type="gramEnd"/>
      <w:r>
        <w:rPr>
          <w:rFonts w:asciiTheme="minorEastAsia" w:hAnsiTheme="minorEastAsia" w:cs="Times New Roman" w:hint="eastAsia"/>
          <w:bCs/>
          <w:sz w:val="24"/>
          <w:szCs w:val="24"/>
        </w:rPr>
        <w:t>、</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的基金份额持有人进行表决，同</w:t>
      </w:r>
      <w:proofErr w:type="gramStart"/>
      <w:r>
        <w:rPr>
          <w:rFonts w:asciiTheme="minorEastAsia" w:hAnsiTheme="minorEastAsia" w:cs="Times New Roman" w:hint="eastAsia"/>
          <w:bCs/>
          <w:sz w:val="24"/>
          <w:szCs w:val="24"/>
        </w:rPr>
        <w:t>一主侧袋账户</w:t>
      </w:r>
      <w:proofErr w:type="gramEnd"/>
      <w:r>
        <w:rPr>
          <w:rFonts w:asciiTheme="minorEastAsia" w:hAnsiTheme="minorEastAsia" w:cs="Times New Roman" w:hint="eastAsia"/>
          <w:bCs/>
          <w:sz w:val="24"/>
          <w:szCs w:val="24"/>
        </w:rPr>
        <w:t>内的每份基金份额具有平等的表决权。表决事项未</w:t>
      </w:r>
      <w:proofErr w:type="gramStart"/>
      <w:r>
        <w:rPr>
          <w:rFonts w:asciiTheme="minorEastAsia" w:hAnsiTheme="minorEastAsia" w:cs="Times New Roman" w:hint="eastAsia"/>
          <w:bCs/>
          <w:sz w:val="24"/>
          <w:szCs w:val="24"/>
        </w:rPr>
        <w:t>涉及侧袋账户</w:t>
      </w:r>
      <w:proofErr w:type="gramEnd"/>
      <w:r>
        <w:rPr>
          <w:rFonts w:asciiTheme="minorEastAsia" w:hAnsiTheme="minorEastAsia" w:cs="Times New Roman" w:hint="eastAsia"/>
          <w:bCs/>
          <w:sz w:val="24"/>
          <w:szCs w:val="24"/>
        </w:rPr>
        <w:t>的，</w:t>
      </w:r>
      <w:proofErr w:type="gramStart"/>
      <w:r>
        <w:rPr>
          <w:rFonts w:asciiTheme="minorEastAsia" w:hAnsiTheme="minorEastAsia" w:cs="Times New Roman" w:hint="eastAsia"/>
          <w:bCs/>
          <w:sz w:val="24"/>
          <w:szCs w:val="24"/>
        </w:rPr>
        <w:t>侧袋账户</w:t>
      </w:r>
      <w:proofErr w:type="gramEnd"/>
      <w:r>
        <w:rPr>
          <w:rFonts w:asciiTheme="minorEastAsia" w:hAnsiTheme="minorEastAsia" w:cs="Times New Roman" w:hint="eastAsia"/>
          <w:bCs/>
          <w:sz w:val="24"/>
          <w:szCs w:val="24"/>
        </w:rPr>
        <w:t>份额无表决权。</w:t>
      </w:r>
    </w:p>
    <w:p w14:paraId="543D7CA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proofErr w:type="gramStart"/>
      <w:r>
        <w:rPr>
          <w:rFonts w:asciiTheme="minorEastAsia" w:hAnsiTheme="minorEastAsia" w:cs="Times New Roman" w:hint="eastAsia"/>
          <w:bCs/>
          <w:sz w:val="24"/>
          <w:szCs w:val="24"/>
        </w:rPr>
        <w:t>侧袋机制</w:t>
      </w:r>
      <w:proofErr w:type="gramEnd"/>
      <w:r>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55E49625"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（十）本部</w:t>
      </w:r>
      <w:proofErr w:type="gramStart"/>
      <w:r>
        <w:rPr>
          <w:rFonts w:asciiTheme="minorEastAsia" w:hAnsiTheme="minorEastAsia" w:cs="Times New Roman" w:hint="eastAsia"/>
          <w:bCs/>
          <w:sz w:val="24"/>
          <w:szCs w:val="24"/>
        </w:rPr>
        <w:t>分关于</w:t>
      </w:r>
      <w:proofErr w:type="gramEnd"/>
      <w:r>
        <w:rPr>
          <w:rFonts w:asciiTheme="minorEastAsia" w:hAnsiTheme="minorEastAsia" w:cs="Times New Roman" w:hint="eastAsia"/>
          <w:bCs/>
          <w:sz w:val="24"/>
          <w:szCs w:val="24"/>
        </w:rPr>
        <w:t>基金份额持有人大会召开事由、召开条件、议事程序、表决条件等规定，凡是直接引用法律法规或监管规则的部分，如将来法律法规或监</w:t>
      </w:r>
      <w:r>
        <w:rPr>
          <w:rFonts w:asciiTheme="minorEastAsia" w:hAnsiTheme="minorEastAsia" w:cs="Times New Roman" w:hint="eastAsia"/>
          <w:bCs/>
          <w:sz w:val="24"/>
          <w:szCs w:val="24"/>
        </w:rPr>
        <w:lastRenderedPageBreak/>
        <w:t>管规则修改导致相关内容被取消或变更的，基金管理人提前公告后，可直接对本部分内容进行修改和调整，无需召开基金份额持有人大会审议。</w:t>
      </w:r>
    </w:p>
    <w:p w14:paraId="3D60E41B"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三、基金合同解除和终止的事由、程序以及基金财产清算方式</w:t>
      </w:r>
    </w:p>
    <w:p w14:paraId="491BB16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4671B53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Pr>
          <w:rFonts w:asciiTheme="minorEastAsia" w:hAnsiTheme="minorEastAsia" w:cs="Times New Roman" w:hint="eastAsia"/>
          <w:bCs/>
          <w:sz w:val="24"/>
          <w:szCs w:val="24"/>
        </w:rPr>
        <w:t>开基金</w:t>
      </w:r>
      <w:proofErr w:type="gramEnd"/>
      <w:r>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13415E3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2、关于《基金合同》变更的基金份额持有人大会决议自表决通过之日起生效，并</w:t>
      </w:r>
      <w:proofErr w:type="gramStart"/>
      <w:r>
        <w:rPr>
          <w:rFonts w:asciiTheme="minorEastAsia" w:hAnsiTheme="minorEastAsia" w:cs="Times New Roman" w:hint="eastAsia"/>
          <w:bCs/>
          <w:sz w:val="24"/>
          <w:szCs w:val="24"/>
        </w:rPr>
        <w:t>自决议</w:t>
      </w:r>
      <w:proofErr w:type="gramEnd"/>
      <w:r>
        <w:rPr>
          <w:rFonts w:asciiTheme="minorEastAsia" w:hAnsiTheme="minorEastAsia" w:cs="Times New Roman" w:hint="eastAsia"/>
          <w:bCs/>
          <w:sz w:val="24"/>
          <w:szCs w:val="24"/>
        </w:rPr>
        <w:t>生效后依照《信息披露办法》的有关规定在规定媒介公告。</w:t>
      </w:r>
    </w:p>
    <w:p w14:paraId="4DC9158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364C1EA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有下列情形之一的，经履行相关程序后，《基金合同》应当终止：</w:t>
      </w:r>
    </w:p>
    <w:p w14:paraId="213FFBF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2EB2787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0FC4547C"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79E9D80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1B12AE7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36BAC33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1、基金财产清算小组：自出现《基金合同》终止事由之日起30个工作日内成立清算小组，基金管理人或临时基金管理人组织基金财产清算小组并在中国证监会的监督下进行基金清算。</w:t>
      </w:r>
    </w:p>
    <w:p w14:paraId="35E1297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19FFC0ED"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0398F4A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1DEE791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60A9548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5B1DB190"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lastRenderedPageBreak/>
        <w:t>（3）对基金财产进行估值和变现；</w:t>
      </w:r>
    </w:p>
    <w:p w14:paraId="1D31C35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191EEAB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（5）聘请会计师事务所对清算报告进行外部审计，聘请律师事务所对清算报告出具法律意见书；</w:t>
      </w:r>
    </w:p>
    <w:p w14:paraId="52205F94"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3EFF8177"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6B167DC2"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5、基金财产清算的期限为6个月，但因本基金所持证券的流动性受到限制而不能及时变现的，清算期限可相应顺延。</w:t>
      </w:r>
    </w:p>
    <w:p w14:paraId="58E358E9"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（四）清算费用</w:t>
      </w:r>
    </w:p>
    <w:p w14:paraId="24D6CFF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5FF51118"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（五）基金财产清算剩余资产的分配</w:t>
      </w:r>
    </w:p>
    <w:p w14:paraId="579DA1C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55553EBE"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（六）基金财产清算的公告</w:t>
      </w:r>
    </w:p>
    <w:p w14:paraId="4254CFDF"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清算过程中的有关重大事项须及时公告；基金财产清算报告</w:t>
      </w:r>
      <w:proofErr w:type="gramStart"/>
      <w:r>
        <w:rPr>
          <w:rFonts w:asciiTheme="minorEastAsia" w:hAnsiTheme="minorEastAsia" w:cs="Times New Roman" w:hint="eastAsia"/>
          <w:bCs/>
          <w:sz w:val="24"/>
          <w:szCs w:val="24"/>
        </w:rPr>
        <w:t>经符合</w:t>
      </w:r>
      <w:proofErr w:type="gramEnd"/>
      <w:r>
        <w:rPr>
          <w:rFonts w:asciiTheme="minorEastAsia" w:hAnsiTheme="minorEastAsia" w:cs="Times New Roman"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4AB7777A"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（七）基金财产清算账册及文件的保存</w:t>
      </w:r>
    </w:p>
    <w:p w14:paraId="7B6F5883" w14:textId="77777777" w:rsidR="004614AE" w:rsidRDefault="00000000">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基金财产清算账册及有关文件由基金托管人保存，保存期限不低于法律法规规定的最低期限。</w:t>
      </w:r>
    </w:p>
    <w:p w14:paraId="79A38795" w14:textId="77777777" w:rsidR="004614AE" w:rsidRDefault="00000000">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119551D9" w14:textId="77777777" w:rsidR="004614AE" w:rsidRDefault="00000000">
      <w:pPr>
        <w:pStyle w:val="1"/>
        <w:jc w:val="center"/>
        <w:rPr>
          <w:sz w:val="30"/>
          <w:szCs w:val="30"/>
        </w:rPr>
      </w:pPr>
      <w:bookmarkStart w:id="401" w:name="_Toc416264554"/>
      <w:bookmarkStart w:id="402" w:name="_Toc68266307"/>
      <w:bookmarkStart w:id="403" w:name="_Toc263092327"/>
      <w:bookmarkStart w:id="404" w:name="_Toc214873614"/>
      <w:bookmarkStart w:id="405" w:name="_Toc119568476"/>
      <w:bookmarkStart w:id="406" w:name="_Toc12191"/>
      <w:bookmarkStart w:id="407" w:name="_Toc27058"/>
      <w:bookmarkStart w:id="408" w:name="_Toc28549"/>
      <w:bookmarkStart w:id="409" w:name="_Toc79392641"/>
      <w:bookmarkStart w:id="410" w:name="_Toc8710"/>
      <w:bookmarkStart w:id="411" w:name="_Toc13398"/>
      <w:bookmarkStart w:id="412" w:name="_Toc9708"/>
      <w:bookmarkStart w:id="413" w:name="_Toc30645"/>
      <w:bookmarkStart w:id="414" w:name="_Toc139991750"/>
      <w:bookmarkStart w:id="415" w:name="_Toc48649720"/>
      <w:bookmarkStart w:id="416" w:name="_Toc123112248"/>
      <w:bookmarkStart w:id="417" w:name="_Toc98560365"/>
      <w:bookmarkStart w:id="418" w:name="_Toc141703901"/>
      <w:bookmarkStart w:id="419" w:name="_Toc21240"/>
      <w:bookmarkStart w:id="420" w:name="_Toc23022"/>
      <w:bookmarkStart w:id="421" w:name="_Toc123102467"/>
      <w:bookmarkStart w:id="422" w:name="_Toc352229766"/>
      <w:bookmarkStart w:id="423" w:name="_Toc7367"/>
      <w:bookmarkStart w:id="424" w:name="_Toc23166"/>
      <w:bookmarkStart w:id="425" w:name="_Toc123051466"/>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hint="eastAsia"/>
          <w:sz w:val="30"/>
          <w:szCs w:val="30"/>
        </w:rPr>
        <w:lastRenderedPageBreak/>
        <w:t>第二十部分</w:t>
      </w:r>
      <w:r>
        <w:rPr>
          <w:sz w:val="30"/>
          <w:szCs w:val="30"/>
        </w:rPr>
        <w:t xml:space="preserve">  </w:t>
      </w:r>
      <w:r>
        <w:rPr>
          <w:rFonts w:hint="eastAsia"/>
          <w:sz w:val="30"/>
          <w:szCs w:val="30"/>
        </w:rPr>
        <w:t>基金托管协议的内容摘要</w:t>
      </w:r>
      <w:bookmarkEnd w:id="401"/>
      <w:bookmarkEnd w:id="402"/>
      <w:bookmarkEnd w:id="403"/>
      <w:bookmarkEnd w:id="404"/>
      <w:bookmarkEnd w:id="405"/>
    </w:p>
    <w:p w14:paraId="2871A8E8"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托管协议当事人</w:t>
      </w:r>
    </w:p>
    <w:p w14:paraId="2B69932A"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0C3F85A8"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7BF737DF"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56276EE8" w14:textId="77777777" w:rsidR="004614AE" w:rsidRDefault="00000000">
      <w:pPr>
        <w:adjustRightInd w:val="0"/>
        <w:snapToGrid w:val="0"/>
        <w:spacing w:line="360" w:lineRule="auto"/>
        <w:ind w:left="840" w:hanging="420"/>
        <w:rPr>
          <w:rFonts w:asciiTheme="minorEastAsia" w:hAnsiTheme="minorEastAsia" w:cs="Times New Roman"/>
          <w:kern w:val="0"/>
          <w:sz w:val="24"/>
          <w:szCs w:val="24"/>
        </w:rPr>
      </w:pPr>
      <w:r>
        <w:rPr>
          <w:rFonts w:asciiTheme="minorEastAsia" w:hAnsiTheme="minorEastAsia" w:cs="Arial" w:hint="eastAsia"/>
          <w:kern w:val="0"/>
          <w:sz w:val="24"/>
          <w:szCs w:val="24"/>
        </w:rPr>
        <w:t>办公地址：广东省</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p>
    <w:p w14:paraId="41D68EBA"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法定代表人：杨小舟</w:t>
      </w:r>
    </w:p>
    <w:p w14:paraId="5F2E443E"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成立时间：2016年1月25日</w:t>
      </w:r>
      <w:r>
        <w:rPr>
          <w:rFonts w:asciiTheme="minorEastAsia" w:hAnsiTheme="minorEastAsia" w:cs="Arial" w:hint="eastAsia"/>
          <w:kern w:val="0"/>
          <w:sz w:val="24"/>
          <w:szCs w:val="24"/>
        </w:rPr>
        <w:tab/>
      </w:r>
    </w:p>
    <w:p w14:paraId="0CFCF417"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批准设立机关：中国证监会</w:t>
      </w:r>
    </w:p>
    <w:p w14:paraId="5F2CC99B"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批准设立文号：证监许可【2015】3118号</w:t>
      </w:r>
    </w:p>
    <w:p w14:paraId="543F2270"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经营范围：基金销售;基金募集;特定客户资产管理业务以及中国证监会许可的其他业务;资产管理（不含许可审批项目）</w:t>
      </w:r>
    </w:p>
    <w:p w14:paraId="15190871"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7C65A426"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6257427C"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489E727A" w14:textId="77777777" w:rsidR="004614AE" w:rsidRDefault="00000000">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019A8D96"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名称：国泰君安证券股份有限公司</w:t>
      </w:r>
    </w:p>
    <w:p w14:paraId="2136701D"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住所：中国（上海）自由贸易试验区商城路618号</w:t>
      </w:r>
    </w:p>
    <w:p w14:paraId="4077B9FD"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办公地址：上海市静安区新闸路669号19层</w:t>
      </w:r>
    </w:p>
    <w:p w14:paraId="4C26FFC1"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法定代表人：贺青</w:t>
      </w:r>
    </w:p>
    <w:p w14:paraId="0F2E735F"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成立时间：1999年8月18日</w:t>
      </w:r>
    </w:p>
    <w:p w14:paraId="040CB857"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批准设立机关：中国证监会</w:t>
      </w:r>
    </w:p>
    <w:p w14:paraId="77089740"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批准设立文号：证监机构字[1999]77号</w:t>
      </w:r>
    </w:p>
    <w:p w14:paraId="1F9F748D"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43471A44"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注册资本：890794.7万元人民币</w:t>
      </w:r>
    </w:p>
    <w:p w14:paraId="19C782C4"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15F04770"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基金托管业务批准文号：证监许可[2014]511号</w:t>
      </w:r>
    </w:p>
    <w:p w14:paraId="3DF149F0"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 xml:space="preserve">联系人：【丛艳】 </w:t>
      </w:r>
    </w:p>
    <w:p w14:paraId="6CAE4324" w14:textId="77777777" w:rsidR="004614AE" w:rsidRDefault="00000000">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联系电话：021-38676666</w:t>
      </w:r>
    </w:p>
    <w:p w14:paraId="7452BCCD" w14:textId="77777777" w:rsidR="004614AE" w:rsidRDefault="004614AE">
      <w:pPr>
        <w:adjustRightInd w:val="0"/>
        <w:snapToGrid w:val="0"/>
        <w:spacing w:line="360" w:lineRule="auto"/>
        <w:ind w:firstLineChars="200" w:firstLine="480"/>
        <w:rPr>
          <w:rFonts w:ascii="宋体" w:hAnsi="宋体"/>
          <w:color w:val="000000"/>
          <w:sz w:val="24"/>
        </w:rPr>
      </w:pPr>
    </w:p>
    <w:p w14:paraId="25220713"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基金托管人对基金管理人的业务监督和核查</w:t>
      </w:r>
    </w:p>
    <w:p w14:paraId="25762E75"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（一）基金托管人对基金管理人的投资行为行使监督权</w:t>
      </w:r>
    </w:p>
    <w:p w14:paraId="41E10E1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1、基金托管人根据有关法律法规的规定及《基金合同》和本协议的约定，对基金的投资范围、投资对象进行监督。</w:t>
      </w:r>
    </w:p>
    <w:p w14:paraId="71E5EB5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为具有良好流动性的金融工具，包括国内依法发行上市的股票（含主板、创业板及其他经中国证监会允许投资的股票）、存托凭证、债券（包括国债、央行票据、金融债券、企业债券、公司债券、中期票据、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、超短期融资</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1C82F6F3"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本基金将根据法律法规的规定参与融资业务。</w:t>
      </w:r>
    </w:p>
    <w:p w14:paraId="6748898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64D154F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比例为60%-95%。每个交易日日终在扣除股指期货、国债期货、股票期权合约需缴纳的交易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4DB6504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663313A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2、基金托管人根据有关法律法规的规定及《基金合同》和本协议的约定，对基金投资、融资比例进行监督。</w:t>
      </w:r>
    </w:p>
    <w:p w14:paraId="5086CA29"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（1）根据法律法规的规定及《基金合同》的约定，本基金投资组合遵循以下投资限制：  </w:t>
      </w:r>
    </w:p>
    <w:p w14:paraId="5E065977"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1）股票资产占基金资产的比例为60%-95%；</w:t>
      </w:r>
    </w:p>
    <w:p w14:paraId="34A30A8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2）每个交易日日终在扣除国债期货、股指期货、股票期权合约需缴纳的交</w:t>
      </w:r>
      <w:r>
        <w:rPr>
          <w:rFonts w:asciiTheme="minorEastAsia" w:hAnsiTheme="minorEastAsia" w:cs="Arial" w:hint="eastAsia"/>
          <w:color w:val="000000"/>
          <w:sz w:val="24"/>
          <w:szCs w:val="24"/>
        </w:rPr>
        <w:lastRenderedPageBreak/>
        <w:t>易保证金后，本基金保持不低于基金资产净值5%的现金或者到期日在一年以内的政府债券，其中，现金不包括结算备付金、存出保证金、应收申购款等；</w:t>
      </w:r>
    </w:p>
    <w:p w14:paraId="6DD72D16"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p>
    <w:p w14:paraId="72E99B9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07035178"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5）本基金投资于同一原始权益人的各类资产支持证券的比例，不得超过基金资产净值的10%；</w:t>
      </w:r>
    </w:p>
    <w:p w14:paraId="25591913"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6）本基金持有的全部资产支持证券，其市值不得超过基金资产净值的20%；</w:t>
      </w:r>
    </w:p>
    <w:p w14:paraId="6623B562"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7）本基金持有的同一(指同一信用级别)资产支持证券的比例，不得超过该资产支持证券规模的10%；</w:t>
      </w:r>
    </w:p>
    <w:p w14:paraId="02F25562"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8）本基金管理人管理的全部证券投资基金投资于同一原始权益人的各类资产支持证券，不得超过其各类资产支持证券合计规模的10%；</w:t>
      </w:r>
    </w:p>
    <w:p w14:paraId="25C24FD8"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A7DD0A3"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37B9CC6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6DE3D81F"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12）本基金参与股指期货、国债期货交易依据下列标准建构组合：</w:t>
      </w:r>
    </w:p>
    <w:p w14:paraId="58E7006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3106E228"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701EEC99"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w:t>
      </w:r>
      <w:r>
        <w:rPr>
          <w:rFonts w:asciiTheme="minorEastAsia" w:hAnsiTheme="minorEastAsia" w:cs="Arial" w:hint="eastAsia"/>
          <w:color w:val="000000"/>
          <w:sz w:val="24"/>
          <w:szCs w:val="24"/>
        </w:rPr>
        <w:lastRenderedPageBreak/>
        <w:t>金持有的债券总市值的30%；</w:t>
      </w:r>
    </w:p>
    <w:p w14:paraId="6D67A22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3BC422F5"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6E7DEFC9"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7064E99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14）基金资产总值不得超过基金资产净值的140%；</w:t>
      </w:r>
    </w:p>
    <w:p w14:paraId="6A62B540"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67D03F46"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16）本基金主动投资于流动性受限资产的市值合计不得超过基金资产净值的15%；</w:t>
      </w:r>
    </w:p>
    <w:p w14:paraId="3B18574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2FD8A8B1"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17）本基金与私募类</w:t>
      </w:r>
      <w:proofErr w:type="gramStart"/>
      <w:r>
        <w:rPr>
          <w:rFonts w:asciiTheme="minorEastAsia" w:hAnsiTheme="minorEastAsia" w:cs="Arial" w:hint="eastAsia"/>
          <w:color w:val="000000"/>
          <w:sz w:val="24"/>
          <w:szCs w:val="24"/>
        </w:rPr>
        <w:t>证券资管产品</w:t>
      </w:r>
      <w:proofErr w:type="gramEnd"/>
      <w:r>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25CC51B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18）本基金参与股票期权交易的，需遵守下列投资比例限制：</w:t>
      </w:r>
    </w:p>
    <w:p w14:paraId="2A68856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①本基金因未平仓的期权合约支付和收取的权利金总额不得超过基金资产净值的10%；</w:t>
      </w:r>
    </w:p>
    <w:p w14:paraId="06D337D6"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7011B7A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③本基金未平仓的期权合约面值不得超过基金资产净值的20%。其中，合约</w:t>
      </w:r>
      <w:r>
        <w:rPr>
          <w:rFonts w:asciiTheme="minorEastAsia" w:hAnsiTheme="minorEastAsia" w:cs="Arial" w:hint="eastAsia"/>
          <w:color w:val="000000"/>
          <w:sz w:val="24"/>
          <w:szCs w:val="24"/>
        </w:rPr>
        <w:lastRenderedPageBreak/>
        <w:t>面值按照行权价乘以合约乘数计算；</w:t>
      </w:r>
    </w:p>
    <w:p w14:paraId="72C044C2"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19</w:t>
      </w:r>
      <w:r>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551AA94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20</w:t>
      </w:r>
      <w:r>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）本基金参与融资的，每个交易日日终，本基金持有的融资买入股票与其他有价证券市值之和，不得超过基金资产净值的95%；</w:t>
      </w:r>
    </w:p>
    <w:p w14:paraId="7ADE05A6"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21</w:t>
      </w:r>
      <w:r>
        <w:rPr>
          <w:rFonts w:asciiTheme="minorEastAsia" w:hAnsiTheme="minorEastAsia" w:cs="Arial" w:hint="eastAsia"/>
          <w:color w:val="000000"/>
          <w:sz w:val="24"/>
          <w:szCs w:val="24"/>
        </w:rPr>
        <w:t>）法律法规及中国证监会规定的和《基金合同》约定的其他投资限制。</w:t>
      </w:r>
    </w:p>
    <w:p w14:paraId="328BBC39"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除上述第2）、9）、13）、16）、17）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35C0A78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3AE8CC0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0FE8E3E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基金托管人依照上述规定对本基金的投资组合限制及调整期限进行监督。</w:t>
      </w:r>
    </w:p>
    <w:p w14:paraId="747C7600"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3、基金托管人根据有关法律、法规的规定及基金合同和本协议的约定，对基金投资禁止行为进行监督。基金财产不得用于下列投资或者活动。</w:t>
      </w:r>
    </w:p>
    <w:p w14:paraId="65C7D0B7"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（1）承销证券；</w:t>
      </w:r>
    </w:p>
    <w:p w14:paraId="3D9ED9E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（2）违反规定向他人贷款或者提供担保；</w:t>
      </w:r>
    </w:p>
    <w:p w14:paraId="121AD342"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（3）从事承担无限责任的投资；</w:t>
      </w:r>
    </w:p>
    <w:p w14:paraId="2A273803"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（4）买卖其他基金份额，但是中国证监会另有规定的除外；</w:t>
      </w:r>
    </w:p>
    <w:p w14:paraId="3D9C84EF"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（5）向基金管理人、基金托管人出资；</w:t>
      </w:r>
    </w:p>
    <w:p w14:paraId="38A4A75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（6）从事内幕交易、操纵证券交易价格及其他不正当的证券交易活动；</w:t>
      </w:r>
    </w:p>
    <w:p w14:paraId="1FB5226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（7）法律、行政法规和中国证监会规定禁止的其他活动。</w:t>
      </w:r>
    </w:p>
    <w:p w14:paraId="02F69DA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w:t>
      </w:r>
      <w:r>
        <w:rPr>
          <w:rFonts w:asciiTheme="minorEastAsia" w:hAnsiTheme="minorEastAsia" w:cs="Arial" w:hint="eastAsia"/>
          <w:color w:val="000000"/>
          <w:sz w:val="24"/>
          <w:szCs w:val="24"/>
        </w:rPr>
        <w:lastRenderedPageBreak/>
        <w:t>法规予以披露。重大关联交易应提交基金管理人董事会审议，并经过三分之二以上的独立董事通过。基金管理人董事会应至少每半年对关联交易事项进行审查。</w:t>
      </w:r>
    </w:p>
    <w:p w14:paraId="4A0B7C71"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35B1D44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4、基金托管人根据有关法律、法规规定及基金合同和本协议约定，对基金管理人参与银行间债券市场进行监督。</w:t>
      </w:r>
    </w:p>
    <w:p w14:paraId="022A188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23FC3110"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2】</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1CF2FEDF"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基金管理人应定期【（每半年）】和不定期对银行间市场现券及回购交易对手的名单进行更新。基金托管人在收到名单后【2】</w:t>
      </w:r>
      <w:proofErr w:type="gramStart"/>
      <w:r>
        <w:rPr>
          <w:rFonts w:asciiTheme="minorEastAsia" w:hAnsiTheme="minorEastAsia" w:cs="Arial" w:hint="eastAsia"/>
          <w:color w:val="000000"/>
          <w:sz w:val="24"/>
          <w:szCs w:val="24"/>
        </w:rPr>
        <w:t>个</w:t>
      </w:r>
      <w:proofErr w:type="gramEnd"/>
      <w:r>
        <w:rPr>
          <w:rFonts w:asciiTheme="minorEastAsia" w:hAnsiTheme="minorEastAsia" w:cs="Arial" w:hint="eastAsia"/>
          <w:color w:val="000000"/>
          <w:sz w:val="24"/>
          <w:szCs w:val="24"/>
        </w:rPr>
        <w:t>工作日内电话或书面回函确认，新名单自基金托管人确认当日生效。新名单生效前已与本次剔除的交易对手所进行但尚未结算的交易，仍应按照协议进行结算。</w:t>
      </w:r>
    </w:p>
    <w:p w14:paraId="3128632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基金管理人应当负责向相关责任人追偿。基金托管人不承担由此造成的任何法律责任及损失。</w:t>
      </w:r>
    </w:p>
    <w:p w14:paraId="75702368"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6A0B49F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5、基金托管人根据有关法律、法规的规定及基金合同和本协议的约定，对基金管理人选择存款银行进行监督。</w:t>
      </w:r>
    </w:p>
    <w:p w14:paraId="4E223677"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w:t>
      </w:r>
      <w:r>
        <w:rPr>
          <w:rFonts w:asciiTheme="minorEastAsia" w:hAnsiTheme="minorEastAsia" w:cs="Arial" w:hint="eastAsia"/>
          <w:color w:val="000000"/>
          <w:sz w:val="24"/>
          <w:szCs w:val="24"/>
        </w:rPr>
        <w:lastRenderedPageBreak/>
        <w:t>前提供的对手名单进行投资。基金管理人超越名单范围进行投资的，基金托管人应及时提醒基金管理人，但基金托管人不承担由此造成的任何损失和责任。</w:t>
      </w:r>
    </w:p>
    <w:p w14:paraId="11905EF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本基金投资银行存款应符合如下规定：</w:t>
      </w:r>
    </w:p>
    <w:p w14:paraId="6A987E4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773235DF"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5C49AD69"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118E89A9"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2443DD2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5A88FDCF"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6、基金托管人根据有关法律法规的规定及《基金合同》的约定，对基金管理人投资流通受限证券进行监督。</w:t>
      </w:r>
    </w:p>
    <w:p w14:paraId="547DCEB5"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96FCDC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Theme="minorEastAsia" w:hAnsiTheme="minorEastAsia" w:cs="Arial" w:hint="eastAsia"/>
          <w:color w:val="000000"/>
          <w:sz w:val="24"/>
          <w:szCs w:val="24"/>
        </w:rPr>
        <w:t>券</w:t>
      </w:r>
      <w:proofErr w:type="gramEnd"/>
      <w:r>
        <w:rPr>
          <w:rFonts w:asciiTheme="minorEastAsia" w:hAnsiTheme="minorEastAsia" w:cs="Arial" w:hint="eastAsia"/>
          <w:color w:val="000000"/>
          <w:sz w:val="24"/>
          <w:szCs w:val="24"/>
        </w:rPr>
        <w:t>等流通受限证券。本基金不投资有</w:t>
      </w:r>
      <w:proofErr w:type="gramStart"/>
      <w:r>
        <w:rPr>
          <w:rFonts w:asciiTheme="minorEastAsia" w:hAnsiTheme="minorEastAsia" w:cs="Arial" w:hint="eastAsia"/>
          <w:color w:val="000000"/>
          <w:sz w:val="24"/>
          <w:szCs w:val="24"/>
        </w:rPr>
        <w:t>锁定期但锁定</w:t>
      </w:r>
      <w:proofErr w:type="gramEnd"/>
      <w:r>
        <w:rPr>
          <w:rFonts w:asciiTheme="minorEastAsia" w:hAnsiTheme="minorEastAsia" w:cs="Arial" w:hint="eastAsia"/>
          <w:color w:val="000000"/>
          <w:sz w:val="24"/>
          <w:szCs w:val="24"/>
        </w:rPr>
        <w:t>期不明确的证券。</w:t>
      </w:r>
    </w:p>
    <w:p w14:paraId="5136CEF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本基金投资的流通受限证券限于可由中国证券登记结算有限责任公司或中</w:t>
      </w:r>
      <w:r>
        <w:rPr>
          <w:rFonts w:asciiTheme="minorEastAsia" w:hAnsiTheme="minorEastAsia" w:cs="Arial" w:hint="eastAsia"/>
          <w:color w:val="000000"/>
          <w:sz w:val="24"/>
          <w:szCs w:val="24"/>
        </w:rPr>
        <w:lastRenderedPageBreak/>
        <w:t>央国债登记结算有限责任公司、银行间市场清算所股份有限公司负责登记和存管，并可在证券交易所或全国银行间债券市场交易的证券。</w:t>
      </w:r>
    </w:p>
    <w:p w14:paraId="3EAFD5F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w:t>
      </w:r>
      <w:proofErr w:type="gramStart"/>
      <w:r>
        <w:rPr>
          <w:rFonts w:asciiTheme="minorEastAsia" w:hAnsiTheme="minorEastAsia" w:cs="Arial" w:hint="eastAsia"/>
          <w:color w:val="000000"/>
          <w:sz w:val="24"/>
          <w:szCs w:val="24"/>
        </w:rPr>
        <w:t>人原因</w:t>
      </w:r>
      <w:proofErr w:type="gramEnd"/>
      <w:r>
        <w:rPr>
          <w:rFonts w:asciiTheme="minorEastAsia" w:hAnsiTheme="minorEastAsia" w:cs="Arial" w:hint="eastAsia"/>
          <w:color w:val="000000"/>
          <w:sz w:val="24"/>
          <w:szCs w:val="24"/>
        </w:rPr>
        <w:t>产生的流通受限证券登记存管问题，造成基金托管人无法安全保管本基金资产的责任与损失，及因流通受限证券存管直接影响本基金安全的责任及损失，由基金管理人承担。</w:t>
      </w:r>
    </w:p>
    <w:p w14:paraId="7AB14471"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本基金投资流通受限证券，不得预付任何形式的保证金。</w:t>
      </w:r>
    </w:p>
    <w:p w14:paraId="7D9B94B7"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54A51F73"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Theme="minorEastAsia" w:hAnsiTheme="minorEastAsia" w:cs="Arial" w:hint="eastAsia"/>
          <w:color w:val="000000"/>
          <w:sz w:val="24"/>
          <w:szCs w:val="24"/>
        </w:rPr>
        <w:t>人原因</w:t>
      </w:r>
      <w:proofErr w:type="gramEnd"/>
      <w:r>
        <w:rPr>
          <w:rFonts w:asciiTheme="minorEastAsia" w:hAnsiTheme="minorEastAsia" w:cs="Arial" w:hint="eastAsia"/>
          <w:color w:val="000000"/>
          <w:sz w:val="24"/>
          <w:szCs w:val="24"/>
        </w:rPr>
        <w:t>导致本基金出现损失致使基金托管人承担连带赔偿责任的，基金管理人应赔偿基金托管人由此遭受的损失。</w:t>
      </w:r>
    </w:p>
    <w:p w14:paraId="5DB45910"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AC9B64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1）中国证监会批准发行非公开发行股票的批准文件。</w:t>
      </w:r>
    </w:p>
    <w:p w14:paraId="57634245"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2）非公开发行股票有关发行数量、发行价格、锁定期等发行资料。</w:t>
      </w:r>
    </w:p>
    <w:p w14:paraId="15F247F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3）非公开发行股票发行人与中国证券登记结算有限责任公司或中央国债登记结算有限责任公司签订的证券登记及服务协议。</w:t>
      </w:r>
    </w:p>
    <w:p w14:paraId="0AC025C7"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4）基金拟认购的数量、价格、总成本、账面价值。</w:t>
      </w:r>
    </w:p>
    <w:p w14:paraId="0876029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14:paraId="324EE0CE"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17131947"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（5）基金托管人根据有关规定有权对基金管理人进行以下事项监督：</w:t>
      </w:r>
    </w:p>
    <w:p w14:paraId="52BD757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1）本基金投资流通受限证券时的法律法规遵守情况。</w:t>
      </w:r>
    </w:p>
    <w:p w14:paraId="4950F4D5"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2）在基金投资流通受限证券管理工作方面有关制度、流动性风险处置预案的建立与完善情况。</w:t>
      </w:r>
    </w:p>
    <w:p w14:paraId="41CD609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3）有关比例限制的执行情况。</w:t>
      </w:r>
    </w:p>
    <w:p w14:paraId="7EFFC9E2"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4）信息披露情况。</w:t>
      </w:r>
    </w:p>
    <w:p w14:paraId="35F0F06B"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（6）相关法律法规对基金投资流通受限证券有新规定的，从其规定。</w:t>
      </w:r>
    </w:p>
    <w:p w14:paraId="77440286"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7、基金托管人根据有关法律、法规的规定及基金合同和本协议的约定，对基金管理人产品禁投池进行监督。</w:t>
      </w:r>
    </w:p>
    <w:p w14:paraId="0721BDB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向基金托管人提供符合法律、法规及行业标准的基金禁投池清单。基金托管人在收到名单后2个工作日内电话或回函确认收到该名单。基金管理人应定期和不定期对基金禁投池清单进行更新。基金托管人在收到清单后2个工作日内电话或书面回函确认，新清单自基金托管人确认当日生效。新清单生效</w:t>
      </w:r>
      <w:proofErr w:type="gramStart"/>
      <w:r>
        <w:rPr>
          <w:rFonts w:asciiTheme="minorEastAsia" w:hAnsiTheme="minorEastAsia" w:cs="Arial" w:hint="eastAsia"/>
          <w:color w:val="000000"/>
          <w:sz w:val="24"/>
          <w:szCs w:val="24"/>
        </w:rPr>
        <w:t>前基金</w:t>
      </w:r>
      <w:proofErr w:type="gramEnd"/>
      <w:r>
        <w:rPr>
          <w:rFonts w:asciiTheme="minorEastAsia" w:hAnsiTheme="minorEastAsia" w:cs="Arial" w:hint="eastAsia"/>
          <w:color w:val="000000"/>
          <w:sz w:val="24"/>
          <w:szCs w:val="24"/>
        </w:rPr>
        <w:t>托管人仍</w:t>
      </w:r>
      <w:proofErr w:type="gramStart"/>
      <w:r>
        <w:rPr>
          <w:rFonts w:asciiTheme="minorEastAsia" w:hAnsiTheme="minorEastAsia" w:cs="Arial" w:hint="eastAsia"/>
          <w:color w:val="000000"/>
          <w:sz w:val="24"/>
          <w:szCs w:val="24"/>
        </w:rPr>
        <w:t>按原禁投池</w:t>
      </w:r>
      <w:proofErr w:type="gramEnd"/>
      <w:r>
        <w:rPr>
          <w:rFonts w:asciiTheme="minorEastAsia" w:hAnsiTheme="minorEastAsia" w:cs="Arial" w:hint="eastAsia"/>
          <w:color w:val="000000"/>
          <w:sz w:val="24"/>
          <w:szCs w:val="24"/>
        </w:rPr>
        <w:t>清单进行监督。</w:t>
      </w:r>
    </w:p>
    <w:p w14:paraId="3478438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04C3DD1A"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6905EB5C"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14:paraId="23231C1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4FA4966"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若基金</w:t>
      </w:r>
      <w:proofErr w:type="gramEnd"/>
      <w:r>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w:t>
      </w:r>
    </w:p>
    <w:p w14:paraId="60DE7EC2"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52B1B4DD"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color w:val="000000"/>
          <w:sz w:val="24"/>
          <w:szCs w:val="24"/>
        </w:rPr>
        <w:t>（</w:t>
      </w:r>
      <w:r>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Theme="minorEastAsia" w:hAnsiTheme="minorEastAsia" w:cs="Arial" w:hint="eastAsia"/>
          <w:color w:val="000000"/>
          <w:sz w:val="24"/>
          <w:szCs w:val="24"/>
        </w:rPr>
        <w:t>启用侧袋机制</w:t>
      </w:r>
      <w:proofErr w:type="gramEnd"/>
      <w:r>
        <w:rPr>
          <w:rFonts w:asciiTheme="minorEastAsia" w:hAnsiTheme="minorEastAsia" w:cs="Arial" w:hint="eastAsia"/>
          <w:color w:val="000000"/>
          <w:sz w:val="24"/>
          <w:szCs w:val="24"/>
        </w:rPr>
        <w:t>，无需召开基金份额持有人大会审议。</w:t>
      </w:r>
    </w:p>
    <w:p w14:paraId="06745AB4"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侧袋机制</w:t>
      </w:r>
      <w:proofErr w:type="gramEnd"/>
      <w:r>
        <w:rPr>
          <w:rFonts w:asciiTheme="minorEastAsia" w:hAnsiTheme="minorEastAsia" w:cs="Arial" w:hint="eastAsia"/>
          <w:color w:val="000000"/>
          <w:sz w:val="24"/>
          <w:szCs w:val="24"/>
        </w:rPr>
        <w:t>实施期间，本基金的投资组合比例、投资策略、组合限制、业绩比较基准、风险收益特征等约定仅</w:t>
      </w:r>
      <w:proofErr w:type="gramStart"/>
      <w:r>
        <w:rPr>
          <w:rFonts w:asciiTheme="minorEastAsia" w:hAnsiTheme="minorEastAsia" w:cs="Arial" w:hint="eastAsia"/>
          <w:color w:val="000000"/>
          <w:sz w:val="24"/>
          <w:szCs w:val="24"/>
        </w:rPr>
        <w:t>适用于主袋账户</w:t>
      </w:r>
      <w:proofErr w:type="gramEnd"/>
      <w:r>
        <w:rPr>
          <w:rFonts w:asciiTheme="minorEastAsia" w:hAnsiTheme="minorEastAsia" w:cs="Arial" w:hint="eastAsia"/>
          <w:color w:val="000000"/>
          <w:sz w:val="24"/>
          <w:szCs w:val="24"/>
        </w:rPr>
        <w:t>。</w:t>
      </w:r>
    </w:p>
    <w:p w14:paraId="38C86BC1"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侧袋账户</w:t>
      </w:r>
      <w:proofErr w:type="gramEnd"/>
      <w:r>
        <w:rPr>
          <w:rFonts w:asciiTheme="minorEastAsia" w:hAnsiTheme="minorEastAsia" w:cs="Arial" w:hint="eastAsia"/>
          <w:color w:val="000000"/>
          <w:sz w:val="24"/>
          <w:szCs w:val="24"/>
        </w:rPr>
        <w:t>的实施条件、实施程序、运作安排（包括但不限于对基金赎回的影响、信息披露、费用列支等）、投资安排、特定资产的处置变现和支付等对投资者权益有重大影响的事项详见基金合同和招募说明书的规定。</w:t>
      </w:r>
    </w:p>
    <w:p w14:paraId="7BDAA613" w14:textId="77777777" w:rsidR="004614AE" w:rsidRDefault="00000000">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基金托管人依照相关法律法规的规定以及基金合同和招募说明书的约定，对侧</w:t>
      </w:r>
      <w:proofErr w:type="gramStart"/>
      <w:r>
        <w:rPr>
          <w:rFonts w:asciiTheme="minorEastAsia" w:hAnsiTheme="minorEastAsia" w:cs="Arial" w:hint="eastAsia"/>
          <w:color w:val="000000"/>
          <w:sz w:val="24"/>
          <w:szCs w:val="24"/>
        </w:rPr>
        <w:t>袋机制</w:t>
      </w:r>
      <w:proofErr w:type="gramEnd"/>
      <w:r>
        <w:rPr>
          <w:rFonts w:asciiTheme="minorEastAsia" w:hAnsiTheme="minorEastAsia" w:cs="Arial" w:hint="eastAsia"/>
          <w:color w:val="000000"/>
          <w:sz w:val="24"/>
          <w:szCs w:val="24"/>
        </w:rPr>
        <w:t xml:space="preserve">启用、特定资产处置和信息披露等方面进行复核和监督。  </w:t>
      </w:r>
    </w:p>
    <w:p w14:paraId="0E221460"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基金管理人对基金托管人的业务核查</w:t>
      </w:r>
    </w:p>
    <w:p w14:paraId="4C7468E3"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根据《基金法》及其他有关法规、《基金合同》和本协议规定，基金管理人对基金托管人履行托管职责的情况进行核查，核查事项包括但不限于基金托管人</w:t>
      </w:r>
      <w:r>
        <w:rPr>
          <w:rFonts w:ascii="宋体" w:hAnsi="宋体" w:hint="eastAsia"/>
          <w:sz w:val="24"/>
          <w:szCs w:val="24"/>
        </w:rPr>
        <w:lastRenderedPageBreak/>
        <w:t>是否安全保管基金财产、开立基金财产的银行存款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28E8A74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管理人核查托管财产的完整性和真实性，在规定时间内答复并改正。</w:t>
      </w:r>
    </w:p>
    <w:p w14:paraId="00662E55"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6B0C16B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49CF7DC3" w14:textId="77777777" w:rsidR="004614AE" w:rsidRDefault="004614AE">
      <w:pPr>
        <w:spacing w:line="360" w:lineRule="auto"/>
        <w:ind w:firstLineChars="200" w:firstLine="480"/>
        <w:rPr>
          <w:rFonts w:ascii="宋体" w:hAnsi="宋体"/>
          <w:sz w:val="24"/>
          <w:szCs w:val="24"/>
        </w:rPr>
      </w:pPr>
    </w:p>
    <w:p w14:paraId="381874A3"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基金财产的保管</w:t>
      </w:r>
    </w:p>
    <w:p w14:paraId="1D3F600B"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23543CC5"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1、基金托管人应安全保管基金财产，未经基金管理人的指令，不得自行运用、处分、分配基金的任何资产。</w:t>
      </w:r>
    </w:p>
    <w:p w14:paraId="71AC22F0"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2、基金财产应独立于基金管理人、基金托管人、证券经纪机构的固有财产。</w:t>
      </w:r>
    </w:p>
    <w:p w14:paraId="73C53510"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3、基金托管人按照规定开立基金财产的银行存款账户、证券账户、债券托管账户等投资所需账户。</w:t>
      </w:r>
    </w:p>
    <w:p w14:paraId="6F91ABF5"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4、基金托管人对所托管的不同基金财产分别设置账户，与基金托管人的其</w:t>
      </w:r>
      <w:r>
        <w:rPr>
          <w:rFonts w:ascii="宋体" w:hAnsi="宋体" w:hint="eastAsia"/>
          <w:sz w:val="24"/>
          <w:szCs w:val="24"/>
        </w:rPr>
        <w:lastRenderedPageBreak/>
        <w:t>他业务和其他基金的托管业务实行严格的分账管理，确保基金财产的完整和独立。</w:t>
      </w:r>
    </w:p>
    <w:p w14:paraId="427ECDAA"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15A4CFBF"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6、除依据法律法规和《基金合同》的规定外，基金托管人不得委托第三人托管基金财产。</w:t>
      </w:r>
    </w:p>
    <w:p w14:paraId="6EC295D2"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（二）基金募集资产的验证</w:t>
      </w:r>
    </w:p>
    <w:p w14:paraId="39FA856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5ADCEB2E"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募集期满之日起10日内，募集的基金份额总额、基金募集金额、基金份额持有人人数符合《基金法》、《运作办法》等有关规定后，由基金管理人聘请符合《中华人民共和国证券法》规定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14:paraId="68371BF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（三）基金的银行存款账户的开立和管理</w:t>
      </w:r>
    </w:p>
    <w:p w14:paraId="25391E9D"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1、基金托管人应负责本基金银行存款账户的开立和管理。</w:t>
      </w:r>
    </w:p>
    <w:p w14:paraId="1B5829E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2、基金托管人以本基金的名义在商业银行开立基金的银行存款账户，并根据中国人民银行规定计息。本基金的银行预留印鉴由基金托管</w:t>
      </w:r>
      <w:proofErr w:type="gramStart"/>
      <w:r>
        <w:rPr>
          <w:rFonts w:ascii="宋体" w:hAnsi="宋体" w:hint="eastAsia"/>
          <w:sz w:val="24"/>
          <w:szCs w:val="24"/>
        </w:rPr>
        <w:t>人制</w:t>
      </w:r>
      <w:proofErr w:type="gramEnd"/>
      <w:r>
        <w:rPr>
          <w:rFonts w:ascii="宋体" w:hAnsi="宋体" w:hint="eastAsia"/>
          <w:sz w:val="24"/>
          <w:szCs w:val="24"/>
        </w:rPr>
        <w:t>作、保管和使用。本基金的一切货币收支活动，包括但不限于投资、支付赎回金额、支付基金收益，均需通过本基金的银行存款账户进行。</w:t>
      </w:r>
    </w:p>
    <w:p w14:paraId="204B631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07257F1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4、基金托管人可以通过申请开通本基金银行账户的企业网上银行业务进行资金支付，并使用企业网上银行（简称“网银”）办理托管资产的资金结算汇划</w:t>
      </w:r>
      <w:r>
        <w:rPr>
          <w:rFonts w:ascii="宋体" w:hAnsi="宋体" w:hint="eastAsia"/>
          <w:sz w:val="24"/>
          <w:szCs w:val="24"/>
        </w:rPr>
        <w:lastRenderedPageBreak/>
        <w:t>业务。</w:t>
      </w:r>
    </w:p>
    <w:p w14:paraId="44885F8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5、基金银行存款账户的管理应符合法律、法规以及银行业监督管理机构的其他规定。</w:t>
      </w:r>
    </w:p>
    <w:p w14:paraId="3EC4B7C6"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（四）基金的证券交收账户和资金交收账户的开立和管理</w:t>
      </w:r>
    </w:p>
    <w:p w14:paraId="1BCAED97"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基金托管人以基金托管人和本基金联名的方式在中国证券登记结算有限责任公司开立证券账户。</w:t>
      </w:r>
    </w:p>
    <w:p w14:paraId="5309785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2D5AB48B"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基金管理人不得对基金证券交收账户、资金交收账户进行证券的超卖或超买。</w:t>
      </w:r>
    </w:p>
    <w:p w14:paraId="0BCCF38B"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（五）债券托管账户的开立和管理</w:t>
      </w:r>
    </w:p>
    <w:p w14:paraId="50A7D41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517F6F55"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2、基金管理人代表基金对外签订中国银行间债券市场回购交易主协议。</w:t>
      </w:r>
    </w:p>
    <w:p w14:paraId="20DF03F2"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（六）其他账户的开立和管理</w:t>
      </w:r>
    </w:p>
    <w:p w14:paraId="26A71C4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73F3AC12"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法律法规等有关规定对相关账户的开立和管理另有规定的，从其规定办理。</w:t>
      </w:r>
    </w:p>
    <w:p w14:paraId="661D332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（七）基金财产投资的有关实物证券、银行存款定期存单等有价凭证的保管</w:t>
      </w:r>
    </w:p>
    <w:p w14:paraId="0940993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金资产不承担保管责任。</w:t>
      </w:r>
    </w:p>
    <w:p w14:paraId="0E42AD5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银行存款定期存单等有价凭证由基金托管人负责保管。</w:t>
      </w:r>
    </w:p>
    <w:p w14:paraId="2F00E50F"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lastRenderedPageBreak/>
        <w:t>（八）与基金财产有关的重大合同的保管</w:t>
      </w:r>
    </w:p>
    <w:p w14:paraId="50602CFE"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14:paraId="14AADD20"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对于无法取得二份以上的正本的，基金管理人应向基金托管人提供与原件核对一致后加盖授权业务章的合同扫描件或传真件，未经双方协商或未在合同约定范围内，合同原件不得转移。</w:t>
      </w:r>
    </w:p>
    <w:p w14:paraId="79F1C7B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因基金管理人未按本协议约定及时向基金托管人送达重大合同原件或扫描件或传真件导致的法律责任，基金托管人不予承担。</w:t>
      </w:r>
    </w:p>
    <w:p w14:paraId="4B87FFC3" w14:textId="77777777" w:rsidR="004614AE" w:rsidRDefault="004614AE">
      <w:pPr>
        <w:spacing w:line="360" w:lineRule="auto"/>
        <w:ind w:firstLineChars="200" w:firstLine="480"/>
        <w:rPr>
          <w:rFonts w:ascii="宋体" w:hAnsi="宋体"/>
          <w:sz w:val="24"/>
          <w:szCs w:val="24"/>
        </w:rPr>
      </w:pPr>
    </w:p>
    <w:p w14:paraId="3B6BC9E9"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基金资产净值计算和会计核算</w:t>
      </w:r>
    </w:p>
    <w:p w14:paraId="312DC2F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（一）基金资产净值及各类基金份额的基金份额净值的计算与复核</w:t>
      </w:r>
    </w:p>
    <w:p w14:paraId="439D56F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基金资产净值是指基金资产总值减去负债后的价值。</w:t>
      </w:r>
    </w:p>
    <w:p w14:paraId="061E4EC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每工作日对基金资产估值。但基金管理人根据法律法规或基金合同的规定暂停估值时除外。估值原则应符合《基金合同》、《中国证监会关于证券投资基金估值业务的指导意见》、《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0.0001元，小数点后第5位四舍五入，由此产生的收益或损失由基金财产承担。基金管理人可以设立大额赎回情形下的净值精度应急调整机制。国家另有规定的，从其规定。基金管理人</w:t>
      </w:r>
      <w:proofErr w:type="gramStart"/>
      <w:r>
        <w:rPr>
          <w:rFonts w:asciiTheme="minorEastAsia" w:hAnsiTheme="minorEastAsia" w:cs="Arial" w:hint="eastAsia"/>
          <w:sz w:val="24"/>
          <w:szCs w:val="24"/>
        </w:rPr>
        <w:t>应每个</w:t>
      </w:r>
      <w:proofErr w:type="gramEnd"/>
      <w:r>
        <w:rPr>
          <w:rFonts w:asciiTheme="minorEastAsia" w:hAnsiTheme="minorEastAsia" w:cs="Arial"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14:paraId="53BFC96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本基金按以下方法估值： </w:t>
      </w:r>
    </w:p>
    <w:p w14:paraId="7F9D7FD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1、证券交易所上市的有价证券的估值</w:t>
      </w:r>
    </w:p>
    <w:p w14:paraId="583DCFF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65F27F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1B8E142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34A76CE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（4）交易所上市交易的可转换债券以每日收盘价作为估值全价；</w:t>
      </w:r>
    </w:p>
    <w:p w14:paraId="1609291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Pr>
          <w:rFonts w:asciiTheme="minorEastAsia" w:hAnsiTheme="minorEastAsia" w:cs="Arial"/>
          <w:sz w:val="24"/>
          <w:szCs w:val="24"/>
        </w:rPr>
        <w:t>；</w:t>
      </w:r>
    </w:p>
    <w:p w14:paraId="78793A8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DC7469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2、处于未上市期间的有价证券应区分如下情况处理：</w:t>
      </w:r>
    </w:p>
    <w:p w14:paraId="40EB673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21E3A5D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355CE79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（3）流通受限的股票，包括非公开发行股票、首次公开发行股票时公司股东公开发售股份、通过大宗交易取得的带限售期的股票等（不包括停牌、新发行未上市、回购交易中的质押</w:t>
      </w:r>
      <w:proofErr w:type="gramStart"/>
      <w:r>
        <w:rPr>
          <w:rFonts w:asciiTheme="minorEastAsia" w:hAnsiTheme="minorEastAsia" w:cs="Arial" w:hint="eastAsia"/>
          <w:sz w:val="24"/>
          <w:szCs w:val="24"/>
        </w:rPr>
        <w:t>券</w:t>
      </w:r>
      <w:proofErr w:type="gramEnd"/>
      <w:r>
        <w:rPr>
          <w:rFonts w:asciiTheme="minorEastAsia" w:hAnsiTheme="minorEastAsia" w:cs="Arial" w:hint="eastAsia"/>
          <w:sz w:val="24"/>
          <w:szCs w:val="24"/>
        </w:rPr>
        <w:t>等流通受限股票），按监管机构或行业协会有关规定确定公允价值。</w:t>
      </w:r>
    </w:p>
    <w:p w14:paraId="482C78B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3、全国银行间债券市场交易的债券、资产支持证券等固定收益品种，以第三方估值机构提供的价格数据估值。</w:t>
      </w:r>
    </w:p>
    <w:p w14:paraId="6D1F286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4、同一证券同时在两个或两个以上市场交易的，按证券所处的市场分别估值。</w:t>
      </w:r>
    </w:p>
    <w:p w14:paraId="5F5D7B76"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5、本基金投资国债期货合约、股指期货合约、股票期权合约，一般以估值当日结算价进行估值，估值当日无结算价的，且最近交易日后经济环境未发生重大变化的，采用最近交易日结算价估值。</w:t>
      </w:r>
    </w:p>
    <w:p w14:paraId="205656E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6</w:t>
      </w:r>
      <w:r>
        <w:rPr>
          <w:rFonts w:asciiTheme="minorEastAsia" w:hAnsiTheme="minorEastAsia" w:cs="Arial" w:hint="eastAsia"/>
          <w:sz w:val="24"/>
          <w:szCs w:val="24"/>
        </w:rPr>
        <w:t>、本基金投资存托凭证的估值核算，依照境内上市交易的股票执行。</w:t>
      </w:r>
    </w:p>
    <w:p w14:paraId="2B4FB6A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7</w:t>
      </w:r>
      <w:r>
        <w:rPr>
          <w:rFonts w:asciiTheme="minorEastAsia" w:hAnsiTheme="minorEastAsia" w:cs="Arial" w:hint="eastAsia"/>
          <w:sz w:val="24"/>
          <w:szCs w:val="24"/>
        </w:rPr>
        <w:t>、其他资产按法律法规或监管机构有关规定进行估值。</w:t>
      </w:r>
    </w:p>
    <w:p w14:paraId="2C1DFD8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8</w:t>
      </w:r>
      <w:r>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15930E7D"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9</w:t>
      </w:r>
      <w:r>
        <w:rPr>
          <w:rFonts w:asciiTheme="minorEastAsia" w:hAnsiTheme="minorEastAsia" w:cs="Arial" w:hint="eastAsia"/>
          <w:sz w:val="24"/>
          <w:szCs w:val="24"/>
        </w:rPr>
        <w:t>、当本基金发生大额申购或赎回情形时，基金管理人可以对本基金采用摆动定价机制，以确保基金估值的公平性。</w:t>
      </w:r>
    </w:p>
    <w:p w14:paraId="459F95F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r>
        <w:rPr>
          <w:rFonts w:asciiTheme="minorEastAsia" w:hAnsiTheme="minorEastAsia" w:cs="Arial" w:hint="eastAsia"/>
          <w:sz w:val="24"/>
          <w:szCs w:val="24"/>
        </w:rPr>
        <w:t>、相关法律法规以及监管部门有强制规定的，从其规定。如有新增事项，按国家最新规定估值。</w:t>
      </w:r>
    </w:p>
    <w:p w14:paraId="16492CA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1042C92E"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根据有关法律法规，基金资产净值计算和基金会计核算的义务由基金管理人承担，基金托管人承担复核责任。本基金的基金会计</w:t>
      </w:r>
      <w:proofErr w:type="gramStart"/>
      <w:r>
        <w:rPr>
          <w:rFonts w:asciiTheme="minorEastAsia" w:hAnsiTheme="minorEastAsia" w:cs="Arial" w:hint="eastAsia"/>
          <w:sz w:val="24"/>
          <w:szCs w:val="24"/>
        </w:rPr>
        <w:t>主责任</w:t>
      </w:r>
      <w:proofErr w:type="gramEnd"/>
      <w:r>
        <w:rPr>
          <w:rFonts w:asciiTheme="minorEastAsia" w:hAnsiTheme="minorEastAsia" w:cs="Arial" w:hint="eastAsia"/>
          <w:sz w:val="24"/>
          <w:szCs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6D2C9A4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（二）估值错误处理</w:t>
      </w:r>
    </w:p>
    <w:p w14:paraId="6326F12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基金管理人和基金托管人将采取必要、适当、合理的措施确保基金资产估值</w:t>
      </w:r>
      <w:r>
        <w:rPr>
          <w:rFonts w:asciiTheme="minorEastAsia" w:hAnsiTheme="minorEastAsia" w:cs="Arial" w:hint="eastAsia"/>
          <w:sz w:val="24"/>
          <w:szCs w:val="24"/>
        </w:rPr>
        <w:lastRenderedPageBreak/>
        <w:t>的准确性、及时性。当任一类基金份额净值小数点后4位以内（含第4位）发生估值错误时，视为该类基金份额净值错误。</w:t>
      </w:r>
    </w:p>
    <w:p w14:paraId="67FE45E6"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基金合同的当事人应按照以下约定处理：</w:t>
      </w:r>
    </w:p>
    <w:p w14:paraId="20CC758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1、估值错误类型</w:t>
      </w:r>
    </w:p>
    <w:p w14:paraId="5EC48D6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本基金运作过程中，如果由于基金管理人或基金托管人、或登记机构、或证券经纪机构、 或销售机构、或投资人自身的过错造成估值错误，导致其他当事人遭受损失的，过错的责任人应当对由于该估值错误遭受损失当事人（“受损方”）的直接损失按下述“估值错误处理原则”给予赔偿，承担赔偿责任。</w:t>
      </w:r>
    </w:p>
    <w:p w14:paraId="3570D94B"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454CF34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2、估值错误处理原则</w:t>
      </w:r>
    </w:p>
    <w:p w14:paraId="341DCD4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657DDA6"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23DF1B7F"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w:t>
      </w:r>
      <w:proofErr w:type="gramStart"/>
      <w:r>
        <w:rPr>
          <w:rFonts w:asciiTheme="minorEastAsia" w:hAnsiTheme="minorEastAsia" w:cs="Arial" w:hint="eastAsia"/>
          <w:sz w:val="24"/>
          <w:szCs w:val="24"/>
        </w:rPr>
        <w:t>不</w:t>
      </w:r>
      <w:proofErr w:type="gramEnd"/>
      <w:r>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12EAA15"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（4）估值错误调整采用尽量恢复至假设未发生估值错误的正确情形的方式。</w:t>
      </w:r>
    </w:p>
    <w:p w14:paraId="363FC46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3、估值错误处理程序</w:t>
      </w:r>
    </w:p>
    <w:p w14:paraId="475E0539"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估值错误被发现后，有关的当事人应当及时进行处理，处理的程序如下：</w:t>
      </w:r>
    </w:p>
    <w:p w14:paraId="7CFB2DD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（1）查明估值错误发生的原因，列明所有的当事人，并根据估值错误发生的原因确定估值错误的责任方；</w:t>
      </w:r>
    </w:p>
    <w:p w14:paraId="4B19FADA"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（2）根据估值错误处理原则或当事人协商的方法对因估值错误造成的损失进行评估；</w:t>
      </w:r>
    </w:p>
    <w:p w14:paraId="3EB9592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（3）根据估值错误处理原则或当事人协商的方法由估值错误的责任方进行更正和赔偿损失；</w:t>
      </w:r>
    </w:p>
    <w:p w14:paraId="679D4251"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（4）根据估值错误处理的方法，需要修改基金份额登记机构交易数据的，由基金份额登记机构进行更正，并就估值错误的更正向有关当事人进行确认。</w:t>
      </w:r>
    </w:p>
    <w:p w14:paraId="17061CE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4、基金份额净值估值错误处理的方法如下：</w:t>
      </w:r>
    </w:p>
    <w:p w14:paraId="608EBC74"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5EE08A60"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（2）错误偏差达到某类基金份额净值的0.25%时，基金管理人应当通报基金托管人并报中国证监会备案；错误偏差达到某类基金份额净值的0.5%时，基金管理人应当公告，并报中国证监会备案。</w:t>
      </w:r>
    </w:p>
    <w:p w14:paraId="672975B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（3）前述内容如法律法规或监管机关另有规定的，从其规定处理。</w:t>
      </w:r>
    </w:p>
    <w:p w14:paraId="3C95DC7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（三）暂停估值的情形</w:t>
      </w:r>
    </w:p>
    <w:p w14:paraId="5C3701FD"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1、基金投资所涉及的证券/期货交易市场遇法定节假日或因其他原因暂停营业时；</w:t>
      </w:r>
    </w:p>
    <w:p w14:paraId="45543B6C"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2、因不可抗力或其他情形致使基金管理人、基金托管人无法准确评估基金资产价值时；</w:t>
      </w:r>
    </w:p>
    <w:p w14:paraId="4B78896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3、当特定资产占前一估值日基金资产净值50%以上的，经与基金托管人协商确认后，基金管理人应当暂停基金估值；</w:t>
      </w:r>
    </w:p>
    <w:p w14:paraId="6A3B44B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4、法律法规、中国证监会和基金合同认定的其它情形。</w:t>
      </w:r>
    </w:p>
    <w:p w14:paraId="7EC76788"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（四）基金会计制度</w:t>
      </w:r>
    </w:p>
    <w:p w14:paraId="42DBCACF"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按国家有关部门制定的会计制度执行。</w:t>
      </w:r>
    </w:p>
    <w:p w14:paraId="05005187"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（五）基金账册的建立</w:t>
      </w:r>
    </w:p>
    <w:p w14:paraId="784451DA"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7004FFAB"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lastRenderedPageBreak/>
        <w:t>（六）会计数据和财务指标的核对</w:t>
      </w:r>
    </w:p>
    <w:p w14:paraId="0AD13D7C"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双方</w:t>
      </w:r>
      <w:proofErr w:type="gramStart"/>
      <w:r>
        <w:rPr>
          <w:rFonts w:asciiTheme="minorEastAsia" w:hAnsiTheme="minorEastAsia" w:cs="Arial" w:hint="eastAsia"/>
          <w:sz w:val="24"/>
          <w:szCs w:val="24"/>
        </w:rPr>
        <w:t>应每个</w:t>
      </w:r>
      <w:proofErr w:type="gramEnd"/>
      <w:r>
        <w:rPr>
          <w:rFonts w:asciiTheme="minorEastAsia" w:hAnsiTheme="minorEastAsia" w:cs="Arial" w:hint="eastAsia"/>
          <w:sz w:val="24"/>
          <w:szCs w:val="24"/>
        </w:rPr>
        <w:t>交易日核对账目，如发现双方的账目存在不符的，基金管理人和基金托管人必须及时查明原因并纠正，确保核对一致。若当日核对不符，暂时无法查找到错账的原因而影响到基金净值信息的计算和公告的，以基金管理人的账册为准。</w:t>
      </w:r>
    </w:p>
    <w:p w14:paraId="183062FD"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（七）基金定期报告的编制和复核</w:t>
      </w:r>
    </w:p>
    <w:p w14:paraId="13524C72"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基金财务报表由基金管理人和基金托管人每</w:t>
      </w:r>
      <w:proofErr w:type="gramStart"/>
      <w:r>
        <w:rPr>
          <w:rFonts w:asciiTheme="minorEastAsia" w:hAnsiTheme="minorEastAsia" w:cs="Arial" w:hint="eastAsia"/>
          <w:sz w:val="24"/>
          <w:szCs w:val="24"/>
        </w:rPr>
        <w:t>月分别独立</w:t>
      </w:r>
      <w:proofErr w:type="gramEnd"/>
      <w:r>
        <w:rPr>
          <w:rFonts w:asciiTheme="minorEastAsia" w:hAnsiTheme="minorEastAsia" w:cs="Arial" w:hint="eastAsia"/>
          <w:sz w:val="24"/>
          <w:szCs w:val="24"/>
        </w:rPr>
        <w:t>编制。月度报表的编制，应于每月终了后5个工作日内完成。定期报告文件应按中国证监会的要求公告。季度报表的编制，应于每季度终了后15个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w:t>
      </w:r>
    </w:p>
    <w:p w14:paraId="574B5E4C"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在月度报表完成当日，以约定方式将有关报表提供基金托管人；基金托管人在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proofErr w:type="gramStart"/>
      <w:r>
        <w:rPr>
          <w:rFonts w:asciiTheme="minorEastAsia" w:hAnsiTheme="minorEastAsia" w:cs="Arial" w:hint="eastAsia"/>
          <w:sz w:val="24"/>
          <w:szCs w:val="24"/>
        </w:rPr>
        <w:t>于应当</w:t>
      </w:r>
      <w:proofErr w:type="gramEnd"/>
      <w:r>
        <w:rPr>
          <w:rFonts w:asciiTheme="minorEastAsia" w:hAnsiTheme="minorEastAsia" w:cs="Arial" w:hint="eastAsia"/>
          <w:sz w:val="24"/>
          <w:szCs w:val="24"/>
        </w:rPr>
        <w:t>发布公告之日前就相关报表达成一致，基金管理人有权按照其编制的报表对外发布公告，基金托管人有权就相关情况报证监会备案。</w:t>
      </w:r>
    </w:p>
    <w:p w14:paraId="016D5BE3" w14:textId="77777777" w:rsidR="004614AE" w:rsidRDefault="00000000">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基金托管人在对财务报表、季度报告、中期报告或年度报告复核完毕后，可以出具复核确认书（盖章）、进行电子确认或以其他双方约定的方式确认，以</w:t>
      </w:r>
      <w:proofErr w:type="gramStart"/>
      <w:r>
        <w:rPr>
          <w:rFonts w:asciiTheme="minorEastAsia" w:hAnsiTheme="minorEastAsia" w:cs="Arial" w:hint="eastAsia"/>
          <w:sz w:val="24"/>
          <w:szCs w:val="24"/>
        </w:rPr>
        <w:t>备</w:t>
      </w:r>
      <w:r>
        <w:rPr>
          <w:rFonts w:asciiTheme="minorEastAsia" w:hAnsiTheme="minorEastAsia" w:cs="Arial" w:hint="eastAsia"/>
          <w:sz w:val="24"/>
          <w:szCs w:val="24"/>
        </w:rPr>
        <w:lastRenderedPageBreak/>
        <w:t>有权</w:t>
      </w:r>
      <w:proofErr w:type="gramEnd"/>
      <w:r>
        <w:rPr>
          <w:rFonts w:asciiTheme="minorEastAsia" w:hAnsiTheme="minorEastAsia" w:cs="Arial" w:hint="eastAsia"/>
          <w:sz w:val="24"/>
          <w:szCs w:val="24"/>
        </w:rPr>
        <w:t>机构对相关文件审核检查</w:t>
      </w:r>
    </w:p>
    <w:p w14:paraId="5B6AB182" w14:textId="77777777" w:rsidR="004614AE" w:rsidRDefault="004614AE">
      <w:pPr>
        <w:adjustRightInd w:val="0"/>
        <w:snapToGrid w:val="0"/>
        <w:spacing w:line="360" w:lineRule="auto"/>
        <w:ind w:firstLineChars="200" w:firstLine="480"/>
        <w:rPr>
          <w:rFonts w:asciiTheme="minorEastAsia" w:hAnsiTheme="minorEastAsia" w:cs="Arial"/>
          <w:sz w:val="24"/>
          <w:szCs w:val="24"/>
        </w:rPr>
      </w:pPr>
    </w:p>
    <w:p w14:paraId="2728C236"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基金份额持有人名册的保管</w:t>
      </w:r>
    </w:p>
    <w:p w14:paraId="61AF6BD4"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21C8988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份额持有人名册，包括基金募集期结束时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27905E3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基金管理人应根据基金托管人的要求定期和不定期向基金托管人提供基金份额持有人名册。</w:t>
      </w:r>
    </w:p>
    <w:p w14:paraId="687A4DE6"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（一）基金管理人于《基金合同》生效日及《基金合同》终止日后10个工作日内向基金托管人提供由登记机构编制的基金份额持有人名册；</w:t>
      </w:r>
    </w:p>
    <w:p w14:paraId="370B5110"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（二）基金管理人于基金份额持有人大会权益登记日后5个工作日内向基金托管人提供由登记机构编制的基金份额持有人名册；</w:t>
      </w:r>
    </w:p>
    <w:p w14:paraId="4831AADA"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（三）基金管理人于每年最后一个交易日后10个工作日内向基金托管人提供由登记机构编制的基金份额持有人名册；</w:t>
      </w:r>
    </w:p>
    <w:p w14:paraId="34745772"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6E4B799E"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托管人以电子版形式妥善保管基金份额持有人名册，并定期刻成光盘备份，保存期限不低于法律法规规定的最低期限。基金托管人不得将所保管的基金份额持有人名册用于基金托管业务以外的其他用途，并应遵守保密义务。</w:t>
      </w:r>
      <w:proofErr w:type="gramStart"/>
      <w:r>
        <w:rPr>
          <w:rFonts w:ascii="宋体" w:hAnsi="宋体" w:hint="eastAsia"/>
          <w:sz w:val="24"/>
          <w:szCs w:val="24"/>
        </w:rPr>
        <w:t>若基金</w:t>
      </w:r>
      <w:proofErr w:type="gramEnd"/>
      <w:r>
        <w:rPr>
          <w:rFonts w:ascii="宋体" w:hAnsi="宋体" w:hint="eastAsia"/>
          <w:sz w:val="24"/>
          <w:szCs w:val="24"/>
        </w:rPr>
        <w:t>管理人或基金托管人由于自身原因无法妥善保管基金份额持有人名册，应按有关法规规定各自承担相应的责任。</w:t>
      </w:r>
    </w:p>
    <w:p w14:paraId="60858DFE" w14:textId="77777777" w:rsidR="004614AE" w:rsidRDefault="004614AE">
      <w:pPr>
        <w:spacing w:line="360" w:lineRule="auto"/>
        <w:ind w:firstLineChars="200" w:firstLine="480"/>
        <w:rPr>
          <w:rFonts w:ascii="宋体" w:hAnsi="宋体"/>
          <w:sz w:val="24"/>
          <w:szCs w:val="24"/>
        </w:rPr>
      </w:pPr>
    </w:p>
    <w:p w14:paraId="7EA5432E"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争议解决方式</w:t>
      </w:r>
    </w:p>
    <w:p w14:paraId="250F29DC" w14:textId="77777777" w:rsidR="004614AE"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相关各方当事人同意，因本协议而产生的或与本协议有关的一切争议，应通过友好协商或者调解解决。托管协议当事人不愿通过协商、调解解决或者协商、调解不成的，应将争议提交上海仲裁委员会金融仲裁院，根据该会当时有效的仲</w:t>
      </w:r>
      <w:r>
        <w:rPr>
          <w:rFonts w:ascii="宋体" w:hAnsi="宋体" w:hint="eastAsia"/>
          <w:sz w:val="24"/>
          <w:szCs w:val="24"/>
        </w:rPr>
        <w:lastRenderedPageBreak/>
        <w:t>裁规则进行仲裁，仲裁的地点为上海市，仲裁裁决是终局的，并对相关各方当事人均有约束力。除非仲裁裁决另有规定，仲裁费用由败诉方承担。</w:t>
      </w:r>
    </w:p>
    <w:p w14:paraId="51C590FF" w14:textId="77777777" w:rsidR="004614AE"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235869B2" w14:textId="77777777" w:rsidR="004614AE" w:rsidRDefault="00000000">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本协议受中华人民共和国法律（为本协议之目的，不包括香港、澳门特别行政区及台湾地区法律）管辖并从其解释。</w:t>
      </w:r>
    </w:p>
    <w:p w14:paraId="11DB8A17" w14:textId="77777777" w:rsidR="004614AE" w:rsidRDefault="00000000">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Pr>
          <w:rFonts w:asciiTheme="minorEastAsia" w:hAnsiTheme="minorEastAsia" w:cs="Arial" w:hint="eastAsia"/>
          <w:b/>
          <w:sz w:val="24"/>
          <w:szCs w:val="24"/>
        </w:rPr>
        <w:t>基金托管协议的变更、终止与基金财产的清算</w:t>
      </w:r>
    </w:p>
    <w:p w14:paraId="2E4D3F37"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（一）基金托管协议的变更</w:t>
      </w:r>
    </w:p>
    <w:p w14:paraId="647EF6EC"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本协议双方当事人经协商一致，可以对协议进行修改。修改后的新协议，其内容不得与《基金合同》的规定有任何冲突，并报中国证监会备案。</w:t>
      </w:r>
    </w:p>
    <w:p w14:paraId="75D3A2AF"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（二）基金托管协议的终止</w:t>
      </w:r>
    </w:p>
    <w:p w14:paraId="5315037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1、《基金合同》终止；</w:t>
      </w:r>
    </w:p>
    <w:p w14:paraId="6831E73B"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2、基金托管人解散、依法被撤销、破产，被依法取消基金托管资格或因其他事由造成其他基金托管人接管基金财产；</w:t>
      </w:r>
    </w:p>
    <w:p w14:paraId="5D80B2D3"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3、基金管理人解散、依法被撤销、破产，被依法取消基金管理资格或因其他事由造成其他基金管理人接管基金管理权；</w:t>
      </w:r>
    </w:p>
    <w:p w14:paraId="2D59342D"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4、发生《基金法》、《销售办法》、《运作办法》或其他法律、法规规定的终止事项。</w:t>
      </w:r>
    </w:p>
    <w:p w14:paraId="52336EEC"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1A33460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1、基金财产清算小组：自出现《基金合同》终止事由之日起30个工作日内成立清算小组，基金管理人或临时基金管理人组织基金财产清算小组并在中国证监会的监督下进行基金清算。</w:t>
      </w:r>
    </w:p>
    <w:p w14:paraId="3C1147EA"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2、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7E00B4A5"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3、基金财产清算小组职责：基金财产清算小组负责基金财产的保管、清理、估价、变现和分配。基金财产清算小组可以依法进行必要的民事活动。</w:t>
      </w:r>
    </w:p>
    <w:p w14:paraId="7C1F1992"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4、基金财产清算程序：</w:t>
      </w:r>
    </w:p>
    <w:p w14:paraId="5024EB27"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（1）《基金合同》终止情形出现时，由基金财产清算小组统一接管基金；</w:t>
      </w:r>
    </w:p>
    <w:p w14:paraId="335E0D69"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lastRenderedPageBreak/>
        <w:t>（2）对基金财产和债权债务进行清理和确认；</w:t>
      </w:r>
    </w:p>
    <w:p w14:paraId="3A35519B"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（3）对基金财产进行估值和变现；</w:t>
      </w:r>
    </w:p>
    <w:p w14:paraId="2A8886B2"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（4）制作清算报告；</w:t>
      </w:r>
    </w:p>
    <w:p w14:paraId="52A416E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（5）聘请会计师事务所对清算报告进行外部审计，聘请律师事务所对清算报告出具法律意见书；</w:t>
      </w:r>
    </w:p>
    <w:p w14:paraId="7C0F9D9E"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（6）将清算报告报中国证监会备案并公告；</w:t>
      </w:r>
    </w:p>
    <w:p w14:paraId="7E1EA05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（7）对基金剩余财产进行分配。</w:t>
      </w:r>
    </w:p>
    <w:p w14:paraId="77FA4A2C"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5、基金财产清算的期限为6个月，但因本基金所持证券的流动性受到限制而不能及时变现的，清算期限可相应顺延。</w:t>
      </w:r>
    </w:p>
    <w:p w14:paraId="57FC8413"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6、清算费用</w:t>
      </w:r>
    </w:p>
    <w:p w14:paraId="0D63C41E"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清算费用是指基金财产清算小组在进行基金清算过程中发生的所有合理费用，清算费用由基金财产清算小组优先从基金财产中支付。</w:t>
      </w:r>
    </w:p>
    <w:p w14:paraId="47676600"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7、基金财产清算剩余资产的分配</w:t>
      </w:r>
    </w:p>
    <w:p w14:paraId="64C0E331"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56D8BCCB"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8、基金财产清算的公告</w:t>
      </w:r>
    </w:p>
    <w:p w14:paraId="53CFAA76"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清算过程中的有关重大事项须及时公告；基金财产清算报告</w:t>
      </w:r>
      <w:proofErr w:type="gramStart"/>
      <w:r>
        <w:rPr>
          <w:rFonts w:ascii="宋体" w:hAnsi="宋体" w:hint="eastAsia"/>
          <w:sz w:val="24"/>
          <w:szCs w:val="24"/>
        </w:rPr>
        <w:t>经符合</w:t>
      </w:r>
      <w:proofErr w:type="gramEnd"/>
      <w:r>
        <w:rPr>
          <w:rFonts w:ascii="宋体" w:hAnsi="宋体" w:hint="eastAsia"/>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0CB4E3A"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9、基金财产清算账册及文件的保存</w:t>
      </w:r>
    </w:p>
    <w:p w14:paraId="7284ED58" w14:textId="77777777" w:rsidR="004614AE" w:rsidRDefault="00000000">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基金财产清算账册及有关文件由基金托管人保存，保存期限不低于法律法规规定的最低期限。</w:t>
      </w:r>
    </w:p>
    <w:p w14:paraId="709246D8" w14:textId="77777777" w:rsidR="004614AE" w:rsidRDefault="00000000">
      <w:pPr>
        <w:widowControl/>
        <w:jc w:val="left"/>
        <w:rPr>
          <w:rFonts w:ascii="宋体" w:hAnsi="宋体"/>
          <w:sz w:val="24"/>
          <w:szCs w:val="24"/>
        </w:rPr>
      </w:pPr>
      <w:r>
        <w:rPr>
          <w:rFonts w:ascii="宋体" w:hAnsi="宋体"/>
          <w:sz w:val="24"/>
          <w:szCs w:val="24"/>
        </w:rPr>
        <w:br w:type="page"/>
      </w:r>
    </w:p>
    <w:p w14:paraId="36B4D2AB" w14:textId="77777777" w:rsidR="004614AE" w:rsidRDefault="00000000">
      <w:pPr>
        <w:pStyle w:val="1"/>
        <w:jc w:val="center"/>
        <w:rPr>
          <w:sz w:val="30"/>
          <w:szCs w:val="30"/>
        </w:rPr>
      </w:pPr>
      <w:bookmarkStart w:id="426" w:name="_Toc68266308"/>
      <w:bookmarkStart w:id="427" w:name="_Toc119568477"/>
      <w:bookmarkStart w:id="428" w:name="_Toc214873621"/>
      <w:bookmarkStart w:id="429" w:name="_Toc147463123"/>
      <w:bookmarkStart w:id="430" w:name="_Toc21073396"/>
      <w:bookmarkStart w:id="431" w:name="_Toc12357176"/>
      <w:bookmarkStart w:id="432" w:name="_Toc263092328"/>
      <w:bookmarkStart w:id="433" w:name="_Toc416264555"/>
      <w:bookmarkStart w:id="434" w:name="_Toc8636"/>
      <w:bookmarkStart w:id="435" w:name="_Toc24923"/>
      <w:bookmarkStart w:id="436" w:name="_Toc123051467"/>
      <w:bookmarkStart w:id="437" w:name="_Toc6110"/>
      <w:bookmarkStart w:id="438" w:name="_Toc139991751"/>
      <w:bookmarkStart w:id="439" w:name="_Toc3319"/>
      <w:bookmarkStart w:id="440" w:name="_Toc98560366"/>
      <w:bookmarkStart w:id="441" w:name="_Toc123102468"/>
      <w:bookmarkStart w:id="442" w:name="_Toc25651"/>
      <w:bookmarkStart w:id="443" w:name="_Toc6202"/>
      <w:bookmarkStart w:id="444" w:name="_Toc141703902"/>
      <w:bookmarkStart w:id="445" w:name="_Toc30350"/>
      <w:bookmarkStart w:id="446" w:name="_Toc352229767"/>
      <w:bookmarkStart w:id="447" w:name="_Toc21983"/>
      <w:bookmarkStart w:id="448" w:name="_Toc123112249"/>
      <w:bookmarkStart w:id="449" w:name="_Toc23999"/>
      <w:bookmarkStart w:id="450" w:name="_Toc1790"/>
      <w:bookmarkStart w:id="451" w:name="_Toc7288"/>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Fonts w:hint="eastAsia"/>
          <w:sz w:val="30"/>
          <w:szCs w:val="30"/>
        </w:rPr>
        <w:lastRenderedPageBreak/>
        <w:t>第二十一部分</w:t>
      </w:r>
      <w:r>
        <w:rPr>
          <w:sz w:val="30"/>
          <w:szCs w:val="30"/>
        </w:rPr>
        <w:t xml:space="preserve">  </w:t>
      </w:r>
      <w:r>
        <w:rPr>
          <w:rFonts w:hint="eastAsia"/>
          <w:sz w:val="30"/>
          <w:szCs w:val="30"/>
        </w:rPr>
        <w:t>对基金份额持有人的服务</w:t>
      </w:r>
      <w:bookmarkEnd w:id="426"/>
      <w:bookmarkEnd w:id="427"/>
    </w:p>
    <w:p w14:paraId="5202A9E2"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4B3C330B"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5F7F1512"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295838D8"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38898020"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E05144F"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73E8D584"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46541958"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235D307E"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91A1E5A"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0A0B2E9A"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A077D7E"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3C6649C7"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3B292C90"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工作日之内对基金投资人的投诉做出回复。</w:t>
      </w:r>
      <w:r>
        <w:rPr>
          <w:rFonts w:asciiTheme="minorEastAsia" w:hAnsiTheme="minorEastAsia" w:cs="Arial" w:hint="eastAsia"/>
          <w:sz w:val="24"/>
          <w:szCs w:val="24"/>
        </w:rPr>
        <w:lastRenderedPageBreak/>
        <w:t xml:space="preserve">对于非工作日提出的投诉，基金管理人将在顺延到下 1 </w:t>
      </w:r>
      <w:proofErr w:type="gramStart"/>
      <w:r>
        <w:rPr>
          <w:rFonts w:asciiTheme="minorEastAsia" w:hAnsiTheme="minorEastAsia" w:cs="Arial" w:hint="eastAsia"/>
          <w:sz w:val="24"/>
          <w:szCs w:val="24"/>
        </w:rPr>
        <w:t>个</w:t>
      </w:r>
      <w:proofErr w:type="gramEnd"/>
      <w:r>
        <w:rPr>
          <w:rFonts w:asciiTheme="minorEastAsia" w:hAnsiTheme="minorEastAsia" w:cs="Arial" w:hint="eastAsia"/>
          <w:sz w:val="24"/>
          <w:szCs w:val="24"/>
        </w:rPr>
        <w:t>工作日进行回复。</w:t>
      </w:r>
    </w:p>
    <w:p w14:paraId="359F5EEA"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（七）基金管理人联系方式 </w:t>
      </w:r>
    </w:p>
    <w:p w14:paraId="3E08FF3D"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 www.furamc.com.cn</w:t>
      </w:r>
    </w:p>
    <w:p w14:paraId="7A34A4E4"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电子信箱：service@furamc.com.cn</w:t>
      </w:r>
    </w:p>
    <w:p w14:paraId="50A6C7F2"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29517857"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客户服务部门地址：</w:t>
      </w:r>
      <w:r>
        <w:rPr>
          <w:rFonts w:asciiTheme="minorEastAsia" w:hAnsiTheme="minorEastAsia" w:cs="Times New Roman" w:hint="eastAsia"/>
          <w:kern w:val="0"/>
          <w:sz w:val="24"/>
          <w:szCs w:val="24"/>
        </w:rPr>
        <w:t>深圳市福田区八卦四路52号安吉</w:t>
      </w:r>
      <w:proofErr w:type="gramStart"/>
      <w:r>
        <w:rPr>
          <w:rFonts w:asciiTheme="minorEastAsia" w:hAnsiTheme="minorEastAsia" w:cs="Times New Roman" w:hint="eastAsia"/>
          <w:kern w:val="0"/>
          <w:sz w:val="24"/>
          <w:szCs w:val="24"/>
        </w:rPr>
        <w:t>尔大厦</w:t>
      </w:r>
      <w:proofErr w:type="gramEnd"/>
      <w:r>
        <w:rPr>
          <w:rFonts w:asciiTheme="minorEastAsia" w:hAnsiTheme="minorEastAsia" w:cs="Times New Roman" w:hint="eastAsia"/>
          <w:kern w:val="0"/>
          <w:sz w:val="24"/>
          <w:szCs w:val="24"/>
        </w:rPr>
        <w:t>24层</w:t>
      </w:r>
      <w:r>
        <w:rPr>
          <w:rFonts w:asciiTheme="minorEastAsia" w:hAnsiTheme="minorEastAsia" w:cs="Arial" w:hint="eastAsia"/>
          <w:sz w:val="24"/>
          <w:szCs w:val="24"/>
        </w:rPr>
        <w:t>，富荣基金管理有限公司客户服务部门（收）</w:t>
      </w:r>
    </w:p>
    <w:p w14:paraId="35826AE3" w14:textId="77777777" w:rsidR="004614AE" w:rsidRDefault="00000000">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674B52AA" w14:textId="77777777" w:rsidR="004614AE" w:rsidRDefault="00000000" w:rsidP="00D3649B">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（八）如本招募说明书存在任何您/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无法理解的内容，请通过</w:t>
      </w:r>
      <w:proofErr w:type="gramStart"/>
      <w:r>
        <w:rPr>
          <w:rFonts w:asciiTheme="minorEastAsia" w:hAnsiTheme="minorEastAsia" w:cs="Arial" w:hint="eastAsia"/>
          <w:sz w:val="24"/>
          <w:szCs w:val="24"/>
        </w:rPr>
        <w:t>上述联系</w:t>
      </w:r>
      <w:proofErr w:type="gramEnd"/>
      <w:r>
        <w:rPr>
          <w:rFonts w:asciiTheme="minorEastAsia" w:hAnsiTheme="minorEastAsia" w:cs="Arial" w:hint="eastAsia"/>
          <w:sz w:val="24"/>
          <w:szCs w:val="24"/>
        </w:rPr>
        <w:t>方式联系基金管理人。</w:t>
      </w:r>
      <w:proofErr w:type="gramStart"/>
      <w:r>
        <w:rPr>
          <w:rFonts w:asciiTheme="minorEastAsia" w:hAnsiTheme="minorEastAsia" w:cs="Arial" w:hint="eastAsia"/>
          <w:sz w:val="24"/>
          <w:szCs w:val="24"/>
        </w:rPr>
        <w:t>请确保</w:t>
      </w:r>
      <w:proofErr w:type="gramEnd"/>
      <w:r>
        <w:rPr>
          <w:rFonts w:asciiTheme="minorEastAsia" w:hAnsiTheme="minorEastAsia" w:cs="Arial" w:hint="eastAsia"/>
          <w:sz w:val="24"/>
          <w:szCs w:val="24"/>
        </w:rPr>
        <w:t>投资前，您/</w:t>
      </w:r>
      <w:proofErr w:type="gramStart"/>
      <w:r>
        <w:rPr>
          <w:rFonts w:asciiTheme="minorEastAsia" w:hAnsiTheme="minorEastAsia" w:cs="Arial" w:hint="eastAsia"/>
          <w:sz w:val="24"/>
          <w:szCs w:val="24"/>
        </w:rPr>
        <w:t>贵机构</w:t>
      </w:r>
      <w:proofErr w:type="gramEnd"/>
      <w:r>
        <w:rPr>
          <w:rFonts w:asciiTheme="minorEastAsia" w:hAnsiTheme="minorEastAsia" w:cs="Arial" w:hint="eastAsia"/>
          <w:sz w:val="24"/>
          <w:szCs w:val="24"/>
        </w:rPr>
        <w:t>已经全面理解了本招募说明书</w:t>
      </w:r>
      <w:r>
        <w:rPr>
          <w:rFonts w:asciiTheme="minorEastAsia" w:hAnsiTheme="minorEastAsia" w:cs="Arial"/>
          <w:sz w:val="24"/>
          <w:szCs w:val="24"/>
        </w:rPr>
        <w:t>。</w:t>
      </w:r>
    </w:p>
    <w:p w14:paraId="4FAF398B" w14:textId="77777777" w:rsidR="004614AE" w:rsidRDefault="00000000">
      <w:pPr>
        <w:pStyle w:val="1"/>
        <w:jc w:val="center"/>
        <w:rPr>
          <w:rFonts w:asciiTheme="minorEastAsia" w:eastAsiaTheme="minorEastAsia" w:hAnsiTheme="minorEastAsia"/>
          <w:sz w:val="30"/>
          <w:szCs w:val="30"/>
        </w:rPr>
      </w:pPr>
      <w:r>
        <w:rPr>
          <w:rFonts w:asciiTheme="minorEastAsia" w:hAnsiTheme="minorEastAsia"/>
          <w:szCs w:val="24"/>
        </w:rPr>
        <w:br w:type="page"/>
      </w:r>
      <w:bookmarkStart w:id="452" w:name="_Toc256666929"/>
      <w:bookmarkStart w:id="453" w:name="_Toc256666809"/>
      <w:bookmarkStart w:id="454" w:name="_Toc482624810"/>
      <w:bookmarkStart w:id="455" w:name="_Toc521338342"/>
      <w:bookmarkStart w:id="456" w:name="_Toc30359"/>
      <w:bookmarkStart w:id="457" w:name="_Toc520207207"/>
      <w:bookmarkStart w:id="458" w:name="_Toc119568478"/>
      <w:r>
        <w:rPr>
          <w:rFonts w:asciiTheme="minorEastAsia" w:eastAsiaTheme="minorEastAsia" w:hAnsiTheme="minorEastAsia" w:hint="eastAsia"/>
          <w:sz w:val="30"/>
          <w:szCs w:val="30"/>
        </w:rPr>
        <w:lastRenderedPageBreak/>
        <w:t>第二十二部分  其他应披露事项</w:t>
      </w:r>
      <w:bookmarkEnd w:id="452"/>
      <w:bookmarkEnd w:id="453"/>
      <w:bookmarkEnd w:id="454"/>
      <w:bookmarkEnd w:id="455"/>
      <w:bookmarkEnd w:id="456"/>
      <w:bookmarkEnd w:id="457"/>
      <w:bookmarkEnd w:id="458"/>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2088"/>
      </w:tblGrid>
      <w:tr w:rsidR="004614AE" w14:paraId="232DD452"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3F7805" w14:textId="77777777" w:rsidR="004614AE" w:rsidRDefault="00000000">
            <w:pPr>
              <w:jc w:val="center"/>
              <w:rPr>
                <w:rFonts w:asciiTheme="minorEastAsia" w:hAnsiTheme="minorEastAsia" w:cs="Arial"/>
                <w:sz w:val="24"/>
                <w:szCs w:val="24"/>
              </w:rPr>
            </w:pPr>
            <w:r>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DEC0838" w14:textId="77777777" w:rsidR="004614AE" w:rsidRPr="00D3649B" w:rsidRDefault="00000000">
            <w:pPr>
              <w:jc w:val="center"/>
              <w:rPr>
                <w:rFonts w:asciiTheme="minorEastAsia" w:hAnsiTheme="minorEastAsia" w:cs="Arial"/>
                <w:sz w:val="24"/>
                <w:szCs w:val="24"/>
              </w:rPr>
            </w:pPr>
            <w:r w:rsidRPr="00D3649B">
              <w:rPr>
                <w:rFonts w:asciiTheme="minorEastAsia" w:hAnsiTheme="minorEastAsia" w:cs="Arial" w:hint="eastAsia"/>
                <w:sz w:val="24"/>
                <w:szCs w:val="24"/>
              </w:rPr>
              <w:t>公告事项</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3043339" w14:textId="77777777" w:rsidR="004614AE" w:rsidRPr="00D3649B" w:rsidRDefault="00000000">
            <w:pPr>
              <w:jc w:val="center"/>
              <w:rPr>
                <w:rFonts w:asciiTheme="minorEastAsia" w:hAnsiTheme="minorEastAsia" w:cs="Arial"/>
                <w:sz w:val="24"/>
                <w:szCs w:val="24"/>
              </w:rPr>
            </w:pPr>
            <w:r w:rsidRPr="00D3649B">
              <w:rPr>
                <w:rFonts w:asciiTheme="minorEastAsia" w:hAnsiTheme="minorEastAsia" w:cs="Arial" w:hint="eastAsia"/>
                <w:sz w:val="24"/>
                <w:szCs w:val="24"/>
              </w:rPr>
              <w:t>披露日期</w:t>
            </w:r>
          </w:p>
        </w:tc>
      </w:tr>
      <w:tr w:rsidR="004614AE" w14:paraId="2352239C"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03713A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BF89FB1"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富荣福耀混合型证券投资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份额发售公告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C13167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2021年11月23日</w:t>
            </w:r>
          </w:p>
        </w:tc>
      </w:tr>
      <w:tr w:rsidR="004614AE" w14:paraId="23D7C225"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2CD09F"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F4C1909"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富荣福耀混合型证券投资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合同和招募说明书提示性公告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5694DB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2021年11月23日</w:t>
            </w:r>
          </w:p>
        </w:tc>
      </w:tr>
      <w:tr w:rsidR="004614AE" w14:paraId="75C5E0E8"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3FDCA9"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801035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富荣基金管理有限公司关于富荣福耀混合型证券投资基金新增销售机构并参加销售机构认购费率优惠活动的公告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9EA8A3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2021年12月2日</w:t>
            </w:r>
          </w:p>
        </w:tc>
      </w:tr>
      <w:tr w:rsidR="004614AE" w14:paraId="30F01201"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3521E9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06B64F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富荣基金管理有限公司关于旗下部分基金新增国泰君安证券股份有限公司为销售机构的公告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30C10D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2021年12月2日</w:t>
            </w:r>
          </w:p>
        </w:tc>
      </w:tr>
      <w:tr w:rsidR="004614AE" w14:paraId="2C6562EF"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4EF85D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3EF060F"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关于富荣福耀混合型证券投资基金提前结束募集的公告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3C8760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2021年12月25日</w:t>
            </w:r>
          </w:p>
        </w:tc>
      </w:tr>
      <w:tr w:rsidR="004614AE" w14:paraId="20503981"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891239F"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310587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富荣福耀混合型证券投资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合同生效公告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51E8E92"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2021年12月28日</w:t>
            </w:r>
          </w:p>
        </w:tc>
      </w:tr>
      <w:tr w:rsidR="004614AE" w14:paraId="578E9083"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0BAD8C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B1A94F1"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富荣福耀混合型证券投资</w:t>
            </w:r>
            <w:proofErr w:type="gramStart"/>
            <w:r>
              <w:rPr>
                <w:rFonts w:asciiTheme="minorEastAsia" w:hAnsiTheme="minorEastAsia" w:cs="Arial" w:hint="eastAsia"/>
                <w:sz w:val="24"/>
                <w:szCs w:val="24"/>
              </w:rPr>
              <w:t>基金基金</w:t>
            </w:r>
            <w:proofErr w:type="gramEnd"/>
            <w:r>
              <w:rPr>
                <w:rFonts w:asciiTheme="minorEastAsia" w:hAnsiTheme="minorEastAsia" w:cs="Arial" w:hint="eastAsia"/>
                <w:sz w:val="24"/>
                <w:szCs w:val="24"/>
              </w:rPr>
              <w:t>经理变更公告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5D0D52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2021年12月31日</w:t>
            </w:r>
          </w:p>
        </w:tc>
      </w:tr>
      <w:tr w:rsidR="004614AE" w14:paraId="3498C866"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34ACCC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79ECA4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富荣基金管理有限公司关于旗下公开募集证券投资基金执行新金融工具相关会计准则的公告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1C3EE4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2022年1月1日</w:t>
            </w:r>
          </w:p>
        </w:tc>
      </w:tr>
      <w:tr w:rsidR="004614AE" w14:paraId="1FF3F81F"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44CCA2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0F3C62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富荣福耀混合型证券投资基金招募说明书更新及产品资料概要更新的提示性公告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305C8C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2022年1月4日</w:t>
            </w:r>
          </w:p>
        </w:tc>
      </w:tr>
      <w:tr w:rsidR="004614AE" w14:paraId="7E607332"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828CD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461C3D6"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富荣福耀混合型证券投资基金开放日常申购、赎回、转换、定期定额投资业务公告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5A2B75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2022年1月22日</w:t>
            </w:r>
          </w:p>
        </w:tc>
      </w:tr>
      <w:tr w:rsidR="004614AE" w14:paraId="6490BADE"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530494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877722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富荣基金管理有限公司旗下全部基金2021年第4季度报告提示性公告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963CBDD"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2022年1月24日</w:t>
            </w:r>
          </w:p>
        </w:tc>
      </w:tr>
      <w:tr w:rsidR="004614AE" w14:paraId="3391C06C"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F5DD1D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D47A38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富荣基金管理有限公司关于富荣福耀混合型证券投资基金参加销售机构及直销渠道基金申购及定期定额投资申购费率优惠活动的公告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059795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2022年1月25日</w:t>
            </w:r>
          </w:p>
        </w:tc>
      </w:tr>
      <w:tr w:rsidR="004614AE" w14:paraId="24699020"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98FCEC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CFC25BF"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富荣基金管理有限公司旗下全部基金2022年第1季度报告提示性公告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040E3A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2022年4月22日</w:t>
            </w:r>
          </w:p>
        </w:tc>
      </w:tr>
      <w:tr w:rsidR="004614AE" w14:paraId="1FBC706F"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0CAE00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2018CE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富荣基金管理有限公司关于旗下基金参加北京</w:t>
            </w:r>
            <w:proofErr w:type="gramStart"/>
            <w:r>
              <w:rPr>
                <w:rFonts w:asciiTheme="minorEastAsia" w:hAnsiTheme="minorEastAsia" w:cs="Arial" w:hint="eastAsia"/>
                <w:sz w:val="24"/>
                <w:szCs w:val="24"/>
              </w:rPr>
              <w:t>创金启富基金</w:t>
            </w:r>
            <w:proofErr w:type="gramEnd"/>
            <w:r>
              <w:rPr>
                <w:rFonts w:asciiTheme="minorEastAsia" w:hAnsiTheme="minorEastAsia" w:cs="Arial" w:hint="eastAsia"/>
                <w:sz w:val="24"/>
                <w:szCs w:val="24"/>
              </w:rPr>
              <w:t>销售有限公司基金认购、申购及定期定额投资申购费率优惠活动的公告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086D59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2022年4月25日</w:t>
            </w:r>
          </w:p>
        </w:tc>
      </w:tr>
      <w:tr w:rsidR="004614AE" w14:paraId="003FCE18"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B321F7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CEDDED9"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富荣基金管理有限公司关于旗下基金参加和讯信息科技有限公司基金认购、申购及定期定额投资申购费率优惠活动的公告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C8B1F61"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2022年4月25日</w:t>
            </w:r>
          </w:p>
        </w:tc>
      </w:tr>
      <w:tr w:rsidR="004614AE" w14:paraId="75926770"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D219F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93A781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富荣基金管理有限公司关于旗下基金新增北京</w:t>
            </w:r>
            <w:proofErr w:type="gramStart"/>
            <w:r>
              <w:rPr>
                <w:rFonts w:asciiTheme="minorEastAsia" w:hAnsiTheme="minorEastAsia" w:cs="Arial" w:hint="eastAsia"/>
                <w:sz w:val="24"/>
                <w:szCs w:val="24"/>
              </w:rPr>
              <w:t>创金启富基金</w:t>
            </w:r>
            <w:proofErr w:type="gramEnd"/>
            <w:r>
              <w:rPr>
                <w:rFonts w:asciiTheme="minorEastAsia" w:hAnsiTheme="minorEastAsia" w:cs="Arial" w:hint="eastAsia"/>
                <w:sz w:val="24"/>
                <w:szCs w:val="24"/>
              </w:rPr>
              <w:t>销售有限公司为销售机构、开通基金定期定额投资业务和基金转换业务的公告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31CDE8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2022年4月25日</w:t>
            </w:r>
          </w:p>
        </w:tc>
      </w:tr>
      <w:tr w:rsidR="004614AE" w14:paraId="4AF6B3E5"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9737F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049BC9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富荣基金管理有限公司关于旗下基金新增和讯信息科技有限公司为销售机构、开通基金定期定额投资业务和基金转换业务的公告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7D4D4D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2022年4月25日</w:t>
            </w:r>
          </w:p>
        </w:tc>
      </w:tr>
      <w:tr w:rsidR="004614AE" w14:paraId="51C0E4FB"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56025F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lastRenderedPageBreak/>
              <w:t>1</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49D636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w:t>
            </w:r>
            <w:proofErr w:type="gramStart"/>
            <w:r>
              <w:rPr>
                <w:rFonts w:asciiTheme="minorEastAsia" w:hAnsiTheme="minorEastAsia" w:cs="Arial" w:hint="eastAsia"/>
                <w:sz w:val="24"/>
                <w:szCs w:val="24"/>
              </w:rPr>
              <w:t>新增万联证券</w:t>
            </w:r>
            <w:proofErr w:type="gramEnd"/>
            <w:r>
              <w:rPr>
                <w:rFonts w:asciiTheme="minorEastAsia" w:hAnsiTheme="minorEastAsia" w:cs="Arial" w:hint="eastAsia"/>
                <w:sz w:val="24"/>
                <w:szCs w:val="24"/>
              </w:rPr>
              <w:t>股份有限公司为销售机构并开通基金定期 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4FB24D6"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2022年4月29日</w:t>
            </w:r>
          </w:p>
        </w:tc>
      </w:tr>
      <w:tr w:rsidR="004614AE" w14:paraId="09D50218"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01D56B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1</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09462A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w:t>
            </w:r>
            <w:proofErr w:type="gramStart"/>
            <w:r>
              <w:rPr>
                <w:rFonts w:asciiTheme="minorEastAsia" w:hAnsiTheme="minorEastAsia" w:cs="Arial" w:hint="eastAsia"/>
                <w:sz w:val="24"/>
                <w:szCs w:val="24"/>
              </w:rPr>
              <w:t>参加万联证券</w:t>
            </w:r>
            <w:proofErr w:type="gramEnd"/>
            <w:r>
              <w:rPr>
                <w:rFonts w:asciiTheme="minorEastAsia" w:hAnsiTheme="minorEastAsia" w:cs="Arial" w:hint="eastAsia"/>
                <w:sz w:val="24"/>
                <w:szCs w:val="24"/>
              </w:rPr>
              <w:t>股份有限公司基金认购、申购及定期定额投资申购费率优惠活动的公告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79A69A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2022年4月29日</w:t>
            </w:r>
          </w:p>
        </w:tc>
      </w:tr>
      <w:tr w:rsidR="004614AE" w14:paraId="5DD814B7"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BBE09F1"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490375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富荣基金管理有限公司关于旗下部分基金新增中山证券有限责任公司为销售机构并开通基金定期 定额投资业务和基金转换业务的公告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BA902A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2022年4月29日</w:t>
            </w:r>
          </w:p>
        </w:tc>
      </w:tr>
      <w:tr w:rsidR="004614AE" w14:paraId="787FE3A9"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9F8BF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4C97A9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富荣基金管理有限公司关于旗下部分基金参加中山证券有限责任公司基金申购及定期定额投资申购费率优惠活动的公告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071CAD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2022年4月29日</w:t>
            </w:r>
          </w:p>
        </w:tc>
      </w:tr>
      <w:tr w:rsidR="004614AE" w14:paraId="78551A54"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D4DBBC2"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A28FAF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富荣基金管理有限公司关于开展旗下基金转换费率优惠活动的公告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612F8D8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2022年4月30日</w:t>
            </w:r>
          </w:p>
        </w:tc>
      </w:tr>
      <w:tr w:rsidR="004614AE" w14:paraId="19DBB811"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3E001BF"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3AFF8B1"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富荣基金管理有限公司关于旗下部分基金新增上海</w:t>
            </w:r>
            <w:proofErr w:type="gramStart"/>
            <w:r>
              <w:rPr>
                <w:rFonts w:asciiTheme="minorEastAsia" w:hAnsiTheme="minorEastAsia" w:cs="Arial" w:hint="eastAsia"/>
                <w:sz w:val="24"/>
                <w:szCs w:val="24"/>
              </w:rPr>
              <w:t>陆享基金</w:t>
            </w:r>
            <w:proofErr w:type="gramEnd"/>
            <w:r>
              <w:rPr>
                <w:rFonts w:asciiTheme="minorEastAsia" w:hAnsiTheme="minorEastAsia" w:cs="Arial" w:hint="eastAsia"/>
                <w:sz w:val="24"/>
                <w:szCs w:val="24"/>
              </w:rPr>
              <w:t>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0E4855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2022年5月17日</w:t>
            </w:r>
          </w:p>
        </w:tc>
      </w:tr>
      <w:tr w:rsidR="004614AE" w14:paraId="5280753C"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D3121C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00E941E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富荣基金管理有限公司关于提醒投资者持续完善身份信息资料的公告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F91413D"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2022年6月21日</w:t>
            </w:r>
          </w:p>
        </w:tc>
      </w:tr>
      <w:tr w:rsidR="004614AE" w14:paraId="1026B9E8"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51E6D5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1B56031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富荣基金管理有限公司关于旗下部分基金新增中</w:t>
            </w:r>
            <w:proofErr w:type="gramStart"/>
            <w:r>
              <w:rPr>
                <w:rFonts w:asciiTheme="minorEastAsia" w:hAnsiTheme="minorEastAsia" w:cs="Arial" w:hint="eastAsia"/>
                <w:sz w:val="24"/>
                <w:szCs w:val="24"/>
              </w:rPr>
              <w:t>邮证券</w:t>
            </w:r>
            <w:proofErr w:type="gramEnd"/>
            <w:r>
              <w:rPr>
                <w:rFonts w:asciiTheme="minorEastAsia" w:hAnsiTheme="minorEastAsia" w:cs="Arial" w:hint="eastAsia"/>
                <w:sz w:val="24"/>
                <w:szCs w:val="24"/>
              </w:rPr>
              <w:t>有限责任公司为销售机构、开通基金定期定额投资业务和基金转换业务并参加申购及定期定额投资申购费率优惠活动的公告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4DC16AB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2022年6月23日</w:t>
            </w:r>
          </w:p>
        </w:tc>
      </w:tr>
      <w:tr w:rsidR="004614AE" w14:paraId="442BA4F0"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B6B63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4788FD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富荣基金管理有限公司关于旗下部分基金新增上海陆金</w:t>
            </w:r>
            <w:proofErr w:type="gramStart"/>
            <w:r>
              <w:rPr>
                <w:rFonts w:asciiTheme="minorEastAsia" w:hAnsiTheme="minorEastAsia" w:cs="Arial" w:hint="eastAsia"/>
                <w:sz w:val="24"/>
                <w:szCs w:val="24"/>
              </w:rPr>
              <w:t>所基金</w:t>
            </w:r>
            <w:proofErr w:type="gramEnd"/>
            <w:r>
              <w:rPr>
                <w:rFonts w:asciiTheme="minorEastAsia" w:hAnsiTheme="minorEastAsia" w:cs="Arial" w:hint="eastAsia"/>
                <w:sz w:val="24"/>
                <w:szCs w:val="24"/>
              </w:rPr>
              <w:t>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033896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2022年7月11日</w:t>
            </w:r>
          </w:p>
        </w:tc>
      </w:tr>
      <w:tr w:rsidR="004614AE" w14:paraId="44F353A2"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963679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5894AD1"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富荣基金管理有限公司关于旗下部分基金新增五</w:t>
            </w:r>
            <w:proofErr w:type="gramStart"/>
            <w:r>
              <w:rPr>
                <w:rFonts w:asciiTheme="minorEastAsia" w:hAnsiTheme="minorEastAsia" w:cs="Arial" w:hint="eastAsia"/>
                <w:sz w:val="24"/>
                <w:szCs w:val="24"/>
              </w:rPr>
              <w:t>矿证券</w:t>
            </w:r>
            <w:proofErr w:type="gramEnd"/>
            <w:r>
              <w:rPr>
                <w:rFonts w:asciiTheme="minorEastAsia" w:hAnsiTheme="minorEastAsia" w:cs="Arial" w:hint="eastAsia"/>
                <w:sz w:val="24"/>
                <w:szCs w:val="24"/>
              </w:rPr>
              <w:t>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F081AA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2022年7月19日</w:t>
            </w:r>
          </w:p>
        </w:tc>
      </w:tr>
      <w:tr w:rsidR="004614AE" w14:paraId="75D9975D"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DC34F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BE8834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富荣基金管理有限公司旗下全部基金2022年第2季度报告提示性公告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2021B2F"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2022年7月21日</w:t>
            </w:r>
          </w:p>
        </w:tc>
      </w:tr>
      <w:tr w:rsidR="004614AE" w14:paraId="6199390A"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790BAF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4660F95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14A11C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2022年7月22日</w:t>
            </w:r>
          </w:p>
        </w:tc>
      </w:tr>
      <w:tr w:rsidR="004614AE" w14:paraId="56EF19C5"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2E197C" w14:textId="77777777" w:rsidR="004614AE" w:rsidRDefault="00000000" w:rsidP="00D3649B">
            <w:pPr>
              <w:jc w:val="left"/>
              <w:rPr>
                <w:rFonts w:asciiTheme="minorEastAsia" w:hAnsiTheme="minorEastAsia" w:cs="Arial"/>
                <w:sz w:val="24"/>
                <w:szCs w:val="24"/>
              </w:rPr>
            </w:pPr>
            <w:r>
              <w:rPr>
                <w:rFonts w:asciiTheme="minorEastAsia" w:hAnsiTheme="minorEastAsia" w:cs="Arial"/>
                <w:sz w:val="24"/>
                <w:szCs w:val="24"/>
              </w:rPr>
              <w:t>30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994969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富荣基金管理有限公司关于旗下部分基金新增京东肯特瑞基金销售有限公司为销售机构、开通基金定期定额投资业务和基金转换业务并参加申购及定期定额投资申购费率优惠活动的公告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4630CC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2022年7月26日</w:t>
            </w:r>
          </w:p>
        </w:tc>
      </w:tr>
      <w:tr w:rsidR="004614AE" w14:paraId="31AF0007"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DBC79B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296A246"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富荣基金管理有限公司关于旗下部分基金新增深圳市前海排</w:t>
            </w:r>
            <w:proofErr w:type="gramStart"/>
            <w:r>
              <w:rPr>
                <w:rFonts w:asciiTheme="minorEastAsia" w:hAnsiTheme="minorEastAsia" w:cs="Arial" w:hint="eastAsia"/>
                <w:sz w:val="24"/>
                <w:szCs w:val="24"/>
              </w:rPr>
              <w:t>排</w:t>
            </w:r>
            <w:proofErr w:type="gramEnd"/>
            <w:r>
              <w:rPr>
                <w:rFonts w:asciiTheme="minorEastAsia" w:hAnsiTheme="minorEastAsia" w:cs="Arial" w:hint="eastAsia"/>
                <w:sz w:val="24"/>
                <w:szCs w:val="24"/>
              </w:rPr>
              <w:t>网基金销售有限责任公司为销售机构、开通基金定期定额投资业务和基金转换业务并参加申</w:t>
            </w:r>
            <w:r>
              <w:rPr>
                <w:rFonts w:asciiTheme="minorEastAsia" w:hAnsiTheme="minorEastAsia" w:cs="Arial" w:hint="eastAsia"/>
                <w:sz w:val="24"/>
                <w:szCs w:val="24"/>
              </w:rPr>
              <w:lastRenderedPageBreak/>
              <w:t>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7DC18C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lastRenderedPageBreak/>
              <w:t>2022年7月29日</w:t>
            </w:r>
          </w:p>
        </w:tc>
      </w:tr>
      <w:tr w:rsidR="004614AE" w14:paraId="6FAAC77A"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A0EAC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355CA7A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富荣基金管理有限公司关于旗下部分基金新增中</w:t>
            </w:r>
            <w:proofErr w:type="gramStart"/>
            <w:r>
              <w:rPr>
                <w:rFonts w:asciiTheme="minorEastAsia" w:hAnsiTheme="minorEastAsia" w:cs="Arial" w:hint="eastAsia"/>
                <w:sz w:val="24"/>
                <w:szCs w:val="24"/>
              </w:rPr>
              <w:t>信建投证券</w:t>
            </w:r>
            <w:proofErr w:type="gramEnd"/>
            <w:r>
              <w:rPr>
                <w:rFonts w:asciiTheme="minorEastAsia" w:hAnsiTheme="minorEastAsia" w:cs="Arial" w:hint="eastAsia"/>
                <w:sz w:val="24"/>
                <w:szCs w:val="24"/>
              </w:rPr>
              <w:t>股份有限公司为销售机构、开通基金定期定额投资业务和基金转换业务并参加申购及定期定额投资申购费率优惠活动的公告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3E98315E"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2022年8月1日</w:t>
            </w:r>
          </w:p>
        </w:tc>
      </w:tr>
      <w:tr w:rsidR="004614AE" w14:paraId="4F64FFB0"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5B3757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0AEA15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富荣基金管理有限公司关于旗下部分基金新增上海</w:t>
            </w:r>
            <w:proofErr w:type="gramStart"/>
            <w:r>
              <w:rPr>
                <w:rFonts w:asciiTheme="minorEastAsia" w:hAnsiTheme="minorEastAsia" w:cs="Arial" w:hint="eastAsia"/>
                <w:sz w:val="24"/>
                <w:szCs w:val="24"/>
              </w:rPr>
              <w:t>凯</w:t>
            </w:r>
            <w:proofErr w:type="gramEnd"/>
            <w:r>
              <w:rPr>
                <w:rFonts w:asciiTheme="minorEastAsia" w:hAnsiTheme="minorEastAsia" w:cs="Arial" w:hint="eastAsia"/>
                <w:sz w:val="24"/>
                <w:szCs w:val="24"/>
              </w:rPr>
              <w:t>石财富基金销售有限公司为销售机构、开通基金定期定额投资业务和基金转换业务并参加申购及定期定额投资申购费率优惠活动的公告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67130A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2022年8月5日</w:t>
            </w:r>
          </w:p>
        </w:tc>
      </w:tr>
      <w:tr w:rsidR="004614AE" w14:paraId="57D0237D"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0B1EE8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518D15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富荣基金管理有限公司关于旗下部分基金新增招商证券股份有限公司为销售机构、开通基金定期定额投资业务和基金转换业务并参加申购及定期定额投资申购费率优惠活动的公告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422D84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2022年8月8日</w:t>
            </w:r>
          </w:p>
        </w:tc>
      </w:tr>
      <w:tr w:rsidR="004614AE" w14:paraId="0AB2E3C9"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EE4A6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5EA8282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富荣基金管理有限公司关于旗下部分基金新增嘉实财富管理有限公司为销售机构、开通基金定期定额投资业务和基金转换业务并参加申购及定期定额投资申购费率优惠活动的公告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41953DB"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2022年8月10日</w:t>
            </w:r>
          </w:p>
        </w:tc>
      </w:tr>
      <w:tr w:rsidR="004614AE" w14:paraId="63C89BC7"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BD946CD"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97DE377"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富荣基金管理有限公司高级管理人员变更公告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D8C2086"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2022年8月16日</w:t>
            </w:r>
          </w:p>
        </w:tc>
      </w:tr>
      <w:tr w:rsidR="004614AE" w14:paraId="68BD14AA"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20D1F1A"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C6EDAF2"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w:t>
            </w:r>
            <w:proofErr w:type="gramStart"/>
            <w:r>
              <w:rPr>
                <w:rFonts w:asciiTheme="minorEastAsia" w:hAnsiTheme="minorEastAsia" w:cs="Arial" w:hint="eastAsia"/>
                <w:sz w:val="24"/>
                <w:szCs w:val="24"/>
              </w:rPr>
              <w:t>新增粤开证券</w:t>
            </w:r>
            <w:proofErr w:type="gramEnd"/>
            <w:r>
              <w:rPr>
                <w:rFonts w:asciiTheme="minorEastAsia" w:hAnsiTheme="minorEastAsia" w:cs="Arial" w:hint="eastAsia"/>
                <w:sz w:val="24"/>
                <w:szCs w:val="24"/>
              </w:rPr>
              <w:t>股份有限公司为销售机构、开通基金定期定额投资业务和基金转换业务并参加申购及定期定额投资申购费率优惠活动的公告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73D26016"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2022年8月22日</w:t>
            </w:r>
          </w:p>
        </w:tc>
      </w:tr>
      <w:tr w:rsidR="004614AE" w14:paraId="70D1A7EE"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CEB48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6CF02855"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富荣基金管理有限公司关于旗下部分基金新增渤海证券股份有限公司为销售机构、开通基金定期定额投资业务和基金转换业务并参加申购及定期定额投资申购费率优惠活动的公告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44832C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2022年8月29日</w:t>
            </w:r>
          </w:p>
        </w:tc>
      </w:tr>
      <w:tr w:rsidR="004614AE" w14:paraId="21FB3B6D"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6243DE9"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3</w:t>
            </w:r>
            <w:r>
              <w:rPr>
                <w:rFonts w:asciiTheme="minorEastAsia" w:hAnsiTheme="minorEastAsia" w:cs="Arial"/>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2767F594"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富荣基金管理有限公司旗下全部基金2022年中期报告提示性公告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A44F1C0"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2022年8月31日</w:t>
            </w:r>
          </w:p>
        </w:tc>
      </w:tr>
      <w:tr w:rsidR="004614AE" w14:paraId="141B0A30" w14:textId="77777777" w:rsidTr="00D3649B">
        <w:trPr>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E2394EC"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0</w:t>
            </w:r>
          </w:p>
        </w:tc>
        <w:tc>
          <w:tcPr>
            <w:tcW w:w="5708" w:type="dxa"/>
            <w:tcBorders>
              <w:top w:val="single" w:sz="4" w:space="0" w:color="auto"/>
              <w:left w:val="single" w:sz="4" w:space="0" w:color="auto"/>
              <w:bottom w:val="single" w:sz="4" w:space="0" w:color="auto"/>
              <w:right w:val="single" w:sz="4" w:space="0" w:color="auto"/>
            </w:tcBorders>
            <w:shd w:val="clear" w:color="auto" w:fill="auto"/>
          </w:tcPr>
          <w:p w14:paraId="7614F0C8"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富荣基金管理有限公司关于旗下部分基金新增上海爱建基金销售有限公司为销售机构、开通基金定期定额投资业务和基金转换业务并参加申购及定期定额投资申购费率优惠活动的公告</w:t>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1C661AB3" w14:textId="77777777" w:rsidR="004614AE" w:rsidRDefault="00000000" w:rsidP="00D3649B">
            <w:pPr>
              <w:jc w:val="left"/>
              <w:rPr>
                <w:rFonts w:asciiTheme="minorEastAsia" w:hAnsiTheme="minorEastAsia" w:cs="Arial"/>
                <w:sz w:val="24"/>
                <w:szCs w:val="24"/>
              </w:rPr>
            </w:pPr>
            <w:r>
              <w:rPr>
                <w:rFonts w:asciiTheme="minorEastAsia" w:hAnsiTheme="minorEastAsia" w:cs="Arial" w:hint="eastAsia"/>
                <w:sz w:val="24"/>
                <w:szCs w:val="24"/>
              </w:rPr>
              <w:t>2022年9月20日</w:t>
            </w:r>
          </w:p>
        </w:tc>
      </w:tr>
    </w:tbl>
    <w:p w14:paraId="6C62A003" w14:textId="77777777" w:rsidR="004614AE" w:rsidRDefault="004614AE">
      <w:pPr>
        <w:widowControl/>
        <w:jc w:val="left"/>
        <w:rPr>
          <w:rFonts w:asciiTheme="minorEastAsia" w:hAnsiTheme="minorEastAsia"/>
          <w:sz w:val="24"/>
          <w:szCs w:val="24"/>
        </w:rPr>
      </w:pPr>
    </w:p>
    <w:p w14:paraId="1EA1855C" w14:textId="77777777" w:rsidR="004614AE" w:rsidRDefault="004614AE">
      <w:pPr>
        <w:widowControl/>
        <w:jc w:val="left"/>
        <w:rPr>
          <w:rFonts w:asciiTheme="minorEastAsia" w:hAnsiTheme="minorEastAsia"/>
          <w:sz w:val="24"/>
          <w:szCs w:val="24"/>
        </w:rPr>
      </w:pPr>
    </w:p>
    <w:p w14:paraId="3585CE0C" w14:textId="77777777" w:rsidR="004614AE" w:rsidRDefault="004614AE">
      <w:pPr>
        <w:widowControl/>
        <w:jc w:val="left"/>
        <w:rPr>
          <w:rFonts w:asciiTheme="minorEastAsia" w:hAnsiTheme="minorEastAsia"/>
          <w:sz w:val="24"/>
          <w:szCs w:val="24"/>
        </w:rPr>
      </w:pPr>
    </w:p>
    <w:p w14:paraId="693E81F7" w14:textId="77777777" w:rsidR="004614AE" w:rsidRDefault="004614AE">
      <w:pPr>
        <w:widowControl/>
        <w:jc w:val="left"/>
        <w:rPr>
          <w:rFonts w:asciiTheme="minorEastAsia" w:hAnsiTheme="minorEastAsia"/>
          <w:sz w:val="24"/>
          <w:szCs w:val="24"/>
        </w:rPr>
      </w:pPr>
    </w:p>
    <w:p w14:paraId="1E0CD83E" w14:textId="77777777" w:rsidR="004614AE" w:rsidRDefault="004614AE">
      <w:pPr>
        <w:widowControl/>
        <w:jc w:val="left"/>
        <w:rPr>
          <w:rFonts w:asciiTheme="minorEastAsia" w:hAnsiTheme="minorEastAsia"/>
          <w:sz w:val="24"/>
          <w:szCs w:val="24"/>
        </w:rPr>
      </w:pPr>
    </w:p>
    <w:p w14:paraId="6DD0917F" w14:textId="77777777" w:rsidR="004614AE" w:rsidRDefault="004614AE">
      <w:pPr>
        <w:widowControl/>
        <w:jc w:val="left"/>
        <w:rPr>
          <w:rFonts w:asciiTheme="minorEastAsia" w:hAnsiTheme="minorEastAsia"/>
          <w:sz w:val="24"/>
          <w:szCs w:val="24"/>
        </w:rPr>
      </w:pPr>
    </w:p>
    <w:p w14:paraId="756AA035" w14:textId="77777777" w:rsidR="004614AE" w:rsidRDefault="004614AE">
      <w:pPr>
        <w:widowControl/>
        <w:jc w:val="left"/>
        <w:rPr>
          <w:rFonts w:asciiTheme="minorEastAsia" w:hAnsiTheme="minorEastAsia"/>
          <w:sz w:val="24"/>
          <w:szCs w:val="24"/>
        </w:rPr>
      </w:pPr>
    </w:p>
    <w:p w14:paraId="169100D3" w14:textId="77777777" w:rsidR="004614AE" w:rsidRDefault="004614AE">
      <w:pPr>
        <w:widowControl/>
        <w:jc w:val="left"/>
        <w:rPr>
          <w:rFonts w:asciiTheme="minorEastAsia" w:hAnsiTheme="minorEastAsia"/>
          <w:sz w:val="24"/>
          <w:szCs w:val="24"/>
        </w:rPr>
      </w:pPr>
    </w:p>
    <w:p w14:paraId="53D963F6" w14:textId="77777777" w:rsidR="004614AE" w:rsidRDefault="004614AE">
      <w:pPr>
        <w:widowControl/>
        <w:jc w:val="left"/>
        <w:rPr>
          <w:rFonts w:asciiTheme="minorEastAsia" w:hAnsiTheme="minorEastAsia"/>
          <w:sz w:val="24"/>
          <w:szCs w:val="24"/>
        </w:rPr>
      </w:pPr>
    </w:p>
    <w:p w14:paraId="55DCAEE1" w14:textId="77777777" w:rsidR="004614AE" w:rsidRDefault="004614AE">
      <w:pPr>
        <w:widowControl/>
        <w:jc w:val="left"/>
        <w:rPr>
          <w:rFonts w:asciiTheme="minorEastAsia" w:hAnsiTheme="minorEastAsia"/>
          <w:sz w:val="24"/>
          <w:szCs w:val="24"/>
        </w:rPr>
      </w:pPr>
    </w:p>
    <w:p w14:paraId="0E2DD7C4" w14:textId="77777777" w:rsidR="004614AE" w:rsidRDefault="004614AE">
      <w:pPr>
        <w:widowControl/>
        <w:jc w:val="left"/>
        <w:rPr>
          <w:rFonts w:asciiTheme="minorEastAsia" w:hAnsiTheme="minorEastAsia"/>
          <w:sz w:val="24"/>
          <w:szCs w:val="24"/>
        </w:rPr>
      </w:pPr>
    </w:p>
    <w:p w14:paraId="0FBB2E82" w14:textId="77777777" w:rsidR="004614AE" w:rsidRDefault="004614AE" w:rsidP="00D3649B">
      <w:pPr>
        <w:widowControl/>
        <w:spacing w:line="360" w:lineRule="auto"/>
        <w:ind w:firstLineChars="200" w:firstLine="480"/>
        <w:jc w:val="left"/>
        <w:rPr>
          <w:rFonts w:asciiTheme="minorEastAsia" w:hAnsiTheme="minorEastAsia"/>
          <w:sz w:val="24"/>
          <w:szCs w:val="24"/>
        </w:rPr>
        <w:sectPr w:rsidR="004614AE">
          <w:headerReference w:type="even" r:id="rId66"/>
          <w:headerReference w:type="default" r:id="rId67"/>
          <w:footerReference w:type="default" r:id="rId68"/>
          <w:headerReference w:type="first" r:id="rId69"/>
          <w:pgSz w:w="11906" w:h="16838"/>
          <w:pgMar w:top="1440" w:right="1800" w:bottom="1440" w:left="1800" w:header="851" w:footer="992" w:gutter="0"/>
          <w:pgNumType w:chapStyle="1"/>
          <w:cols w:space="720"/>
          <w:docGrid w:type="lines" w:linePitch="312"/>
        </w:sectPr>
      </w:pPr>
    </w:p>
    <w:p w14:paraId="1AF3DC76" w14:textId="77777777" w:rsidR="004614AE" w:rsidRDefault="00000000">
      <w:pPr>
        <w:pStyle w:val="1"/>
        <w:jc w:val="center"/>
        <w:rPr>
          <w:sz w:val="30"/>
          <w:szCs w:val="30"/>
        </w:rPr>
      </w:pPr>
      <w:bookmarkStart w:id="459" w:name="_Toc263092329"/>
      <w:bookmarkStart w:id="460" w:name="_Toc416264556"/>
      <w:bookmarkStart w:id="461" w:name="_Toc530223198"/>
      <w:bookmarkStart w:id="462" w:name="_Toc68266309"/>
      <w:bookmarkStart w:id="463" w:name="_Toc214873622"/>
      <w:bookmarkStart w:id="464" w:name="_Toc119568479"/>
      <w:bookmarkEnd w:id="428"/>
      <w:bookmarkEnd w:id="429"/>
      <w:bookmarkEnd w:id="430"/>
      <w:bookmarkEnd w:id="431"/>
      <w:bookmarkEnd w:id="432"/>
      <w:bookmarkEnd w:id="433"/>
      <w:r>
        <w:rPr>
          <w:rFonts w:hint="eastAsia"/>
          <w:sz w:val="30"/>
          <w:szCs w:val="30"/>
        </w:rPr>
        <w:lastRenderedPageBreak/>
        <w:t>第二十三部分</w:t>
      </w:r>
      <w:r>
        <w:rPr>
          <w:sz w:val="30"/>
          <w:szCs w:val="30"/>
        </w:rPr>
        <w:t xml:space="preserve">  </w:t>
      </w:r>
      <w:r>
        <w:rPr>
          <w:rFonts w:hint="eastAsia"/>
          <w:sz w:val="30"/>
          <w:szCs w:val="30"/>
        </w:rPr>
        <w:t>招募说明书存放及查阅方式</w:t>
      </w:r>
      <w:bookmarkEnd w:id="459"/>
      <w:bookmarkEnd w:id="460"/>
      <w:bookmarkEnd w:id="461"/>
      <w:bookmarkEnd w:id="462"/>
      <w:bookmarkEnd w:id="463"/>
      <w:bookmarkEnd w:id="464"/>
    </w:p>
    <w:p w14:paraId="185D6D4B"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336823A"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6D2EDCCF" w14:textId="77777777" w:rsidR="004614AE" w:rsidRDefault="004614AE">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4614AE">
          <w:headerReference w:type="even" r:id="rId70"/>
          <w:headerReference w:type="default" r:id="rId71"/>
          <w:footerReference w:type="default" r:id="rId72"/>
          <w:headerReference w:type="first" r:id="rId73"/>
          <w:pgSz w:w="11906" w:h="16838"/>
          <w:pgMar w:top="1440" w:right="1800" w:bottom="1440" w:left="1800" w:header="851" w:footer="992" w:gutter="0"/>
          <w:cols w:space="425"/>
          <w:docGrid w:type="lines" w:linePitch="312"/>
        </w:sectPr>
      </w:pPr>
      <w:bookmarkStart w:id="465" w:name="_Toc416268879"/>
      <w:bookmarkStart w:id="466" w:name="_Toc263092330"/>
    </w:p>
    <w:p w14:paraId="39D9E710" w14:textId="77777777" w:rsidR="004614AE" w:rsidRDefault="00000000">
      <w:pPr>
        <w:pStyle w:val="1"/>
        <w:jc w:val="center"/>
      </w:pPr>
      <w:bookmarkStart w:id="467" w:name="_Toc68266310"/>
      <w:bookmarkStart w:id="468" w:name="_Toc119568480"/>
      <w:bookmarkEnd w:id="61"/>
      <w:bookmarkEnd w:id="6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65"/>
      <w:bookmarkEnd w:id="466"/>
      <w:r>
        <w:rPr>
          <w:sz w:val="30"/>
          <w:szCs w:val="30"/>
        </w:rPr>
        <w:lastRenderedPageBreak/>
        <w:t>第二十</w:t>
      </w:r>
      <w:r>
        <w:rPr>
          <w:rFonts w:hint="eastAsia"/>
          <w:sz w:val="30"/>
          <w:szCs w:val="30"/>
        </w:rPr>
        <w:t>四</w:t>
      </w:r>
      <w:r>
        <w:rPr>
          <w:sz w:val="30"/>
          <w:szCs w:val="30"/>
        </w:rPr>
        <w:t>部分  备查文件</w:t>
      </w:r>
      <w:bookmarkEnd w:id="467"/>
      <w:bookmarkEnd w:id="468"/>
    </w:p>
    <w:p w14:paraId="77822002"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5612ECB4"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2F0F9886"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（二）《富荣福耀混合型证券投资基金基金合同》 </w:t>
      </w:r>
    </w:p>
    <w:p w14:paraId="045B0C13"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（三）《富荣福耀混合型证券投资基金托管协议》 </w:t>
      </w:r>
    </w:p>
    <w:p w14:paraId="33EADBA4"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53F8F8E5"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11714CA0"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富荣福耀混合型证券投资基金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42954B06"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746C0828" w14:textId="77777777" w:rsidR="004614AE" w:rsidRDefault="00000000">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6F81E4B5" w14:textId="77777777" w:rsidR="004614AE" w:rsidRDefault="004614AE">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52FEF75" w14:textId="77777777" w:rsidR="004614AE" w:rsidRDefault="004614AE">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B025782"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23E407AC"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7E070542"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6E61A285"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32A4B7BC"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74298508"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77E166A9"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1D2C4AD2"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473F23A5"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5C47441C"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350CD7D7"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48C11BA3" w14:textId="77777777" w:rsidR="004614AE" w:rsidRDefault="004614AE">
      <w:pPr>
        <w:widowControl/>
        <w:adjustRightInd w:val="0"/>
        <w:snapToGrid w:val="0"/>
        <w:spacing w:line="360" w:lineRule="auto"/>
        <w:ind w:rightChars="-85" w:right="-178" w:firstLineChars="200" w:firstLine="420"/>
        <w:rPr>
          <w:rFonts w:ascii="Arial" w:eastAsia="宋体" w:hAnsi="Arial" w:cs="Arial"/>
          <w:kern w:val="0"/>
          <w:szCs w:val="21"/>
        </w:rPr>
      </w:pPr>
    </w:p>
    <w:p w14:paraId="334E0F76" w14:textId="77777777" w:rsidR="004614AE" w:rsidRDefault="00000000">
      <w:pPr>
        <w:widowControl/>
        <w:adjustRightInd w:val="0"/>
        <w:snapToGrid w:val="0"/>
        <w:spacing w:line="360" w:lineRule="auto"/>
        <w:ind w:rightChars="-85" w:right="-178"/>
        <w:jc w:val="right"/>
        <w:rPr>
          <w:rFonts w:asciiTheme="minorEastAsia" w:hAnsiTheme="minorEastAsia" w:cs="Arial"/>
          <w:kern w:val="0"/>
          <w:sz w:val="24"/>
          <w:szCs w:val="24"/>
        </w:rPr>
      </w:pPr>
      <w:r>
        <w:rPr>
          <w:rFonts w:asciiTheme="minorEastAsia" w:hAnsiTheme="minorEastAsia" w:cs="Arial" w:hint="eastAsia"/>
          <w:kern w:val="0"/>
          <w:sz w:val="24"/>
          <w:szCs w:val="24"/>
        </w:rPr>
        <w:t xml:space="preserve">富荣基金管理有限公司 </w:t>
      </w:r>
    </w:p>
    <w:p w14:paraId="54B3F423" w14:textId="77777777" w:rsidR="004614AE" w:rsidRDefault="00000000">
      <w:pPr>
        <w:widowControl/>
        <w:adjustRightInd w:val="0"/>
        <w:snapToGrid w:val="0"/>
        <w:spacing w:line="360" w:lineRule="auto"/>
        <w:ind w:rightChars="-85" w:right="-178"/>
        <w:jc w:val="right"/>
      </w:pPr>
      <w:r>
        <w:rPr>
          <w:rFonts w:asciiTheme="minorEastAsia" w:hAnsiTheme="minorEastAsia" w:cs="Arial" w:hint="eastAsia"/>
          <w:kern w:val="0"/>
          <w:sz w:val="24"/>
          <w:szCs w:val="24"/>
        </w:rPr>
        <w:t>202</w:t>
      </w:r>
      <w:r>
        <w:rPr>
          <w:rFonts w:asciiTheme="minorEastAsia" w:hAnsiTheme="minorEastAsia" w:cs="Arial"/>
          <w:kern w:val="0"/>
          <w:sz w:val="24"/>
          <w:szCs w:val="24"/>
        </w:rPr>
        <w:t>2</w:t>
      </w:r>
      <w:r>
        <w:rPr>
          <w:rFonts w:asciiTheme="minorEastAsia" w:hAnsiTheme="minorEastAsia" w:cs="Arial" w:hint="eastAsia"/>
          <w:kern w:val="0"/>
          <w:sz w:val="24"/>
          <w:szCs w:val="24"/>
        </w:rPr>
        <w:t xml:space="preserve">年 </w:t>
      </w:r>
      <w:r>
        <w:rPr>
          <w:rFonts w:asciiTheme="minorEastAsia" w:hAnsiTheme="minorEastAsia" w:cs="Arial"/>
          <w:kern w:val="0"/>
          <w:sz w:val="24"/>
          <w:szCs w:val="24"/>
        </w:rPr>
        <w:t>11</w:t>
      </w:r>
      <w:r>
        <w:rPr>
          <w:rFonts w:asciiTheme="minorEastAsia" w:hAnsiTheme="minorEastAsia" w:cs="Arial" w:hint="eastAsia"/>
          <w:kern w:val="0"/>
          <w:sz w:val="24"/>
          <w:szCs w:val="24"/>
        </w:rPr>
        <w:t xml:space="preserve">月 </w:t>
      </w:r>
      <w:r>
        <w:rPr>
          <w:rFonts w:asciiTheme="minorEastAsia" w:hAnsiTheme="minorEastAsia" w:cs="Arial"/>
          <w:kern w:val="0"/>
          <w:sz w:val="24"/>
          <w:szCs w:val="24"/>
        </w:rPr>
        <w:t>23</w:t>
      </w:r>
      <w:r>
        <w:rPr>
          <w:rFonts w:asciiTheme="minorEastAsia" w:hAnsiTheme="minorEastAsia" w:cs="Arial" w:hint="eastAsia"/>
          <w:kern w:val="0"/>
          <w:sz w:val="24"/>
          <w:szCs w:val="24"/>
        </w:rPr>
        <w:t xml:space="preserve"> 日</w:t>
      </w:r>
    </w:p>
    <w:sectPr w:rsidR="004614AE" w:rsidSect="007033A4">
      <w:headerReference w:type="even" r:id="rId74"/>
      <w:headerReference w:type="default" r:id="rId75"/>
      <w:headerReference w:type="first" r:id="rId76"/>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1F4D" w14:textId="77777777" w:rsidR="008858A3" w:rsidRDefault="008858A3">
      <w:r>
        <w:separator/>
      </w:r>
    </w:p>
  </w:endnote>
  <w:endnote w:type="continuationSeparator" w:id="0">
    <w:p w14:paraId="5CC0546E" w14:textId="77777777" w:rsidR="008858A3" w:rsidRDefault="0088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font>
  <w:font w:name="方正仿宋简体">
    <w:altName w:val="微软雅黑"/>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Content>
      <w:p w14:paraId="1DC0148F"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w:t>
        </w:r>
        <w:r>
          <w:rPr>
            <w:lang w:val="zh-CN"/>
          </w:rPr>
          <w:fldChar w:fldCharType="end"/>
        </w:r>
      </w:p>
    </w:sdtContent>
  </w:sdt>
  <w:p w14:paraId="6CE16D71" w14:textId="77777777" w:rsidR="004614AE" w:rsidRDefault="004614AE">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Content>
      <w:p w14:paraId="695B8176"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91</w:t>
        </w:r>
        <w:r>
          <w:rPr>
            <w:lang w:val="zh-CN"/>
          </w:rPr>
          <w:fldChar w:fldCharType="end"/>
        </w:r>
      </w:p>
    </w:sdtContent>
  </w:sdt>
  <w:p w14:paraId="76828C5E" w14:textId="77777777" w:rsidR="004614AE" w:rsidRDefault="004614AE">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Content>
      <w:p w14:paraId="577F7372"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137</w:t>
        </w:r>
        <w:r>
          <w:rPr>
            <w:lang w:val="zh-CN"/>
          </w:rPr>
          <w:fldChar w:fldCharType="end"/>
        </w:r>
      </w:p>
    </w:sdtContent>
  </w:sdt>
  <w:p w14:paraId="4F7CCCBB" w14:textId="77777777" w:rsidR="004614AE" w:rsidRDefault="004614AE">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8774"/>
    </w:sdtPr>
    <w:sdtContent>
      <w:p w14:paraId="5577D73B"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138</w:t>
        </w:r>
        <w:r>
          <w:rPr>
            <w:lang w:val="zh-CN"/>
          </w:rPr>
          <w:fldChar w:fldCharType="end"/>
        </w:r>
      </w:p>
    </w:sdtContent>
  </w:sdt>
  <w:p w14:paraId="7188C441" w14:textId="77777777" w:rsidR="004614AE" w:rsidRDefault="004614A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Content>
      <w:p w14:paraId="70E7BB43"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4</w:t>
        </w:r>
        <w:r>
          <w:rPr>
            <w:lang w:val="zh-CN"/>
          </w:rPr>
          <w:fldChar w:fldCharType="end"/>
        </w:r>
      </w:p>
    </w:sdtContent>
  </w:sdt>
  <w:p w14:paraId="0507F3B4" w14:textId="77777777" w:rsidR="004614AE" w:rsidRDefault="004614A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Content>
      <w:p w14:paraId="2ADE50B0"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9</w:t>
        </w:r>
        <w:r>
          <w:rPr>
            <w:lang w:val="zh-CN"/>
          </w:rPr>
          <w:fldChar w:fldCharType="end"/>
        </w:r>
      </w:p>
    </w:sdtContent>
  </w:sdt>
  <w:p w14:paraId="2DCA3193" w14:textId="77777777" w:rsidR="004614AE" w:rsidRDefault="004614AE">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Content>
      <w:p w14:paraId="711CF93F"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20</w:t>
        </w:r>
        <w:r>
          <w:rPr>
            <w:lang w:val="zh-CN"/>
          </w:rPr>
          <w:fldChar w:fldCharType="end"/>
        </w:r>
      </w:p>
    </w:sdtContent>
  </w:sdt>
  <w:p w14:paraId="7F92C830" w14:textId="77777777" w:rsidR="004614AE" w:rsidRDefault="004614AE">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Content>
      <w:p w14:paraId="64DA77B5"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31</w:t>
        </w:r>
        <w:r>
          <w:rPr>
            <w:lang w:val="zh-CN"/>
          </w:rPr>
          <w:fldChar w:fldCharType="end"/>
        </w:r>
      </w:p>
    </w:sdtContent>
  </w:sdt>
  <w:p w14:paraId="2C2F5124" w14:textId="77777777" w:rsidR="004614AE" w:rsidRDefault="004614AE">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Content>
      <w:p w14:paraId="7F351910"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35</w:t>
        </w:r>
        <w:r>
          <w:rPr>
            <w:lang w:val="zh-CN"/>
          </w:rPr>
          <w:fldChar w:fldCharType="end"/>
        </w:r>
      </w:p>
    </w:sdtContent>
  </w:sdt>
  <w:p w14:paraId="330F73E6" w14:textId="77777777" w:rsidR="004614AE" w:rsidRDefault="004614AE">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Content>
      <w:p w14:paraId="6149C0F5" w14:textId="77777777" w:rsidR="004614AE" w:rsidRDefault="00000000">
        <w:pPr>
          <w:pStyle w:val="af0"/>
          <w:jc w:val="center"/>
        </w:pPr>
        <w:r>
          <w:rPr>
            <w:lang w:val="zh-CN"/>
          </w:rPr>
          <w:fldChar w:fldCharType="begin"/>
        </w:r>
        <w:r>
          <w:rPr>
            <w:lang w:val="zh-CN"/>
          </w:rPr>
          <w:instrText>PAGE   \* MERGEFORMAT</w:instrText>
        </w:r>
        <w:r>
          <w:rPr>
            <w:lang w:val="zh-CN"/>
          </w:rPr>
          <w:fldChar w:fldCharType="separate"/>
        </w:r>
        <w:r>
          <w:rPr>
            <w:lang w:val="zh-CN"/>
          </w:rPr>
          <w:t>37</w:t>
        </w:r>
        <w:r>
          <w:rPr>
            <w:lang w:val="zh-CN"/>
          </w:rPr>
          <w:fldChar w:fldCharType="end"/>
        </w:r>
      </w:p>
    </w:sdtContent>
  </w:sdt>
  <w:p w14:paraId="657C64C6" w14:textId="77777777" w:rsidR="004614AE" w:rsidRDefault="004614AE">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E567" w14:textId="77777777" w:rsidR="004614AE" w:rsidRDefault="00000000">
    <w:pPr>
      <w:pStyle w:val="af0"/>
      <w:jc w:val="center"/>
    </w:pPr>
    <w:r>
      <w:fldChar w:fldCharType="begin"/>
    </w:r>
    <w:r>
      <w:instrText xml:space="preserve"> PAGE   \* MERGEFORMAT </w:instrText>
    </w:r>
    <w:r>
      <w:fldChar w:fldCharType="separate"/>
    </w:r>
    <w:r>
      <w:rPr>
        <w:lang w:val="zh-CN"/>
      </w:rPr>
      <w:t>64</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2A47" w14:textId="77777777" w:rsidR="004614AE" w:rsidRDefault="00000000">
    <w:pPr>
      <w:pStyle w:val="af0"/>
      <w:jc w:val="center"/>
    </w:pPr>
    <w:r>
      <w:fldChar w:fldCharType="begin"/>
    </w:r>
    <w:r>
      <w:instrText xml:space="preserve"> PAGE   \* MERGEFORMAT </w:instrText>
    </w:r>
    <w:r>
      <w:fldChar w:fldCharType="separate"/>
    </w:r>
    <w:r>
      <w:rPr>
        <w:lang w:val="zh-CN"/>
      </w:rPr>
      <w:t>38</w:t>
    </w:r>
    <w:r>
      <w:rPr>
        <w:lang w:val="zh-CN"/>
      </w:rPr>
      <w:fldChar w:fldCharType="end"/>
    </w:r>
  </w:p>
  <w:p w14:paraId="4E4F923A" w14:textId="77777777" w:rsidR="004614AE" w:rsidRDefault="004614A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2DE7" w14:textId="77777777" w:rsidR="008858A3" w:rsidRDefault="008858A3">
      <w:r>
        <w:separator/>
      </w:r>
    </w:p>
  </w:footnote>
  <w:footnote w:type="continuationSeparator" w:id="0">
    <w:p w14:paraId="15F5073C" w14:textId="77777777" w:rsidR="008858A3" w:rsidRDefault="0088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61A6" w14:textId="77777777" w:rsidR="004614AE" w:rsidRDefault="00000000">
    <w:r>
      <w:pict w14:anchorId="521B3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0;margin-top:0;width:222.75pt;height:315.75pt;z-index:251660288;mso-position-horizontal:center;mso-position-horizontal-relative:page;mso-position-vertical:center;mso-position-vertical-relative:page">
          <v:imagedata r:id="rId1" o:title=""/>
          <o:lock v:ext="edit" aspectratio="f"/>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DA39" w14:textId="77777777" w:rsidR="004614AE" w:rsidRDefault="00000000">
    <w:r>
      <w:pict w14:anchorId="6DB515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4" type="#_x0000_t75" style="position:absolute;left:0;text-align:left;margin-left:0;margin-top:0;width:222.75pt;height:315.75pt;z-index:251669504;mso-position-horizontal:center;mso-position-horizontal-relative:page;mso-position-vertical:center;mso-position-vertical-relative:page">
          <v:imagedata r:id="rId1" o:title=""/>
          <o:lock v:ext="edit" aspectratio="f"/>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A9D4" w14:textId="77777777" w:rsidR="004614AE" w:rsidRDefault="00000000">
    <w:r>
      <w:pict w14:anchorId="57066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2" type="#_x0000_t75" style="position:absolute;left:0;text-align:left;margin-left:0;margin-top:0;width:222.75pt;height:315.75pt;z-index:251667456;mso-position-horizontal:center;mso-position-horizontal-relative:page;mso-position-vertical:center;mso-position-vertical-relative:page">
          <v:imagedata r:id="rId1" o:title=""/>
          <o:lock v:ext="edit" aspectratio="f"/>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B668" w14:textId="77777777" w:rsidR="004614AE" w:rsidRDefault="00000000">
    <w:r>
      <w:pict w14:anchorId="2AAE5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3" type="#_x0000_t75" style="position:absolute;left:0;text-align:left;margin-left:0;margin-top:0;width:222.75pt;height:315.75pt;z-index:251668480;mso-position-horizontal:center;mso-position-horizontal-relative:page;mso-position-vertical:center;mso-position-vertical-relative:page">
          <v:imagedata r:id="rId1" o:title=""/>
          <o:lock v:ext="edit" aspectratio="f"/>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A7AC" w14:textId="77777777" w:rsidR="004614AE" w:rsidRDefault="00000000">
    <w:r>
      <w:pict w14:anchorId="7E630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7" type="#_x0000_t75" style="position:absolute;left:0;text-align:left;margin-left:0;margin-top:0;width:222.75pt;height:315.75pt;z-index:251672576;mso-position-horizontal:center;mso-position-horizontal-relative:page;mso-position-vertical:center;mso-position-vertical-relative:page">
          <v:imagedata r:id="rId1" o:title=""/>
          <o:lock v:ext="edit" aspectratio="f"/>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77B8" w14:textId="77777777" w:rsidR="004614AE" w:rsidRDefault="00000000">
    <w:r>
      <w:pict w14:anchorId="37CF8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5" type="#_x0000_t75" style="position:absolute;left:0;text-align:left;margin-left:0;margin-top:0;width:222.75pt;height:315.75pt;z-index:251670528;mso-position-horizontal:center;mso-position-horizontal-relative:page;mso-position-vertical:center;mso-position-vertical-relative:page">
          <v:imagedata r:id="rId1" o:title=""/>
          <o:lock v:ext="edit" aspectratio="f"/>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CA6F" w14:textId="77777777" w:rsidR="004614AE" w:rsidRDefault="00000000">
    <w:r>
      <w:pict w14:anchorId="2E8C9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6" type="#_x0000_t75" style="position:absolute;left:0;text-align:left;margin-left:0;margin-top:0;width:222.75pt;height:315.75pt;z-index:251671552;mso-position-horizontal:center;mso-position-horizontal-relative:page;mso-position-vertical:center;mso-position-vertical-relative:page">
          <v:imagedata r:id="rId1" o:title=""/>
          <o:lock v:ext="edit" aspectratio="f"/>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DF0D" w14:textId="77777777" w:rsidR="004614AE" w:rsidRDefault="00000000">
    <w:r>
      <w:pict w14:anchorId="639CE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0" type="#_x0000_t75" style="position:absolute;left:0;text-align:left;margin-left:0;margin-top:0;width:222.75pt;height:315.75pt;z-index:251675648;mso-position-horizontal:center;mso-position-horizontal-relative:page;mso-position-vertical:center;mso-position-vertical-relative:page">
          <v:imagedata r:id="rId1" o:title=""/>
          <o:lock v:ext="edit" aspectratio="f"/>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4AF" w14:textId="77777777" w:rsidR="004614AE" w:rsidRDefault="00000000">
    <w:r>
      <w:pict w14:anchorId="1477D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8" type="#_x0000_t75" style="position:absolute;left:0;text-align:left;margin-left:0;margin-top:0;width:222.75pt;height:315.75pt;z-index:251673600;mso-position-horizontal:center;mso-position-horizontal-relative:page;mso-position-vertical:center;mso-position-vertical-relative:page">
          <v:imagedata r:id="rId1" o:title=""/>
          <o:lock v:ext="edit" aspectratio="f"/>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25A2" w14:textId="77777777" w:rsidR="004614AE" w:rsidRDefault="00000000">
    <w:r>
      <w:pict w14:anchorId="551F7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9" type="#_x0000_t75" style="position:absolute;left:0;text-align:left;margin-left:0;margin-top:0;width:222.75pt;height:315.75pt;z-index:251674624;mso-position-horizontal:center;mso-position-horizontal-relative:page;mso-position-vertical:center;mso-position-vertical-relative:page">
          <v:imagedata r:id="rId1" o:title=""/>
          <o:lock v:ext="edit" aspectratio="f"/>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2622" w14:textId="77777777" w:rsidR="004614AE" w:rsidRDefault="00000000">
    <w:r>
      <w:pict w14:anchorId="34067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3" type="#_x0000_t75" style="position:absolute;left:0;text-align:left;margin-left:0;margin-top:0;width:222.75pt;height:315.75pt;z-index:251678720;mso-position-horizontal:center;mso-position-horizontal-relative:page;mso-position-vertical:center;mso-position-vertical-relative:page">
          <v:imagedata r:id="rId1" o:title=""/>
          <o:lock v:ext="edit" aspectratio="f"/>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7048" w14:textId="77777777" w:rsidR="004614AE" w:rsidRDefault="00000000">
    <w:pPr>
      <w:pStyle w:val="af2"/>
      <w:jc w:val="both"/>
    </w:pPr>
    <w:r>
      <w:rPr>
        <w:rFonts w:ascii="Arial" w:hAnsi="Arial" w:cs="Arial" w:hint="eastAsia"/>
        <w:szCs w:val="21"/>
      </w:rPr>
      <w:t>富荣福耀混合型证券投资基金更新的招募说明书（</w:t>
    </w:r>
    <w:r>
      <w:rPr>
        <w:rFonts w:ascii="Arial" w:hAnsi="Arial" w:cs="Arial" w:hint="eastAsia"/>
        <w:szCs w:val="21"/>
      </w:rPr>
      <w:t>2</w:t>
    </w:r>
    <w:r>
      <w:rPr>
        <w:rFonts w:ascii="Arial" w:hAnsi="Arial" w:cs="Arial"/>
        <w:szCs w:val="21"/>
      </w:rPr>
      <w:t>022</w:t>
    </w:r>
    <w:r>
      <w:rPr>
        <w:rFonts w:ascii="Arial" w:hAnsi="Arial" w:cs="Arial" w:hint="eastAsia"/>
        <w:szCs w:val="21"/>
      </w:rPr>
      <w:t>年第</w:t>
    </w:r>
    <w:r>
      <w:rPr>
        <w:rFonts w:ascii="Arial" w:hAnsi="Arial" w:cs="Arial" w:hint="eastAsia"/>
        <w:szCs w:val="21"/>
      </w:rPr>
      <w:t>2</w:t>
    </w:r>
    <w:r>
      <w:rPr>
        <w:rFonts w:ascii="Arial" w:hAnsi="Arial" w:cs="Arial" w:hint="eastAsia"/>
        <w:szCs w:val="21"/>
      </w:rPr>
      <w:t>号）</w:t>
    </w:r>
  </w:p>
  <w:p w14:paraId="1EF65040" w14:textId="77777777" w:rsidR="004614AE" w:rsidRDefault="00000000">
    <w:r>
      <w:pict w14:anchorId="7A01B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0;margin-top:0;width:222.75pt;height:315.75pt;z-index:251659264;mso-position-horizontal:center;mso-position-horizontal-relative:page;mso-position-vertical:center;mso-position-vertical-relative:page">
          <v:imagedata r:id="rId1" o:title=""/>
          <o:lock v:ext="edit" aspectratio="f"/>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8A3C" w14:textId="77777777" w:rsidR="004614AE" w:rsidRDefault="00000000">
    <w:r>
      <w:pict w14:anchorId="769F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1" type="#_x0000_t75" style="position:absolute;left:0;text-align:left;margin-left:0;margin-top:0;width:222.75pt;height:315.75pt;z-index:251676672;mso-position-horizontal:center;mso-position-horizontal-relative:page;mso-position-vertical:center;mso-position-vertical-relative:page">
          <v:imagedata r:id="rId1" o:title=""/>
          <o:lock v:ext="edit" aspectratio="f"/>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A890" w14:textId="77777777" w:rsidR="004614AE" w:rsidRDefault="00000000">
    <w:r>
      <w:pict w14:anchorId="62676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2" type="#_x0000_t75" style="position:absolute;left:0;text-align:left;margin-left:0;margin-top:0;width:222.75pt;height:315.75pt;z-index:251677696;mso-position-horizontal:center;mso-position-horizontal-relative:page;mso-position-vertical:center;mso-position-vertical-relative:page">
          <v:imagedata r:id="rId1" o:title=""/>
          <o:lock v:ext="edit" aspectratio="f"/>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EE61" w14:textId="77777777" w:rsidR="004614AE" w:rsidRDefault="00000000">
    <w:r>
      <w:pict w14:anchorId="33405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6" type="#_x0000_t75" style="position:absolute;left:0;text-align:left;margin-left:0;margin-top:0;width:222.75pt;height:315.75pt;z-index:251681792;mso-position-horizontal:center;mso-position-horizontal-relative:page;mso-position-vertical:center;mso-position-vertical-relative:page">
          <v:imagedata r:id="rId1" o:title=""/>
          <o:lock v:ext="edit" aspectratio="f"/>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A5EF" w14:textId="77777777" w:rsidR="004614AE" w:rsidRDefault="00000000">
    <w:r>
      <w:pict w14:anchorId="47924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4" type="#_x0000_t75" style="position:absolute;left:0;text-align:left;margin-left:0;margin-top:0;width:222.75pt;height:315.75pt;z-index:251679744;mso-position-horizontal:center;mso-position-horizontal-relative:page;mso-position-vertical:center;mso-position-vertical-relative:page">
          <v:imagedata r:id="rId1" o:title=""/>
          <o:lock v:ext="edit" aspectratio="f"/>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CB67" w14:textId="77777777" w:rsidR="004614AE" w:rsidRDefault="00000000">
    <w:r>
      <w:pict w14:anchorId="52C62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5" type="#_x0000_t75" style="position:absolute;left:0;text-align:left;margin-left:0;margin-top:0;width:222.75pt;height:315.75pt;z-index:251680768;mso-position-horizontal:center;mso-position-horizontal-relative:page;mso-position-vertical:center;mso-position-vertical-relative:page">
          <v:imagedata r:id="rId1" o:title=""/>
          <o:lock v:ext="edit" aspectratio="f"/>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2CA6" w14:textId="77777777" w:rsidR="004614AE" w:rsidRDefault="00000000">
    <w:r>
      <w:pict w14:anchorId="16C92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9" type="#_x0000_t75" style="position:absolute;left:0;text-align:left;margin-left:0;margin-top:0;width:222.75pt;height:315.75pt;z-index:251684864;mso-position-horizontal:center;mso-position-horizontal-relative:page;mso-position-vertical:center;mso-position-vertical-relative:page">
          <v:imagedata r:id="rId1" o:title=""/>
          <o:lock v:ext="edit" aspectratio="f"/>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9D5F" w14:textId="77777777" w:rsidR="004614AE" w:rsidRDefault="00000000">
    <w:r>
      <w:pict w14:anchorId="3DD06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7" type="#_x0000_t75" style="position:absolute;left:0;text-align:left;margin-left:0;margin-top:0;width:222.75pt;height:315.75pt;z-index:251682816;mso-position-horizontal:center;mso-position-horizontal-relative:page;mso-position-vertical:center;mso-position-vertical-relative:page">
          <v:imagedata r:id="rId1" o:title=""/>
          <o:lock v:ext="edit" aspectratio="f"/>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8562" w14:textId="77777777" w:rsidR="004614AE" w:rsidRDefault="00000000">
    <w:r>
      <w:pict w14:anchorId="7EF9B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98" type="#_x0000_t75" style="position:absolute;left:0;text-align:left;margin-left:0;margin-top:0;width:222.75pt;height:315.75pt;z-index:251683840;mso-position-horizontal:center;mso-position-horizontal-relative:page;mso-position-vertical:center;mso-position-vertical-relative:page">
          <v:imagedata r:id="rId1" o:title=""/>
          <o:lock v:ext="edit" aspectratio="f"/>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DF11" w14:textId="77777777" w:rsidR="004614AE" w:rsidRDefault="00000000">
    <w:r>
      <w:pict w14:anchorId="4CB16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2" type="#_x0000_t75" style="position:absolute;left:0;text-align:left;margin-left:0;margin-top:0;width:222.75pt;height:315.75pt;z-index:251687936;mso-position-horizontal:center;mso-position-horizontal-relative:page;mso-position-vertical:center;mso-position-vertical-relative:page">
          <v:imagedata r:id="rId1" o:title=""/>
          <o:lock v:ext="edit" aspectratio="f"/>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66A1" w14:textId="77777777" w:rsidR="004614AE" w:rsidRDefault="00000000">
    <w:r>
      <w:pict w14:anchorId="4CBE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0" type="#_x0000_t75" style="position:absolute;left:0;text-align:left;margin-left:0;margin-top:0;width:222.75pt;height:315.75pt;z-index:251685888;mso-position-horizontal:center;mso-position-horizontal-relative:page;mso-position-vertical:center;mso-position-vertical-relative:page">
          <v:imagedata r:id="rId1" o:title=""/>
          <o:lock v:ext="edit" aspectratio="f"/>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EAD6" w14:textId="77777777" w:rsidR="004614AE" w:rsidRDefault="00000000" w:rsidP="00D3649B">
    <w:pPr>
      <w:pStyle w:val="af2"/>
      <w:jc w:val="both"/>
    </w:pPr>
    <w:r>
      <w:rPr>
        <w:rFonts w:ascii="Arial" w:hAnsi="Arial" w:cs="Arial" w:hint="eastAsia"/>
        <w:szCs w:val="21"/>
      </w:rPr>
      <w:t>富荣福耀混合型证券投资基金更新的招募说明书（</w:t>
    </w:r>
    <w:r>
      <w:rPr>
        <w:rFonts w:ascii="Arial" w:hAnsi="Arial" w:cs="Arial" w:hint="eastAsia"/>
        <w:szCs w:val="21"/>
      </w:rPr>
      <w:t>2</w:t>
    </w:r>
    <w:r>
      <w:rPr>
        <w:rFonts w:ascii="Arial" w:hAnsi="Arial" w:cs="Arial"/>
        <w:szCs w:val="21"/>
      </w:rPr>
      <w:t>022</w:t>
    </w:r>
    <w:r>
      <w:rPr>
        <w:rFonts w:ascii="Arial" w:hAnsi="Arial" w:cs="Arial" w:hint="eastAsia"/>
        <w:szCs w:val="21"/>
      </w:rPr>
      <w:t>年第</w:t>
    </w:r>
    <w:r>
      <w:rPr>
        <w:rFonts w:ascii="Arial" w:hAnsi="Arial" w:cs="Arial" w:hint="eastAsia"/>
        <w:szCs w:val="21"/>
      </w:rPr>
      <w:t>2</w:t>
    </w:r>
    <w:r>
      <w:rPr>
        <w:rFonts w:ascii="Arial" w:hAnsi="Arial" w:cs="Arial" w:hint="eastAsia"/>
        <w:szCs w:val="21"/>
      </w:rPr>
      <w:t>号）</w:t>
    </w:r>
  </w:p>
  <w:p w14:paraId="2390C44C" w14:textId="77777777" w:rsidR="004614AE" w:rsidRDefault="00000000">
    <w:r>
      <w:pict w14:anchorId="2FA24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0;margin-top:0;width:222.75pt;height:315.75pt;z-index:251658240;mso-position-horizontal:center;mso-position-horizontal-relative:page;mso-position-vertical:center;mso-position-vertical-relative:page">
          <v:imagedata r:id="rId1" o:title=""/>
          <o:lock v:ext="edit" aspectratio="f"/>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A3FC" w14:textId="77777777" w:rsidR="004614AE" w:rsidRDefault="00000000">
    <w:r>
      <w:pict w14:anchorId="4213A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1" type="#_x0000_t75" style="position:absolute;left:0;text-align:left;margin-left:0;margin-top:0;width:222.75pt;height:315.75pt;z-index:251686912;mso-position-horizontal:center;mso-position-horizontal-relative:page;mso-position-vertical:center;mso-position-vertical-relative:page">
          <v:imagedata r:id="rId1" o:title=""/>
          <o:lock v:ext="edit" aspectratio="f"/>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F354" w14:textId="77777777" w:rsidR="004614AE" w:rsidRDefault="00000000">
    <w:r>
      <w:pict w14:anchorId="062D0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5" type="#_x0000_t75" style="position:absolute;left:0;text-align:left;margin-left:0;margin-top:0;width:222.75pt;height:315.75pt;z-index:251691008;mso-position-horizontal:center;mso-position-horizontal-relative:page;mso-position-vertical:center;mso-position-vertical-relative:page">
          <v:imagedata r:id="rId1" o:title=""/>
          <o:lock v:ext="edit" aspectratio="f"/>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1E58" w14:textId="77777777" w:rsidR="004614AE" w:rsidRDefault="00000000">
    <w:r>
      <w:pict w14:anchorId="07D8B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3" type="#_x0000_t75" style="position:absolute;left:0;text-align:left;margin-left:0;margin-top:0;width:222.75pt;height:315.75pt;z-index:251688960;mso-position-horizontal:center;mso-position-horizontal-relative:page;mso-position-vertical:center;mso-position-vertical-relative:page">
          <v:imagedata r:id="rId1" o:title=""/>
          <o:lock v:ext="edit" aspectratio="f"/>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78B8" w14:textId="77777777" w:rsidR="004614AE" w:rsidRDefault="00000000">
    <w:r>
      <w:pict w14:anchorId="1F36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4" type="#_x0000_t75" style="position:absolute;left:0;text-align:left;margin-left:0;margin-top:0;width:222.75pt;height:315.75pt;z-index:251689984;mso-position-horizontal:center;mso-position-horizontal-relative:page;mso-position-vertical:center;mso-position-vertical-relative:page">
          <v:imagedata r:id="rId1" o:title=""/>
          <o:lock v:ext="edit" aspectratio="f"/>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8A7" w14:textId="77777777" w:rsidR="004614AE" w:rsidRDefault="00000000">
    <w:r>
      <w:pict w14:anchorId="00292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8" type="#_x0000_t75" style="position:absolute;left:0;text-align:left;margin-left:0;margin-top:0;width:222.75pt;height:315.75pt;z-index:251694080;mso-position-horizontal:center;mso-position-horizontal-relative:page;mso-position-vertical:center;mso-position-vertical-relative:page">
          <v:imagedata r:id="rId1" o:title=""/>
          <o:lock v:ext="edit" aspectratio="f"/>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E53A" w14:textId="77777777" w:rsidR="004614AE" w:rsidRDefault="00000000">
    <w:r>
      <w:pict w14:anchorId="4644A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6" type="#_x0000_t75" style="position:absolute;left:0;text-align:left;margin-left:0;margin-top:0;width:222.75pt;height:315.75pt;z-index:251692032;mso-position-horizontal:center;mso-position-horizontal-relative:page;mso-position-vertical:center;mso-position-vertical-relative:page">
          <v:imagedata r:id="rId1" o:title=""/>
          <o:lock v:ext="edit" aspectratio="f"/>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BA1C" w14:textId="77777777" w:rsidR="004614AE" w:rsidRDefault="00000000">
    <w:r>
      <w:pict w14:anchorId="53D74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7" type="#_x0000_t75" style="position:absolute;left:0;text-align:left;margin-left:0;margin-top:0;width:222.75pt;height:315.75pt;z-index:251693056;mso-position-horizontal:center;mso-position-horizontal-relative:page;mso-position-vertical:center;mso-position-vertical-relative:page">
          <v:imagedata r:id="rId1" o:title=""/>
          <o:lock v:ext="edit" aspectratio="f"/>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BA76" w14:textId="77777777" w:rsidR="004614AE" w:rsidRDefault="00000000">
    <w:r>
      <w:pict w14:anchorId="04DA1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1" type="#_x0000_t75" style="position:absolute;left:0;text-align:left;margin-left:0;margin-top:0;width:222.75pt;height:315.75pt;z-index:251697152;mso-position-horizontal:center;mso-position-horizontal-relative:page;mso-position-vertical:center;mso-position-vertical-relative:page">
          <v:imagedata r:id="rId1" o:title=""/>
          <o:lock v:ext="edit" aspectratio="f"/>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F2E" w14:textId="77777777" w:rsidR="004614AE" w:rsidRDefault="00000000">
    <w:r>
      <w:pict w14:anchorId="3EB3E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09" type="#_x0000_t75" style="position:absolute;left:0;text-align:left;margin-left:0;margin-top:0;width:222.75pt;height:315.75pt;z-index:251695104;mso-position-horizontal:center;mso-position-horizontal-relative:page;mso-position-vertical:center;mso-position-vertical-relative:page">
          <v:imagedata r:id="rId1" o:title=""/>
          <o:lock v:ext="edit" aspectratio="f"/>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5B9C" w14:textId="77777777" w:rsidR="004614AE" w:rsidRDefault="00000000">
    <w:r>
      <w:pict w14:anchorId="161D5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0" type="#_x0000_t75" style="position:absolute;left:0;text-align:left;margin-left:0;margin-top:0;width:222.75pt;height:315.75pt;z-index:251696128;mso-position-horizontal:center;mso-position-horizontal-relative:page;mso-position-vertical:center;mso-position-vertical-relative:page">
          <v:imagedata r:id="rId1" o:title=""/>
          <o:lock v:ext="edit" aspectratio="f"/>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2E1C" w14:textId="77777777" w:rsidR="004614AE" w:rsidRDefault="00000000">
    <w:r>
      <w:pict w14:anchorId="7FF5A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left:0;text-align:left;margin-left:0;margin-top:0;width:222.75pt;height:315.75pt;z-index:251663360;mso-position-horizontal:center;mso-position-horizontal-relative:page;mso-position-vertical:center;mso-position-vertical-relative:page">
          <v:imagedata r:id="rId1" o:title=""/>
          <o:lock v:ext="edit" aspectratio="f"/>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A341" w14:textId="77777777" w:rsidR="004614AE" w:rsidRDefault="00000000">
    <w:r>
      <w:pict w14:anchorId="7DEF7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0;margin-top:0;width:222.75pt;height:315.75pt;z-index:251700224;mso-position-horizontal:center;mso-position-horizontal-relative:page;mso-position-vertical:center;mso-position-vertical-relative:page">
          <v:imagedata r:id="rId1" o:title=""/>
          <o:lock v:ext="edit" aspectratio="f"/>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61EC" w14:textId="77777777" w:rsidR="004614AE" w:rsidRDefault="00000000">
    <w:r>
      <w:pict w14:anchorId="66869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2" type="#_x0000_t75" style="position:absolute;left:0;text-align:left;margin-left:0;margin-top:0;width:222.75pt;height:315.75pt;z-index:251698176;mso-position-horizontal:center;mso-position-horizontal-relative:page;mso-position-vertical:center;mso-position-vertical-relative:page">
          <v:imagedata r:id="rId1" o:title=""/>
          <o:lock v:ext="edit" aspectratio="f"/>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37B0" w14:textId="77777777" w:rsidR="004614AE" w:rsidRDefault="00000000">
    <w:r>
      <w:pict w14:anchorId="53B25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0;margin-top:0;width:222.75pt;height:315.75pt;z-index:251699200;mso-position-horizontal:center;mso-position-horizontal-relative:page;mso-position-vertical:center;mso-position-vertical-relative:page">
          <v:imagedata r:id="rId1" o:title=""/>
          <o:lock v:ext="edit" aspectratio="f"/>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AC07" w14:textId="77777777" w:rsidR="004614AE" w:rsidRDefault="00000000">
    <w:r>
      <w:pict w14:anchorId="0E05E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left:0;text-align:left;margin-left:0;margin-top:0;width:222.75pt;height:315.75pt;z-index:251661312;mso-position-horizontal:center;mso-position-horizontal-relative:page;mso-position-vertical:center;mso-position-vertical-relative:page">
          <v:imagedata r:id="rId1" o:title=""/>
          <o:lock v:ext="edit" aspectratio="f"/>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B6B1" w14:textId="77777777" w:rsidR="004614AE" w:rsidRDefault="00000000">
    <w:r>
      <w:pict w14:anchorId="1444C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7" type="#_x0000_t75" style="position:absolute;left:0;text-align:left;margin-left:0;margin-top:0;width:222.75pt;height:315.75pt;z-index:251662336;mso-position-horizontal:center;mso-position-horizontal-relative:page;mso-position-vertical:center;mso-position-vertical-relative:page">
          <v:imagedata r:id="rId1" o:title=""/>
          <o:lock v:ext="edit" aspectratio="f"/>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4C87" w14:textId="77777777" w:rsidR="004614AE" w:rsidRDefault="00000000">
    <w:r>
      <w:pict w14:anchorId="2ED0B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1" type="#_x0000_t75" style="position:absolute;left:0;text-align:left;margin-left:0;margin-top:0;width:222.75pt;height:315.75pt;z-index:251666432;mso-position-horizontal:center;mso-position-horizontal-relative:page;mso-position-vertical:center;mso-position-vertical-relative:page">
          <v:imagedata r:id="rId1" o:title=""/>
          <o:lock v:ext="edit" aspectratio="f"/>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9991" w14:textId="77777777" w:rsidR="004614AE" w:rsidRDefault="00000000">
    <w:r>
      <w:pict w14:anchorId="193A0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9" type="#_x0000_t75" style="position:absolute;left:0;text-align:left;margin-left:0;margin-top:0;width:222.75pt;height:315.75pt;z-index:251664384;mso-position-horizontal:center;mso-position-horizontal-relative:page;mso-position-vertical:center;mso-position-vertical-relative:page">
          <v:imagedata r:id="rId1" o:title=""/>
          <o:lock v:ext="edit" aspectratio="f"/>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097C" w14:textId="77777777" w:rsidR="004614AE" w:rsidRDefault="00000000">
    <w:r>
      <w:pict w14:anchorId="637DD7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80" type="#_x0000_t75" style="position:absolute;left:0;text-align:left;margin-left:0;margin-top:0;width:222.75pt;height:315.75pt;z-index:251665408;mso-position-horizontal:center;mso-position-horizontal-relative:page;mso-position-vertical:center;mso-position-vertical-relative:page">
          <v:imagedata r:id="rId1" o:title=""/>
          <o:lock v:ext="edit" aspectratio="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multilevel"/>
    <w:tmpl w:val="1561509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4A217A7"/>
    <w:multiLevelType w:val="multilevel"/>
    <w:tmpl w:val="24A217A7"/>
    <w:lvl w:ilvl="0">
      <w:start w:val="1"/>
      <w:numFmt w:val="decimal"/>
      <w:lvlText w:val="%1、"/>
      <w:lvlJc w:val="left"/>
      <w:pPr>
        <w:ind w:left="495" w:hanging="48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abstractNum w:abstractNumId="4" w15:restartNumberingAfterBreak="0">
    <w:nsid w:val="59BE1F2A"/>
    <w:multiLevelType w:val="multilevel"/>
    <w:tmpl w:val="59BE1F2A"/>
    <w:lvl w:ilvl="0">
      <w:start w:val="1"/>
      <w:numFmt w:val="decimal"/>
      <w:lvlText w:val="%1、"/>
      <w:lvlJc w:val="left"/>
      <w:pPr>
        <w:ind w:left="375" w:hanging="36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num w:numId="1" w16cid:durableId="509608160">
    <w:abstractNumId w:val="0"/>
  </w:num>
  <w:num w:numId="2" w16cid:durableId="942345777">
    <w:abstractNumId w:val="1"/>
  </w:num>
  <w:num w:numId="3" w16cid:durableId="1056777795">
    <w:abstractNumId w:val="3"/>
  </w:num>
  <w:num w:numId="4" w16cid:durableId="1350985021">
    <w:abstractNumId w:val="4"/>
  </w:num>
  <w:num w:numId="5" w16cid:durableId="180068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15"/>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AE"/>
    <w:rsid w:val="004614AE"/>
    <w:rsid w:val="004E6FC9"/>
    <w:rsid w:val="007033A4"/>
    <w:rsid w:val="007F5D07"/>
    <w:rsid w:val="008858A3"/>
    <w:rsid w:val="00887660"/>
    <w:rsid w:val="009B399B"/>
    <w:rsid w:val="00BA7D0B"/>
    <w:rsid w:val="00D3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5"/>
    <o:shapelayout v:ext="edit">
      <o:idmap v:ext="edit" data="2"/>
    </o:shapelayout>
  </w:shapeDefaults>
  <w:decimalSymbol w:val="."/>
  <w:listSeparator w:val=","/>
  <w14:docId w14:val="3F5BB9C2"/>
  <w15:docId w15:val="{BEC849C7-BAA6-41E7-BDEF-2AAE76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qFormat/>
    <w:pPr>
      <w:ind w:firstLineChars="200" w:firstLine="420"/>
    </w:pPr>
    <w:rPr>
      <w:rFonts w:ascii="Times New Roman" w:eastAsia="宋体" w:hAnsi="Times New Roman" w:cs="Times New Roman"/>
      <w:szCs w:val="20"/>
    </w:rPr>
  </w:style>
  <w:style w:type="paragraph" w:styleId="a4">
    <w:name w:val="Document Map"/>
    <w:basedOn w:val="a"/>
    <w:link w:val="a5"/>
    <w:semiHidden/>
    <w:unhideWhenUsed/>
    <w:qFormat/>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qFormat/>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qFormat/>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qFormat/>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qFormat/>
    <w:rPr>
      <w:b/>
    </w:rPr>
  </w:style>
  <w:style w:type="table" w:styleId="afa">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iPriority w:val="99"/>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qFormat/>
    <w:rPr>
      <w:rFonts w:ascii="宋体" w:eastAsia="宋体" w:hAnsi="宋体" w:hint="eastAsia"/>
      <w:color w:val="000000"/>
      <w:sz w:val="24"/>
      <w:szCs w:val="24"/>
    </w:rPr>
  </w:style>
  <w:style w:type="character" w:customStyle="1" w:styleId="ab">
    <w:name w:val="正文文本缩进 字符"/>
    <w:basedOn w:val="a0"/>
    <w:link w:val="aa"/>
    <w:uiPriority w:val="99"/>
    <w:semiHidden/>
    <w:qFormat/>
  </w:style>
  <w:style w:type="paragraph" w:customStyle="1" w:styleId="zhangjiep">
    <w:name w:val="zhangjie_p"/>
    <w:basedOn w:val="a"/>
    <w:qFormat/>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qFormat/>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qFormat/>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semiHidden/>
    <w:qFormat/>
    <w:rPr>
      <w:rFonts w:asciiTheme="minorHAnsi" w:eastAsiaTheme="minorEastAsia" w:hAnsiTheme="minorHAnsi" w:cstheme="minorBidi"/>
      <w:kern w:val="2"/>
      <w:sz w:val="21"/>
      <w:szCs w:val="22"/>
    </w:rPr>
  </w:style>
  <w:style w:type="paragraph" w:customStyle="1" w:styleId="aff2">
    <w:name w:val="合同正文"/>
    <w:basedOn w:val="a"/>
    <w:qFormat/>
    <w:pPr>
      <w:spacing w:line="360" w:lineRule="auto"/>
      <w:ind w:firstLineChars="200" w:firstLine="200"/>
    </w:pPr>
    <w:rPr>
      <w:bCs/>
      <w:sz w:val="24"/>
    </w:rPr>
  </w:style>
  <w:style w:type="paragraph" w:styleId="aff3">
    <w:name w:val="Revision"/>
    <w:hidden/>
    <w:uiPriority w:val="99"/>
    <w:semiHidden/>
    <w:rsid w:val="00D3649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yperlink" Target="http://www.licaike.com" TargetMode="Externa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footer" Target="footer11.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footer" Target="footer3.xml"/><Relationship Id="rId32" Type="http://schemas.openxmlformats.org/officeDocument/2006/relationships/hyperlink" Target="http://www.zlfund.cn" TargetMode="External"/><Relationship Id="rId37" Type="http://schemas.openxmlformats.org/officeDocument/2006/relationships/hyperlink" Target="http://www.txfund.com" TargetMode="External"/><Relationship Id="rId40" Type="http://schemas.openxmlformats.org/officeDocument/2006/relationships/hyperlink" Target="http://www.jjmmw.com" TargetMode="External"/><Relationship Id="rId45" Type="http://schemas.openxmlformats.org/officeDocument/2006/relationships/footer" Target="footer5.xml"/><Relationship Id="rId53" Type="http://schemas.openxmlformats.org/officeDocument/2006/relationships/footer" Target="footer7.xml"/><Relationship Id="rId58" Type="http://schemas.openxmlformats.org/officeDocument/2006/relationships/header" Target="header29.xml"/><Relationship Id="rId66" Type="http://schemas.openxmlformats.org/officeDocument/2006/relationships/header" Target="header34.xml"/><Relationship Id="rId74"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footer" Target="footer9.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yperlink" Target="http://www.yingmi.cn" TargetMode="External"/><Relationship Id="rId35" Type="http://schemas.openxmlformats.org/officeDocument/2006/relationships/hyperlink" Target="http://www.wacaijijin.com" TargetMode="Externa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image" Target="media/image3.jpeg"/><Relationship Id="rId64" Type="http://schemas.openxmlformats.org/officeDocument/2006/relationships/footer" Target="footer10.xml"/><Relationship Id="rId69" Type="http://schemas.openxmlformats.org/officeDocument/2006/relationships/header" Target="header36.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yperlink" Target="http://www.jjmmw.com" TargetMode="External"/><Relationship Id="rId38" Type="http://schemas.openxmlformats.org/officeDocument/2006/relationships/hyperlink" Target="http://www.puyifund.com" TargetMode="External"/><Relationship Id="rId46" Type="http://schemas.openxmlformats.org/officeDocument/2006/relationships/header" Target="header21.xml"/><Relationship Id="rId59" Type="http://schemas.openxmlformats.org/officeDocument/2006/relationships/footer" Target="footer8.xml"/><Relationship Id="rId67" Type="http://schemas.openxmlformats.org/officeDocument/2006/relationships/header" Target="header35.xml"/><Relationship Id="rId20" Type="http://schemas.openxmlformats.org/officeDocument/2006/relationships/footer" Target="footer2.xml"/><Relationship Id="rId41" Type="http://schemas.openxmlformats.org/officeDocument/2006/relationships/hyperlink" Target="https://www.zzfund.com" TargetMode="External"/><Relationship Id="rId54" Type="http://schemas.openxmlformats.org/officeDocument/2006/relationships/header" Target="header27.xml"/><Relationship Id="rId62" Type="http://schemas.openxmlformats.org/officeDocument/2006/relationships/header" Target="header31.xml"/><Relationship Id="rId70" Type="http://schemas.openxmlformats.org/officeDocument/2006/relationships/header" Target="header37.xml"/><Relationship Id="rId75"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oter" Target="footer4.xml"/><Relationship Id="rId36" Type="http://schemas.openxmlformats.org/officeDocument/2006/relationships/hyperlink" Target="http://www.taixincf.com" TargetMode="External"/><Relationship Id="rId49" Type="http://schemas.openxmlformats.org/officeDocument/2006/relationships/footer" Target="footer6.xml"/><Relationship Id="rId57" Type="http://schemas.openxmlformats.org/officeDocument/2006/relationships/header" Target="header28.xml"/><Relationship Id="rId10" Type="http://schemas.openxmlformats.org/officeDocument/2006/relationships/footer" Target="footer1.xml"/><Relationship Id="rId31" Type="http://schemas.openxmlformats.org/officeDocument/2006/relationships/hyperlink" Target="http://www.jianfortune.com" TargetMode="Externa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0.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yperlink" Target="http://www.zlfund.cn" TargetMode="External"/><Relationship Id="rId34" Type="http://schemas.openxmlformats.org/officeDocument/2006/relationships/hyperlink" Target="http://danjuanapp.com/" TargetMode="External"/><Relationship Id="rId50" Type="http://schemas.openxmlformats.org/officeDocument/2006/relationships/header" Target="header24.xml"/><Relationship Id="rId55" Type="http://schemas.openxmlformats.org/officeDocument/2006/relationships/image" Target="media/image2.jpeg"/><Relationship Id="rId76"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38.xml"/><Relationship Id="rId2" Type="http://schemas.openxmlformats.org/officeDocument/2006/relationships/numbering" Target="numbering.xml"/><Relationship Id="rId29"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FCCF-911B-4803-9E15-6FED5BE7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136</Pages>
  <Words>15036</Words>
  <Characters>85709</Characters>
  <Application>Microsoft Office Word</Application>
  <DocSecurity>0</DocSecurity>
  <Lines>714</Lines>
  <Paragraphs>201</Paragraphs>
  <ScaleCrop>false</ScaleCrop>
  <Company/>
  <LinksUpToDate>false</LinksUpToDate>
  <CharactersWithSpaces>100544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何一雷</dc:creator>
  <cp:lastModifiedBy>徐铮</cp:lastModifiedBy>
  <cp:revision>368</cp:revision>
  <cp:lastPrinted>2021-06-24T07:11:00Z</cp:lastPrinted>
  <dcterms:created xsi:type="dcterms:W3CDTF">2020-05-18T02:04:00Z</dcterms:created>
  <dcterms:modified xsi:type="dcterms:W3CDTF">2022-11-18T06:52:00Z</dcterms:modified>
  <cp:contentStatus>国泰君安证券股份有限公司*【富荣基金招更复核】富荣福耀招募说明书及产品资料概要*heyilei027106@gtjas.com*xuzheng@furamc.com.cn * *qianyaqi@gtjas.com *2022-11-16 11:37:43;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2C0956F0338B4C95B8A2E9A3719D0081</vt:lpwstr>
  </property>
  <property fmtid="{D5CDD505-2E9C-101B-9397-08002B2CF9AE}" pid="3" name="KSOProductBuildVer">
    <vt:lpwstr>2052-11.8.2.11718</vt:lpwstr>
  </property>
</Properties>
</file>