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B38B" w14:textId="77777777" w:rsidR="00B67C49" w:rsidRDefault="00B67C49">
      <w:pPr>
        <w:tabs>
          <w:tab w:val="left" w:pos="6660"/>
        </w:tabs>
        <w:spacing w:line="360" w:lineRule="auto"/>
        <w:jc w:val="center"/>
        <w:rPr>
          <w:rFonts w:asciiTheme="minorEastAsia" w:hAnsiTheme="minorEastAsia" w:cs="Times New Roman"/>
          <w:bCs/>
          <w:sz w:val="48"/>
          <w:szCs w:val="48"/>
        </w:rPr>
      </w:pPr>
    </w:p>
    <w:p w14:paraId="2591AFCB" w14:textId="77777777" w:rsidR="00B67C49" w:rsidRDefault="00B67C49">
      <w:pPr>
        <w:spacing w:line="360" w:lineRule="auto"/>
        <w:jc w:val="center"/>
        <w:rPr>
          <w:rFonts w:asciiTheme="minorEastAsia" w:hAnsiTheme="minorEastAsia" w:cs="Times New Roman"/>
          <w:b/>
          <w:sz w:val="48"/>
          <w:szCs w:val="48"/>
        </w:rPr>
      </w:pPr>
    </w:p>
    <w:p w14:paraId="6111BF7C" w14:textId="77777777" w:rsidR="00B67C49" w:rsidRDefault="00B67C49">
      <w:pPr>
        <w:adjustRightInd w:val="0"/>
        <w:snapToGrid w:val="0"/>
        <w:spacing w:line="360" w:lineRule="auto"/>
        <w:jc w:val="center"/>
        <w:rPr>
          <w:rFonts w:asciiTheme="minorEastAsia" w:hAnsiTheme="minorEastAsia" w:cs="Arial"/>
          <w:sz w:val="48"/>
          <w:szCs w:val="48"/>
        </w:rPr>
      </w:pPr>
      <w:bookmarkStart w:id="0" w:name="_Toc123112227"/>
      <w:bookmarkStart w:id="1" w:name="_Toc139991729"/>
      <w:bookmarkStart w:id="2" w:name="_Toc123112266"/>
      <w:bookmarkStart w:id="3" w:name="_Toc123701386"/>
    </w:p>
    <w:p w14:paraId="00EBCF7E" w14:textId="77777777" w:rsidR="00B67C49" w:rsidRDefault="00000000">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富荣福耀混合型证券投资基金更新的</w:t>
      </w:r>
    </w:p>
    <w:p w14:paraId="7183C746" w14:textId="77777777" w:rsidR="00B67C49" w:rsidRDefault="00000000">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招募说明书</w:t>
      </w:r>
    </w:p>
    <w:p w14:paraId="6780B29A" w14:textId="3BA98B53" w:rsidR="00B67C49" w:rsidRDefault="00000000">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Pr>
          <w:rFonts w:ascii="Arial" w:eastAsia="宋体" w:hAnsi="宋体" w:cs="Arial" w:hint="eastAsia"/>
          <w:b/>
          <w:sz w:val="48"/>
          <w:szCs w:val="48"/>
        </w:rPr>
        <w:t>2024</w:t>
      </w:r>
      <w:r>
        <w:rPr>
          <w:rFonts w:ascii="Arial" w:eastAsia="宋体" w:hAnsi="宋体" w:cs="Arial" w:hint="eastAsia"/>
          <w:b/>
          <w:sz w:val="48"/>
          <w:szCs w:val="48"/>
        </w:rPr>
        <w:t>年第</w:t>
      </w:r>
      <w:r>
        <w:rPr>
          <w:rFonts w:ascii="Arial" w:eastAsia="宋体" w:hAnsi="宋体" w:cs="Arial" w:hint="eastAsia"/>
          <w:b/>
          <w:sz w:val="48"/>
          <w:szCs w:val="48"/>
        </w:rPr>
        <w:t>1</w:t>
      </w:r>
      <w:r>
        <w:rPr>
          <w:rFonts w:ascii="Arial" w:eastAsia="宋体" w:hAnsi="宋体" w:cs="Arial" w:hint="eastAsia"/>
          <w:b/>
          <w:sz w:val="48"/>
          <w:szCs w:val="48"/>
        </w:rPr>
        <w:t>号）</w:t>
      </w:r>
    </w:p>
    <w:p w14:paraId="4F50B229" w14:textId="77777777" w:rsidR="00B67C49" w:rsidRDefault="00B67C49">
      <w:pPr>
        <w:adjustRightInd w:val="0"/>
        <w:snapToGrid w:val="0"/>
        <w:spacing w:line="360" w:lineRule="auto"/>
        <w:jc w:val="center"/>
        <w:rPr>
          <w:rFonts w:asciiTheme="minorEastAsia" w:hAnsiTheme="minorEastAsia" w:cs="Arial"/>
          <w:sz w:val="36"/>
          <w:szCs w:val="36"/>
        </w:rPr>
      </w:pPr>
    </w:p>
    <w:p w14:paraId="65CF9E2B" w14:textId="77777777" w:rsidR="00B67C49" w:rsidRDefault="00B67C49">
      <w:pPr>
        <w:adjustRightInd w:val="0"/>
        <w:snapToGrid w:val="0"/>
        <w:spacing w:line="360" w:lineRule="auto"/>
        <w:jc w:val="center"/>
        <w:rPr>
          <w:rFonts w:asciiTheme="minorEastAsia" w:hAnsiTheme="minorEastAsia" w:cs="Arial"/>
          <w:sz w:val="36"/>
          <w:szCs w:val="36"/>
        </w:rPr>
      </w:pPr>
    </w:p>
    <w:p w14:paraId="68F3B834" w14:textId="77777777" w:rsidR="00B67C49" w:rsidRDefault="00B67C49">
      <w:pPr>
        <w:adjustRightInd w:val="0"/>
        <w:snapToGrid w:val="0"/>
        <w:spacing w:line="360" w:lineRule="auto"/>
        <w:jc w:val="center"/>
        <w:rPr>
          <w:rFonts w:asciiTheme="minorEastAsia" w:hAnsiTheme="minorEastAsia" w:cs="Arial"/>
          <w:sz w:val="36"/>
          <w:szCs w:val="36"/>
        </w:rPr>
      </w:pPr>
    </w:p>
    <w:p w14:paraId="68EE81E6" w14:textId="77777777" w:rsidR="00B67C49" w:rsidRDefault="00B67C49">
      <w:pPr>
        <w:adjustRightInd w:val="0"/>
        <w:snapToGrid w:val="0"/>
        <w:spacing w:line="360" w:lineRule="auto"/>
        <w:jc w:val="center"/>
        <w:rPr>
          <w:rFonts w:asciiTheme="minorEastAsia" w:hAnsiTheme="minorEastAsia" w:cs="Arial"/>
          <w:sz w:val="36"/>
          <w:szCs w:val="36"/>
        </w:rPr>
      </w:pPr>
    </w:p>
    <w:p w14:paraId="20FA3AAF" w14:textId="77777777" w:rsidR="00B67C49" w:rsidRDefault="00B67C49">
      <w:pPr>
        <w:adjustRightInd w:val="0"/>
        <w:snapToGrid w:val="0"/>
        <w:spacing w:line="360" w:lineRule="auto"/>
        <w:jc w:val="center"/>
        <w:rPr>
          <w:rFonts w:asciiTheme="minorEastAsia" w:hAnsiTheme="minorEastAsia" w:cs="Arial"/>
          <w:sz w:val="36"/>
          <w:szCs w:val="36"/>
        </w:rPr>
      </w:pPr>
    </w:p>
    <w:p w14:paraId="3AAA1528" w14:textId="77777777" w:rsidR="00B67C49" w:rsidRDefault="00B67C49">
      <w:pPr>
        <w:adjustRightInd w:val="0"/>
        <w:snapToGrid w:val="0"/>
        <w:spacing w:line="360" w:lineRule="auto"/>
        <w:jc w:val="center"/>
        <w:rPr>
          <w:rFonts w:asciiTheme="minorEastAsia" w:hAnsiTheme="minorEastAsia" w:cs="Arial"/>
          <w:sz w:val="36"/>
          <w:szCs w:val="36"/>
        </w:rPr>
      </w:pPr>
    </w:p>
    <w:p w14:paraId="29FA613F" w14:textId="77777777" w:rsidR="00B67C49" w:rsidRDefault="00000000">
      <w:pPr>
        <w:snapToGrid w:val="0"/>
        <w:spacing w:line="360" w:lineRule="auto"/>
        <w:jc w:val="center"/>
        <w:rPr>
          <w:rFonts w:ascii="Arial" w:eastAsia="宋体" w:hAnsi="Arial" w:cs="Times New Roman"/>
          <w:b/>
          <w:sz w:val="36"/>
          <w:szCs w:val="36"/>
        </w:rPr>
      </w:pPr>
      <w:bookmarkStart w:id="4" w:name="_Toc123112263"/>
      <w:bookmarkStart w:id="5" w:name="_Toc139992301"/>
      <w:bookmarkStart w:id="6" w:name="_Toc139991726"/>
      <w:bookmarkStart w:id="7" w:name="_Toc123701383"/>
      <w:bookmarkStart w:id="8" w:name="_Toc123112224"/>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05716CD5" w14:textId="77777777" w:rsidR="00B67C49" w:rsidRDefault="00000000">
      <w:pPr>
        <w:autoSpaceDE w:val="0"/>
        <w:autoSpaceDN w:val="0"/>
        <w:adjustRightInd w:val="0"/>
        <w:snapToGrid w:val="0"/>
        <w:spacing w:line="360" w:lineRule="auto"/>
        <w:jc w:val="center"/>
        <w:rPr>
          <w:rFonts w:ascii="Arial" w:eastAsia="宋体" w:hAnsi="Arial" w:cs="Arial"/>
          <w:b/>
          <w:bCs/>
          <w:sz w:val="36"/>
          <w:szCs w:val="36"/>
        </w:rPr>
      </w:pPr>
      <w:bookmarkStart w:id="9" w:name="_Toc123112225"/>
      <w:bookmarkStart w:id="10" w:name="_Toc123701384"/>
      <w:bookmarkStart w:id="11" w:name="_Toc123112264"/>
      <w:bookmarkStart w:id="12" w:name="_Toc139992302"/>
      <w:bookmarkStart w:id="13" w:name="_Toc139991727"/>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国泰君安证券股份有限公司</w:t>
      </w:r>
    </w:p>
    <w:p w14:paraId="6B68CAAB" w14:textId="77777777" w:rsidR="00B67C49" w:rsidRDefault="00B67C49">
      <w:pPr>
        <w:autoSpaceDE w:val="0"/>
        <w:autoSpaceDN w:val="0"/>
        <w:adjustRightInd w:val="0"/>
        <w:snapToGrid w:val="0"/>
        <w:spacing w:line="360" w:lineRule="auto"/>
        <w:jc w:val="center"/>
        <w:rPr>
          <w:rFonts w:asciiTheme="minorEastAsia" w:hAnsiTheme="minorEastAsia" w:cs="Arial"/>
          <w:b/>
          <w:bCs/>
          <w:sz w:val="28"/>
          <w:szCs w:val="28"/>
        </w:rPr>
      </w:pPr>
    </w:p>
    <w:p w14:paraId="2E33F12B" w14:textId="77777777" w:rsidR="00B67C49" w:rsidRDefault="00B67C49">
      <w:pPr>
        <w:autoSpaceDE w:val="0"/>
        <w:autoSpaceDN w:val="0"/>
        <w:adjustRightInd w:val="0"/>
        <w:snapToGrid w:val="0"/>
        <w:spacing w:line="360" w:lineRule="auto"/>
        <w:jc w:val="center"/>
        <w:rPr>
          <w:rFonts w:asciiTheme="minorEastAsia" w:hAnsiTheme="minorEastAsia" w:cs="Arial"/>
          <w:b/>
          <w:bCs/>
          <w:sz w:val="28"/>
          <w:szCs w:val="28"/>
        </w:rPr>
      </w:pPr>
    </w:p>
    <w:p w14:paraId="457D230D" w14:textId="77777777" w:rsidR="00B67C49" w:rsidRDefault="00B67C49">
      <w:pPr>
        <w:widowControl/>
        <w:spacing w:line="360" w:lineRule="auto"/>
        <w:rPr>
          <w:rFonts w:ascii="Arial" w:eastAsia="宋体" w:hAnsi="Arial" w:cs="Arial"/>
          <w:b/>
          <w:bCs/>
          <w:kern w:val="0"/>
          <w:sz w:val="28"/>
          <w:szCs w:val="28"/>
        </w:rPr>
        <w:sectPr w:rsidR="00B67C49" w:rsidSect="00D84CBD">
          <w:headerReference w:type="even" r:id="rId9"/>
          <w:headerReference w:type="default" r:id="rId10"/>
          <w:footerReference w:type="default" r:id="rId11"/>
          <w:headerReference w:type="first" r:id="rId12"/>
          <w:pgSz w:w="11906" w:h="16838"/>
          <w:pgMar w:top="1440" w:right="1800" w:bottom="1440" w:left="1800" w:header="851" w:footer="992" w:gutter="0"/>
          <w:pgNumType w:start="1"/>
          <w:cols w:space="720"/>
          <w:titlePg/>
          <w:docGrid w:type="lines" w:linePitch="312"/>
        </w:sectPr>
      </w:pPr>
    </w:p>
    <w:p w14:paraId="6CB673AD" w14:textId="77777777" w:rsidR="00B67C49" w:rsidRDefault="00000000">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2E809867" w14:textId="77777777" w:rsidR="00B67C49" w:rsidRDefault="00B67C49">
      <w:pPr>
        <w:autoSpaceDE w:val="0"/>
        <w:autoSpaceDN w:val="0"/>
        <w:adjustRightInd w:val="0"/>
        <w:snapToGrid w:val="0"/>
        <w:spacing w:line="360" w:lineRule="auto"/>
        <w:rPr>
          <w:rFonts w:ascii="Arial" w:eastAsia="宋体" w:hAnsi="Arial" w:cs="Arial"/>
          <w:b/>
          <w:bCs/>
          <w:szCs w:val="21"/>
        </w:rPr>
      </w:pPr>
    </w:p>
    <w:p w14:paraId="16637845" w14:textId="77777777" w:rsidR="00B67C49"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1、本基金根据</w:t>
      </w:r>
      <w:r>
        <w:rPr>
          <w:rFonts w:asciiTheme="minorEastAsia" w:hAnsiTheme="minorEastAsia" w:cs="Arial"/>
          <w:bCs/>
          <w:color w:val="000000"/>
          <w:sz w:val="24"/>
          <w:szCs w:val="24"/>
        </w:rPr>
        <w:t>2021</w:t>
      </w:r>
      <w:r>
        <w:rPr>
          <w:rFonts w:asciiTheme="minorEastAsia" w:hAnsiTheme="minorEastAsia" w:cs="Arial" w:hint="eastAsia"/>
          <w:bCs/>
          <w:color w:val="000000"/>
          <w:sz w:val="24"/>
          <w:szCs w:val="24"/>
        </w:rPr>
        <w:t>年</w:t>
      </w:r>
      <w:r>
        <w:rPr>
          <w:rFonts w:asciiTheme="minorEastAsia" w:hAnsiTheme="minorEastAsia" w:cs="Arial"/>
          <w:bCs/>
          <w:color w:val="000000"/>
          <w:sz w:val="24"/>
          <w:szCs w:val="24"/>
        </w:rPr>
        <w:t>6</w:t>
      </w:r>
      <w:r>
        <w:rPr>
          <w:rFonts w:asciiTheme="minorEastAsia" w:hAnsiTheme="minorEastAsia" w:cs="Arial" w:hint="eastAsia"/>
          <w:bCs/>
          <w:color w:val="000000"/>
          <w:sz w:val="24"/>
          <w:szCs w:val="24"/>
        </w:rPr>
        <w:t>月</w:t>
      </w:r>
      <w:r>
        <w:rPr>
          <w:rFonts w:asciiTheme="minorEastAsia" w:hAnsiTheme="minorEastAsia" w:cs="Arial"/>
          <w:bCs/>
          <w:color w:val="000000"/>
          <w:sz w:val="24"/>
          <w:szCs w:val="24"/>
        </w:rPr>
        <w:t>21</w:t>
      </w:r>
      <w:r>
        <w:rPr>
          <w:rFonts w:asciiTheme="minorEastAsia" w:hAnsiTheme="minorEastAsia" w:cs="Arial" w:hint="eastAsia"/>
          <w:bCs/>
          <w:color w:val="000000"/>
          <w:sz w:val="24"/>
          <w:szCs w:val="24"/>
        </w:rPr>
        <w:t>日</w:t>
      </w:r>
      <w:r>
        <w:rPr>
          <w:rFonts w:asciiTheme="minorEastAsia" w:hAnsiTheme="minorEastAsia" w:cs="Arial" w:hint="eastAsia"/>
          <w:kern w:val="0"/>
          <w:sz w:val="24"/>
          <w:szCs w:val="24"/>
        </w:rPr>
        <w:t>中国证券监督管理委员会（以下简称“中国证监会”）《关于准予富荣福耀混合型证券投资基金注册的批复》（</w:t>
      </w:r>
      <w:r>
        <w:rPr>
          <w:rFonts w:asciiTheme="minorEastAsia" w:hAnsiTheme="minorEastAsia" w:cs="Arial" w:hint="eastAsia"/>
          <w:bCs/>
          <w:color w:val="000000"/>
          <w:kern w:val="0"/>
          <w:sz w:val="24"/>
          <w:szCs w:val="24"/>
        </w:rPr>
        <w:t>证监许可</w:t>
      </w:r>
      <w:r>
        <w:rPr>
          <w:rFonts w:asciiTheme="minorEastAsia" w:hAnsiTheme="minorEastAsia" w:cs="Arial" w:hint="eastAsia"/>
          <w:bCs/>
          <w:color w:val="000000"/>
          <w:sz w:val="24"/>
          <w:szCs w:val="24"/>
        </w:rPr>
        <w:t>[</w:t>
      </w:r>
      <w:r>
        <w:rPr>
          <w:rFonts w:asciiTheme="minorEastAsia" w:hAnsiTheme="minorEastAsia" w:cs="Arial"/>
          <w:bCs/>
          <w:color w:val="000000"/>
          <w:sz w:val="24"/>
          <w:szCs w:val="24"/>
        </w:rPr>
        <w:t>2021</w:t>
      </w:r>
      <w:r>
        <w:rPr>
          <w:rFonts w:asciiTheme="minorEastAsia" w:hAnsiTheme="minorEastAsia" w:cs="Arial" w:hint="eastAsia"/>
          <w:bCs/>
          <w:color w:val="000000"/>
          <w:sz w:val="24"/>
          <w:szCs w:val="24"/>
        </w:rPr>
        <w:t>]</w:t>
      </w:r>
      <w:r>
        <w:rPr>
          <w:rFonts w:asciiTheme="minorEastAsia" w:hAnsiTheme="minorEastAsia" w:cs="Arial"/>
          <w:bCs/>
          <w:color w:val="000000"/>
          <w:sz w:val="24"/>
          <w:szCs w:val="24"/>
        </w:rPr>
        <w:t>2091</w:t>
      </w:r>
      <w:r>
        <w:rPr>
          <w:rFonts w:asciiTheme="minorEastAsia" w:hAnsiTheme="minorEastAsia" w:cs="Arial" w:hint="eastAsia"/>
          <w:bCs/>
          <w:color w:val="000000"/>
          <w:sz w:val="24"/>
          <w:szCs w:val="24"/>
        </w:rPr>
        <w:t>号</w:t>
      </w:r>
      <w:r>
        <w:rPr>
          <w:rFonts w:asciiTheme="minorEastAsia" w:hAnsiTheme="minorEastAsia" w:cs="Arial" w:hint="eastAsia"/>
          <w:bCs/>
          <w:color w:val="000000"/>
          <w:kern w:val="0"/>
          <w:sz w:val="24"/>
          <w:szCs w:val="24"/>
        </w:rPr>
        <w:t>）进行募集。</w:t>
      </w:r>
    </w:p>
    <w:p w14:paraId="0109A22C" w14:textId="77777777" w:rsidR="00B67C49"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2、本基金管理人保证招募说明书的内容真实、准确、完整。本招募说明书经中国证监会注册，但中国证监会对本基金募集的注册，并不表明其对本基金的投资价值、市场前景和收益</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实质性判断或保证，也不表明投资于本基金没有风险。</w:t>
      </w:r>
    </w:p>
    <w:p w14:paraId="699F20D0" w14:textId="77777777" w:rsidR="00B67C49"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性风险、本基金特定投资策略带来的风险及其他风险等。本基金属于混合型基金，其预期的风险和收益高于货币市场基金、债券基金，低于股票型基金。</w:t>
      </w:r>
    </w:p>
    <w:p w14:paraId="18BAB990" w14:textId="77777777" w:rsidR="00B67C49"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w:t>
      </w:r>
      <w:proofErr w:type="gramStart"/>
      <w:r>
        <w:rPr>
          <w:rFonts w:asciiTheme="minorEastAsia" w:hAnsiTheme="minorEastAsia" w:cs="Arial" w:hint="eastAsia"/>
          <w:sz w:val="24"/>
          <w:szCs w:val="24"/>
        </w:rPr>
        <w:t>流预测</w:t>
      </w:r>
      <w:proofErr w:type="gramEnd"/>
      <w:r>
        <w:rPr>
          <w:rFonts w:asciiTheme="minorEastAsia" w:hAnsiTheme="minorEastAsia" w:cs="Arial" w:hint="eastAsia"/>
          <w:sz w:val="24"/>
          <w:szCs w:val="24"/>
        </w:rPr>
        <w:t>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4E6D7AC4" w14:textId="77777777" w:rsidR="00B67C49"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590B868C" w14:textId="77777777" w:rsidR="00B67C49"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当本基金持有特定资产且存在或潜在大额赎回申请时，基金管理人履行相应程序后，可以</w:t>
      </w:r>
      <w:proofErr w:type="gramStart"/>
      <w:r>
        <w:rPr>
          <w:rFonts w:asciiTheme="minorEastAsia" w:hAnsiTheme="minorEastAsia" w:cs="Arial" w:hint="eastAsia"/>
          <w:sz w:val="24"/>
          <w:szCs w:val="24"/>
        </w:rPr>
        <w:t>启用侧袋机制</w:t>
      </w:r>
      <w:proofErr w:type="gramEnd"/>
      <w:r>
        <w:rPr>
          <w:rFonts w:asciiTheme="minorEastAsia" w:hAnsiTheme="minorEastAsia" w:cs="Arial" w:hint="eastAsia"/>
          <w:sz w:val="24"/>
          <w:szCs w:val="24"/>
        </w:rPr>
        <w:t>，具体详见基金合同和本招募说明书“侧袋机制”等有关章节。</w:t>
      </w:r>
      <w:proofErr w:type="gramStart"/>
      <w:r>
        <w:rPr>
          <w:rFonts w:asciiTheme="minorEastAsia" w:hAnsiTheme="minorEastAsia" w:cs="Arial" w:hint="eastAsia"/>
          <w:sz w:val="24"/>
          <w:szCs w:val="24"/>
        </w:rPr>
        <w:t>侧袋机制</w:t>
      </w:r>
      <w:proofErr w:type="gramEnd"/>
      <w:r>
        <w:rPr>
          <w:rFonts w:asciiTheme="minorEastAsia" w:hAnsiTheme="minorEastAsia" w:cs="Arial" w:hint="eastAsia"/>
          <w:sz w:val="24"/>
          <w:szCs w:val="24"/>
        </w:rPr>
        <w:t>实施期间，基金管理人将对基金简称进行特殊标识，并不</w:t>
      </w:r>
      <w:proofErr w:type="gramStart"/>
      <w:r>
        <w:rPr>
          <w:rFonts w:asciiTheme="minorEastAsia" w:hAnsiTheme="minorEastAsia" w:cs="Arial" w:hint="eastAsia"/>
          <w:sz w:val="24"/>
          <w:szCs w:val="24"/>
        </w:rPr>
        <w:t>办理侧袋账户</w:t>
      </w:r>
      <w:proofErr w:type="gramEnd"/>
      <w:r>
        <w:rPr>
          <w:rFonts w:asciiTheme="minorEastAsia" w:hAnsiTheme="minorEastAsia" w:cs="Arial" w:hint="eastAsia"/>
          <w:sz w:val="24"/>
          <w:szCs w:val="24"/>
        </w:rPr>
        <w:t>的申购赎回。</w:t>
      </w:r>
      <w:proofErr w:type="gramStart"/>
      <w:r>
        <w:rPr>
          <w:rFonts w:asciiTheme="minorEastAsia" w:hAnsiTheme="minorEastAsia" w:cs="Arial" w:hint="eastAsia"/>
          <w:sz w:val="24"/>
          <w:szCs w:val="24"/>
        </w:rPr>
        <w:t>请基金</w:t>
      </w:r>
      <w:proofErr w:type="gramEnd"/>
      <w:r>
        <w:rPr>
          <w:rFonts w:asciiTheme="minorEastAsia" w:hAnsiTheme="minorEastAsia" w:cs="Arial" w:hint="eastAsia"/>
          <w:sz w:val="24"/>
          <w:szCs w:val="24"/>
        </w:rPr>
        <w:t>份额持有人仔细阅读相关内容并关注本基金启用</w:t>
      </w:r>
      <w:proofErr w:type="gramStart"/>
      <w:r>
        <w:rPr>
          <w:rFonts w:asciiTheme="minorEastAsia" w:hAnsiTheme="minorEastAsia" w:cs="Arial" w:hint="eastAsia"/>
          <w:sz w:val="24"/>
          <w:szCs w:val="24"/>
        </w:rPr>
        <w:t>侧袋机制</w:t>
      </w:r>
      <w:proofErr w:type="gramEnd"/>
      <w:r>
        <w:rPr>
          <w:rFonts w:asciiTheme="minorEastAsia" w:hAnsiTheme="minorEastAsia" w:cs="Arial" w:hint="eastAsia"/>
          <w:sz w:val="24"/>
          <w:szCs w:val="24"/>
        </w:rPr>
        <w:t>时的特定风险。</w:t>
      </w:r>
    </w:p>
    <w:p w14:paraId="2A357E6E" w14:textId="77777777" w:rsidR="00B67C49"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本基金的投资范围包括股指期货、国债期货、股票期权，可能面临市场风险、流动性风险、</w:t>
      </w:r>
      <w:proofErr w:type="gramStart"/>
      <w:r>
        <w:rPr>
          <w:rFonts w:asciiTheme="minorEastAsia" w:hAnsiTheme="minorEastAsia" w:cs="Arial" w:hint="eastAsia"/>
          <w:sz w:val="24"/>
          <w:szCs w:val="24"/>
        </w:rPr>
        <w:t>基差风险</w:t>
      </w:r>
      <w:proofErr w:type="gramEnd"/>
      <w:r>
        <w:rPr>
          <w:rFonts w:asciiTheme="minorEastAsia" w:hAnsiTheme="minorEastAsia" w:cs="Arial" w:hint="eastAsia"/>
          <w:sz w:val="24"/>
          <w:szCs w:val="24"/>
        </w:rPr>
        <w:t>、保证金风险、信用风险和操作风险等。</w:t>
      </w:r>
    </w:p>
    <w:p w14:paraId="61400612" w14:textId="77777777" w:rsidR="00B67C49"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4、本基金以</w:t>
      </w:r>
      <w:r>
        <w:rPr>
          <w:rFonts w:asciiTheme="minorEastAsia" w:hAnsiTheme="minorEastAsia" w:cs="Arial"/>
          <w:sz w:val="24"/>
          <w:szCs w:val="24"/>
        </w:rPr>
        <w:t>1.00</w:t>
      </w:r>
      <w:r>
        <w:rPr>
          <w:rFonts w:asciiTheme="minorEastAsia" w:hAnsiTheme="minorEastAsia" w:cs="Arial" w:hint="eastAsia"/>
          <w:sz w:val="24"/>
          <w:szCs w:val="24"/>
        </w:rPr>
        <w:t>元发售面值募集基金份额，在市场波动等因素的影响下，</w:t>
      </w:r>
      <w:r>
        <w:rPr>
          <w:rFonts w:asciiTheme="minorEastAsia" w:hAnsiTheme="minorEastAsia" w:cs="Arial" w:hint="eastAsia"/>
          <w:sz w:val="24"/>
          <w:szCs w:val="24"/>
        </w:rPr>
        <w:lastRenderedPageBreak/>
        <w:t>基金投资有可能出现亏损或基金份额净值低于初始面值。</w:t>
      </w:r>
    </w:p>
    <w:p w14:paraId="7035BEA5" w14:textId="77777777" w:rsidR="00B67C49"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58DFC58A" w14:textId="77777777" w:rsidR="00B67C49"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投资决策后，基金运营状况与基金净值变化引致的投资风险，由投资者自行承担。</w:t>
      </w:r>
    </w:p>
    <w:p w14:paraId="1BAA13E1" w14:textId="77777777" w:rsidR="00B67C49" w:rsidRDefault="00000000">
      <w:pPr>
        <w:autoSpaceDE w:val="0"/>
        <w:autoSpaceDN w:val="0"/>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本次招募说明书仅对“基金管理人”部分的内容进行更新。</w:t>
      </w:r>
      <w:r>
        <w:rPr>
          <w:rFonts w:asciiTheme="minorEastAsia" w:hAnsiTheme="minorEastAsia" w:cs="Arial" w:hint="eastAsia"/>
          <w:sz w:val="24"/>
          <w:szCs w:val="24"/>
        </w:rPr>
        <w:t>本招募说明书所载其他内容截止日为202</w:t>
      </w:r>
      <w:r>
        <w:rPr>
          <w:rFonts w:asciiTheme="minorEastAsia" w:hAnsiTheme="minorEastAsia" w:cs="Arial"/>
          <w:sz w:val="24"/>
          <w:szCs w:val="24"/>
        </w:rPr>
        <w:t>3</w:t>
      </w:r>
      <w:r>
        <w:rPr>
          <w:rFonts w:asciiTheme="minorEastAsia" w:hAnsiTheme="minorEastAsia" w:cs="Arial" w:hint="eastAsia"/>
          <w:sz w:val="24"/>
          <w:szCs w:val="24"/>
        </w:rPr>
        <w:t>年</w:t>
      </w:r>
      <w:r>
        <w:rPr>
          <w:rFonts w:asciiTheme="minorEastAsia" w:hAnsiTheme="minorEastAsia" w:cs="Arial"/>
          <w:sz w:val="24"/>
          <w:szCs w:val="24"/>
        </w:rPr>
        <w:t>10</w:t>
      </w:r>
      <w:r>
        <w:rPr>
          <w:rFonts w:asciiTheme="minorEastAsia" w:hAnsiTheme="minorEastAsia" w:cs="Arial" w:hint="eastAsia"/>
          <w:sz w:val="24"/>
          <w:szCs w:val="24"/>
        </w:rPr>
        <w:t>月</w:t>
      </w:r>
      <w:r>
        <w:rPr>
          <w:rFonts w:asciiTheme="minorEastAsia" w:hAnsiTheme="minorEastAsia" w:cs="Arial"/>
          <w:sz w:val="24"/>
          <w:szCs w:val="24"/>
        </w:rPr>
        <w:t>9</w:t>
      </w:r>
      <w:r>
        <w:rPr>
          <w:rFonts w:asciiTheme="minorEastAsia" w:hAnsiTheme="minorEastAsia" w:cs="Arial" w:hint="eastAsia"/>
          <w:sz w:val="24"/>
          <w:szCs w:val="24"/>
        </w:rPr>
        <w:t>日，有关财务数据截止日为202</w:t>
      </w:r>
      <w:r>
        <w:rPr>
          <w:rFonts w:asciiTheme="minorEastAsia" w:hAnsiTheme="minorEastAsia" w:cs="Arial"/>
          <w:sz w:val="24"/>
          <w:szCs w:val="24"/>
        </w:rPr>
        <w:t>3</w:t>
      </w:r>
      <w:r>
        <w:rPr>
          <w:rFonts w:asciiTheme="minorEastAsia" w:hAnsiTheme="minorEastAsia" w:cs="Arial" w:hint="eastAsia"/>
          <w:sz w:val="24"/>
          <w:szCs w:val="24"/>
        </w:rPr>
        <w:t>年</w:t>
      </w:r>
      <w:r>
        <w:rPr>
          <w:rFonts w:asciiTheme="minorEastAsia" w:hAnsiTheme="minorEastAsia" w:cs="Arial"/>
          <w:sz w:val="24"/>
          <w:szCs w:val="24"/>
        </w:rPr>
        <w:t>9</w:t>
      </w:r>
      <w:r>
        <w:rPr>
          <w:rFonts w:asciiTheme="minorEastAsia" w:hAnsiTheme="minorEastAsia" w:cs="Arial" w:hint="eastAsia"/>
          <w:sz w:val="24"/>
          <w:szCs w:val="24"/>
        </w:rPr>
        <w:t>月30日，净值表现截止日为202</w:t>
      </w:r>
      <w:r>
        <w:rPr>
          <w:rFonts w:asciiTheme="minorEastAsia" w:hAnsiTheme="minorEastAsia" w:cs="Arial"/>
          <w:sz w:val="24"/>
          <w:szCs w:val="24"/>
        </w:rPr>
        <w:t>3</w:t>
      </w:r>
      <w:r>
        <w:rPr>
          <w:rFonts w:asciiTheme="minorEastAsia" w:hAnsiTheme="minorEastAsia" w:cs="Arial" w:hint="eastAsia"/>
          <w:sz w:val="24"/>
          <w:szCs w:val="24"/>
        </w:rPr>
        <w:t>年</w:t>
      </w:r>
      <w:r>
        <w:rPr>
          <w:rFonts w:asciiTheme="minorEastAsia" w:hAnsiTheme="minorEastAsia" w:cs="Arial"/>
          <w:sz w:val="24"/>
          <w:szCs w:val="24"/>
        </w:rPr>
        <w:t>9</w:t>
      </w:r>
      <w:r>
        <w:rPr>
          <w:rFonts w:asciiTheme="minorEastAsia" w:hAnsiTheme="minorEastAsia" w:cs="Arial" w:hint="eastAsia"/>
          <w:sz w:val="24"/>
          <w:szCs w:val="24"/>
        </w:rPr>
        <w:t>月30日。（财务数据未经审计）。</w:t>
      </w:r>
    </w:p>
    <w:p w14:paraId="66C962EC" w14:textId="77777777" w:rsidR="00B67C49" w:rsidRDefault="00000000">
      <w:pPr>
        <w:autoSpaceDE w:val="0"/>
        <w:autoSpaceDN w:val="0"/>
        <w:adjustRightInd w:val="0"/>
        <w:snapToGrid w:val="0"/>
        <w:spacing w:line="360" w:lineRule="auto"/>
        <w:jc w:val="center"/>
        <w:rPr>
          <w:rFonts w:ascii="Arial" w:eastAsia="宋体" w:hAnsi="Arial" w:cs="Arial"/>
          <w:b/>
          <w:bCs/>
          <w:sz w:val="28"/>
          <w:szCs w:val="28"/>
        </w:rPr>
      </w:pPr>
      <w:r>
        <w:rPr>
          <w:rFonts w:asciiTheme="minorEastAsia" w:hAnsiTheme="minorEastAsia" w:cs="Arial" w:hint="eastAsia"/>
          <w:sz w:val="24"/>
          <w:szCs w:val="24"/>
        </w:rPr>
        <w:t xml:space="preserve"> </w:t>
      </w:r>
      <w:r>
        <w:rPr>
          <w:rFonts w:asciiTheme="minorEastAsia" w:hAnsiTheme="minorEastAsia" w:cs="Arial"/>
          <w:sz w:val="24"/>
          <w:szCs w:val="24"/>
        </w:rPr>
        <w:t xml:space="preserve">   </w:t>
      </w:r>
    </w:p>
    <w:p w14:paraId="3926A8DA" w14:textId="77777777" w:rsidR="00B67C49" w:rsidRDefault="00B67C49">
      <w:pPr>
        <w:widowControl/>
        <w:spacing w:line="360" w:lineRule="auto"/>
        <w:jc w:val="left"/>
        <w:rPr>
          <w:rFonts w:ascii="Times New Roman" w:eastAsia="宋体" w:hAnsi="Times New Roman" w:cs="Times New Roman"/>
          <w:b/>
          <w:kern w:val="0"/>
          <w:sz w:val="30"/>
          <w:szCs w:val="30"/>
        </w:rPr>
        <w:sectPr w:rsidR="00B67C49" w:rsidSect="00D84CBD">
          <w:headerReference w:type="even" r:id="rId13"/>
          <w:headerReference w:type="default" r:id="rId14"/>
          <w:headerReference w:type="first" r:id="rId15"/>
          <w:pgSz w:w="11906" w:h="16838"/>
          <w:pgMar w:top="1440" w:right="1800" w:bottom="1440" w:left="1800" w:header="851" w:footer="992" w:gutter="0"/>
          <w:pgNumType w:start="1"/>
          <w:cols w:space="720"/>
          <w:docGrid w:type="lines" w:linePitch="312"/>
        </w:sectPr>
      </w:pPr>
      <w:bookmarkStart w:id="14" w:name="_Toc141703880"/>
      <w:bookmarkStart w:id="15" w:name="_Toc4867"/>
      <w:bookmarkStart w:id="16" w:name="_Toc11660"/>
      <w:bookmarkStart w:id="17" w:name="_Toc29629"/>
      <w:bookmarkStart w:id="18" w:name="_Toc4966"/>
      <w:bookmarkStart w:id="19" w:name="_Toc23386"/>
      <w:bookmarkStart w:id="20" w:name="_Toc8727"/>
      <w:bookmarkStart w:id="21" w:name="_Toc30935"/>
      <w:bookmarkStart w:id="22" w:name="_Toc32639"/>
      <w:bookmarkStart w:id="23" w:name="_Toc139991730"/>
      <w:bookmarkStart w:id="24" w:name="_Toc123112229"/>
      <w:bookmarkStart w:id="25" w:name="_Toc26897"/>
      <w:bookmarkStart w:id="26" w:name="_Toc123112268"/>
      <w:bookmarkStart w:id="27" w:name="_Toc15517"/>
      <w:bookmarkStart w:id="28" w:name="_Toc123701389"/>
      <w:bookmarkStart w:id="29" w:name="_Toc6306"/>
      <w:bookmarkStart w:id="30" w:name="_Toc352229746"/>
      <w:bookmarkStart w:id="31" w:name="_Toc233456271"/>
      <w:bookmarkEnd w:id="0"/>
      <w:bookmarkEnd w:id="1"/>
      <w:bookmarkEnd w:id="2"/>
      <w:bookmarkEnd w:id="3"/>
    </w:p>
    <w:p w14:paraId="1B288146" w14:textId="77777777" w:rsidR="00B67C49" w:rsidRDefault="00000000">
      <w:pPr>
        <w:jc w:val="center"/>
        <w:rPr>
          <w:b/>
          <w:bCs/>
          <w:sz w:val="24"/>
        </w:rPr>
      </w:pPr>
      <w:r>
        <w:rPr>
          <w:b/>
          <w:bCs/>
          <w:sz w:val="24"/>
        </w:rPr>
        <w:lastRenderedPageBreak/>
        <w:t>目</w:t>
      </w:r>
      <w:r>
        <w:rPr>
          <w:b/>
          <w:bCs/>
          <w:sz w:val="24"/>
        </w:rPr>
        <w:t xml:space="preserve">    </w:t>
      </w:r>
      <w:r>
        <w:rPr>
          <w:b/>
          <w:bCs/>
          <w:sz w:val="24"/>
        </w:rPr>
        <w:t>录</w:t>
      </w:r>
    </w:p>
    <w:p w14:paraId="7BF4183E" w14:textId="5B72E697" w:rsidR="00B67C49" w:rsidRDefault="00000000">
      <w:pPr>
        <w:pStyle w:val="TOC1"/>
        <w:rPr>
          <w:rFonts w:asciiTheme="minorHAnsi" w:eastAsiaTheme="minorEastAsia" w:hAnsiTheme="minorHAnsi" w:cstheme="minorBidi"/>
          <w:noProof/>
          <w:szCs w:val="22"/>
        </w:rPr>
      </w:pPr>
      <w:r>
        <w:rPr>
          <w:bCs/>
        </w:rPr>
        <w:fldChar w:fldCharType="begin"/>
      </w:r>
      <w:r>
        <w:rPr>
          <w:bCs/>
        </w:rPr>
        <w:instrText xml:space="preserve"> TOC \o "1-1" \h \z \u </w:instrText>
      </w:r>
      <w:r>
        <w:rPr>
          <w:bCs/>
        </w:rPr>
        <w:fldChar w:fldCharType="separate"/>
      </w:r>
      <w:hyperlink w:anchor="_Toc119568457" w:history="1">
        <w:r>
          <w:rPr>
            <w:rStyle w:val="afc"/>
            <w:noProof/>
          </w:rPr>
          <w:t>第一部分</w:t>
        </w:r>
        <w:r>
          <w:rPr>
            <w:rStyle w:val="afc"/>
            <w:noProof/>
          </w:rPr>
          <w:t xml:space="preserve">  </w:t>
        </w:r>
        <w:r>
          <w:rPr>
            <w:rStyle w:val="afc"/>
            <w:noProof/>
          </w:rPr>
          <w:t>绪言</w:t>
        </w:r>
        <w:r>
          <w:rPr>
            <w:noProof/>
          </w:rPr>
          <w:tab/>
        </w:r>
        <w:r>
          <w:rPr>
            <w:noProof/>
          </w:rPr>
          <w:fldChar w:fldCharType="begin"/>
        </w:r>
        <w:r>
          <w:rPr>
            <w:noProof/>
          </w:rPr>
          <w:instrText xml:space="preserve"> PAGEREF _Toc119568457 \h </w:instrText>
        </w:r>
        <w:r>
          <w:rPr>
            <w:noProof/>
          </w:rPr>
        </w:r>
        <w:r>
          <w:rPr>
            <w:noProof/>
          </w:rPr>
          <w:fldChar w:fldCharType="separate"/>
        </w:r>
        <w:r w:rsidR="009511BD">
          <w:rPr>
            <w:noProof/>
          </w:rPr>
          <w:t>4</w:t>
        </w:r>
        <w:r>
          <w:rPr>
            <w:noProof/>
          </w:rPr>
          <w:fldChar w:fldCharType="end"/>
        </w:r>
      </w:hyperlink>
    </w:p>
    <w:p w14:paraId="5E52FD1B" w14:textId="24963658" w:rsidR="00B67C49" w:rsidRDefault="00000000">
      <w:pPr>
        <w:pStyle w:val="TOC1"/>
        <w:rPr>
          <w:rFonts w:asciiTheme="minorHAnsi" w:eastAsiaTheme="minorEastAsia" w:hAnsiTheme="minorHAnsi" w:cstheme="minorBidi"/>
          <w:noProof/>
          <w:szCs w:val="22"/>
        </w:rPr>
      </w:pPr>
      <w:hyperlink w:anchor="_Toc119568458" w:history="1">
        <w:r>
          <w:rPr>
            <w:rStyle w:val="afc"/>
            <w:noProof/>
          </w:rPr>
          <w:t>第二部分</w:t>
        </w:r>
        <w:r>
          <w:rPr>
            <w:rStyle w:val="afc"/>
            <w:noProof/>
          </w:rPr>
          <w:t xml:space="preserve">  </w:t>
        </w:r>
        <w:r>
          <w:rPr>
            <w:rStyle w:val="afc"/>
            <w:noProof/>
          </w:rPr>
          <w:t>释义</w:t>
        </w:r>
        <w:r>
          <w:rPr>
            <w:noProof/>
          </w:rPr>
          <w:tab/>
        </w:r>
        <w:r>
          <w:rPr>
            <w:noProof/>
          </w:rPr>
          <w:fldChar w:fldCharType="begin"/>
        </w:r>
        <w:r>
          <w:rPr>
            <w:noProof/>
          </w:rPr>
          <w:instrText xml:space="preserve"> PAGEREF _Toc119568458 \h </w:instrText>
        </w:r>
        <w:r>
          <w:rPr>
            <w:noProof/>
          </w:rPr>
        </w:r>
        <w:r>
          <w:rPr>
            <w:noProof/>
          </w:rPr>
          <w:fldChar w:fldCharType="separate"/>
        </w:r>
        <w:r w:rsidR="009511BD">
          <w:rPr>
            <w:noProof/>
          </w:rPr>
          <w:t>5</w:t>
        </w:r>
        <w:r>
          <w:rPr>
            <w:noProof/>
          </w:rPr>
          <w:fldChar w:fldCharType="end"/>
        </w:r>
      </w:hyperlink>
    </w:p>
    <w:p w14:paraId="30C4D4F1" w14:textId="276AF5B0" w:rsidR="00B67C49" w:rsidRDefault="00000000">
      <w:pPr>
        <w:pStyle w:val="TOC1"/>
        <w:rPr>
          <w:rFonts w:asciiTheme="minorHAnsi" w:eastAsiaTheme="minorEastAsia" w:hAnsiTheme="minorHAnsi" w:cstheme="minorBidi"/>
          <w:noProof/>
          <w:szCs w:val="22"/>
        </w:rPr>
      </w:pPr>
      <w:hyperlink w:anchor="_Toc119568459" w:history="1">
        <w:r>
          <w:rPr>
            <w:rStyle w:val="afc"/>
            <w:noProof/>
          </w:rPr>
          <w:t>第三部分</w:t>
        </w:r>
        <w:r>
          <w:rPr>
            <w:rStyle w:val="afc"/>
            <w:noProof/>
          </w:rPr>
          <w:t xml:space="preserve">  </w:t>
        </w:r>
        <w:r>
          <w:rPr>
            <w:rStyle w:val="afc"/>
            <w:noProof/>
          </w:rPr>
          <w:t>基金管理人</w:t>
        </w:r>
        <w:r>
          <w:rPr>
            <w:noProof/>
          </w:rPr>
          <w:tab/>
        </w:r>
        <w:r>
          <w:rPr>
            <w:noProof/>
          </w:rPr>
          <w:fldChar w:fldCharType="begin"/>
        </w:r>
        <w:r>
          <w:rPr>
            <w:noProof/>
          </w:rPr>
          <w:instrText xml:space="preserve"> PAGEREF _Toc119568459 \h </w:instrText>
        </w:r>
        <w:r>
          <w:rPr>
            <w:noProof/>
          </w:rPr>
        </w:r>
        <w:r>
          <w:rPr>
            <w:noProof/>
          </w:rPr>
          <w:fldChar w:fldCharType="separate"/>
        </w:r>
        <w:r w:rsidR="009511BD">
          <w:rPr>
            <w:noProof/>
          </w:rPr>
          <w:t>10</w:t>
        </w:r>
        <w:r>
          <w:rPr>
            <w:noProof/>
          </w:rPr>
          <w:fldChar w:fldCharType="end"/>
        </w:r>
      </w:hyperlink>
    </w:p>
    <w:p w14:paraId="0A29FD1E" w14:textId="55F9CBC1" w:rsidR="00B67C49" w:rsidRDefault="00000000">
      <w:pPr>
        <w:pStyle w:val="TOC1"/>
        <w:rPr>
          <w:rFonts w:asciiTheme="minorHAnsi" w:eastAsiaTheme="minorEastAsia" w:hAnsiTheme="minorHAnsi" w:cstheme="minorBidi"/>
          <w:noProof/>
          <w:szCs w:val="22"/>
        </w:rPr>
      </w:pPr>
      <w:hyperlink w:anchor="_Toc119568460" w:history="1">
        <w:r>
          <w:rPr>
            <w:rStyle w:val="afc"/>
            <w:noProof/>
          </w:rPr>
          <w:t>第四部分</w:t>
        </w:r>
        <w:r>
          <w:rPr>
            <w:rStyle w:val="afc"/>
            <w:noProof/>
          </w:rPr>
          <w:t xml:space="preserve">  </w:t>
        </w:r>
        <w:r>
          <w:rPr>
            <w:rStyle w:val="afc"/>
            <w:noProof/>
          </w:rPr>
          <w:t>基金托管人</w:t>
        </w:r>
        <w:r>
          <w:rPr>
            <w:noProof/>
          </w:rPr>
          <w:tab/>
        </w:r>
        <w:r>
          <w:rPr>
            <w:noProof/>
          </w:rPr>
          <w:fldChar w:fldCharType="begin"/>
        </w:r>
        <w:r>
          <w:rPr>
            <w:noProof/>
          </w:rPr>
          <w:instrText xml:space="preserve"> PAGEREF _Toc119568460 \h </w:instrText>
        </w:r>
        <w:r>
          <w:rPr>
            <w:noProof/>
          </w:rPr>
        </w:r>
        <w:r>
          <w:rPr>
            <w:noProof/>
          </w:rPr>
          <w:fldChar w:fldCharType="separate"/>
        </w:r>
        <w:r w:rsidR="009511BD">
          <w:rPr>
            <w:noProof/>
          </w:rPr>
          <w:t>21</w:t>
        </w:r>
        <w:r>
          <w:rPr>
            <w:noProof/>
          </w:rPr>
          <w:fldChar w:fldCharType="end"/>
        </w:r>
      </w:hyperlink>
    </w:p>
    <w:p w14:paraId="07E01A07" w14:textId="76B26803" w:rsidR="00B67C49" w:rsidRDefault="00000000">
      <w:pPr>
        <w:pStyle w:val="TOC1"/>
        <w:rPr>
          <w:rFonts w:asciiTheme="minorHAnsi" w:eastAsiaTheme="minorEastAsia" w:hAnsiTheme="minorHAnsi" w:cstheme="minorBidi"/>
          <w:noProof/>
          <w:szCs w:val="22"/>
        </w:rPr>
      </w:pPr>
      <w:hyperlink w:anchor="_Toc119568461" w:history="1">
        <w:r>
          <w:rPr>
            <w:rStyle w:val="afc"/>
            <w:noProof/>
          </w:rPr>
          <w:t>第五部分</w:t>
        </w:r>
        <w:r>
          <w:rPr>
            <w:rStyle w:val="afc"/>
            <w:noProof/>
          </w:rPr>
          <w:t xml:space="preserve">  </w:t>
        </w:r>
        <w:r>
          <w:rPr>
            <w:rStyle w:val="afc"/>
            <w:noProof/>
          </w:rPr>
          <w:t>相关服务机构</w:t>
        </w:r>
        <w:r>
          <w:rPr>
            <w:noProof/>
          </w:rPr>
          <w:tab/>
        </w:r>
        <w:r>
          <w:rPr>
            <w:noProof/>
          </w:rPr>
          <w:fldChar w:fldCharType="begin"/>
        </w:r>
        <w:r>
          <w:rPr>
            <w:noProof/>
          </w:rPr>
          <w:instrText xml:space="preserve"> PAGEREF _Toc119568461 \h </w:instrText>
        </w:r>
        <w:r>
          <w:rPr>
            <w:noProof/>
          </w:rPr>
        </w:r>
        <w:r>
          <w:rPr>
            <w:noProof/>
          </w:rPr>
          <w:fldChar w:fldCharType="separate"/>
        </w:r>
        <w:r w:rsidR="009511BD">
          <w:rPr>
            <w:noProof/>
          </w:rPr>
          <w:t>25</w:t>
        </w:r>
        <w:r>
          <w:rPr>
            <w:noProof/>
          </w:rPr>
          <w:fldChar w:fldCharType="end"/>
        </w:r>
      </w:hyperlink>
    </w:p>
    <w:p w14:paraId="3B5345E0" w14:textId="7D943D70" w:rsidR="00B67C49" w:rsidRDefault="00000000">
      <w:pPr>
        <w:pStyle w:val="TOC1"/>
        <w:rPr>
          <w:rFonts w:asciiTheme="minorHAnsi" w:eastAsiaTheme="minorEastAsia" w:hAnsiTheme="minorHAnsi" w:cstheme="minorBidi"/>
          <w:noProof/>
          <w:szCs w:val="22"/>
        </w:rPr>
      </w:pPr>
      <w:hyperlink w:anchor="_Toc119568462" w:history="1">
        <w:r>
          <w:rPr>
            <w:rStyle w:val="afc"/>
            <w:noProof/>
          </w:rPr>
          <w:t>第六部分</w:t>
        </w:r>
        <w:r>
          <w:rPr>
            <w:rStyle w:val="afc"/>
            <w:noProof/>
          </w:rPr>
          <w:t xml:space="preserve">  </w:t>
        </w:r>
        <w:r>
          <w:rPr>
            <w:rStyle w:val="afc"/>
            <w:rFonts w:asciiTheme="minorEastAsia" w:hAnsiTheme="minorEastAsia"/>
            <w:noProof/>
          </w:rPr>
          <w:t>基金的募集</w:t>
        </w:r>
        <w:r>
          <w:rPr>
            <w:noProof/>
          </w:rPr>
          <w:tab/>
        </w:r>
        <w:r>
          <w:rPr>
            <w:noProof/>
          </w:rPr>
          <w:fldChar w:fldCharType="begin"/>
        </w:r>
        <w:r>
          <w:rPr>
            <w:noProof/>
          </w:rPr>
          <w:instrText xml:space="preserve"> PAGEREF _Toc119568462 \h </w:instrText>
        </w:r>
        <w:r>
          <w:rPr>
            <w:noProof/>
          </w:rPr>
        </w:r>
        <w:r>
          <w:rPr>
            <w:noProof/>
          </w:rPr>
          <w:fldChar w:fldCharType="separate"/>
        </w:r>
        <w:r w:rsidR="009511BD">
          <w:rPr>
            <w:noProof/>
          </w:rPr>
          <w:t>33</w:t>
        </w:r>
        <w:r>
          <w:rPr>
            <w:noProof/>
          </w:rPr>
          <w:fldChar w:fldCharType="end"/>
        </w:r>
      </w:hyperlink>
    </w:p>
    <w:p w14:paraId="04AC7939" w14:textId="3E2164E0" w:rsidR="00B67C49" w:rsidRDefault="00000000">
      <w:pPr>
        <w:pStyle w:val="TOC1"/>
        <w:rPr>
          <w:rFonts w:asciiTheme="minorHAnsi" w:eastAsiaTheme="minorEastAsia" w:hAnsiTheme="minorHAnsi" w:cstheme="minorBidi"/>
          <w:noProof/>
          <w:szCs w:val="22"/>
        </w:rPr>
      </w:pPr>
      <w:hyperlink w:anchor="_Toc119568463" w:history="1">
        <w:r>
          <w:rPr>
            <w:rStyle w:val="afc"/>
            <w:noProof/>
          </w:rPr>
          <w:t>第七部分</w:t>
        </w:r>
        <w:r>
          <w:rPr>
            <w:rStyle w:val="afc"/>
            <w:noProof/>
          </w:rPr>
          <w:t xml:space="preserve">  </w:t>
        </w:r>
        <w:r>
          <w:rPr>
            <w:rStyle w:val="afc"/>
            <w:noProof/>
          </w:rPr>
          <w:t>基金合同的生效</w:t>
        </w:r>
        <w:r>
          <w:rPr>
            <w:noProof/>
          </w:rPr>
          <w:tab/>
        </w:r>
        <w:r>
          <w:rPr>
            <w:noProof/>
          </w:rPr>
          <w:fldChar w:fldCharType="begin"/>
        </w:r>
        <w:r>
          <w:rPr>
            <w:noProof/>
          </w:rPr>
          <w:instrText xml:space="preserve"> PAGEREF _Toc119568463 \h </w:instrText>
        </w:r>
        <w:r>
          <w:rPr>
            <w:noProof/>
          </w:rPr>
        </w:r>
        <w:r>
          <w:rPr>
            <w:noProof/>
          </w:rPr>
          <w:fldChar w:fldCharType="separate"/>
        </w:r>
        <w:r w:rsidR="009511BD">
          <w:rPr>
            <w:noProof/>
          </w:rPr>
          <w:t>34</w:t>
        </w:r>
        <w:r>
          <w:rPr>
            <w:noProof/>
          </w:rPr>
          <w:fldChar w:fldCharType="end"/>
        </w:r>
      </w:hyperlink>
    </w:p>
    <w:p w14:paraId="67B320D3" w14:textId="25C0F6EC" w:rsidR="00B67C49" w:rsidRDefault="00000000">
      <w:pPr>
        <w:pStyle w:val="TOC1"/>
        <w:rPr>
          <w:rFonts w:asciiTheme="minorHAnsi" w:eastAsiaTheme="minorEastAsia" w:hAnsiTheme="minorHAnsi" w:cstheme="minorBidi"/>
          <w:noProof/>
          <w:szCs w:val="22"/>
        </w:rPr>
      </w:pPr>
      <w:hyperlink w:anchor="_Toc119568464" w:history="1">
        <w:r>
          <w:rPr>
            <w:rStyle w:val="afc"/>
            <w:noProof/>
          </w:rPr>
          <w:t>第八部分</w:t>
        </w:r>
        <w:r>
          <w:rPr>
            <w:rStyle w:val="afc"/>
            <w:noProof/>
          </w:rPr>
          <w:t xml:space="preserve">  </w:t>
        </w:r>
        <w:r>
          <w:rPr>
            <w:rStyle w:val="afc"/>
            <w:noProof/>
          </w:rPr>
          <w:t>基金份额的申购与赎回</w:t>
        </w:r>
        <w:r>
          <w:rPr>
            <w:noProof/>
          </w:rPr>
          <w:tab/>
        </w:r>
        <w:r>
          <w:rPr>
            <w:noProof/>
          </w:rPr>
          <w:fldChar w:fldCharType="begin"/>
        </w:r>
        <w:r>
          <w:rPr>
            <w:noProof/>
          </w:rPr>
          <w:instrText xml:space="preserve"> PAGEREF _Toc119568464 \h </w:instrText>
        </w:r>
        <w:r>
          <w:rPr>
            <w:noProof/>
          </w:rPr>
        </w:r>
        <w:r>
          <w:rPr>
            <w:noProof/>
          </w:rPr>
          <w:fldChar w:fldCharType="separate"/>
        </w:r>
        <w:r w:rsidR="009511BD">
          <w:rPr>
            <w:noProof/>
          </w:rPr>
          <w:t>35</w:t>
        </w:r>
        <w:r>
          <w:rPr>
            <w:noProof/>
          </w:rPr>
          <w:fldChar w:fldCharType="end"/>
        </w:r>
      </w:hyperlink>
    </w:p>
    <w:p w14:paraId="5DFF236E" w14:textId="6668F03E" w:rsidR="00B67C49" w:rsidRDefault="00000000">
      <w:pPr>
        <w:pStyle w:val="TOC1"/>
        <w:rPr>
          <w:rFonts w:asciiTheme="minorHAnsi" w:eastAsiaTheme="minorEastAsia" w:hAnsiTheme="minorHAnsi" w:cstheme="minorBidi"/>
          <w:noProof/>
          <w:szCs w:val="22"/>
        </w:rPr>
      </w:pPr>
      <w:hyperlink w:anchor="_Toc119568465" w:history="1">
        <w:r>
          <w:rPr>
            <w:rStyle w:val="afc"/>
            <w:noProof/>
          </w:rPr>
          <w:t>第九部分</w:t>
        </w:r>
        <w:r>
          <w:rPr>
            <w:rStyle w:val="afc"/>
            <w:noProof/>
          </w:rPr>
          <w:t xml:space="preserve">  </w:t>
        </w:r>
        <w:r>
          <w:rPr>
            <w:rStyle w:val="afc"/>
            <w:noProof/>
          </w:rPr>
          <w:t>基金的投资</w:t>
        </w:r>
        <w:r>
          <w:rPr>
            <w:noProof/>
          </w:rPr>
          <w:tab/>
        </w:r>
        <w:r>
          <w:rPr>
            <w:noProof/>
          </w:rPr>
          <w:fldChar w:fldCharType="begin"/>
        </w:r>
        <w:r>
          <w:rPr>
            <w:noProof/>
          </w:rPr>
          <w:instrText xml:space="preserve"> PAGEREF _Toc119568465 \h </w:instrText>
        </w:r>
        <w:r>
          <w:rPr>
            <w:noProof/>
          </w:rPr>
        </w:r>
        <w:r>
          <w:rPr>
            <w:noProof/>
          </w:rPr>
          <w:fldChar w:fldCharType="separate"/>
        </w:r>
        <w:r w:rsidR="009511BD">
          <w:rPr>
            <w:noProof/>
          </w:rPr>
          <w:t>46</w:t>
        </w:r>
        <w:r>
          <w:rPr>
            <w:noProof/>
          </w:rPr>
          <w:fldChar w:fldCharType="end"/>
        </w:r>
      </w:hyperlink>
    </w:p>
    <w:p w14:paraId="1FFF1891" w14:textId="23244570" w:rsidR="00B67C49" w:rsidRDefault="00000000">
      <w:pPr>
        <w:pStyle w:val="TOC1"/>
        <w:rPr>
          <w:rFonts w:asciiTheme="minorHAnsi" w:eastAsiaTheme="minorEastAsia" w:hAnsiTheme="minorHAnsi" w:cstheme="minorBidi"/>
          <w:noProof/>
          <w:szCs w:val="22"/>
        </w:rPr>
      </w:pPr>
      <w:hyperlink w:anchor="_Toc119568466" w:history="1">
        <w:r>
          <w:rPr>
            <w:rStyle w:val="afc"/>
            <w:noProof/>
          </w:rPr>
          <w:t>第十部分</w:t>
        </w:r>
        <w:r>
          <w:rPr>
            <w:rStyle w:val="afc"/>
            <w:noProof/>
          </w:rPr>
          <w:t xml:space="preserve">  </w:t>
        </w:r>
        <w:r>
          <w:rPr>
            <w:rStyle w:val="afc"/>
            <w:noProof/>
          </w:rPr>
          <w:t>基金的财产</w:t>
        </w:r>
        <w:r>
          <w:rPr>
            <w:noProof/>
          </w:rPr>
          <w:tab/>
        </w:r>
        <w:r>
          <w:rPr>
            <w:noProof/>
          </w:rPr>
          <w:fldChar w:fldCharType="begin"/>
        </w:r>
        <w:r>
          <w:rPr>
            <w:noProof/>
          </w:rPr>
          <w:instrText xml:space="preserve"> PAGEREF _Toc119568466 \h </w:instrText>
        </w:r>
        <w:r>
          <w:rPr>
            <w:noProof/>
          </w:rPr>
        </w:r>
        <w:r>
          <w:rPr>
            <w:noProof/>
          </w:rPr>
          <w:fldChar w:fldCharType="separate"/>
        </w:r>
        <w:r w:rsidR="009511BD">
          <w:rPr>
            <w:noProof/>
          </w:rPr>
          <w:t>60</w:t>
        </w:r>
        <w:r>
          <w:rPr>
            <w:noProof/>
          </w:rPr>
          <w:fldChar w:fldCharType="end"/>
        </w:r>
      </w:hyperlink>
    </w:p>
    <w:p w14:paraId="185E31D8" w14:textId="2818BD46" w:rsidR="00B67C49" w:rsidRDefault="00000000">
      <w:pPr>
        <w:pStyle w:val="TOC1"/>
        <w:rPr>
          <w:rFonts w:asciiTheme="minorHAnsi" w:eastAsiaTheme="minorEastAsia" w:hAnsiTheme="minorHAnsi" w:cstheme="minorBidi"/>
          <w:noProof/>
          <w:szCs w:val="22"/>
        </w:rPr>
      </w:pPr>
      <w:hyperlink w:anchor="_Toc119568467" w:history="1">
        <w:r>
          <w:rPr>
            <w:rStyle w:val="afc"/>
            <w:noProof/>
          </w:rPr>
          <w:t>第十一部分</w:t>
        </w:r>
        <w:r>
          <w:rPr>
            <w:rStyle w:val="afc"/>
            <w:noProof/>
          </w:rPr>
          <w:t xml:space="preserve">  </w:t>
        </w:r>
        <w:r>
          <w:rPr>
            <w:rStyle w:val="afc"/>
            <w:noProof/>
          </w:rPr>
          <w:t>基金资产的估值</w:t>
        </w:r>
        <w:r>
          <w:rPr>
            <w:noProof/>
          </w:rPr>
          <w:tab/>
        </w:r>
        <w:r>
          <w:rPr>
            <w:noProof/>
          </w:rPr>
          <w:fldChar w:fldCharType="begin"/>
        </w:r>
        <w:r>
          <w:rPr>
            <w:noProof/>
          </w:rPr>
          <w:instrText xml:space="preserve"> PAGEREF _Toc119568467 \h </w:instrText>
        </w:r>
        <w:r>
          <w:rPr>
            <w:noProof/>
          </w:rPr>
        </w:r>
        <w:r>
          <w:rPr>
            <w:noProof/>
          </w:rPr>
          <w:fldChar w:fldCharType="separate"/>
        </w:r>
        <w:r w:rsidR="009511BD">
          <w:rPr>
            <w:noProof/>
          </w:rPr>
          <w:t>62</w:t>
        </w:r>
        <w:r>
          <w:rPr>
            <w:noProof/>
          </w:rPr>
          <w:fldChar w:fldCharType="end"/>
        </w:r>
      </w:hyperlink>
    </w:p>
    <w:p w14:paraId="70AAE3AA" w14:textId="5F2721B4" w:rsidR="00B67C49" w:rsidRDefault="00000000">
      <w:pPr>
        <w:pStyle w:val="TOC1"/>
        <w:rPr>
          <w:rFonts w:asciiTheme="minorHAnsi" w:eastAsiaTheme="minorEastAsia" w:hAnsiTheme="minorHAnsi" w:cstheme="minorBidi"/>
          <w:noProof/>
          <w:szCs w:val="22"/>
        </w:rPr>
      </w:pPr>
      <w:hyperlink w:anchor="_Toc119568468" w:history="1">
        <w:r>
          <w:rPr>
            <w:rStyle w:val="afc"/>
            <w:noProof/>
          </w:rPr>
          <w:t>第十二部分</w:t>
        </w:r>
        <w:r>
          <w:rPr>
            <w:rStyle w:val="afc"/>
            <w:noProof/>
          </w:rPr>
          <w:t xml:space="preserve">  </w:t>
        </w:r>
        <w:r>
          <w:rPr>
            <w:rStyle w:val="afc"/>
            <w:noProof/>
          </w:rPr>
          <w:t>基金的收益分配</w:t>
        </w:r>
        <w:r>
          <w:rPr>
            <w:noProof/>
          </w:rPr>
          <w:tab/>
        </w:r>
        <w:r>
          <w:rPr>
            <w:noProof/>
          </w:rPr>
          <w:fldChar w:fldCharType="begin"/>
        </w:r>
        <w:r>
          <w:rPr>
            <w:noProof/>
          </w:rPr>
          <w:instrText xml:space="preserve"> PAGEREF _Toc119568468 \h </w:instrText>
        </w:r>
        <w:r>
          <w:rPr>
            <w:noProof/>
          </w:rPr>
        </w:r>
        <w:r>
          <w:rPr>
            <w:noProof/>
          </w:rPr>
          <w:fldChar w:fldCharType="separate"/>
        </w:r>
        <w:r w:rsidR="009511BD">
          <w:rPr>
            <w:noProof/>
          </w:rPr>
          <w:t>68</w:t>
        </w:r>
        <w:r>
          <w:rPr>
            <w:noProof/>
          </w:rPr>
          <w:fldChar w:fldCharType="end"/>
        </w:r>
      </w:hyperlink>
    </w:p>
    <w:p w14:paraId="66ECD370" w14:textId="115A6F0A" w:rsidR="00B67C49" w:rsidRDefault="00000000">
      <w:pPr>
        <w:pStyle w:val="TOC1"/>
        <w:rPr>
          <w:rFonts w:asciiTheme="minorHAnsi" w:eastAsiaTheme="minorEastAsia" w:hAnsiTheme="minorHAnsi" w:cstheme="minorBidi"/>
          <w:noProof/>
          <w:szCs w:val="22"/>
        </w:rPr>
      </w:pPr>
      <w:hyperlink w:anchor="_Toc119568469" w:history="1">
        <w:r>
          <w:rPr>
            <w:rStyle w:val="afc"/>
            <w:noProof/>
          </w:rPr>
          <w:t>第十三部分</w:t>
        </w:r>
        <w:r>
          <w:rPr>
            <w:rStyle w:val="afc"/>
            <w:noProof/>
          </w:rPr>
          <w:t xml:space="preserve">  </w:t>
        </w:r>
        <w:r>
          <w:rPr>
            <w:rStyle w:val="afc"/>
            <w:noProof/>
          </w:rPr>
          <w:t>基金费用与税收</w:t>
        </w:r>
        <w:r>
          <w:rPr>
            <w:noProof/>
          </w:rPr>
          <w:tab/>
        </w:r>
        <w:r>
          <w:rPr>
            <w:noProof/>
          </w:rPr>
          <w:fldChar w:fldCharType="begin"/>
        </w:r>
        <w:r>
          <w:rPr>
            <w:noProof/>
          </w:rPr>
          <w:instrText xml:space="preserve"> PAGEREF _Toc119568469 \h </w:instrText>
        </w:r>
        <w:r>
          <w:rPr>
            <w:noProof/>
          </w:rPr>
        </w:r>
        <w:r>
          <w:rPr>
            <w:noProof/>
          </w:rPr>
          <w:fldChar w:fldCharType="separate"/>
        </w:r>
        <w:r w:rsidR="009511BD">
          <w:rPr>
            <w:noProof/>
          </w:rPr>
          <w:t>70</w:t>
        </w:r>
        <w:r>
          <w:rPr>
            <w:noProof/>
          </w:rPr>
          <w:fldChar w:fldCharType="end"/>
        </w:r>
      </w:hyperlink>
    </w:p>
    <w:p w14:paraId="26785212" w14:textId="13531D10" w:rsidR="00B67C49" w:rsidRDefault="00000000">
      <w:pPr>
        <w:pStyle w:val="TOC1"/>
        <w:rPr>
          <w:rFonts w:asciiTheme="minorHAnsi" w:eastAsiaTheme="minorEastAsia" w:hAnsiTheme="minorHAnsi" w:cstheme="minorBidi"/>
          <w:noProof/>
          <w:szCs w:val="22"/>
        </w:rPr>
      </w:pPr>
      <w:hyperlink w:anchor="_Toc119568470" w:history="1">
        <w:r>
          <w:rPr>
            <w:rStyle w:val="afc"/>
            <w:noProof/>
          </w:rPr>
          <w:t>第十四部分</w:t>
        </w:r>
        <w:r>
          <w:rPr>
            <w:rStyle w:val="afc"/>
            <w:noProof/>
          </w:rPr>
          <w:t xml:space="preserve">  </w:t>
        </w:r>
        <w:r>
          <w:rPr>
            <w:rStyle w:val="afc"/>
            <w:noProof/>
          </w:rPr>
          <w:t>基金的会计与审计</w:t>
        </w:r>
        <w:r>
          <w:rPr>
            <w:noProof/>
          </w:rPr>
          <w:tab/>
        </w:r>
        <w:r>
          <w:rPr>
            <w:noProof/>
          </w:rPr>
          <w:fldChar w:fldCharType="begin"/>
        </w:r>
        <w:r>
          <w:rPr>
            <w:noProof/>
          </w:rPr>
          <w:instrText xml:space="preserve"> PAGEREF _Toc119568470 \h </w:instrText>
        </w:r>
        <w:r>
          <w:rPr>
            <w:noProof/>
          </w:rPr>
        </w:r>
        <w:r>
          <w:rPr>
            <w:noProof/>
          </w:rPr>
          <w:fldChar w:fldCharType="separate"/>
        </w:r>
        <w:r w:rsidR="009511BD">
          <w:rPr>
            <w:noProof/>
          </w:rPr>
          <w:t>73</w:t>
        </w:r>
        <w:r>
          <w:rPr>
            <w:noProof/>
          </w:rPr>
          <w:fldChar w:fldCharType="end"/>
        </w:r>
      </w:hyperlink>
    </w:p>
    <w:p w14:paraId="70F142F8" w14:textId="0E9CBA55" w:rsidR="00B67C49" w:rsidRDefault="00000000">
      <w:pPr>
        <w:pStyle w:val="TOC1"/>
        <w:rPr>
          <w:rFonts w:asciiTheme="minorHAnsi" w:eastAsiaTheme="minorEastAsia" w:hAnsiTheme="minorHAnsi" w:cstheme="minorBidi"/>
          <w:noProof/>
          <w:szCs w:val="22"/>
        </w:rPr>
      </w:pPr>
      <w:hyperlink w:anchor="_Toc119568471" w:history="1">
        <w:r>
          <w:rPr>
            <w:rStyle w:val="afc"/>
            <w:noProof/>
          </w:rPr>
          <w:t>第十五部分</w:t>
        </w:r>
        <w:r>
          <w:rPr>
            <w:rStyle w:val="afc"/>
            <w:noProof/>
          </w:rPr>
          <w:t xml:space="preserve">  </w:t>
        </w:r>
        <w:r>
          <w:rPr>
            <w:rStyle w:val="afc"/>
            <w:noProof/>
          </w:rPr>
          <w:t>基金的信息披露</w:t>
        </w:r>
        <w:r>
          <w:rPr>
            <w:noProof/>
          </w:rPr>
          <w:tab/>
        </w:r>
        <w:r>
          <w:rPr>
            <w:noProof/>
          </w:rPr>
          <w:fldChar w:fldCharType="begin"/>
        </w:r>
        <w:r>
          <w:rPr>
            <w:noProof/>
          </w:rPr>
          <w:instrText xml:space="preserve"> PAGEREF _Toc119568471 \h </w:instrText>
        </w:r>
        <w:r>
          <w:rPr>
            <w:noProof/>
          </w:rPr>
        </w:r>
        <w:r>
          <w:rPr>
            <w:noProof/>
          </w:rPr>
          <w:fldChar w:fldCharType="separate"/>
        </w:r>
        <w:r w:rsidR="009511BD">
          <w:rPr>
            <w:noProof/>
          </w:rPr>
          <w:t>74</w:t>
        </w:r>
        <w:r>
          <w:rPr>
            <w:noProof/>
          </w:rPr>
          <w:fldChar w:fldCharType="end"/>
        </w:r>
      </w:hyperlink>
    </w:p>
    <w:p w14:paraId="72A31A67" w14:textId="1B5FDC19" w:rsidR="00B67C49" w:rsidRDefault="00000000">
      <w:pPr>
        <w:pStyle w:val="TOC1"/>
        <w:rPr>
          <w:rFonts w:asciiTheme="minorHAnsi" w:eastAsiaTheme="minorEastAsia" w:hAnsiTheme="minorHAnsi" w:cstheme="minorBidi"/>
          <w:noProof/>
          <w:szCs w:val="22"/>
        </w:rPr>
      </w:pPr>
      <w:hyperlink w:anchor="_Toc119568472" w:history="1">
        <w:r>
          <w:rPr>
            <w:rStyle w:val="afc"/>
            <w:rFonts w:cs="Arial"/>
            <w:noProof/>
          </w:rPr>
          <w:t>第十六部分</w:t>
        </w:r>
        <w:r>
          <w:rPr>
            <w:rStyle w:val="afc"/>
            <w:rFonts w:cs="Arial"/>
            <w:noProof/>
          </w:rPr>
          <w:t xml:space="preserve"> </w:t>
        </w:r>
        <w:r>
          <w:rPr>
            <w:rStyle w:val="afc"/>
            <w:rFonts w:cs="Arial"/>
            <w:noProof/>
          </w:rPr>
          <w:t>侧袋机制</w:t>
        </w:r>
        <w:r>
          <w:rPr>
            <w:noProof/>
          </w:rPr>
          <w:tab/>
        </w:r>
        <w:r>
          <w:rPr>
            <w:noProof/>
          </w:rPr>
          <w:fldChar w:fldCharType="begin"/>
        </w:r>
        <w:r>
          <w:rPr>
            <w:noProof/>
          </w:rPr>
          <w:instrText xml:space="preserve"> PAGEREF _Toc119568472 \h </w:instrText>
        </w:r>
        <w:r>
          <w:rPr>
            <w:noProof/>
          </w:rPr>
        </w:r>
        <w:r>
          <w:rPr>
            <w:noProof/>
          </w:rPr>
          <w:fldChar w:fldCharType="separate"/>
        </w:r>
        <w:r w:rsidR="009511BD">
          <w:rPr>
            <w:noProof/>
          </w:rPr>
          <w:t>81</w:t>
        </w:r>
        <w:r>
          <w:rPr>
            <w:noProof/>
          </w:rPr>
          <w:fldChar w:fldCharType="end"/>
        </w:r>
      </w:hyperlink>
    </w:p>
    <w:p w14:paraId="7638DA6D" w14:textId="400BEB40" w:rsidR="00B67C49" w:rsidRDefault="00000000">
      <w:pPr>
        <w:pStyle w:val="TOC1"/>
        <w:rPr>
          <w:rFonts w:asciiTheme="minorHAnsi" w:eastAsiaTheme="minorEastAsia" w:hAnsiTheme="minorHAnsi" w:cstheme="minorBidi"/>
          <w:noProof/>
          <w:szCs w:val="22"/>
        </w:rPr>
      </w:pPr>
      <w:hyperlink w:anchor="_Toc119568473" w:history="1">
        <w:r>
          <w:rPr>
            <w:rStyle w:val="afc"/>
            <w:noProof/>
          </w:rPr>
          <w:t>第十七部分</w:t>
        </w:r>
        <w:r>
          <w:rPr>
            <w:rStyle w:val="afc"/>
            <w:noProof/>
          </w:rPr>
          <w:t xml:space="preserve">  </w:t>
        </w:r>
        <w:r>
          <w:rPr>
            <w:rStyle w:val="afc"/>
            <w:noProof/>
          </w:rPr>
          <w:t>风险揭示</w:t>
        </w:r>
        <w:r>
          <w:rPr>
            <w:noProof/>
          </w:rPr>
          <w:tab/>
        </w:r>
        <w:r>
          <w:rPr>
            <w:noProof/>
          </w:rPr>
          <w:fldChar w:fldCharType="begin"/>
        </w:r>
        <w:r>
          <w:rPr>
            <w:noProof/>
          </w:rPr>
          <w:instrText xml:space="preserve"> PAGEREF _Toc119568473 \h </w:instrText>
        </w:r>
        <w:r>
          <w:rPr>
            <w:noProof/>
          </w:rPr>
        </w:r>
        <w:r>
          <w:rPr>
            <w:noProof/>
          </w:rPr>
          <w:fldChar w:fldCharType="separate"/>
        </w:r>
        <w:r w:rsidR="009511BD">
          <w:rPr>
            <w:noProof/>
          </w:rPr>
          <w:t>84</w:t>
        </w:r>
        <w:r>
          <w:rPr>
            <w:noProof/>
          </w:rPr>
          <w:fldChar w:fldCharType="end"/>
        </w:r>
      </w:hyperlink>
    </w:p>
    <w:p w14:paraId="7E206EEC" w14:textId="4E08764C" w:rsidR="00B67C49" w:rsidRDefault="00000000">
      <w:pPr>
        <w:pStyle w:val="TOC1"/>
        <w:rPr>
          <w:rFonts w:asciiTheme="minorHAnsi" w:eastAsiaTheme="minorEastAsia" w:hAnsiTheme="minorHAnsi" w:cstheme="minorBidi"/>
          <w:noProof/>
          <w:szCs w:val="22"/>
        </w:rPr>
      </w:pPr>
      <w:hyperlink w:anchor="_Toc119568474" w:history="1">
        <w:r>
          <w:rPr>
            <w:rStyle w:val="afc"/>
            <w:noProof/>
          </w:rPr>
          <w:t>第十八部分</w:t>
        </w:r>
        <w:r>
          <w:rPr>
            <w:rStyle w:val="afc"/>
            <w:noProof/>
          </w:rPr>
          <w:t xml:space="preserve">  </w:t>
        </w:r>
        <w:r>
          <w:rPr>
            <w:rStyle w:val="afc"/>
            <w:noProof/>
          </w:rPr>
          <w:t>基金合同的变更、终止与基金财产的清算</w:t>
        </w:r>
        <w:r>
          <w:rPr>
            <w:noProof/>
          </w:rPr>
          <w:tab/>
        </w:r>
        <w:r>
          <w:rPr>
            <w:noProof/>
          </w:rPr>
          <w:fldChar w:fldCharType="begin"/>
        </w:r>
        <w:r>
          <w:rPr>
            <w:noProof/>
          </w:rPr>
          <w:instrText xml:space="preserve"> PAGEREF _Toc119568474 \h </w:instrText>
        </w:r>
        <w:r>
          <w:rPr>
            <w:noProof/>
          </w:rPr>
        </w:r>
        <w:r>
          <w:rPr>
            <w:noProof/>
          </w:rPr>
          <w:fldChar w:fldCharType="separate"/>
        </w:r>
        <w:r w:rsidR="009511BD">
          <w:rPr>
            <w:noProof/>
          </w:rPr>
          <w:t>89</w:t>
        </w:r>
        <w:r>
          <w:rPr>
            <w:noProof/>
          </w:rPr>
          <w:fldChar w:fldCharType="end"/>
        </w:r>
      </w:hyperlink>
    </w:p>
    <w:p w14:paraId="3D4C4028" w14:textId="26772360" w:rsidR="00B67C49" w:rsidRDefault="00000000">
      <w:pPr>
        <w:pStyle w:val="TOC1"/>
        <w:rPr>
          <w:rFonts w:asciiTheme="minorHAnsi" w:eastAsiaTheme="minorEastAsia" w:hAnsiTheme="minorHAnsi" w:cstheme="minorBidi"/>
          <w:noProof/>
          <w:szCs w:val="22"/>
        </w:rPr>
      </w:pPr>
      <w:hyperlink w:anchor="_Toc119568475" w:history="1">
        <w:r>
          <w:rPr>
            <w:rStyle w:val="afc"/>
            <w:noProof/>
          </w:rPr>
          <w:t>第十九部分</w:t>
        </w:r>
        <w:r>
          <w:rPr>
            <w:rStyle w:val="afc"/>
            <w:noProof/>
          </w:rPr>
          <w:t xml:space="preserve">  </w:t>
        </w:r>
        <w:r>
          <w:rPr>
            <w:rStyle w:val="afc"/>
            <w:noProof/>
          </w:rPr>
          <w:t>基金合同的内容摘要</w:t>
        </w:r>
        <w:r>
          <w:rPr>
            <w:noProof/>
          </w:rPr>
          <w:tab/>
        </w:r>
        <w:r>
          <w:rPr>
            <w:noProof/>
          </w:rPr>
          <w:fldChar w:fldCharType="begin"/>
        </w:r>
        <w:r>
          <w:rPr>
            <w:noProof/>
          </w:rPr>
          <w:instrText xml:space="preserve"> PAGEREF _Toc119568475 \h </w:instrText>
        </w:r>
        <w:r>
          <w:rPr>
            <w:noProof/>
          </w:rPr>
        </w:r>
        <w:r>
          <w:rPr>
            <w:noProof/>
          </w:rPr>
          <w:fldChar w:fldCharType="separate"/>
        </w:r>
        <w:r w:rsidR="009511BD">
          <w:rPr>
            <w:noProof/>
          </w:rPr>
          <w:t>91</w:t>
        </w:r>
        <w:r>
          <w:rPr>
            <w:noProof/>
          </w:rPr>
          <w:fldChar w:fldCharType="end"/>
        </w:r>
      </w:hyperlink>
    </w:p>
    <w:p w14:paraId="31461214" w14:textId="24E8423B" w:rsidR="00B67C49" w:rsidRDefault="00000000">
      <w:pPr>
        <w:pStyle w:val="TOC1"/>
        <w:rPr>
          <w:rFonts w:asciiTheme="minorHAnsi" w:eastAsiaTheme="minorEastAsia" w:hAnsiTheme="minorHAnsi" w:cstheme="minorBidi"/>
          <w:noProof/>
          <w:szCs w:val="22"/>
        </w:rPr>
      </w:pPr>
      <w:hyperlink w:anchor="_Toc119568476" w:history="1">
        <w:r>
          <w:rPr>
            <w:rStyle w:val="afc"/>
            <w:noProof/>
          </w:rPr>
          <w:t>第二十部分</w:t>
        </w:r>
        <w:r>
          <w:rPr>
            <w:rStyle w:val="afc"/>
            <w:noProof/>
          </w:rPr>
          <w:t xml:space="preserve">  </w:t>
        </w:r>
        <w:r>
          <w:rPr>
            <w:rStyle w:val="afc"/>
            <w:noProof/>
          </w:rPr>
          <w:t>基金托管协议的内容摘要</w:t>
        </w:r>
        <w:r>
          <w:rPr>
            <w:noProof/>
          </w:rPr>
          <w:tab/>
        </w:r>
        <w:r>
          <w:rPr>
            <w:noProof/>
          </w:rPr>
          <w:fldChar w:fldCharType="begin"/>
        </w:r>
        <w:r>
          <w:rPr>
            <w:noProof/>
          </w:rPr>
          <w:instrText xml:space="preserve"> PAGEREF _Toc119568476 \h </w:instrText>
        </w:r>
        <w:r>
          <w:rPr>
            <w:noProof/>
          </w:rPr>
        </w:r>
        <w:r>
          <w:rPr>
            <w:noProof/>
          </w:rPr>
          <w:fldChar w:fldCharType="separate"/>
        </w:r>
        <w:r w:rsidR="009511BD">
          <w:rPr>
            <w:noProof/>
          </w:rPr>
          <w:t>108</w:t>
        </w:r>
        <w:r>
          <w:rPr>
            <w:noProof/>
          </w:rPr>
          <w:fldChar w:fldCharType="end"/>
        </w:r>
      </w:hyperlink>
    </w:p>
    <w:p w14:paraId="6830510B" w14:textId="2A225E67" w:rsidR="00B67C49" w:rsidRDefault="00000000">
      <w:pPr>
        <w:pStyle w:val="TOC1"/>
        <w:rPr>
          <w:rFonts w:asciiTheme="minorHAnsi" w:eastAsiaTheme="minorEastAsia" w:hAnsiTheme="minorHAnsi" w:cstheme="minorBidi"/>
          <w:noProof/>
          <w:szCs w:val="22"/>
        </w:rPr>
      </w:pPr>
      <w:hyperlink w:anchor="_Toc119568477" w:history="1">
        <w:r>
          <w:rPr>
            <w:rStyle w:val="afc"/>
            <w:noProof/>
          </w:rPr>
          <w:t>第二十一部分</w:t>
        </w:r>
        <w:r>
          <w:rPr>
            <w:rStyle w:val="afc"/>
            <w:noProof/>
          </w:rPr>
          <w:t xml:space="preserve">  </w:t>
        </w:r>
        <w:r>
          <w:rPr>
            <w:rStyle w:val="afc"/>
            <w:noProof/>
          </w:rPr>
          <w:t>对基金份额持有人的服务</w:t>
        </w:r>
        <w:r>
          <w:rPr>
            <w:noProof/>
          </w:rPr>
          <w:tab/>
        </w:r>
        <w:r>
          <w:rPr>
            <w:noProof/>
          </w:rPr>
          <w:fldChar w:fldCharType="begin"/>
        </w:r>
        <w:r>
          <w:rPr>
            <w:noProof/>
          </w:rPr>
          <w:instrText xml:space="preserve"> PAGEREF _Toc119568477 \h </w:instrText>
        </w:r>
        <w:r>
          <w:rPr>
            <w:noProof/>
          </w:rPr>
        </w:r>
        <w:r>
          <w:rPr>
            <w:noProof/>
          </w:rPr>
          <w:fldChar w:fldCharType="separate"/>
        </w:r>
        <w:r w:rsidR="009511BD">
          <w:rPr>
            <w:noProof/>
          </w:rPr>
          <w:t>130</w:t>
        </w:r>
        <w:r>
          <w:rPr>
            <w:noProof/>
          </w:rPr>
          <w:fldChar w:fldCharType="end"/>
        </w:r>
      </w:hyperlink>
    </w:p>
    <w:p w14:paraId="20A213A6" w14:textId="5AB6101C" w:rsidR="00B67C49" w:rsidRDefault="00000000">
      <w:pPr>
        <w:pStyle w:val="TOC1"/>
        <w:rPr>
          <w:rFonts w:asciiTheme="minorHAnsi" w:eastAsiaTheme="minorEastAsia" w:hAnsiTheme="minorHAnsi" w:cstheme="minorBidi"/>
          <w:noProof/>
          <w:szCs w:val="22"/>
        </w:rPr>
      </w:pPr>
      <w:hyperlink w:anchor="_Toc119568478" w:history="1">
        <w:r>
          <w:rPr>
            <w:rStyle w:val="afc"/>
            <w:rFonts w:asciiTheme="minorEastAsia" w:hAnsiTheme="minorEastAsia"/>
            <w:noProof/>
          </w:rPr>
          <w:t>第二十二部分  其他应披露事项</w:t>
        </w:r>
        <w:r>
          <w:rPr>
            <w:noProof/>
          </w:rPr>
          <w:tab/>
        </w:r>
        <w:r>
          <w:rPr>
            <w:noProof/>
          </w:rPr>
          <w:fldChar w:fldCharType="begin"/>
        </w:r>
        <w:r>
          <w:rPr>
            <w:noProof/>
          </w:rPr>
          <w:instrText xml:space="preserve"> PAGEREF _Toc119568478 \h </w:instrText>
        </w:r>
        <w:r>
          <w:rPr>
            <w:noProof/>
          </w:rPr>
        </w:r>
        <w:r>
          <w:rPr>
            <w:noProof/>
          </w:rPr>
          <w:fldChar w:fldCharType="separate"/>
        </w:r>
        <w:r w:rsidR="009511BD">
          <w:rPr>
            <w:noProof/>
          </w:rPr>
          <w:t>132</w:t>
        </w:r>
        <w:r>
          <w:rPr>
            <w:noProof/>
          </w:rPr>
          <w:fldChar w:fldCharType="end"/>
        </w:r>
      </w:hyperlink>
    </w:p>
    <w:p w14:paraId="04D89C6D" w14:textId="621D8D0A" w:rsidR="00B67C49" w:rsidRDefault="00000000">
      <w:pPr>
        <w:pStyle w:val="TOC1"/>
        <w:rPr>
          <w:rFonts w:asciiTheme="minorHAnsi" w:eastAsiaTheme="minorEastAsia" w:hAnsiTheme="minorHAnsi" w:cstheme="minorBidi"/>
          <w:noProof/>
          <w:szCs w:val="22"/>
        </w:rPr>
      </w:pPr>
      <w:hyperlink w:anchor="_Toc119568479" w:history="1">
        <w:r>
          <w:rPr>
            <w:rStyle w:val="afc"/>
            <w:noProof/>
          </w:rPr>
          <w:t>第二十三部分</w:t>
        </w:r>
        <w:r>
          <w:rPr>
            <w:rStyle w:val="afc"/>
            <w:noProof/>
          </w:rPr>
          <w:t xml:space="preserve">  </w:t>
        </w:r>
        <w:r>
          <w:rPr>
            <w:rStyle w:val="afc"/>
            <w:noProof/>
          </w:rPr>
          <w:t>招募说明书存放及查阅方式</w:t>
        </w:r>
        <w:r>
          <w:rPr>
            <w:noProof/>
          </w:rPr>
          <w:tab/>
        </w:r>
        <w:r>
          <w:rPr>
            <w:noProof/>
          </w:rPr>
          <w:fldChar w:fldCharType="begin"/>
        </w:r>
        <w:r>
          <w:rPr>
            <w:noProof/>
          </w:rPr>
          <w:instrText xml:space="preserve"> PAGEREF _Toc119568479 \h </w:instrText>
        </w:r>
        <w:r>
          <w:rPr>
            <w:noProof/>
          </w:rPr>
        </w:r>
        <w:r>
          <w:rPr>
            <w:noProof/>
          </w:rPr>
          <w:fldChar w:fldCharType="separate"/>
        </w:r>
        <w:r w:rsidR="009511BD">
          <w:rPr>
            <w:noProof/>
          </w:rPr>
          <w:t>134</w:t>
        </w:r>
        <w:r>
          <w:rPr>
            <w:noProof/>
          </w:rPr>
          <w:fldChar w:fldCharType="end"/>
        </w:r>
      </w:hyperlink>
    </w:p>
    <w:p w14:paraId="04F5C244" w14:textId="6595BB93" w:rsidR="00B67C49" w:rsidRDefault="00000000">
      <w:pPr>
        <w:pStyle w:val="TOC1"/>
        <w:rPr>
          <w:rFonts w:asciiTheme="minorHAnsi" w:eastAsiaTheme="minorEastAsia" w:hAnsiTheme="minorHAnsi" w:cstheme="minorBidi"/>
          <w:noProof/>
          <w:szCs w:val="22"/>
        </w:rPr>
      </w:pPr>
      <w:hyperlink w:anchor="_Toc119568480" w:history="1">
        <w:r>
          <w:rPr>
            <w:rStyle w:val="afc"/>
            <w:noProof/>
          </w:rPr>
          <w:t>第二十四部分</w:t>
        </w:r>
        <w:r>
          <w:rPr>
            <w:rStyle w:val="afc"/>
            <w:noProof/>
          </w:rPr>
          <w:t xml:space="preserve">  </w:t>
        </w:r>
        <w:r>
          <w:rPr>
            <w:rStyle w:val="afc"/>
            <w:noProof/>
          </w:rPr>
          <w:t>备查文件</w:t>
        </w:r>
        <w:r>
          <w:rPr>
            <w:noProof/>
          </w:rPr>
          <w:tab/>
        </w:r>
        <w:r>
          <w:rPr>
            <w:noProof/>
          </w:rPr>
          <w:fldChar w:fldCharType="begin"/>
        </w:r>
        <w:r>
          <w:rPr>
            <w:noProof/>
          </w:rPr>
          <w:instrText xml:space="preserve"> PAGEREF _Toc119568480 \h </w:instrText>
        </w:r>
        <w:r>
          <w:rPr>
            <w:noProof/>
          </w:rPr>
        </w:r>
        <w:r>
          <w:rPr>
            <w:noProof/>
          </w:rPr>
          <w:fldChar w:fldCharType="separate"/>
        </w:r>
        <w:r w:rsidR="009511BD">
          <w:rPr>
            <w:noProof/>
          </w:rPr>
          <w:t>135</w:t>
        </w:r>
        <w:r>
          <w:rPr>
            <w:noProof/>
          </w:rPr>
          <w:fldChar w:fldCharType="end"/>
        </w:r>
      </w:hyperlink>
    </w:p>
    <w:p w14:paraId="76833B93" w14:textId="77777777" w:rsidR="00B67C49" w:rsidRDefault="00000000">
      <w:pPr>
        <w:sectPr w:rsidR="00B67C49" w:rsidSect="00D84CBD">
          <w:headerReference w:type="even" r:id="rId16"/>
          <w:headerReference w:type="default" r:id="rId17"/>
          <w:headerReference w:type="first" r:id="rId18"/>
          <w:pgSz w:w="11906" w:h="16838"/>
          <w:pgMar w:top="1440" w:right="1800" w:bottom="1440" w:left="1800" w:header="851" w:footer="992" w:gutter="0"/>
          <w:pgNumType w:chapStyle="1"/>
          <w:cols w:space="720"/>
          <w:docGrid w:type="lines" w:linePitch="312"/>
        </w:sectPr>
      </w:pPr>
      <w:r>
        <w:fldChar w:fldCharType="end"/>
      </w:r>
      <w:bookmarkStart w:id="32" w:name="_Toc263092309"/>
      <w:bookmarkStart w:id="33" w:name="_Toc416264537"/>
      <w:bookmarkStart w:id="34" w:name="_Toc13020"/>
      <w:bookmarkStart w:id="35" w:name="_Toc819"/>
      <w:bookmarkStart w:id="36" w:name="_Toc24860"/>
      <w:bookmarkStart w:id="37" w:name="_Toc31551"/>
      <w:bookmarkStart w:id="38" w:name="_Toc352229747"/>
      <w:bookmarkStart w:id="39" w:name="_Toc2465"/>
      <w:bookmarkStart w:id="40" w:name="_Toc258829399"/>
      <w:bookmarkStart w:id="41" w:name="_Toc6617"/>
      <w:bookmarkStart w:id="42" w:name="_Toc15067"/>
      <w:bookmarkStart w:id="43" w:name="_Toc3224"/>
      <w:bookmarkStart w:id="44" w:name="_Toc22864"/>
      <w:bookmarkStart w:id="45" w:name="_Toc19592"/>
      <w:bookmarkStart w:id="46" w:name="_Toc2130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3917C00" w14:textId="77777777" w:rsidR="00B67C49" w:rsidRDefault="00000000">
      <w:pPr>
        <w:pStyle w:val="1"/>
        <w:jc w:val="center"/>
        <w:rPr>
          <w:sz w:val="30"/>
          <w:szCs w:val="30"/>
        </w:rPr>
      </w:pPr>
      <w:bookmarkStart w:id="47" w:name="_Toc68266288"/>
      <w:bookmarkStart w:id="48" w:name="_Toc119568457"/>
      <w:r>
        <w:rPr>
          <w:rFonts w:hint="eastAsia"/>
          <w:sz w:val="30"/>
          <w:szCs w:val="30"/>
        </w:rPr>
        <w:lastRenderedPageBreak/>
        <w:t>第一部分</w:t>
      </w:r>
      <w:r>
        <w:rPr>
          <w:sz w:val="30"/>
          <w:szCs w:val="30"/>
        </w:rPr>
        <w:t xml:space="preserve">  </w:t>
      </w:r>
      <w:r>
        <w:rPr>
          <w:rFonts w:hint="eastAsia"/>
          <w:sz w:val="30"/>
          <w:szCs w:val="30"/>
        </w:rPr>
        <w:t>绪言</w:t>
      </w:r>
      <w:bookmarkEnd w:id="32"/>
      <w:bookmarkEnd w:id="33"/>
      <w:bookmarkEnd w:id="47"/>
      <w:bookmarkEnd w:id="48"/>
    </w:p>
    <w:p w14:paraId="1F4EE0BF" w14:textId="77777777" w:rsidR="00B67C49"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耀混合型证券投资基金招募说明书》（以下简称“招募说明书”或“本招募说明书”）依照《中华人民共和国证券投资基金法》（以下简称“《基金法》”）、《公开募集证券投资基金运作管理办法》（以下简称“《运作办法》”）、《公开募集证券投资基金销售机构监督管理办法》（以下简称“《销售办法》”）、《</w:t>
      </w:r>
      <w:r>
        <w:rPr>
          <w:rFonts w:hint="eastAsia"/>
          <w:bCs/>
          <w:kern w:val="0"/>
          <w:sz w:val="24"/>
        </w:rPr>
        <w:t>公开募集证券投资基金信息披露管理办法</w:t>
      </w:r>
      <w:r>
        <w:rPr>
          <w:rFonts w:asciiTheme="minorEastAsia" w:hAnsiTheme="minorEastAsia" w:cs="Arial" w:hint="eastAsia"/>
          <w:sz w:val="24"/>
          <w:szCs w:val="24"/>
        </w:rPr>
        <w:t>》（以下简称“《信息披露办法》”）、《公开募集开放式证券投资基金流动性风险管理规定》（以下简称“《管理规定》”）以及《富荣福耀混合型证券投资基金基金合同》（以下简称“基金合同”）编写。</w:t>
      </w:r>
    </w:p>
    <w:p w14:paraId="3010C393" w14:textId="77777777" w:rsidR="00B67C49"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0E2B9D1F" w14:textId="77777777" w:rsidR="00B67C49"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耀混合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A376303" w14:textId="77777777" w:rsidR="00B67C49"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Pr>
          <w:rFonts w:asciiTheme="minorEastAsia" w:hAnsiTheme="minorEastAsia" w:cs="Arial" w:hint="eastAsia"/>
          <w:sz w:val="24"/>
          <w:szCs w:val="24"/>
        </w:rPr>
        <w:t>投资人自依基金</w:t>
      </w:r>
      <w:proofErr w:type="gramEnd"/>
      <w:r>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BB33B31" w14:textId="77777777" w:rsidR="00B67C49" w:rsidRDefault="00B67C49">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B67C49" w:rsidSect="00D84CBD">
          <w:headerReference w:type="even" r:id="rId19"/>
          <w:headerReference w:type="default" r:id="rId20"/>
          <w:footerReference w:type="default" r:id="rId21"/>
          <w:headerReference w:type="first" r:id="rId22"/>
          <w:pgSz w:w="11906" w:h="16838"/>
          <w:pgMar w:top="1440" w:right="1800" w:bottom="1440" w:left="1800" w:header="851" w:footer="992" w:gutter="0"/>
          <w:pgNumType w:chapStyle="1"/>
          <w:cols w:space="720"/>
          <w:docGrid w:type="lines" w:linePitch="312"/>
        </w:sectPr>
      </w:pPr>
      <w:bookmarkStart w:id="49" w:name="_Toc6149"/>
      <w:bookmarkStart w:id="50" w:name="_Toc13288"/>
      <w:bookmarkStart w:id="51" w:name="_Toc352229748"/>
      <w:bookmarkStart w:id="52" w:name="_Toc5246"/>
      <w:bookmarkStart w:id="53" w:name="_Toc24571"/>
      <w:bookmarkStart w:id="54" w:name="_Toc733"/>
      <w:bookmarkStart w:id="55" w:name="_Toc6683"/>
      <w:bookmarkStart w:id="56" w:name="_Toc20318"/>
      <w:bookmarkStart w:id="57" w:name="_Toc18631"/>
      <w:bookmarkStart w:id="58" w:name="_Toc20627"/>
      <w:bookmarkStart w:id="59" w:name="_Toc22708"/>
      <w:bookmarkStart w:id="60" w:name="_Toc545"/>
      <w:bookmarkStart w:id="61" w:name="_Toc258829400"/>
      <w:bookmarkStart w:id="62" w:name="_Toc233456272"/>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65F28BBC" w14:textId="77777777" w:rsidR="00B67C49" w:rsidRDefault="00000000">
      <w:pPr>
        <w:pStyle w:val="1"/>
        <w:jc w:val="center"/>
        <w:rPr>
          <w:sz w:val="30"/>
          <w:szCs w:val="30"/>
        </w:rPr>
      </w:pPr>
      <w:bookmarkStart w:id="63" w:name="_Toc68266289"/>
      <w:bookmarkStart w:id="64" w:name="_Toc119568458"/>
      <w:r>
        <w:rPr>
          <w:rFonts w:hint="eastAsia"/>
          <w:sz w:val="30"/>
          <w:szCs w:val="30"/>
        </w:rPr>
        <w:lastRenderedPageBreak/>
        <w:t>第二部分</w:t>
      </w:r>
      <w:r>
        <w:rPr>
          <w:sz w:val="30"/>
          <w:szCs w:val="30"/>
        </w:rPr>
        <w:t xml:space="preserve">  </w:t>
      </w:r>
      <w:r>
        <w:rPr>
          <w:rFonts w:hint="eastAsia"/>
          <w:sz w:val="30"/>
          <w:szCs w:val="30"/>
        </w:rPr>
        <w:t>释义</w:t>
      </w:r>
      <w:bookmarkEnd w:id="63"/>
      <w:bookmarkEnd w:id="64"/>
    </w:p>
    <w:p w14:paraId="24E78955"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618C5A25"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、基金或本基金：指富荣福耀混合型证券投资基金</w:t>
      </w:r>
    </w:p>
    <w:p w14:paraId="606B163B"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0740B8A4"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、基金托管人：指国泰君安证券股份有限公司</w:t>
      </w:r>
    </w:p>
    <w:p w14:paraId="58F831EF"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、基金合同：指《富荣福耀混合型证券投资基金基金合同》及对基金合同的任何有效修订和补充</w:t>
      </w:r>
    </w:p>
    <w:p w14:paraId="44A08D2B"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、托管协议：指基金管理人与基金托管人就本基金签订之《富荣福耀混合型证券投资基金托管协议》及对该托管协议的任何有效修订和补充</w:t>
      </w:r>
    </w:p>
    <w:p w14:paraId="5E548150"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、招募说明书或本招募说明书：指《富荣福耀混合型证券投资基金招募说明书》及其更新</w:t>
      </w:r>
    </w:p>
    <w:p w14:paraId="6AF1B9F8"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w:t>
      </w:r>
      <w:r>
        <w:rPr>
          <w:rFonts w:asciiTheme="minorEastAsia" w:hAnsiTheme="minorEastAsia" w:cs="Times New Roman" w:hint="eastAsia"/>
          <w:sz w:val="24"/>
          <w:szCs w:val="24"/>
        </w:rPr>
        <w:t>、基金份额发售公告：指《富荣福耀混合型证券投资基金基金份额发售公告》</w:t>
      </w:r>
    </w:p>
    <w:p w14:paraId="56784C1D"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600CD976"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67FF7768"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、《销售办法》： 指中国证监会2020年8月28日颁布、同年10月1日实施的《公开募集证券投资基金销售机构监督管理办法》及颁布机关对其不时做出的修订</w:t>
      </w:r>
    </w:p>
    <w:p w14:paraId="4E94AE11"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、《信息披露办法》：</w:t>
      </w:r>
      <w:r>
        <w:rPr>
          <w:rFonts w:hint="eastAsia"/>
          <w:bCs/>
          <w:kern w:val="0"/>
          <w:sz w:val="24"/>
        </w:rPr>
        <w:t>指中国证监会</w:t>
      </w:r>
      <w:r>
        <w:rPr>
          <w:bCs/>
          <w:kern w:val="0"/>
          <w:sz w:val="24"/>
        </w:rPr>
        <w:t>2019</w:t>
      </w:r>
      <w:r>
        <w:rPr>
          <w:rFonts w:hint="eastAsia"/>
          <w:bCs/>
          <w:kern w:val="0"/>
          <w:sz w:val="24"/>
        </w:rPr>
        <w:t>年</w:t>
      </w:r>
      <w:r>
        <w:rPr>
          <w:bCs/>
          <w:kern w:val="0"/>
          <w:sz w:val="24"/>
        </w:rPr>
        <w:t>7</w:t>
      </w:r>
      <w:r>
        <w:rPr>
          <w:rFonts w:hint="eastAsia"/>
          <w:bCs/>
          <w:kern w:val="0"/>
          <w:sz w:val="24"/>
        </w:rPr>
        <w:t>月</w:t>
      </w:r>
      <w:r>
        <w:rPr>
          <w:bCs/>
          <w:kern w:val="0"/>
          <w:sz w:val="24"/>
        </w:rPr>
        <w:t>26</w:t>
      </w:r>
      <w:r>
        <w:rPr>
          <w:rFonts w:hint="eastAsia"/>
          <w:bCs/>
          <w:kern w:val="0"/>
          <w:sz w:val="24"/>
        </w:rPr>
        <w:t>日颁布、同年</w:t>
      </w:r>
      <w:r>
        <w:rPr>
          <w:bCs/>
          <w:kern w:val="0"/>
          <w:sz w:val="24"/>
        </w:rPr>
        <w:t>9</w:t>
      </w:r>
      <w:r>
        <w:rPr>
          <w:rFonts w:hint="eastAsia"/>
          <w:bCs/>
          <w:kern w:val="0"/>
          <w:sz w:val="24"/>
        </w:rPr>
        <w:t>月</w:t>
      </w:r>
      <w:r>
        <w:rPr>
          <w:bCs/>
          <w:kern w:val="0"/>
          <w:sz w:val="24"/>
        </w:rPr>
        <w:t>1</w:t>
      </w:r>
      <w:r>
        <w:rPr>
          <w:rFonts w:hint="eastAsia"/>
          <w:bCs/>
          <w:kern w:val="0"/>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rFonts w:hint="eastAsia"/>
          <w:bCs/>
          <w:kern w:val="0"/>
          <w:sz w:val="24"/>
        </w:rPr>
        <w:t>《公开募集证券投资基金信息披露管理办法》</w:t>
      </w:r>
      <w:r>
        <w:rPr>
          <w:rFonts w:asciiTheme="minorEastAsia" w:hAnsiTheme="minorEastAsia" w:cs="Times New Roman" w:hint="eastAsia"/>
          <w:sz w:val="24"/>
          <w:szCs w:val="24"/>
        </w:rPr>
        <w:t>及颁布机关对其不时做出的修订</w:t>
      </w:r>
    </w:p>
    <w:p w14:paraId="38E6A17C"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w:t>
      </w:r>
      <w:r>
        <w:rPr>
          <w:rFonts w:asciiTheme="minorEastAsia" w:hAnsiTheme="minorEastAsia" w:cs="Times New Roman" w:hint="eastAsia"/>
          <w:sz w:val="24"/>
          <w:szCs w:val="24"/>
        </w:rPr>
        <w:lastRenderedPageBreak/>
        <w:t>的《公开募集证券投资基金运作管理办法》及颁布机关对其不时做出的修订</w:t>
      </w:r>
    </w:p>
    <w:p w14:paraId="02CDEDB0"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、《流动性风险管理规定》：指中国证监会2017年8月31日颁布、同年10月1日实施的《公开募集开放式证券投资基金流动性风险管理规定》及颁布机关对其不时做出的修订</w:t>
      </w:r>
    </w:p>
    <w:p w14:paraId="31243209"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14</w:t>
      </w:r>
      <w:r>
        <w:rPr>
          <w:rFonts w:asciiTheme="minorEastAsia" w:hAnsiTheme="minorEastAsia" w:cs="Times New Roman" w:hint="eastAsia"/>
          <w:sz w:val="24"/>
          <w:szCs w:val="24"/>
        </w:rPr>
        <w:t>、中国证监会：指中国证券监督管理委员会</w:t>
      </w:r>
    </w:p>
    <w:p w14:paraId="54A0467B"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23BCCAE8"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、个人投资者：指依据有关法律法规规定可投资于证券投资基金的自然人</w:t>
      </w:r>
    </w:p>
    <w:p w14:paraId="1CC0E12D"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2E8B4C59" w14:textId="77777777" w:rsidR="00B67C49" w:rsidRDefault="00000000">
      <w:pPr>
        <w:spacing w:line="360" w:lineRule="auto"/>
        <w:ind w:firstLineChars="200" w:firstLine="480"/>
        <w:rPr>
          <w:bCs/>
          <w:sz w:val="24"/>
        </w:rPr>
      </w:pPr>
      <w:r>
        <w:rPr>
          <w:rFonts w:asciiTheme="minorEastAsia" w:hAnsiTheme="minorEastAsia" w:cs="Times New Roman"/>
          <w:sz w:val="24"/>
          <w:szCs w:val="24"/>
        </w:rPr>
        <w:t>18</w:t>
      </w:r>
      <w:r>
        <w:rPr>
          <w:rFonts w:asciiTheme="minorEastAsia" w:hAnsiTheme="minorEastAsia" w:cs="Times New Roman" w:hint="eastAsia"/>
          <w:sz w:val="24"/>
          <w:szCs w:val="24"/>
        </w:rPr>
        <w:t>、</w:t>
      </w:r>
      <w:r>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r>
        <w:rPr>
          <w:bCs/>
          <w:sz w:val="24"/>
        </w:rPr>
        <w:t xml:space="preserve"> </w:t>
      </w:r>
    </w:p>
    <w:p w14:paraId="30FCB35F"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、投资人、投资者：指个人投资者、机构投资者、合格境外投资者以及法律法规或中国证监会允许购买证券投资基金的其他投资人的合称</w:t>
      </w:r>
    </w:p>
    <w:p w14:paraId="697A1076"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、基金份额持有人：指依基金合同和招募说明书合法取得基金份额的投资人</w:t>
      </w:r>
    </w:p>
    <w:p w14:paraId="0AD66D9D"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w:t>
      </w:r>
      <w:r>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5F37E558"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7E663B7B"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Theme="minorEastAsia" w:hAnsiTheme="minorEastAsia" w:cs="Times New Roman" w:hint="eastAsia"/>
          <w:sz w:val="24"/>
          <w:szCs w:val="24"/>
        </w:rPr>
        <w:t>非交易</w:t>
      </w:r>
      <w:proofErr w:type="gramEnd"/>
      <w:r>
        <w:rPr>
          <w:rFonts w:asciiTheme="minorEastAsia" w:hAnsiTheme="minorEastAsia" w:cs="Times New Roman" w:hint="eastAsia"/>
          <w:sz w:val="24"/>
          <w:szCs w:val="24"/>
        </w:rPr>
        <w:t>过户等</w:t>
      </w:r>
    </w:p>
    <w:p w14:paraId="3304C7B5"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、登记机构：</w:t>
      </w:r>
      <w:proofErr w:type="gramStart"/>
      <w:r>
        <w:rPr>
          <w:rFonts w:asciiTheme="minorEastAsia" w:hAnsiTheme="minorEastAsia" w:cs="Times New Roman" w:hint="eastAsia"/>
          <w:sz w:val="24"/>
          <w:szCs w:val="24"/>
        </w:rPr>
        <w:t>指办理</w:t>
      </w:r>
      <w:proofErr w:type="gramEnd"/>
      <w:r>
        <w:rPr>
          <w:rFonts w:asciiTheme="minorEastAsia" w:hAnsiTheme="minorEastAsia" w:cs="Times New Roman" w:hint="eastAsia"/>
          <w:sz w:val="24"/>
          <w:szCs w:val="24"/>
        </w:rPr>
        <w:t>登记业务的机构。基金登记机构为富荣基金管理有限公司或接受富荣基金管理有限公司委托代为办理登记业务的机构</w:t>
      </w:r>
    </w:p>
    <w:p w14:paraId="596E457E"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、基金账户：指登记机构为投资人开立的、记录其持有的、基金管理人所</w:t>
      </w:r>
      <w:r>
        <w:rPr>
          <w:rFonts w:asciiTheme="minorEastAsia" w:hAnsiTheme="minorEastAsia" w:cs="Times New Roman" w:hint="eastAsia"/>
          <w:sz w:val="24"/>
          <w:szCs w:val="24"/>
        </w:rPr>
        <w:lastRenderedPageBreak/>
        <w:t>管理的基金份额余额及其变动情况的账户</w:t>
      </w:r>
    </w:p>
    <w:p w14:paraId="766CCB56"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、基金交易账户：指销售机构为投资人开立的、记录投资人通过该销售机构办理认购、申购、赎回、转换、转托管及定期定额投资等业务而引起基金份额变动及结余情况的账户</w:t>
      </w:r>
    </w:p>
    <w:p w14:paraId="46C196E8"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0BC71515"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28</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6F806F16"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、基金募集期：指自基金份额发售之日起至发售结束之日止的期间，最长不得超过</w:t>
      </w:r>
      <w:r>
        <w:rPr>
          <w:rFonts w:asciiTheme="minorEastAsia" w:hAnsiTheme="minorEastAsia" w:cs="Times New Roman"/>
          <w:sz w:val="24"/>
          <w:szCs w:val="24"/>
        </w:rPr>
        <w:t>3</w:t>
      </w:r>
      <w:r>
        <w:rPr>
          <w:rFonts w:asciiTheme="minorEastAsia" w:hAnsiTheme="minorEastAsia" w:cs="Times New Roman" w:hint="eastAsia"/>
          <w:sz w:val="24"/>
          <w:szCs w:val="24"/>
        </w:rPr>
        <w:t>个月</w:t>
      </w:r>
    </w:p>
    <w:p w14:paraId="2D32A27E"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、存续期：指基金合同生效至终止之间的不定期期限</w:t>
      </w:r>
    </w:p>
    <w:p w14:paraId="0A908D39"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31</w:t>
      </w:r>
      <w:r>
        <w:rPr>
          <w:rFonts w:asciiTheme="minorEastAsia" w:hAnsiTheme="minorEastAsia" w:cs="Times New Roman" w:hint="eastAsia"/>
          <w:sz w:val="24"/>
          <w:szCs w:val="24"/>
        </w:rPr>
        <w:t>、工作日：指上海证券交易所、深圳证券交易所的正常交易日</w:t>
      </w:r>
    </w:p>
    <w:p w14:paraId="66868831"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52239A63"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proofErr w:type="gramStart"/>
      <w:r>
        <w:rPr>
          <w:rFonts w:asciiTheme="minorEastAsia" w:hAnsiTheme="minorEastAsia" w:cs="Times New Roman" w:hint="eastAsia"/>
          <w:sz w:val="24"/>
          <w:szCs w:val="24"/>
        </w:rPr>
        <w:t>个</w:t>
      </w:r>
      <w:proofErr w:type="gramEnd"/>
      <w:r>
        <w:rPr>
          <w:rFonts w:asciiTheme="minorEastAsia" w:hAnsiTheme="minorEastAsia" w:cs="Times New Roman" w:hint="eastAsia"/>
          <w:sz w:val="24"/>
          <w:szCs w:val="24"/>
        </w:rPr>
        <w:t>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日），n为自然数</w:t>
      </w:r>
    </w:p>
    <w:p w14:paraId="3AE6B8F5"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、开放日：指为投资人办理基金份额申购、赎回或其他业务的工作日</w:t>
      </w:r>
    </w:p>
    <w:p w14:paraId="4052658C"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、开放时间：指开放日基金接受申购、赎回或其他交易的时间段</w:t>
      </w:r>
    </w:p>
    <w:p w14:paraId="340E7DD5"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2AFE2348"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、认购：指在基金募集期内，投资人根据基金合同和招募说明书的规定申请购买基金份额的行为</w:t>
      </w:r>
    </w:p>
    <w:p w14:paraId="729C3EE5"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、申购：指基金合同生效后，投资人根据基金合同和招募说明书的规定申请购买基金份额的行为</w:t>
      </w:r>
    </w:p>
    <w:p w14:paraId="6F25CACE"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17E2252B"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Pr>
          <w:rFonts w:asciiTheme="minorEastAsia" w:hAnsiTheme="minorEastAsia" w:cs="Times New Roman" w:hint="eastAsia"/>
          <w:sz w:val="24"/>
          <w:szCs w:val="24"/>
        </w:rPr>
        <w:t>基金基金</w:t>
      </w:r>
      <w:proofErr w:type="gramEnd"/>
      <w:r>
        <w:rPr>
          <w:rFonts w:asciiTheme="minorEastAsia" w:hAnsiTheme="minorEastAsia" w:cs="Times New Roman" w:hint="eastAsia"/>
          <w:sz w:val="24"/>
          <w:szCs w:val="24"/>
        </w:rPr>
        <w:t>份额的行为</w:t>
      </w:r>
    </w:p>
    <w:p w14:paraId="59B89E7D"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41</w:t>
      </w:r>
      <w:r>
        <w:rPr>
          <w:rFonts w:asciiTheme="minorEastAsia" w:hAnsiTheme="minorEastAsia" w:cs="Times New Roman" w:hint="eastAsia"/>
          <w:sz w:val="24"/>
          <w:szCs w:val="24"/>
        </w:rPr>
        <w:t>、转托管：指基金份额持有人在本基金的不同销售机构之间实施的变更所持基金份额销售机构的操作</w:t>
      </w:r>
    </w:p>
    <w:p w14:paraId="1AA50046"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47082F42"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2009C8CD"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、元：指人民币元</w:t>
      </w:r>
    </w:p>
    <w:p w14:paraId="32692170"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45</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06348BAD"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、基金资产总值：指基金拥有的各类有价证券、银行存款本息、基金应收款项及其他资产的价值总和</w:t>
      </w:r>
    </w:p>
    <w:p w14:paraId="28DF11FD"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47</w:t>
      </w:r>
      <w:r>
        <w:rPr>
          <w:rFonts w:asciiTheme="minorEastAsia" w:hAnsiTheme="minorEastAsia" w:cs="Times New Roman" w:hint="eastAsia"/>
          <w:sz w:val="24"/>
          <w:szCs w:val="24"/>
        </w:rPr>
        <w:t>、基金资产净值：指基金资产总值减去基金负债后的价值</w:t>
      </w:r>
    </w:p>
    <w:p w14:paraId="10C1DBD9"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48</w:t>
      </w:r>
      <w:r>
        <w:rPr>
          <w:rFonts w:asciiTheme="minorEastAsia" w:hAnsiTheme="minorEastAsia" w:cs="Times New Roman" w:hint="eastAsia"/>
          <w:sz w:val="24"/>
          <w:szCs w:val="24"/>
        </w:rPr>
        <w:t>、基金份额净值：指计算日基金资产净值除以计算日基金份额总数</w:t>
      </w:r>
    </w:p>
    <w:p w14:paraId="781BCB80"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49</w:t>
      </w:r>
      <w:r>
        <w:rPr>
          <w:rFonts w:asciiTheme="minorEastAsia" w:hAnsiTheme="minorEastAsia" w:cs="Times New Roman" w:hint="eastAsia"/>
          <w:sz w:val="24"/>
          <w:szCs w:val="24"/>
        </w:rPr>
        <w:t>、基金资产估值：指计算评估基金资产和负债的价值，以确定基金资产净值和基金份额净值的过程</w:t>
      </w:r>
    </w:p>
    <w:p w14:paraId="5D5AEC21"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50、规定媒介：指符合中国证监会规定条件的用以进行信息披露的全国性报刊（以下简称“规定报刊”）及《信息披露办法》规定的互联网网站（以下简称“规定网站”，包括基金管理人网站、基金托管人网站、中国证监会基金电子披露网站）等媒介</w:t>
      </w:r>
    </w:p>
    <w:p w14:paraId="042186EF"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51、不可抗力：指基金合同当事人不能预见、不能避免且不能克服的客观事件</w:t>
      </w:r>
    </w:p>
    <w:p w14:paraId="1542233E"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52、流动性受限资产：指由于法律法规、监管、合同或操作障碍等原因无法以合理价格予以变现的资产，包括但不限于到期日在10个交易日以上的逆回购与银行定期存款（</w:t>
      </w:r>
      <w:proofErr w:type="gramStart"/>
      <w:r>
        <w:rPr>
          <w:rFonts w:asciiTheme="minorEastAsia" w:hAnsiTheme="minorEastAsia" w:cs="Times New Roman" w:hint="eastAsia"/>
          <w:sz w:val="24"/>
          <w:szCs w:val="24"/>
        </w:rPr>
        <w:t>含协议</w:t>
      </w:r>
      <w:proofErr w:type="gramEnd"/>
      <w:r>
        <w:rPr>
          <w:rFonts w:asciiTheme="minorEastAsia" w:hAnsiTheme="minorEastAsia" w:cs="Times New Roman" w:hint="eastAsia"/>
          <w:sz w:val="24"/>
          <w:szCs w:val="24"/>
        </w:rPr>
        <w:t>约定有条件提前支取的银行存款）、停牌股票、流通受限的新股及非公开发行股票、资产支持证券、因发行人债务违约无法进行转让或交易的债券等</w:t>
      </w:r>
    </w:p>
    <w:p w14:paraId="254EBFA4"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53、摆动定价机制：指当开放式基金遭遇大额申购赎回时，通过调整基金份额净值的方式，将基金调整投资组合的市场冲击成本分配给实际申购、赎回的投</w:t>
      </w:r>
      <w:r>
        <w:rPr>
          <w:rFonts w:asciiTheme="minorEastAsia" w:hAnsiTheme="minorEastAsia" w:cs="Times New Roman" w:hint="eastAsia"/>
          <w:sz w:val="24"/>
          <w:szCs w:val="24"/>
        </w:rPr>
        <w:lastRenderedPageBreak/>
        <w:t>资者，从而减少对存量基金份额持有人利益的不利影响，确保投资者的合法权益不受损害并得到公平对待</w:t>
      </w:r>
    </w:p>
    <w:p w14:paraId="591AC04E"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54、基金份额类别：指根据认购/申购费用、赎回费用、销售服务费用收取方式的不同将本</w:t>
      </w:r>
      <w:proofErr w:type="gramStart"/>
      <w:r>
        <w:rPr>
          <w:rFonts w:asciiTheme="minorEastAsia" w:hAnsiTheme="minorEastAsia" w:cs="Times New Roman" w:hint="eastAsia"/>
          <w:sz w:val="24"/>
          <w:szCs w:val="24"/>
        </w:rPr>
        <w:t>基金基金</w:t>
      </w:r>
      <w:proofErr w:type="gramEnd"/>
      <w:r>
        <w:rPr>
          <w:rFonts w:asciiTheme="minorEastAsia" w:hAnsiTheme="minorEastAsia" w:cs="Times New Roman" w:hint="eastAsia"/>
          <w:sz w:val="24"/>
          <w:szCs w:val="24"/>
        </w:rPr>
        <w:t>份额分为不同的类别，各基金份额类别分别设置代码，并分别计算和公告基金份额净值</w:t>
      </w:r>
    </w:p>
    <w:p w14:paraId="72506658"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55、A类基金份额：指在投资人认购/申购时收取认购/申购费用但不从本类别基金资产中计</w:t>
      </w:r>
      <w:proofErr w:type="gramStart"/>
      <w:r>
        <w:rPr>
          <w:rFonts w:asciiTheme="minorEastAsia" w:hAnsiTheme="minorEastAsia" w:cs="Times New Roman" w:hint="eastAsia"/>
          <w:sz w:val="24"/>
          <w:szCs w:val="24"/>
        </w:rPr>
        <w:t>提销售</w:t>
      </w:r>
      <w:proofErr w:type="gramEnd"/>
      <w:r>
        <w:rPr>
          <w:rFonts w:asciiTheme="minorEastAsia" w:hAnsiTheme="minorEastAsia" w:cs="Times New Roman" w:hint="eastAsia"/>
          <w:sz w:val="24"/>
          <w:szCs w:val="24"/>
        </w:rPr>
        <w:t>服务费、赎回时根据持有期限收取赎回费用的基金份额类别</w:t>
      </w:r>
    </w:p>
    <w:p w14:paraId="11734165"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56、C类基金份额：指从本类别基金资产中计</w:t>
      </w:r>
      <w:proofErr w:type="gramStart"/>
      <w:r>
        <w:rPr>
          <w:rFonts w:asciiTheme="minorEastAsia" w:hAnsiTheme="minorEastAsia" w:cs="Times New Roman" w:hint="eastAsia"/>
          <w:sz w:val="24"/>
          <w:szCs w:val="24"/>
        </w:rPr>
        <w:t>提销售</w:t>
      </w:r>
      <w:proofErr w:type="gramEnd"/>
      <w:r>
        <w:rPr>
          <w:rFonts w:asciiTheme="minorEastAsia" w:hAnsiTheme="minorEastAsia" w:cs="Times New Roman" w:hint="eastAsia"/>
          <w:sz w:val="24"/>
          <w:szCs w:val="24"/>
        </w:rPr>
        <w:t>服务费而不收取认购/申购费用、赎回时根据持有期限收取赎回费用的基金份额类别</w:t>
      </w:r>
    </w:p>
    <w:p w14:paraId="0DA08A40"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57、销售服务费：指从基金资产中计提的，用于本基金市场推广、销售以及基金份额持有人服务的费用</w:t>
      </w:r>
    </w:p>
    <w:p w14:paraId="62E46275"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58、基金产品资料概要：指《富荣福耀混合型证券投资基金基金产品资料概要》及其更新</w:t>
      </w:r>
    </w:p>
    <w:p w14:paraId="6EA21EF5"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59、</w:t>
      </w:r>
      <w:proofErr w:type="gramStart"/>
      <w:r>
        <w:rPr>
          <w:rFonts w:asciiTheme="minorEastAsia" w:hAnsiTheme="minorEastAsia" w:cs="Times New Roman" w:hint="eastAsia"/>
          <w:sz w:val="24"/>
          <w:szCs w:val="24"/>
        </w:rPr>
        <w:t>侧袋机制</w:t>
      </w:r>
      <w:proofErr w:type="gramEnd"/>
      <w:r>
        <w:rPr>
          <w:rFonts w:asciiTheme="minorEastAsia" w:hAnsiTheme="minorEastAsia" w:cs="Times New Roman" w:hint="eastAsia"/>
          <w:sz w:val="24"/>
          <w:szCs w:val="24"/>
        </w:rPr>
        <w:t>：指将基金投资组合中的特定资产从原有账户分离至一个专门账户进行处置清算，目的在于有效隔离并化解风险，确保投资者得到公平对待，属于流动性风险管理工具。</w:t>
      </w:r>
      <w:proofErr w:type="gramStart"/>
      <w:r>
        <w:rPr>
          <w:rFonts w:asciiTheme="minorEastAsia" w:hAnsiTheme="minorEastAsia" w:cs="Times New Roman" w:hint="eastAsia"/>
          <w:sz w:val="24"/>
          <w:szCs w:val="24"/>
        </w:rPr>
        <w:t>侧袋机制</w:t>
      </w:r>
      <w:proofErr w:type="gramEnd"/>
      <w:r>
        <w:rPr>
          <w:rFonts w:asciiTheme="minorEastAsia" w:hAnsiTheme="minorEastAsia" w:cs="Times New Roman" w:hint="eastAsia"/>
          <w:sz w:val="24"/>
          <w:szCs w:val="24"/>
        </w:rPr>
        <w:t>实施期间，原有账户称为主袋账户，专门账户</w:t>
      </w:r>
      <w:proofErr w:type="gramStart"/>
      <w:r>
        <w:rPr>
          <w:rFonts w:asciiTheme="minorEastAsia" w:hAnsiTheme="minorEastAsia" w:cs="Times New Roman" w:hint="eastAsia"/>
          <w:sz w:val="24"/>
          <w:szCs w:val="24"/>
        </w:rPr>
        <w:t>称为侧袋账户</w:t>
      </w:r>
      <w:proofErr w:type="gramEnd"/>
    </w:p>
    <w:p w14:paraId="5C8A91E4"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60、特定资产：包括：（一）无可参考的活跃市场价格且采用估值技术</w:t>
      </w:r>
      <w:proofErr w:type="gramStart"/>
      <w:r>
        <w:rPr>
          <w:rFonts w:asciiTheme="minorEastAsia" w:hAnsiTheme="minorEastAsia" w:cs="Times New Roman" w:hint="eastAsia"/>
          <w:sz w:val="24"/>
          <w:szCs w:val="24"/>
        </w:rPr>
        <w:t>仍导致</w:t>
      </w:r>
      <w:proofErr w:type="gramEnd"/>
      <w:r>
        <w:rPr>
          <w:rFonts w:asciiTheme="minorEastAsia" w:hAnsiTheme="minorEastAsia" w:cs="Times New Roman" w:hint="eastAsia"/>
          <w:sz w:val="24"/>
          <w:szCs w:val="24"/>
        </w:rPr>
        <w:t>公允价值存在重大不确定性的资产；（二）</w:t>
      </w:r>
      <w:proofErr w:type="gramStart"/>
      <w:r>
        <w:rPr>
          <w:rFonts w:asciiTheme="minorEastAsia" w:hAnsiTheme="minorEastAsia" w:cs="Times New Roman" w:hint="eastAsia"/>
          <w:sz w:val="24"/>
          <w:szCs w:val="24"/>
        </w:rPr>
        <w:t>按摊余成本</w:t>
      </w:r>
      <w:proofErr w:type="gramEnd"/>
      <w:r>
        <w:rPr>
          <w:rFonts w:asciiTheme="minorEastAsia" w:hAnsiTheme="minorEastAsia" w:cs="Times New Roman" w:hint="eastAsia"/>
          <w:sz w:val="24"/>
          <w:szCs w:val="24"/>
        </w:rPr>
        <w:t>计量且计提资产减值</w:t>
      </w:r>
      <w:proofErr w:type="gramStart"/>
      <w:r>
        <w:rPr>
          <w:rFonts w:asciiTheme="minorEastAsia" w:hAnsiTheme="minorEastAsia" w:cs="Times New Roman" w:hint="eastAsia"/>
          <w:sz w:val="24"/>
          <w:szCs w:val="24"/>
        </w:rPr>
        <w:t>准备仍导致</w:t>
      </w:r>
      <w:proofErr w:type="gramEnd"/>
      <w:r>
        <w:rPr>
          <w:rFonts w:asciiTheme="minorEastAsia" w:hAnsiTheme="minorEastAsia" w:cs="Times New Roman" w:hint="eastAsia"/>
          <w:sz w:val="24"/>
          <w:szCs w:val="24"/>
        </w:rPr>
        <w:t>资产价值存在重大不确定性的资产；（三）其他资产价值存在重大不确定性的资产</w:t>
      </w:r>
    </w:p>
    <w:p w14:paraId="7444F5A3" w14:textId="77777777" w:rsidR="00B67C49" w:rsidRDefault="00000000">
      <w:pPr>
        <w:spacing w:line="360" w:lineRule="auto"/>
        <w:ind w:firstLineChars="200" w:firstLine="480"/>
        <w:rPr>
          <w:b/>
          <w:bCs/>
        </w:rPr>
        <w:sectPr w:rsidR="00B67C49" w:rsidSect="00D84CBD">
          <w:headerReference w:type="even" r:id="rId23"/>
          <w:headerReference w:type="default" r:id="rId24"/>
          <w:footerReference w:type="default" r:id="rId25"/>
          <w:headerReference w:type="first" r:id="rId26"/>
          <w:pgSz w:w="11906" w:h="16838"/>
          <w:pgMar w:top="1440" w:right="1800" w:bottom="1440" w:left="1800" w:header="851" w:footer="992" w:gutter="0"/>
          <w:pgNumType w:start="5" w:chapStyle="1"/>
          <w:cols w:space="720"/>
          <w:docGrid w:type="lines" w:linePitch="312"/>
        </w:sectPr>
      </w:pPr>
      <w:r>
        <w:rPr>
          <w:rFonts w:asciiTheme="minorEastAsia" w:hAnsiTheme="minorEastAsia" w:cs="Times New Roman" w:hint="eastAsia"/>
          <w:sz w:val="24"/>
          <w:szCs w:val="24"/>
        </w:rPr>
        <w:t>以上释义中涉及法律法规、业务规则的内容，法律法规、业务规则修订后，如适用本基金，相关内容以修订后法律法规、业务规则为准。</w:t>
      </w:r>
    </w:p>
    <w:p w14:paraId="149074F0" w14:textId="77777777" w:rsidR="00B67C49" w:rsidRDefault="00000000">
      <w:pPr>
        <w:pStyle w:val="1"/>
        <w:jc w:val="center"/>
        <w:rPr>
          <w:sz w:val="30"/>
          <w:szCs w:val="30"/>
        </w:rPr>
      </w:pPr>
      <w:bookmarkStart w:id="65" w:name="_Toc263092311"/>
      <w:bookmarkStart w:id="66" w:name="_Toc416264539"/>
      <w:bookmarkStart w:id="67" w:name="_Toc68266290"/>
      <w:bookmarkStart w:id="68" w:name="_Toc119568459"/>
      <w:bookmarkStart w:id="69" w:name="_Toc24682"/>
      <w:bookmarkStart w:id="70" w:name="_Toc352229749"/>
      <w:bookmarkStart w:id="71" w:name="_Toc410197817"/>
      <w:bookmarkStart w:id="72" w:name="_Toc90742688"/>
      <w:bookmarkStart w:id="73" w:name="_Toc7151"/>
      <w:bookmarkStart w:id="74" w:name="_Toc27189"/>
      <w:bookmarkStart w:id="75" w:name="_Toc29948"/>
      <w:bookmarkStart w:id="76" w:name="_Toc22074"/>
      <w:bookmarkStart w:id="77" w:name="_Toc29784"/>
      <w:bookmarkStart w:id="78" w:name="_Toc6714"/>
      <w:bookmarkStart w:id="79" w:name="_Toc3266"/>
      <w:bookmarkStart w:id="80" w:name="_Toc16265"/>
      <w:bookmarkStart w:id="81" w:name="_Toc15203"/>
      <w:bookmarkStart w:id="82" w:name="_Toc27226"/>
      <w:bookmarkStart w:id="83" w:name="_Toc90742390"/>
      <w:bookmarkStart w:id="84" w:name="_Toc90742321"/>
      <w:bookmarkEnd w:id="49"/>
      <w:bookmarkEnd w:id="50"/>
      <w:bookmarkEnd w:id="51"/>
      <w:bookmarkEnd w:id="52"/>
      <w:bookmarkEnd w:id="53"/>
      <w:bookmarkEnd w:id="54"/>
      <w:bookmarkEnd w:id="55"/>
      <w:bookmarkEnd w:id="56"/>
      <w:bookmarkEnd w:id="57"/>
      <w:bookmarkEnd w:id="58"/>
      <w:bookmarkEnd w:id="59"/>
      <w:bookmarkEnd w:id="60"/>
      <w:r>
        <w:rPr>
          <w:rFonts w:hint="eastAsia"/>
          <w:sz w:val="30"/>
          <w:szCs w:val="30"/>
        </w:rPr>
        <w:lastRenderedPageBreak/>
        <w:t>第三部分</w:t>
      </w:r>
      <w:r>
        <w:rPr>
          <w:sz w:val="30"/>
          <w:szCs w:val="30"/>
        </w:rPr>
        <w:t xml:space="preserve">  </w:t>
      </w:r>
      <w:r>
        <w:rPr>
          <w:rFonts w:hint="eastAsia"/>
          <w:sz w:val="30"/>
          <w:szCs w:val="30"/>
        </w:rPr>
        <w:t>基金管理人</w:t>
      </w:r>
      <w:bookmarkEnd w:id="65"/>
      <w:bookmarkEnd w:id="66"/>
      <w:bookmarkEnd w:id="67"/>
      <w:bookmarkEnd w:id="68"/>
    </w:p>
    <w:p w14:paraId="0F88FA1E" w14:textId="77777777" w:rsidR="00B67C49" w:rsidRDefault="00000000">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14F0111D" w14:textId="77777777" w:rsidR="00B67C49"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58CD528F" w14:textId="77777777" w:rsidR="00B67C49"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w:t>
      </w:r>
      <w:r>
        <w:rPr>
          <w:rFonts w:asciiTheme="minorEastAsia" w:hAnsiTheme="minorEastAsia" w:hint="eastAsia"/>
          <w:kern w:val="0"/>
          <w:sz w:val="24"/>
        </w:rPr>
        <w:t>广东省广州市南沙区横</w:t>
      </w:r>
      <w:proofErr w:type="gramStart"/>
      <w:r>
        <w:rPr>
          <w:rFonts w:asciiTheme="minorEastAsia" w:hAnsiTheme="minorEastAsia" w:hint="eastAsia"/>
          <w:kern w:val="0"/>
          <w:sz w:val="24"/>
        </w:rPr>
        <w:t>沥</w:t>
      </w:r>
      <w:proofErr w:type="gramEnd"/>
      <w:r>
        <w:rPr>
          <w:rFonts w:asciiTheme="minorEastAsia" w:hAnsiTheme="minorEastAsia" w:hint="eastAsia"/>
          <w:kern w:val="0"/>
          <w:sz w:val="24"/>
        </w:rPr>
        <w:t>镇汇通二街2号3110房</w:t>
      </w:r>
    </w:p>
    <w:p w14:paraId="57E52DA9" w14:textId="77777777" w:rsidR="00B67C49"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办公地址：深圳市福田区八卦四路</w:t>
      </w:r>
      <w:r>
        <w:rPr>
          <w:rFonts w:asciiTheme="minorEastAsia" w:hAnsiTheme="minorEastAsia" w:cs="Times New Roman"/>
          <w:kern w:val="0"/>
          <w:sz w:val="24"/>
          <w:szCs w:val="24"/>
        </w:rPr>
        <w:t>52</w:t>
      </w:r>
      <w:r>
        <w:rPr>
          <w:rFonts w:asciiTheme="minorEastAsia" w:hAnsiTheme="minorEastAsia" w:cs="Times New Roman" w:hint="eastAsia"/>
          <w:kern w:val="0"/>
          <w:sz w:val="24"/>
          <w:szCs w:val="24"/>
        </w:rPr>
        <w:t>号安吉尔大厦</w:t>
      </w:r>
      <w:r>
        <w:rPr>
          <w:rFonts w:asciiTheme="minorEastAsia" w:hAnsiTheme="minorEastAsia" w:cs="Times New Roman"/>
          <w:kern w:val="0"/>
          <w:sz w:val="24"/>
          <w:szCs w:val="24"/>
        </w:rPr>
        <w:t>24</w:t>
      </w:r>
      <w:r>
        <w:rPr>
          <w:rFonts w:asciiTheme="minorEastAsia" w:hAnsiTheme="minorEastAsia" w:cs="Times New Roman" w:hint="eastAsia"/>
          <w:kern w:val="0"/>
          <w:sz w:val="24"/>
          <w:szCs w:val="24"/>
        </w:rPr>
        <w:t>层</w:t>
      </w:r>
    </w:p>
    <w:p w14:paraId="0E1593F3" w14:textId="77777777" w:rsidR="00B67C49"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w:t>
      </w:r>
      <w:r>
        <w:rPr>
          <w:rFonts w:ascii="Arial Unicode MS" w:hAnsi="Arial Unicode MS" w:cs="Arial" w:hint="eastAsia"/>
          <w:kern w:val="0"/>
          <w:sz w:val="24"/>
        </w:rPr>
        <w:t>王亦伟</w:t>
      </w:r>
    </w:p>
    <w:p w14:paraId="6CD985CD" w14:textId="77777777" w:rsidR="00B67C49"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6FEEEFF9" w14:textId="77777777" w:rsidR="00B67C49"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3C790FE1" w14:textId="77777777" w:rsidR="00B67C49"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0B62FE49" w14:textId="77777777" w:rsidR="00B67C49"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联系人：罗艳</w:t>
      </w:r>
    </w:p>
    <w:p w14:paraId="6FC1FE4C" w14:textId="77777777" w:rsidR="00B67C49"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Pr>
          <w:rFonts w:asciiTheme="minorEastAsia" w:hAnsiTheme="minorEastAsia" w:cs="Times New Roman"/>
          <w:kern w:val="0"/>
          <w:sz w:val="24"/>
          <w:szCs w:val="24"/>
        </w:rPr>
        <w:t>8435</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663</w:t>
      </w:r>
      <w:r>
        <w:rPr>
          <w:rFonts w:asciiTheme="minorEastAsia" w:hAnsiTheme="minorEastAsia" w:cs="Times New Roman" w:hint="eastAsia"/>
          <w:kern w:val="0"/>
          <w:sz w:val="24"/>
          <w:szCs w:val="24"/>
        </w:rPr>
        <w:t>7</w:t>
      </w:r>
    </w:p>
    <w:p w14:paraId="0045AA44" w14:textId="77777777" w:rsidR="00B67C49" w:rsidRDefault="00000000">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B67C49" w14:paraId="7CB46625"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A1A189" w14:textId="77777777" w:rsidR="00B67C49"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52BECC67" w14:textId="77777777" w:rsidR="00B67C49"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出资比例</w:t>
            </w:r>
          </w:p>
        </w:tc>
      </w:tr>
      <w:tr w:rsidR="00B67C49" w14:paraId="700A5654"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BF8916" w14:textId="77777777" w:rsidR="00B67C49"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61FADD58" w14:textId="77777777" w:rsidR="00B67C49"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B67C49" w14:paraId="26B52B0C"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579EBACB" w14:textId="77777777" w:rsidR="00B67C49"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7F70D555" w14:textId="77777777" w:rsidR="00B67C49"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B67C49" w14:paraId="19186D1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F4126EE" w14:textId="77777777" w:rsidR="00B67C49" w:rsidRDefault="00000000">
            <w:pPr>
              <w:spacing w:line="360" w:lineRule="auto"/>
              <w:jc w:val="center"/>
              <w:rPr>
                <w:rFonts w:asciiTheme="minorEastAsia" w:hAnsiTheme="minorEastAsia" w:cs="Arial"/>
                <w:kern w:val="0"/>
                <w:sz w:val="24"/>
                <w:szCs w:val="24"/>
              </w:rPr>
            </w:pPr>
            <w:proofErr w:type="gramStart"/>
            <w:r>
              <w:rPr>
                <w:rFonts w:asciiTheme="minorEastAsia" w:hAnsiTheme="minorEastAsia" w:cs="Arial" w:hint="eastAsia"/>
                <w:kern w:val="0"/>
                <w:sz w:val="24"/>
                <w:szCs w:val="24"/>
              </w:rPr>
              <w:t>湖南省典勤投资</w:t>
            </w:r>
            <w:proofErr w:type="gramEnd"/>
            <w:r>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517F3B72" w14:textId="77777777" w:rsidR="00B67C49"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591DDBAD" w14:textId="77777777" w:rsidR="00B67C49" w:rsidRDefault="00B67C49">
      <w:pPr>
        <w:adjustRightInd w:val="0"/>
        <w:snapToGrid w:val="0"/>
        <w:spacing w:line="360" w:lineRule="auto"/>
        <w:ind w:firstLineChars="200" w:firstLine="480"/>
        <w:rPr>
          <w:rFonts w:asciiTheme="minorEastAsia" w:hAnsiTheme="minorEastAsia" w:cs="Arial"/>
          <w:kern w:val="0"/>
          <w:sz w:val="24"/>
          <w:szCs w:val="24"/>
        </w:rPr>
      </w:pPr>
    </w:p>
    <w:p w14:paraId="69817142" w14:textId="77777777" w:rsidR="00B67C49" w:rsidRDefault="00000000">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25E2E305" w14:textId="77777777"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1、董事会成员</w:t>
      </w:r>
    </w:p>
    <w:p w14:paraId="0C2BFBD4" w14:textId="19681737" w:rsidR="00B67C49" w:rsidRDefault="00000000">
      <w:pPr>
        <w:adjustRightInd w:val="0"/>
        <w:snapToGrid w:val="0"/>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w:t>
      </w:r>
      <w:proofErr w:type="gramStart"/>
      <w:r>
        <w:rPr>
          <w:rFonts w:asciiTheme="minorEastAsia" w:hAnsiTheme="minorEastAsia" w:cs="Arial" w:hint="eastAsia"/>
          <w:kern w:val="0"/>
          <w:sz w:val="24"/>
        </w:rPr>
        <w:t>投</w:t>
      </w:r>
      <w:proofErr w:type="gramEnd"/>
      <w:r>
        <w:rPr>
          <w:rFonts w:asciiTheme="minorEastAsia" w:hAnsiTheme="minorEastAsia" w:cs="Arial" w:hint="eastAsia"/>
          <w:kern w:val="0"/>
          <w:sz w:val="24"/>
        </w:rPr>
        <w:t>投资有限公司总经理、党支部书记、董事、董事长，广州新中轴建设有限公司财务总监、董事长、法人代表。现任广州产业投资基金管理有限公司党委书记、董事长、法定代表人，</w:t>
      </w:r>
      <w:r>
        <w:rPr>
          <w:rFonts w:ascii="宋体" w:eastAsia="宋体" w:hAnsi="宋体" w:cs="Arial" w:hint="eastAsia"/>
          <w:sz w:val="24"/>
          <w:szCs w:val="24"/>
          <w:lang w:bidi="ar"/>
        </w:rPr>
        <w:t>广州城</w:t>
      </w:r>
      <w:proofErr w:type="gramStart"/>
      <w:r>
        <w:rPr>
          <w:rFonts w:ascii="宋体" w:eastAsia="宋体" w:hAnsi="宋体" w:cs="Arial" w:hint="eastAsia"/>
          <w:sz w:val="24"/>
          <w:szCs w:val="24"/>
          <w:lang w:bidi="ar"/>
        </w:rPr>
        <w:t>恒</w:t>
      </w:r>
      <w:proofErr w:type="gramEnd"/>
      <w:r>
        <w:rPr>
          <w:rFonts w:ascii="宋体" w:eastAsia="宋体" w:hAnsi="宋体" w:cs="Arial" w:hint="eastAsia"/>
          <w:sz w:val="24"/>
          <w:szCs w:val="24"/>
          <w:lang w:bidi="ar"/>
        </w:rPr>
        <w:t>城市更新投资有限公司董事长、法定代表人，</w:t>
      </w:r>
      <w:r>
        <w:rPr>
          <w:rFonts w:asciiTheme="minorEastAsia" w:hAnsiTheme="minorEastAsia" w:cs="Arial" w:hint="eastAsia"/>
          <w:kern w:val="0"/>
          <w:sz w:val="24"/>
        </w:rPr>
        <w:t>广州市城</w:t>
      </w:r>
      <w:proofErr w:type="gramStart"/>
      <w:r>
        <w:rPr>
          <w:rFonts w:asciiTheme="minorEastAsia" w:hAnsiTheme="minorEastAsia" w:cs="Arial" w:hint="eastAsia"/>
          <w:kern w:val="0"/>
          <w:sz w:val="24"/>
        </w:rPr>
        <w:t>投</w:t>
      </w:r>
      <w:proofErr w:type="gramEnd"/>
      <w:r>
        <w:rPr>
          <w:rFonts w:asciiTheme="minorEastAsia" w:hAnsiTheme="minorEastAsia" w:cs="Arial" w:hint="eastAsia"/>
          <w:kern w:val="0"/>
          <w:sz w:val="24"/>
        </w:rPr>
        <w:t>投资有限公司董事，富荣基金管理有限公司董事长、法定代表人。</w:t>
      </w:r>
    </w:p>
    <w:p w14:paraId="0E68B2A9" w14:textId="494F5D51"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杨小舟先生，董事，大连理工大学硕士研究生。历任交通银行沈阳分行国际部国际结算员、信贷科科长、中信银行沈阳皇姑支行副行长、广发银行南湖支行</w:t>
      </w:r>
      <w:r>
        <w:rPr>
          <w:rFonts w:asciiTheme="minorEastAsia" w:hAnsiTheme="minorEastAsia" w:cs="Arial" w:hint="eastAsia"/>
          <w:kern w:val="0"/>
          <w:sz w:val="24"/>
          <w:szCs w:val="24"/>
        </w:rPr>
        <w:lastRenderedPageBreak/>
        <w:t>行长、广发银行沈阳直属支行行长助理、副行长、行长兼党委书记、广发银行沈阳分行行长兼党委书记、广发银行深圳分行行长兼党委书记、富荣基金管理有限公司董事长</w:t>
      </w:r>
      <w:r w:rsidR="009617D2">
        <w:rPr>
          <w:rFonts w:ascii="宋体" w:eastAsia="宋体" w:hAnsi="宋体" w:cs="Arial" w:hint="eastAsia"/>
          <w:sz w:val="24"/>
          <w:szCs w:val="24"/>
          <w:lang w:bidi="ar"/>
        </w:rPr>
        <w:t>。</w:t>
      </w:r>
      <w:r>
        <w:rPr>
          <w:rFonts w:ascii="宋体" w:eastAsia="宋体" w:hAnsi="宋体" w:cs="Arial" w:hint="eastAsia"/>
          <w:sz w:val="24"/>
          <w:szCs w:val="24"/>
          <w:lang w:bidi="ar"/>
        </w:rPr>
        <w:t>现任富荣基金管理有限公司总经理</w:t>
      </w:r>
      <w:r>
        <w:rPr>
          <w:rFonts w:asciiTheme="minorEastAsia" w:hAnsiTheme="minorEastAsia" w:cs="Arial" w:hint="eastAsia"/>
          <w:kern w:val="0"/>
          <w:sz w:val="24"/>
          <w:szCs w:val="24"/>
        </w:rPr>
        <w:t>。</w:t>
      </w:r>
    </w:p>
    <w:p w14:paraId="05A5B684" w14:textId="1EF69F83" w:rsidR="00B67C49" w:rsidRDefault="00000000" w:rsidP="009127CF">
      <w:pPr>
        <w:adjustRightInd w:val="0"/>
        <w:snapToGrid w:val="0"/>
        <w:spacing w:line="360" w:lineRule="auto"/>
        <w:ind w:firstLine="420"/>
        <w:rPr>
          <w:rFonts w:asciiTheme="minorEastAsia" w:hAnsiTheme="minorEastAsia" w:cs="Arial"/>
          <w:kern w:val="0"/>
          <w:sz w:val="24"/>
        </w:rPr>
      </w:pPr>
      <w:r>
        <w:rPr>
          <w:rFonts w:asciiTheme="minorEastAsia" w:hAnsiTheme="minorEastAsia" w:cs="Arial" w:hint="eastAsia"/>
          <w:kern w:val="0"/>
          <w:sz w:val="24"/>
          <w:szCs w:val="24"/>
        </w:rPr>
        <w:t>赵宏伟先生，董事，对外经济贸易大学硕士研究生。曾任北京大成律师事务所律师、当代北方（北京）投资有限公司总裁、黑龙江北美工业大麻科技有限公司总裁</w:t>
      </w:r>
      <w:r>
        <w:rPr>
          <w:rFonts w:ascii="宋体" w:eastAsia="宋体" w:hAnsi="宋体" w:cs="Arial" w:hint="eastAsia"/>
          <w:sz w:val="24"/>
          <w:szCs w:val="24"/>
          <w:lang w:bidi="ar"/>
        </w:rPr>
        <w:t>，广州产业投资基金管理有限公司风险管理部总经理、法</w:t>
      </w:r>
      <w:proofErr w:type="gramStart"/>
      <w:r>
        <w:rPr>
          <w:rFonts w:ascii="宋体" w:eastAsia="宋体" w:hAnsi="宋体" w:cs="Arial" w:hint="eastAsia"/>
          <w:sz w:val="24"/>
          <w:szCs w:val="24"/>
          <w:lang w:bidi="ar"/>
        </w:rPr>
        <w:t>务风控部</w:t>
      </w:r>
      <w:proofErr w:type="gramEnd"/>
      <w:r>
        <w:rPr>
          <w:rFonts w:ascii="宋体" w:eastAsia="宋体" w:hAnsi="宋体" w:cs="Arial" w:hint="eastAsia"/>
          <w:sz w:val="24"/>
          <w:szCs w:val="24"/>
          <w:lang w:bidi="ar"/>
        </w:rPr>
        <w:t>总经理，现任广州产业投资基金管理有限公司投资管理部总经理</w:t>
      </w:r>
      <w:r>
        <w:rPr>
          <w:rFonts w:asciiTheme="minorEastAsia" w:hAnsiTheme="minorEastAsia" w:cs="Arial" w:hint="eastAsia"/>
          <w:kern w:val="0"/>
          <w:sz w:val="24"/>
          <w:szCs w:val="24"/>
        </w:rPr>
        <w:t>，</w:t>
      </w:r>
      <w:r>
        <w:rPr>
          <w:rFonts w:ascii="宋体" w:eastAsia="宋体" w:hAnsi="宋体" w:cs="Arial" w:hint="eastAsia"/>
          <w:sz w:val="24"/>
          <w:szCs w:val="24"/>
          <w:lang w:bidi="ar"/>
        </w:rPr>
        <w:t>广州基金国际股权投资基金管理有限公司党支部副书记、总经理，富荣基金管理有限公司董事。</w:t>
      </w:r>
    </w:p>
    <w:p w14:paraId="41579F46" w14:textId="46527745"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rPr>
        <w:t>郭涛先生，董事，</w:t>
      </w:r>
      <w:r>
        <w:rPr>
          <w:rFonts w:ascii="宋体" w:eastAsia="宋体" w:hAnsi="宋体" w:cs="Arial" w:hint="eastAsia"/>
          <w:sz w:val="24"/>
          <w:szCs w:val="24"/>
          <w:lang w:bidi="ar"/>
        </w:rPr>
        <w:t>上海交通大学高级管理人员工商管理专业硕士。现任</w:t>
      </w:r>
      <w:proofErr w:type="gramStart"/>
      <w:r>
        <w:rPr>
          <w:rFonts w:ascii="宋体" w:eastAsia="宋体" w:hAnsi="宋体" w:cs="Arial" w:hint="eastAsia"/>
          <w:sz w:val="24"/>
          <w:szCs w:val="24"/>
          <w:lang w:bidi="ar"/>
        </w:rPr>
        <w:t>深圳市亿尔德</w:t>
      </w:r>
      <w:proofErr w:type="gramEnd"/>
      <w:r>
        <w:rPr>
          <w:rFonts w:ascii="宋体" w:eastAsia="宋体" w:hAnsi="宋体" w:cs="Arial" w:hint="eastAsia"/>
          <w:sz w:val="24"/>
          <w:szCs w:val="24"/>
          <w:lang w:bidi="ar"/>
        </w:rPr>
        <w:t>投资有限公司总经理、执行董事，</w:t>
      </w:r>
      <w:proofErr w:type="gramStart"/>
      <w:r>
        <w:rPr>
          <w:rFonts w:ascii="宋体" w:eastAsia="宋体" w:hAnsi="宋体" w:cs="Arial" w:hint="eastAsia"/>
          <w:sz w:val="24"/>
          <w:szCs w:val="24"/>
          <w:lang w:bidi="ar"/>
        </w:rPr>
        <w:t>微愿数智</w:t>
      </w:r>
      <w:proofErr w:type="gramEnd"/>
      <w:r>
        <w:rPr>
          <w:rFonts w:ascii="宋体" w:eastAsia="宋体" w:hAnsi="宋体" w:cs="Arial" w:hint="eastAsia"/>
          <w:sz w:val="24"/>
          <w:szCs w:val="24"/>
          <w:lang w:bidi="ar"/>
        </w:rPr>
        <w:t>（深圳）健康科技有限公司总经理、执行董事，</w:t>
      </w:r>
      <w:proofErr w:type="gramStart"/>
      <w:r>
        <w:rPr>
          <w:rFonts w:ascii="宋体" w:eastAsia="宋体" w:hAnsi="宋体" w:cs="Arial" w:hint="eastAsia"/>
          <w:sz w:val="24"/>
          <w:szCs w:val="24"/>
          <w:lang w:bidi="ar"/>
        </w:rPr>
        <w:t>深圳市盈投荣达</w:t>
      </w:r>
      <w:proofErr w:type="gramEnd"/>
      <w:r>
        <w:rPr>
          <w:rFonts w:ascii="宋体" w:eastAsia="宋体" w:hAnsi="宋体" w:cs="Arial" w:hint="eastAsia"/>
          <w:sz w:val="24"/>
          <w:szCs w:val="24"/>
          <w:lang w:bidi="ar"/>
        </w:rPr>
        <w:t>科技有限公司董事长、总经理，深圳市嘉年印</w:t>
      </w:r>
      <w:proofErr w:type="gramStart"/>
      <w:r>
        <w:rPr>
          <w:rFonts w:ascii="宋体" w:eastAsia="宋体" w:hAnsi="宋体" w:cs="Arial" w:hint="eastAsia"/>
          <w:sz w:val="24"/>
          <w:szCs w:val="24"/>
          <w:lang w:bidi="ar"/>
        </w:rPr>
        <w:t>务</w:t>
      </w:r>
      <w:proofErr w:type="gramEnd"/>
      <w:r>
        <w:rPr>
          <w:rFonts w:ascii="宋体" w:eastAsia="宋体" w:hAnsi="宋体" w:cs="Arial" w:hint="eastAsia"/>
          <w:sz w:val="24"/>
          <w:szCs w:val="24"/>
          <w:lang w:bidi="ar"/>
        </w:rPr>
        <w:t>有限公司董事长，深圳市盈实发展有限公司董事长，深圳市</w:t>
      </w:r>
      <w:proofErr w:type="gramStart"/>
      <w:r>
        <w:rPr>
          <w:rFonts w:ascii="宋体" w:eastAsia="宋体" w:hAnsi="宋体" w:cs="Arial" w:hint="eastAsia"/>
          <w:sz w:val="24"/>
          <w:szCs w:val="24"/>
          <w:lang w:bidi="ar"/>
        </w:rPr>
        <w:t>盈致未来文创管理</w:t>
      </w:r>
      <w:proofErr w:type="gramEnd"/>
      <w:r>
        <w:rPr>
          <w:rFonts w:ascii="宋体" w:eastAsia="宋体" w:hAnsi="宋体" w:cs="Arial" w:hint="eastAsia"/>
          <w:sz w:val="24"/>
          <w:szCs w:val="24"/>
          <w:lang w:bidi="ar"/>
        </w:rPr>
        <w:t>有限公司董事长，深圳市益德置业有限公司总经理、董事，</w:t>
      </w:r>
      <w:proofErr w:type="gramStart"/>
      <w:r>
        <w:rPr>
          <w:rFonts w:ascii="宋体" w:eastAsia="宋体" w:hAnsi="宋体" w:cs="Arial" w:hint="eastAsia"/>
          <w:sz w:val="24"/>
          <w:szCs w:val="24"/>
          <w:lang w:bidi="ar"/>
        </w:rPr>
        <w:t>盈投控股</w:t>
      </w:r>
      <w:proofErr w:type="gramEnd"/>
      <w:r>
        <w:rPr>
          <w:rFonts w:ascii="宋体" w:eastAsia="宋体" w:hAnsi="宋体" w:cs="Arial" w:hint="eastAsia"/>
          <w:sz w:val="24"/>
          <w:szCs w:val="24"/>
          <w:lang w:bidi="ar"/>
        </w:rPr>
        <w:t>有限公司总经理、董事，深圳市铭嘉达信息咨询有限公司董事，深圳市理得文化发展有限公司董事，乐百氏（广东）饮用水有限公司董事，深圳安吉尔饮水产业集团有限公司董事，</w:t>
      </w:r>
      <w:proofErr w:type="gramStart"/>
      <w:r>
        <w:rPr>
          <w:rFonts w:ascii="宋体" w:eastAsia="宋体" w:hAnsi="宋体" w:cs="Arial" w:hint="eastAsia"/>
          <w:sz w:val="24"/>
          <w:szCs w:val="24"/>
          <w:lang w:bidi="ar"/>
        </w:rPr>
        <w:t>昊</w:t>
      </w:r>
      <w:proofErr w:type="gramEnd"/>
      <w:r>
        <w:rPr>
          <w:rFonts w:ascii="宋体" w:eastAsia="宋体" w:hAnsi="宋体" w:cs="Arial" w:hint="eastAsia"/>
          <w:sz w:val="24"/>
          <w:szCs w:val="24"/>
          <w:lang w:bidi="ar"/>
        </w:rPr>
        <w:t>华化工科技集团股份有限公司董事，深圳嘉年实业股份有限公司董事；深圳市</w:t>
      </w:r>
      <w:proofErr w:type="gramStart"/>
      <w:r>
        <w:rPr>
          <w:rFonts w:ascii="宋体" w:eastAsia="宋体" w:hAnsi="宋体" w:cs="Arial" w:hint="eastAsia"/>
          <w:sz w:val="24"/>
          <w:szCs w:val="24"/>
          <w:lang w:bidi="ar"/>
        </w:rPr>
        <w:t>盈投发展</w:t>
      </w:r>
      <w:proofErr w:type="gramEnd"/>
      <w:r>
        <w:rPr>
          <w:rFonts w:ascii="宋体" w:eastAsia="宋体" w:hAnsi="宋体" w:cs="Arial" w:hint="eastAsia"/>
          <w:sz w:val="24"/>
          <w:szCs w:val="24"/>
          <w:lang w:bidi="ar"/>
        </w:rPr>
        <w:t>有限公司董事，绍兴安吉尔环境科技有限公司董事，深圳市银珠塑料制品有限公司董事，深圳安吉尔服务营销有限公司董事，深圳市润丰不动产运营服务有限公司董事，乐百氏（深圳）饮用水有限公司董事，深圳市安吉尔饮水事业发展有限公司董事，绍兴安吉尔私募基金管理有限公司董事，深圳市益景德实业有限公司董事，乐百氏（成都）饮用水有限公司董事，乐百氏（广东）饮品有限公司董事，乐百氏（沈阳）饮品有限公司董事，津沪深生物医药科技有限公司董事，深圳上合高金投资管理有限公司监事</w:t>
      </w:r>
      <w:r w:rsidR="009617D2">
        <w:rPr>
          <w:rFonts w:ascii="宋体" w:eastAsia="宋体" w:hAnsi="宋体" w:cs="Arial" w:hint="eastAsia"/>
          <w:sz w:val="24"/>
          <w:szCs w:val="24"/>
          <w:lang w:bidi="ar"/>
        </w:rPr>
        <w:t>。</w:t>
      </w:r>
      <w:r>
        <w:rPr>
          <w:rFonts w:asciiTheme="minorEastAsia" w:hAnsiTheme="minorEastAsia" w:cs="Arial" w:hint="eastAsia"/>
          <w:kern w:val="0"/>
          <w:sz w:val="24"/>
        </w:rPr>
        <w:t>富荣基金管理有限公司董事。</w:t>
      </w:r>
    </w:p>
    <w:p w14:paraId="5986188B" w14:textId="46536993" w:rsidR="00B67C49" w:rsidRDefault="00000000">
      <w:pPr>
        <w:adjustRightInd w:val="0"/>
        <w:snapToGrid w:val="0"/>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余</w:t>
      </w:r>
      <w:proofErr w:type="gramStart"/>
      <w:r>
        <w:rPr>
          <w:rFonts w:asciiTheme="minorEastAsia" w:hAnsiTheme="minorEastAsia" w:cs="Arial" w:hint="eastAsia"/>
          <w:kern w:val="0"/>
          <w:sz w:val="24"/>
        </w:rPr>
        <w:t>关健</w:t>
      </w:r>
      <w:proofErr w:type="gramEnd"/>
      <w:r>
        <w:rPr>
          <w:rFonts w:asciiTheme="minorEastAsia" w:hAnsiTheme="minorEastAsia" w:cs="Arial" w:hint="eastAsia"/>
          <w:kern w:val="0"/>
          <w:sz w:val="24"/>
        </w:rPr>
        <w:t>先生，独立董事，西南财经大学工业经济硕士研究生。曾任中国银行深圳分行信贷处处长、中国银行深圳分行风险管理处处长、深圳赛格、深圳特发集团董事、</w:t>
      </w:r>
      <w:proofErr w:type="gramStart"/>
      <w:r>
        <w:rPr>
          <w:rFonts w:asciiTheme="minorEastAsia" w:hAnsiTheme="minorEastAsia" w:cs="Arial" w:hint="eastAsia"/>
          <w:kern w:val="0"/>
          <w:sz w:val="24"/>
        </w:rPr>
        <w:t>邦</w:t>
      </w:r>
      <w:proofErr w:type="gramEnd"/>
      <w:r>
        <w:rPr>
          <w:rFonts w:asciiTheme="minorEastAsia" w:hAnsiTheme="minorEastAsia" w:cs="Arial" w:hint="eastAsia"/>
          <w:kern w:val="0"/>
          <w:sz w:val="24"/>
        </w:rPr>
        <w:t>信资产管理公司董事总经理、对外贸易集团股份有限公司董事长、东方资产管理公司办事处总经理。现任</w:t>
      </w:r>
      <w:r>
        <w:rPr>
          <w:rFonts w:ascii="宋体" w:eastAsia="宋体" w:hAnsi="宋体" w:cs="Arial" w:hint="eastAsia"/>
          <w:sz w:val="24"/>
          <w:szCs w:val="24"/>
          <w:lang w:bidi="ar"/>
        </w:rPr>
        <w:t>东银实业（深圳）有限公司董事、深圳金田股份有限公司独立董事、</w:t>
      </w:r>
      <w:r>
        <w:rPr>
          <w:rFonts w:asciiTheme="minorEastAsia" w:hAnsiTheme="minorEastAsia" w:cs="Arial" w:hint="eastAsia"/>
          <w:kern w:val="0"/>
          <w:sz w:val="24"/>
        </w:rPr>
        <w:t>富荣基金管理有限公司独立董事。</w:t>
      </w:r>
    </w:p>
    <w:p w14:paraId="08687DB7" w14:textId="0905F46A" w:rsidR="00B67C49" w:rsidRDefault="00000000">
      <w:pPr>
        <w:adjustRightInd w:val="0"/>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lang w:bidi="ar"/>
        </w:rPr>
        <w:t>刘宝瑞先生，独立董事，历任中国人民银行宝坻支行会计、中国农业银行天津分行人力资源部副处长、中国农业银行天津分行国际业务部副总经理、总经理、</w:t>
      </w:r>
      <w:r>
        <w:rPr>
          <w:rFonts w:ascii="宋体" w:eastAsia="宋体" w:hAnsi="宋体" w:cs="Arial" w:hint="eastAsia"/>
          <w:kern w:val="0"/>
          <w:sz w:val="24"/>
          <w:szCs w:val="24"/>
          <w:lang w:bidi="ar"/>
        </w:rPr>
        <w:lastRenderedPageBreak/>
        <w:t>中国农业银行天津分行资金计划处处长、深圳发展银行总行行长助理、副行长、党委委员、中国金融国际投资有限公司执行董事</w:t>
      </w:r>
      <w:r w:rsidR="009617D2">
        <w:rPr>
          <w:rFonts w:ascii="宋体" w:eastAsia="宋体" w:hAnsi="宋体" w:cs="Arial" w:hint="eastAsia"/>
          <w:kern w:val="0"/>
          <w:sz w:val="24"/>
          <w:szCs w:val="24"/>
          <w:lang w:bidi="ar"/>
        </w:rPr>
        <w:t>。</w:t>
      </w:r>
      <w:r>
        <w:rPr>
          <w:rFonts w:ascii="宋体" w:eastAsia="宋体" w:hAnsi="宋体" w:cs="Arial" w:hint="eastAsia"/>
          <w:kern w:val="0"/>
          <w:sz w:val="24"/>
          <w:szCs w:val="24"/>
          <w:lang w:bidi="ar"/>
        </w:rPr>
        <w:t>现任深圳第一金融服务有限公司董事长、湖南银行独立董事、天津银行监事、富荣基金管理有限公司独立董事。</w:t>
      </w:r>
    </w:p>
    <w:p w14:paraId="2BAB9A91" w14:textId="77777777" w:rsidR="00B67C49" w:rsidRDefault="00000000">
      <w:pPr>
        <w:adjustRightInd w:val="0"/>
        <w:snapToGrid w:val="0"/>
        <w:spacing w:line="360" w:lineRule="auto"/>
        <w:ind w:firstLineChars="200" w:firstLine="480"/>
        <w:rPr>
          <w:rFonts w:asciiTheme="minorEastAsia" w:hAnsiTheme="minorEastAsia" w:cs="Arial"/>
          <w:kern w:val="0"/>
          <w:sz w:val="24"/>
        </w:rPr>
      </w:pPr>
      <w:r w:rsidRPr="009127CF">
        <w:rPr>
          <w:rFonts w:asciiTheme="minorEastAsia" w:hAnsiTheme="minorEastAsia" w:cs="Arial" w:hint="eastAsia"/>
          <w:kern w:val="0"/>
          <w:sz w:val="24"/>
          <w:lang w:bidi="ar"/>
        </w:rPr>
        <w:t>张刚先生，独立董事，内蒙古大学民</w:t>
      </w:r>
      <w:proofErr w:type="gramStart"/>
      <w:r w:rsidRPr="009127CF">
        <w:rPr>
          <w:rFonts w:asciiTheme="minorEastAsia" w:hAnsiTheme="minorEastAsia" w:cs="Arial" w:hint="eastAsia"/>
          <w:kern w:val="0"/>
          <w:sz w:val="24"/>
          <w:lang w:bidi="ar"/>
        </w:rPr>
        <w:t>商法学</w:t>
      </w:r>
      <w:proofErr w:type="gramEnd"/>
      <w:r w:rsidRPr="009127CF">
        <w:rPr>
          <w:rFonts w:asciiTheme="minorEastAsia" w:hAnsiTheme="minorEastAsia" w:cs="Arial" w:hint="eastAsia"/>
          <w:kern w:val="0"/>
          <w:sz w:val="24"/>
          <w:lang w:bidi="ar"/>
        </w:rPr>
        <w:t>硕士研究生。曾任内蒙古大学教师、北京王玉梅律师事务所律师、北京建元律师事务所合伙人、宁夏中银绒业股份有限公司独立董事。现任北京大成律师事务所高级合伙人、富荣基金管理有限公司独立董事。</w:t>
      </w:r>
    </w:p>
    <w:p w14:paraId="1882F00A" w14:textId="77777777"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2、监事会成员</w:t>
      </w:r>
    </w:p>
    <w:p w14:paraId="723F6581" w14:textId="77777777"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0525F6B6" w14:textId="77777777"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冯晓霖女士，监事，硕士。曾任深圳市嘉</w:t>
      </w:r>
      <w:proofErr w:type="gramStart"/>
      <w:r>
        <w:rPr>
          <w:rFonts w:asciiTheme="minorEastAsia" w:hAnsiTheme="minorEastAsia" w:cs="Arial" w:hint="eastAsia"/>
          <w:kern w:val="0"/>
          <w:sz w:val="24"/>
          <w:szCs w:val="24"/>
        </w:rPr>
        <w:t>霖</w:t>
      </w:r>
      <w:proofErr w:type="gramEnd"/>
      <w:r>
        <w:rPr>
          <w:rFonts w:asciiTheme="minorEastAsia" w:hAnsiTheme="minorEastAsia" w:cs="Arial" w:hint="eastAsia"/>
          <w:kern w:val="0"/>
          <w:sz w:val="24"/>
          <w:szCs w:val="24"/>
        </w:rPr>
        <w:t>置业集团有限公司法</w:t>
      </w:r>
      <w:proofErr w:type="gramStart"/>
      <w:r>
        <w:rPr>
          <w:rFonts w:asciiTheme="minorEastAsia" w:hAnsiTheme="minorEastAsia" w:cs="Arial" w:hint="eastAsia"/>
          <w:kern w:val="0"/>
          <w:sz w:val="24"/>
          <w:szCs w:val="24"/>
        </w:rPr>
        <w:t>务</w:t>
      </w:r>
      <w:proofErr w:type="gramEnd"/>
      <w:r>
        <w:rPr>
          <w:rFonts w:asciiTheme="minorEastAsia" w:hAnsiTheme="minorEastAsia" w:cs="Arial" w:hint="eastAsia"/>
          <w:kern w:val="0"/>
          <w:sz w:val="24"/>
          <w:szCs w:val="24"/>
        </w:rPr>
        <w:t>，</w:t>
      </w:r>
      <w:proofErr w:type="gramStart"/>
      <w:r>
        <w:rPr>
          <w:rFonts w:asciiTheme="minorEastAsia" w:hAnsiTheme="minorEastAsia" w:cs="Arial" w:hint="eastAsia"/>
          <w:kern w:val="0"/>
          <w:sz w:val="24"/>
          <w:szCs w:val="24"/>
        </w:rPr>
        <w:t>现任盈投控股</w:t>
      </w:r>
      <w:proofErr w:type="gramEnd"/>
      <w:r>
        <w:rPr>
          <w:rFonts w:asciiTheme="minorEastAsia" w:hAnsiTheme="minorEastAsia" w:cs="Arial" w:hint="eastAsia"/>
          <w:kern w:val="0"/>
          <w:sz w:val="24"/>
          <w:szCs w:val="24"/>
        </w:rPr>
        <w:t>有限公司法</w:t>
      </w:r>
      <w:proofErr w:type="gramStart"/>
      <w:r>
        <w:rPr>
          <w:rFonts w:asciiTheme="minorEastAsia" w:hAnsiTheme="minorEastAsia" w:cs="Arial" w:hint="eastAsia"/>
          <w:kern w:val="0"/>
          <w:sz w:val="24"/>
          <w:szCs w:val="24"/>
        </w:rPr>
        <w:t>务</w:t>
      </w:r>
      <w:proofErr w:type="gramEnd"/>
      <w:r>
        <w:rPr>
          <w:rFonts w:asciiTheme="minorEastAsia" w:hAnsiTheme="minorEastAsia" w:cs="Arial" w:hint="eastAsia"/>
          <w:kern w:val="0"/>
          <w:sz w:val="24"/>
          <w:szCs w:val="24"/>
        </w:rPr>
        <w:t>主管、富荣基金管理有限公司监事。</w:t>
      </w:r>
    </w:p>
    <w:p w14:paraId="1C764683" w14:textId="77777777"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魏丽红女士，职工监事，大专。现任富荣基金管理有限公司职工监事。</w:t>
      </w:r>
    </w:p>
    <w:p w14:paraId="007BD162" w14:textId="77777777"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3、高级管理人员</w:t>
      </w:r>
    </w:p>
    <w:p w14:paraId="3B3C4357" w14:textId="77777777"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总经理、兼任首席信息官，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富荣基金管理有限公司董事长。</w:t>
      </w:r>
      <w:r>
        <w:rPr>
          <w:rFonts w:ascii="宋体" w:eastAsia="宋体" w:hAnsi="宋体" w:cs="Arial" w:hint="eastAsia"/>
          <w:sz w:val="24"/>
          <w:szCs w:val="24"/>
          <w:lang w:bidi="ar"/>
        </w:rPr>
        <w:t>现任富荣基金管理有限公司总经理。</w:t>
      </w:r>
    </w:p>
    <w:p w14:paraId="11F0352A" w14:textId="77777777" w:rsidR="00B67C49" w:rsidRDefault="00000000">
      <w:pPr>
        <w:adjustRightInd w:val="0"/>
        <w:snapToGrid w:val="0"/>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史克新先生，副总经理，EMBA硕士。历任珠海会计师事务所注册会计师，君安证券有限公司审计师，北大方正投资有限公司副总经理，兴安证券东莞营业部总经理，深圳丽晶生物技术有限公司董事长，金元证券股份有限公司副监事长、审计部总经理，金元顺</w:t>
      </w:r>
      <w:proofErr w:type="gramStart"/>
      <w:r>
        <w:rPr>
          <w:rFonts w:asciiTheme="minorEastAsia" w:hAnsiTheme="minorEastAsia" w:cs="Arial" w:hint="eastAsia"/>
          <w:kern w:val="0"/>
          <w:sz w:val="24"/>
        </w:rPr>
        <w:t>安基金</w:t>
      </w:r>
      <w:proofErr w:type="gramEnd"/>
      <w:r>
        <w:rPr>
          <w:rFonts w:asciiTheme="minorEastAsia" w:hAnsiTheme="minorEastAsia" w:cs="Arial" w:hint="eastAsia"/>
          <w:kern w:val="0"/>
          <w:sz w:val="24"/>
        </w:rPr>
        <w:t>管理有限公司董事，金元证券股份有限公司经纪管理总部总经理，金元证券股份有限公司深圳分公司总经理，金元证券股份有限公司互联网创新专项办公室总经理等。现任富荣基金管理有限公司副总经理。</w:t>
      </w:r>
    </w:p>
    <w:p w14:paraId="4734523E" w14:textId="77777777"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3D43E107" w14:textId="77777777"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w:t>
      </w:r>
    </w:p>
    <w:p w14:paraId="1292BC5C" w14:textId="77777777"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李黄海先生，美国南加州大学博士，CFA（特许金融分析师），深圳市地方</w:t>
      </w:r>
      <w:r>
        <w:rPr>
          <w:rFonts w:asciiTheme="minorEastAsia" w:hAnsiTheme="minorEastAsia" w:cs="Arial" w:hint="eastAsia"/>
          <w:kern w:val="0"/>
          <w:sz w:val="24"/>
          <w:szCs w:val="24"/>
        </w:rPr>
        <w:lastRenderedPageBreak/>
        <w:t>级领军人才。曾任摩根士丹利华</w:t>
      </w:r>
      <w:proofErr w:type="gramStart"/>
      <w:r>
        <w:rPr>
          <w:rFonts w:asciiTheme="minorEastAsia" w:hAnsiTheme="minorEastAsia" w:cs="Arial" w:hint="eastAsia"/>
          <w:kern w:val="0"/>
          <w:sz w:val="24"/>
          <w:szCs w:val="24"/>
        </w:rPr>
        <w:t>鑫</w:t>
      </w:r>
      <w:proofErr w:type="gramEnd"/>
      <w:r>
        <w:rPr>
          <w:rFonts w:asciiTheme="minorEastAsia" w:hAnsiTheme="minorEastAsia" w:cs="Arial" w:hint="eastAsia"/>
          <w:kern w:val="0"/>
          <w:sz w:val="24"/>
          <w:szCs w:val="24"/>
        </w:rPr>
        <w:t>基金数量化投资部投资经理、平安基金量化投资部总监、富荣基金管理有限公司专户部投资经理等职。现任富荣基金管理有限公司投资决策委员会委员、富荣医药健康混合型发起式证券投资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经理（自2022年06月28日起任职）、富荣价值精选灵活配置混合型发起式证券投资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经理（自2023年7月31日起任职）、</w:t>
      </w:r>
      <w:proofErr w:type="gramStart"/>
      <w:r>
        <w:rPr>
          <w:rFonts w:asciiTheme="minorEastAsia" w:hAnsiTheme="minorEastAsia" w:cs="Arial" w:hint="eastAsia"/>
          <w:kern w:val="0"/>
          <w:sz w:val="24"/>
          <w:szCs w:val="24"/>
        </w:rPr>
        <w:t>富荣富乾债券</w:t>
      </w:r>
      <w:proofErr w:type="gramEnd"/>
      <w:r>
        <w:rPr>
          <w:rFonts w:asciiTheme="minorEastAsia" w:hAnsiTheme="minorEastAsia" w:cs="Arial" w:hint="eastAsia"/>
          <w:kern w:val="0"/>
          <w:sz w:val="24"/>
          <w:szCs w:val="24"/>
        </w:rPr>
        <w:t>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经理（自2023年12月12日起任职）、富荣福耀混合型证券投资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经理（自2023年12月12日起任职）。</w:t>
      </w:r>
    </w:p>
    <w:p w14:paraId="2250C767" w14:textId="77777777"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历任基金经理：黄祥斌（自2021年12月29日至2023年7月31日）、邓宇翔（自2021年12月27日至2024年4月18日）</w:t>
      </w:r>
    </w:p>
    <w:p w14:paraId="2FADD1A6" w14:textId="77777777"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5、投资决策委员会成员的姓名、</w:t>
      </w:r>
      <w:r>
        <w:rPr>
          <w:rFonts w:asciiTheme="minorEastAsia" w:hAnsiTheme="minorEastAsia" w:cs="Arial" w:hint="eastAsia"/>
          <w:kern w:val="0"/>
          <w:sz w:val="24"/>
          <w:szCs w:val="24"/>
        </w:rPr>
        <w:t>职务</w:t>
      </w:r>
    </w:p>
    <w:p w14:paraId="3A50940A" w14:textId="77777777" w:rsidR="00B67C49" w:rsidRDefault="00000000">
      <w:pPr>
        <w:spacing w:line="360" w:lineRule="auto"/>
        <w:ind w:firstLineChars="200" w:firstLine="480"/>
        <w:rPr>
          <w:rFonts w:asciiTheme="minorEastAsia" w:hAnsiTheme="minorEastAsia"/>
          <w:sz w:val="24"/>
        </w:rPr>
      </w:pPr>
      <w:r>
        <w:rPr>
          <w:rFonts w:asciiTheme="minorEastAsia" w:hAnsiTheme="minorEastAsia" w:hint="eastAsia"/>
          <w:sz w:val="24"/>
        </w:rPr>
        <w:t>杨小舟先生，投资决策委员会主任委员、公司总经理、兼任首席信息官。</w:t>
      </w:r>
    </w:p>
    <w:p w14:paraId="404C0917" w14:textId="77777777" w:rsidR="00B67C49" w:rsidRDefault="00000000">
      <w:pPr>
        <w:spacing w:line="360" w:lineRule="auto"/>
        <w:ind w:firstLineChars="200" w:firstLine="480"/>
        <w:rPr>
          <w:rFonts w:asciiTheme="minorEastAsia" w:hAnsiTheme="minorEastAsia"/>
          <w:sz w:val="24"/>
        </w:rPr>
      </w:pPr>
      <w:r>
        <w:rPr>
          <w:rFonts w:asciiTheme="minorEastAsia" w:hAnsiTheme="minorEastAsia" w:hint="eastAsia"/>
          <w:sz w:val="24"/>
        </w:rPr>
        <w:t>史克新先生，投资决策委员会委员、公司副总经理。</w:t>
      </w:r>
    </w:p>
    <w:p w14:paraId="40059FCE" w14:textId="77777777" w:rsidR="00B67C49" w:rsidRDefault="00000000">
      <w:pPr>
        <w:spacing w:line="360" w:lineRule="auto"/>
        <w:ind w:firstLineChars="200" w:firstLine="480"/>
        <w:rPr>
          <w:rFonts w:asciiTheme="minorEastAsia" w:hAnsiTheme="minorEastAsia"/>
          <w:sz w:val="24"/>
        </w:rPr>
      </w:pPr>
      <w:r>
        <w:rPr>
          <w:rFonts w:asciiTheme="minorEastAsia" w:hAnsiTheme="minorEastAsia" w:hint="eastAsia"/>
          <w:sz w:val="24"/>
        </w:rPr>
        <w:t>邓宇翔先生，投资决策委员会委员、权益投资部总经理、基金经理。</w:t>
      </w:r>
    </w:p>
    <w:p w14:paraId="32D0839E" w14:textId="77777777" w:rsidR="00B67C49" w:rsidRDefault="00000000">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郎骋成先生，投资决策委员会委员、研究部总经理、基金经理。</w:t>
      </w:r>
    </w:p>
    <w:p w14:paraId="04561FD1" w14:textId="77777777" w:rsidR="00B67C49" w:rsidRDefault="00000000">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宋芳女士，投资决策委员会委员、固定收益部总经理、基金经理。</w:t>
      </w:r>
    </w:p>
    <w:p w14:paraId="770F391D" w14:textId="77777777" w:rsidR="00B67C49" w:rsidRDefault="00000000">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孟飞先生，投资决策委员会委员、固定收益部副总经理、基金经理。</w:t>
      </w:r>
    </w:p>
    <w:p w14:paraId="1E0F037A" w14:textId="77777777" w:rsidR="00B67C49" w:rsidRDefault="00000000">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王丹女士，投资决策委员会委员、固定收益部总经理助理、基金经理。</w:t>
      </w:r>
    </w:p>
    <w:p w14:paraId="41050F33" w14:textId="77777777" w:rsidR="00B67C49" w:rsidRDefault="00000000">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李黄海先生，投资决策委员会委员、基金经理。</w:t>
      </w:r>
    </w:p>
    <w:p w14:paraId="7A24F3FC" w14:textId="77777777" w:rsidR="00B67C49" w:rsidRDefault="00000000">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李延峥先生，投资决策委员会委员、投资决策委员会秘书、</w:t>
      </w:r>
      <w:r>
        <w:rPr>
          <w:rFonts w:ascii="宋体" w:eastAsia="宋体" w:hAnsi="宋体" w:cs="Arial" w:hint="eastAsia"/>
          <w:sz w:val="24"/>
          <w:szCs w:val="24"/>
          <w:lang w:bidi="ar"/>
        </w:rPr>
        <w:t>研究部总经理助理、</w:t>
      </w:r>
      <w:r>
        <w:rPr>
          <w:rFonts w:asciiTheme="minorEastAsia" w:hAnsiTheme="minorEastAsia" w:hint="eastAsia"/>
          <w:color w:val="000000"/>
          <w:kern w:val="0"/>
          <w:sz w:val="24"/>
          <w:szCs w:val="24"/>
        </w:rPr>
        <w:t>基金经理。</w:t>
      </w:r>
    </w:p>
    <w:p w14:paraId="76B1104A" w14:textId="77777777" w:rsidR="00B67C49" w:rsidRDefault="00000000">
      <w:pPr>
        <w:adjustRightInd w:val="0"/>
        <w:snapToGrid w:val="0"/>
        <w:spacing w:line="360" w:lineRule="auto"/>
        <w:ind w:firstLineChars="200" w:firstLine="480"/>
        <w:rPr>
          <w:rFonts w:asciiTheme="minorEastAsia" w:hAnsiTheme="minorEastAsia" w:cs="Arial"/>
          <w:color w:val="FF0000"/>
          <w:sz w:val="24"/>
          <w:szCs w:val="24"/>
        </w:rPr>
      </w:pPr>
      <w:r>
        <w:rPr>
          <w:rFonts w:asciiTheme="minorEastAsia" w:hAnsiTheme="minorEastAsia" w:cs="Arial"/>
          <w:kern w:val="0"/>
          <w:sz w:val="24"/>
          <w:szCs w:val="24"/>
        </w:rPr>
        <w:t>6、上述人员之间不存在近亲属关系。</w:t>
      </w:r>
    </w:p>
    <w:p w14:paraId="01CAEFEE" w14:textId="77777777" w:rsidR="00B67C49" w:rsidRDefault="00000000">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6163397A"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36A0EA1F"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564267D9"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4C96DFB3"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5310B722"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w:t>
      </w:r>
      <w:r>
        <w:rPr>
          <w:rFonts w:asciiTheme="minorEastAsia" w:hAnsiTheme="minorEastAsia" w:cs="Times New Roman" w:hint="eastAsia"/>
          <w:sz w:val="24"/>
          <w:szCs w:val="24"/>
        </w:rPr>
        <w:lastRenderedPageBreak/>
        <w:t>证所管理的基金财产和基金管理人的财产相互独立，对所管理的不同基金分别管理，分别记账，进行证券投资；</w:t>
      </w:r>
    </w:p>
    <w:p w14:paraId="434E7CC7"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3515A793"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1ACA7E9B"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8、采取适当合理的措施使计算基金份额认购、申购、赎回和注销价格的方法符合《基金合同》等法律文件的规定，按有关规定计算并公告基金净值信息，确定基金份额申购、赎回的价格；</w:t>
      </w:r>
    </w:p>
    <w:p w14:paraId="6567CFBB"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5A992774"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10、编制季度报告、中期报告和年度报告；</w:t>
      </w:r>
    </w:p>
    <w:p w14:paraId="408B63E8"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3E84A229"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014DC16F"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1F027E31"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3DAFE07D"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1F43F3B7"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16、按规定保存基金财产管理业务活动的会计账册、报表、记录和其他相关资料，保存期限不低于法律法规规定的最低期限；</w:t>
      </w:r>
    </w:p>
    <w:p w14:paraId="0CE97C9D"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45E514C"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6161CEA3"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w:t>
      </w:r>
      <w:r>
        <w:rPr>
          <w:rFonts w:asciiTheme="minorEastAsia" w:hAnsiTheme="minorEastAsia" w:cs="Times New Roman" w:hint="eastAsia"/>
          <w:sz w:val="24"/>
          <w:szCs w:val="24"/>
        </w:rPr>
        <w:lastRenderedPageBreak/>
        <w:t>通知基金托管人；</w:t>
      </w:r>
    </w:p>
    <w:p w14:paraId="00413124"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6006D119"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00908D92"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4493C19A"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73770730"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24、基金管理人在募集期间未能达到基金的备案条件，《基金合同》不能生效，基金管理人承担全部募集费用，将已募集资金并加计银行同期存款利息在基金募集期结束后30日内退还基金认购人；</w:t>
      </w:r>
    </w:p>
    <w:p w14:paraId="385BA45D"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25、执行生效的基金份额持有人大会的决议；</w:t>
      </w:r>
    </w:p>
    <w:p w14:paraId="2EBD5B3A"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26、建立并保存基金份额持有人名册；</w:t>
      </w:r>
    </w:p>
    <w:p w14:paraId="316198F0"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27、法律法规及中国证监会规定的和《基金合同》约定的其他义务。</w:t>
      </w:r>
    </w:p>
    <w:p w14:paraId="0834F300" w14:textId="77777777" w:rsidR="00B67C49" w:rsidRDefault="00000000">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725B093C"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297E3284"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6964C532"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59EE07CC"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1BAE07E2"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7E713CB8"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593353F5"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2128B440"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3197B159"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（7）玩忽职守，不按照规定履行职责；</w:t>
      </w:r>
    </w:p>
    <w:p w14:paraId="237B82B8"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54528916"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7D61EC54"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30B43C77"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0D807514" w14:textId="77777777" w:rsidR="00B67C49" w:rsidRDefault="00000000">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14183D8F"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00FE60C2"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39D2A2BB"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60B9B8DF" w14:textId="77777777" w:rsidR="00B67C49"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4FF63F9E" w14:textId="77777777" w:rsidR="00B67C49" w:rsidRDefault="00000000">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34F36CDC"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5" w:name="_Toc416264540"/>
      <w:bookmarkStart w:id="86" w:name="_Toc410197818"/>
      <w:bookmarkStart w:id="87" w:name="_Toc352229750"/>
      <w:bookmarkStart w:id="88" w:name="_Toc263092312"/>
      <w:bookmarkEnd w:id="69"/>
      <w:bookmarkEnd w:id="70"/>
      <w:bookmarkEnd w:id="71"/>
      <w:r>
        <w:rPr>
          <w:rFonts w:asciiTheme="minorEastAsia" w:hAnsiTheme="minorEastAsia" w:cs="Arial" w:hint="eastAsia"/>
          <w:sz w:val="24"/>
          <w:szCs w:val="24"/>
        </w:rPr>
        <w:t>1、风险控制目标</w:t>
      </w:r>
    </w:p>
    <w:p w14:paraId="79A4134D"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268579F2"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69A3EDE3"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50EA076A"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3D2B4134"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3F713D9C"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76555BB7"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43AC77B6"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4A796140"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2D94AFD0"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3C29970E"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2294BB6B"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3EE6CEB7"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379509F7"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6BAC0725"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419AFC0B"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71C41785"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C74E3E"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1B115CFE"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w:t>
      </w:r>
      <w:proofErr w:type="gramStart"/>
      <w:r>
        <w:rPr>
          <w:rFonts w:asciiTheme="minorEastAsia" w:hAnsiTheme="minorEastAsia" w:cs="Arial" w:hint="eastAsia"/>
          <w:sz w:val="24"/>
          <w:szCs w:val="24"/>
        </w:rPr>
        <w:t>长履行</w:t>
      </w:r>
      <w:proofErr w:type="gramEnd"/>
      <w:r>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04294628"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3E7523C1" w14:textId="77777777" w:rsidR="00B67C49" w:rsidRDefault="00000000">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w:t>
      </w:r>
      <w:r>
        <w:rPr>
          <w:rFonts w:asciiTheme="minorEastAsia" w:hAnsiTheme="minorEastAsia" w:cs="Arial" w:hint="eastAsia"/>
          <w:sz w:val="24"/>
          <w:szCs w:val="24"/>
        </w:rPr>
        <w:lastRenderedPageBreak/>
        <w:t>中存在的风险及风险隐患，向公司相关部门提出整改要求；决定公司重大风险事件的处理方案；总结、安排风险管理和控制工作，研究、评估新出现的风险因素；评估新产品、新业务的合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2EE977EF"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咨询、合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培训、离任审查等工作。</w:t>
      </w:r>
    </w:p>
    <w:p w14:paraId="4DAAD6FA"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2E0615C7"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3A7E4EC8"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1AA1202E"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25C502A"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1A7C31BA"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98C7793"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0CD4156D"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w:t>
      </w:r>
      <w:r>
        <w:rPr>
          <w:rFonts w:asciiTheme="minorEastAsia" w:hAnsiTheme="minorEastAsia" w:cs="Arial" w:hint="eastAsia"/>
          <w:sz w:val="24"/>
          <w:szCs w:val="24"/>
        </w:rPr>
        <w:lastRenderedPageBreak/>
        <w:t>定合理的决策程序；在进行投资时应有明确的投资授权制度，并应建立与所授权</w:t>
      </w:r>
      <w:proofErr w:type="gramStart"/>
      <w:r>
        <w:rPr>
          <w:rFonts w:asciiTheme="minorEastAsia" w:hAnsiTheme="minorEastAsia" w:cs="Arial" w:hint="eastAsia"/>
          <w:sz w:val="24"/>
          <w:szCs w:val="24"/>
        </w:rPr>
        <w:t>限相应</w:t>
      </w:r>
      <w:proofErr w:type="gramEnd"/>
      <w:r>
        <w:rPr>
          <w:rFonts w:asciiTheme="minorEastAsia" w:hAnsiTheme="minorEastAsia" w:cs="Arial" w:hint="eastAsia"/>
          <w:sz w:val="24"/>
          <w:szCs w:val="24"/>
        </w:rPr>
        <w:t>的约束制度和考核制度；建立严格的投资禁止和投资限制制度，保证基金投资的合法合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3F46B3F7"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1672DB82"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4F5BB65C"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0C6FC0BD"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3641D9EB"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1751DC3F"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3A7B287D"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21CD27D1"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Pr>
          <w:rFonts w:asciiTheme="minorEastAsia" w:hAnsiTheme="minorEastAsia" w:cs="Arial" w:hint="eastAsia"/>
          <w:sz w:val="24"/>
          <w:szCs w:val="24"/>
        </w:rPr>
        <w:t>长依据</w:t>
      </w:r>
      <w:proofErr w:type="gramEnd"/>
      <w:r>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567D3FB0"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w:t>
      </w:r>
      <w:r>
        <w:rPr>
          <w:rFonts w:asciiTheme="minorEastAsia" w:hAnsiTheme="minorEastAsia" w:cs="Arial" w:hint="eastAsia"/>
          <w:sz w:val="24"/>
          <w:szCs w:val="24"/>
        </w:rPr>
        <w:lastRenderedPageBreak/>
        <w:t>作，对违反法律、法规和公司内部控制制度的，追究相关部门和人员的责任。</w:t>
      </w:r>
    </w:p>
    <w:p w14:paraId="1E0116B6"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2AD0FA71"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2E248EFA"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4B8DE310"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1D4CB947"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236C91D1"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1722BB2C"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A733BF6" w14:textId="77777777" w:rsidR="00B67C49"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21D00FF4" w14:textId="77777777" w:rsidR="00B67C49" w:rsidRDefault="00000000">
      <w:pPr>
        <w:widowControl/>
        <w:adjustRightInd w:val="0"/>
        <w:snapToGrid w:val="0"/>
        <w:spacing w:line="360" w:lineRule="auto"/>
        <w:ind w:firstLineChars="200" w:firstLine="480"/>
        <w:rPr>
          <w:rFonts w:asciiTheme="minorEastAsia" w:hAnsiTheme="minorEastAsia" w:cs="Arial"/>
          <w:b/>
          <w:bCs/>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控制。</w:t>
      </w:r>
      <w:bookmarkStart w:id="89" w:name="_Toc238013745"/>
      <w:bookmarkStart w:id="90" w:name="_Toc238027832"/>
      <w:bookmarkEnd w:id="89"/>
      <w:bookmarkEnd w:id="90"/>
    </w:p>
    <w:p w14:paraId="3DA2BF5C" w14:textId="77777777" w:rsidR="00B67C49" w:rsidRDefault="00B67C49">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B67C49" w:rsidSect="00D84CBD">
          <w:headerReference w:type="even" r:id="rId27"/>
          <w:headerReference w:type="default" r:id="rId28"/>
          <w:footerReference w:type="default" r:id="rId29"/>
          <w:headerReference w:type="first" r:id="rId30"/>
          <w:pgSz w:w="11906" w:h="16838"/>
          <w:pgMar w:top="1440" w:right="1800" w:bottom="1440" w:left="1800" w:header="851" w:footer="992" w:gutter="0"/>
          <w:pgNumType w:chapStyle="1"/>
          <w:cols w:space="720"/>
          <w:docGrid w:type="lines" w:linePitch="312"/>
        </w:sectPr>
      </w:pPr>
    </w:p>
    <w:p w14:paraId="279409A3" w14:textId="77777777" w:rsidR="00B67C49" w:rsidRDefault="00000000">
      <w:pPr>
        <w:pStyle w:val="1"/>
        <w:jc w:val="center"/>
        <w:rPr>
          <w:sz w:val="30"/>
          <w:szCs w:val="30"/>
        </w:rPr>
      </w:pPr>
      <w:bookmarkStart w:id="91" w:name="_Toc119568460"/>
      <w:bookmarkStart w:id="92" w:name="_Toc68266291"/>
      <w:r>
        <w:rPr>
          <w:rFonts w:hint="eastAsia"/>
          <w:sz w:val="30"/>
          <w:szCs w:val="30"/>
        </w:rPr>
        <w:lastRenderedPageBreak/>
        <w:t>第四部分</w:t>
      </w:r>
      <w:r>
        <w:rPr>
          <w:sz w:val="30"/>
          <w:szCs w:val="30"/>
        </w:rPr>
        <w:t xml:space="preserve">  </w:t>
      </w:r>
      <w:r>
        <w:rPr>
          <w:rFonts w:hint="eastAsia"/>
          <w:sz w:val="30"/>
          <w:szCs w:val="30"/>
        </w:rPr>
        <w:t>基金托管人</w:t>
      </w:r>
      <w:bookmarkEnd w:id="91"/>
      <w:bookmarkEnd w:id="92"/>
    </w:p>
    <w:p w14:paraId="75426FA7" w14:textId="77777777" w:rsidR="00B67C49" w:rsidRDefault="00000000">
      <w:pPr>
        <w:spacing w:line="360" w:lineRule="auto"/>
        <w:ind w:firstLineChars="200" w:firstLine="480"/>
        <w:rPr>
          <w:sz w:val="24"/>
          <w:szCs w:val="24"/>
        </w:rPr>
      </w:pPr>
      <w:r>
        <w:rPr>
          <w:rFonts w:hint="eastAsia"/>
          <w:sz w:val="24"/>
          <w:szCs w:val="24"/>
        </w:rPr>
        <w:t>（一）基金托管人情况</w:t>
      </w:r>
    </w:p>
    <w:p w14:paraId="10C257C7" w14:textId="77777777" w:rsidR="00B67C49" w:rsidRDefault="00000000">
      <w:pPr>
        <w:spacing w:line="360" w:lineRule="auto"/>
        <w:ind w:firstLineChars="200" w:firstLine="480"/>
        <w:rPr>
          <w:sz w:val="24"/>
          <w:szCs w:val="24"/>
        </w:rPr>
      </w:pPr>
      <w:r>
        <w:rPr>
          <w:rFonts w:hint="eastAsia"/>
          <w:sz w:val="24"/>
          <w:szCs w:val="24"/>
        </w:rPr>
        <w:t>1</w:t>
      </w:r>
      <w:r>
        <w:rPr>
          <w:rFonts w:hint="eastAsia"/>
          <w:sz w:val="24"/>
          <w:szCs w:val="24"/>
        </w:rPr>
        <w:t>、基本情况</w:t>
      </w:r>
    </w:p>
    <w:p w14:paraId="0AAE1562" w14:textId="77777777" w:rsidR="00B67C49" w:rsidRDefault="00000000">
      <w:pPr>
        <w:spacing w:line="360" w:lineRule="auto"/>
        <w:ind w:firstLineChars="200" w:firstLine="480"/>
        <w:rPr>
          <w:sz w:val="24"/>
          <w:szCs w:val="24"/>
        </w:rPr>
      </w:pPr>
      <w:r>
        <w:rPr>
          <w:rFonts w:hint="eastAsia"/>
          <w:sz w:val="24"/>
          <w:szCs w:val="24"/>
        </w:rPr>
        <w:t>名称：国泰君安证券股份有限公司</w:t>
      </w:r>
    </w:p>
    <w:p w14:paraId="53770AE5" w14:textId="77777777" w:rsidR="00B67C49" w:rsidRDefault="00000000">
      <w:pPr>
        <w:spacing w:line="360" w:lineRule="auto"/>
        <w:ind w:firstLineChars="200" w:firstLine="480"/>
        <w:rPr>
          <w:sz w:val="24"/>
          <w:szCs w:val="24"/>
        </w:rPr>
      </w:pPr>
      <w:r>
        <w:rPr>
          <w:rFonts w:hint="eastAsia"/>
          <w:sz w:val="24"/>
          <w:szCs w:val="24"/>
        </w:rPr>
        <w:t>住所：</w:t>
      </w:r>
      <w:r>
        <w:rPr>
          <w:rFonts w:hint="eastAsia"/>
          <w:sz w:val="24"/>
          <w:szCs w:val="24"/>
        </w:rPr>
        <w:t xml:space="preserve"> </w:t>
      </w:r>
      <w:r>
        <w:rPr>
          <w:rFonts w:hint="eastAsia"/>
          <w:bCs/>
          <w:sz w:val="24"/>
          <w:szCs w:val="24"/>
        </w:rPr>
        <w:t>中国（上海）自由贸易试验区商城路</w:t>
      </w:r>
      <w:r>
        <w:rPr>
          <w:bCs/>
          <w:sz w:val="24"/>
          <w:szCs w:val="24"/>
        </w:rPr>
        <w:t>618</w:t>
      </w:r>
      <w:r>
        <w:rPr>
          <w:rFonts w:hint="eastAsia"/>
          <w:bCs/>
          <w:sz w:val="24"/>
          <w:szCs w:val="24"/>
        </w:rPr>
        <w:t>号</w:t>
      </w:r>
    </w:p>
    <w:p w14:paraId="18E9D92C" w14:textId="77777777" w:rsidR="00B67C49" w:rsidRDefault="00000000">
      <w:pPr>
        <w:spacing w:line="360" w:lineRule="auto"/>
        <w:ind w:firstLineChars="200" w:firstLine="480"/>
        <w:rPr>
          <w:sz w:val="24"/>
          <w:szCs w:val="24"/>
        </w:rPr>
      </w:pPr>
      <w:r>
        <w:rPr>
          <w:rFonts w:hint="eastAsia"/>
          <w:sz w:val="24"/>
          <w:szCs w:val="24"/>
        </w:rPr>
        <w:t>办公地址：上海市静安区新闸路</w:t>
      </w:r>
      <w:r>
        <w:rPr>
          <w:rFonts w:hint="eastAsia"/>
          <w:sz w:val="24"/>
          <w:szCs w:val="24"/>
        </w:rPr>
        <w:t>669</w:t>
      </w:r>
      <w:r>
        <w:rPr>
          <w:rFonts w:hint="eastAsia"/>
          <w:sz w:val="24"/>
          <w:szCs w:val="24"/>
        </w:rPr>
        <w:t>号博华广场</w:t>
      </w:r>
      <w:r>
        <w:rPr>
          <w:rFonts w:hint="eastAsia"/>
          <w:sz w:val="24"/>
          <w:szCs w:val="24"/>
        </w:rPr>
        <w:t>19</w:t>
      </w:r>
      <w:r>
        <w:rPr>
          <w:rFonts w:hint="eastAsia"/>
          <w:sz w:val="24"/>
          <w:szCs w:val="24"/>
        </w:rPr>
        <w:t>楼</w:t>
      </w:r>
    </w:p>
    <w:p w14:paraId="5E3D28A0" w14:textId="77777777" w:rsidR="00B67C49" w:rsidRDefault="00000000">
      <w:pPr>
        <w:spacing w:line="360" w:lineRule="auto"/>
        <w:ind w:firstLineChars="200" w:firstLine="480"/>
        <w:rPr>
          <w:sz w:val="24"/>
          <w:szCs w:val="24"/>
        </w:rPr>
      </w:pPr>
      <w:r>
        <w:rPr>
          <w:rFonts w:hint="eastAsia"/>
          <w:sz w:val="24"/>
          <w:szCs w:val="24"/>
        </w:rPr>
        <w:t>法定代表人：贺青</w:t>
      </w:r>
    </w:p>
    <w:p w14:paraId="6B4C7271" w14:textId="77777777" w:rsidR="00B67C49" w:rsidRDefault="00000000">
      <w:pPr>
        <w:spacing w:line="360" w:lineRule="auto"/>
        <w:ind w:firstLineChars="200" w:firstLine="480"/>
        <w:rPr>
          <w:sz w:val="24"/>
          <w:szCs w:val="24"/>
        </w:rPr>
      </w:pPr>
      <w:r>
        <w:rPr>
          <w:rFonts w:hint="eastAsia"/>
          <w:sz w:val="24"/>
          <w:szCs w:val="24"/>
        </w:rPr>
        <w:t>成立时间：</w:t>
      </w:r>
      <w:r>
        <w:rPr>
          <w:rFonts w:hint="eastAsia"/>
          <w:sz w:val="24"/>
          <w:szCs w:val="24"/>
        </w:rPr>
        <w:t xml:space="preserve"> 1999</w:t>
      </w:r>
      <w:r>
        <w:rPr>
          <w:rFonts w:hint="eastAsia"/>
          <w:sz w:val="24"/>
          <w:szCs w:val="24"/>
        </w:rPr>
        <w:t>年</w:t>
      </w:r>
      <w:r>
        <w:rPr>
          <w:rFonts w:hint="eastAsia"/>
          <w:sz w:val="24"/>
          <w:szCs w:val="24"/>
        </w:rPr>
        <w:t>8</w:t>
      </w:r>
      <w:r>
        <w:rPr>
          <w:rFonts w:hint="eastAsia"/>
          <w:sz w:val="24"/>
          <w:szCs w:val="24"/>
        </w:rPr>
        <w:t>月</w:t>
      </w:r>
      <w:r>
        <w:rPr>
          <w:rFonts w:hint="eastAsia"/>
          <w:sz w:val="24"/>
          <w:szCs w:val="24"/>
        </w:rPr>
        <w:t>18</w:t>
      </w:r>
      <w:r>
        <w:rPr>
          <w:rFonts w:hint="eastAsia"/>
          <w:sz w:val="24"/>
          <w:szCs w:val="24"/>
        </w:rPr>
        <w:t>日</w:t>
      </w:r>
    </w:p>
    <w:p w14:paraId="6ECF3D9A" w14:textId="77777777" w:rsidR="00B67C49" w:rsidRDefault="00000000">
      <w:pPr>
        <w:spacing w:line="360" w:lineRule="auto"/>
        <w:ind w:firstLineChars="200" w:firstLine="480"/>
        <w:rPr>
          <w:sz w:val="24"/>
          <w:szCs w:val="24"/>
        </w:rPr>
      </w:pPr>
      <w:r>
        <w:rPr>
          <w:rFonts w:hint="eastAsia"/>
          <w:sz w:val="24"/>
          <w:szCs w:val="24"/>
        </w:rPr>
        <w:t>组织形式：其他股份有限公司（上市）</w:t>
      </w:r>
    </w:p>
    <w:p w14:paraId="1F7B3429" w14:textId="77777777" w:rsidR="00B67C49" w:rsidRDefault="00000000">
      <w:pPr>
        <w:pStyle w:val="aff2"/>
        <w:ind w:firstLine="480"/>
        <w:rPr>
          <w:szCs w:val="24"/>
        </w:rPr>
      </w:pPr>
      <w:r>
        <w:rPr>
          <w:szCs w:val="24"/>
        </w:rPr>
        <w:t>批准设立机关及批准设立文号：</w:t>
      </w:r>
      <w:r>
        <w:rPr>
          <w:rFonts w:hint="eastAsia"/>
          <w:szCs w:val="24"/>
        </w:rPr>
        <w:t>证监机构字</w:t>
      </w:r>
      <w:r>
        <w:rPr>
          <w:rFonts w:hint="eastAsia"/>
          <w:szCs w:val="24"/>
        </w:rPr>
        <w:t>[1999]77</w:t>
      </w:r>
      <w:r>
        <w:rPr>
          <w:rFonts w:hint="eastAsia"/>
          <w:szCs w:val="24"/>
        </w:rPr>
        <w:t>号</w:t>
      </w:r>
    </w:p>
    <w:p w14:paraId="548CBC12" w14:textId="77777777" w:rsidR="00B67C49" w:rsidRDefault="00000000">
      <w:pPr>
        <w:spacing w:line="360" w:lineRule="auto"/>
        <w:ind w:firstLineChars="200" w:firstLine="480"/>
        <w:rPr>
          <w:sz w:val="24"/>
          <w:szCs w:val="24"/>
        </w:rPr>
      </w:pPr>
      <w:r>
        <w:rPr>
          <w:rFonts w:hint="eastAsia"/>
          <w:sz w:val="24"/>
          <w:szCs w:val="24"/>
        </w:rPr>
        <w:t>注册资本：</w:t>
      </w:r>
      <w:proofErr w:type="gramStart"/>
      <w:r>
        <w:rPr>
          <w:rFonts w:hint="eastAsia"/>
          <w:sz w:val="24"/>
          <w:szCs w:val="24"/>
        </w:rPr>
        <w:t>捌拾玖亿陆佰陆拾柒万壹仟陆佰叁拾壹</w:t>
      </w:r>
      <w:proofErr w:type="gramEnd"/>
      <w:r>
        <w:rPr>
          <w:rFonts w:hint="eastAsia"/>
          <w:sz w:val="24"/>
          <w:szCs w:val="24"/>
        </w:rPr>
        <w:t>元人民币</w:t>
      </w:r>
    </w:p>
    <w:p w14:paraId="3617DAB4" w14:textId="77777777" w:rsidR="00B67C49" w:rsidRDefault="00000000">
      <w:pPr>
        <w:spacing w:line="360" w:lineRule="auto"/>
        <w:ind w:firstLineChars="200" w:firstLine="480"/>
        <w:rPr>
          <w:sz w:val="24"/>
          <w:szCs w:val="24"/>
        </w:rPr>
      </w:pPr>
      <w:r>
        <w:rPr>
          <w:rFonts w:hint="eastAsia"/>
          <w:sz w:val="24"/>
          <w:szCs w:val="24"/>
        </w:rPr>
        <w:t>存续期间：持续经营</w:t>
      </w:r>
    </w:p>
    <w:p w14:paraId="4C2DEEE7" w14:textId="77777777" w:rsidR="00B67C49" w:rsidRDefault="00000000">
      <w:pPr>
        <w:spacing w:line="360" w:lineRule="auto"/>
        <w:ind w:firstLineChars="200" w:firstLine="480"/>
        <w:rPr>
          <w:sz w:val="24"/>
          <w:szCs w:val="24"/>
        </w:rPr>
      </w:pPr>
      <w:r>
        <w:rPr>
          <w:rFonts w:hint="eastAsia"/>
          <w:sz w:val="24"/>
          <w:szCs w:val="24"/>
        </w:rPr>
        <w:t>基金托管业务批准文号：证监许可</w:t>
      </w:r>
      <w:r>
        <w:rPr>
          <w:rFonts w:hint="eastAsia"/>
          <w:sz w:val="24"/>
          <w:szCs w:val="24"/>
        </w:rPr>
        <w:t>[2014]511</w:t>
      </w:r>
      <w:r>
        <w:rPr>
          <w:rFonts w:hint="eastAsia"/>
          <w:sz w:val="24"/>
          <w:szCs w:val="24"/>
        </w:rPr>
        <w:t>号</w:t>
      </w:r>
    </w:p>
    <w:p w14:paraId="1932E0A6" w14:textId="77777777" w:rsidR="00B67C49" w:rsidRDefault="00000000">
      <w:pPr>
        <w:spacing w:line="360" w:lineRule="auto"/>
        <w:ind w:firstLineChars="200" w:firstLine="480"/>
        <w:rPr>
          <w:sz w:val="24"/>
          <w:szCs w:val="24"/>
        </w:rPr>
      </w:pPr>
      <w:r>
        <w:rPr>
          <w:rFonts w:hint="eastAsia"/>
          <w:sz w:val="24"/>
          <w:szCs w:val="24"/>
        </w:rPr>
        <w:t>联系人：帅芳</w:t>
      </w:r>
      <w:r>
        <w:rPr>
          <w:rFonts w:hint="eastAsia"/>
          <w:sz w:val="24"/>
          <w:szCs w:val="24"/>
        </w:rPr>
        <w:t xml:space="preserve"> </w:t>
      </w:r>
    </w:p>
    <w:p w14:paraId="4FE0F3C8" w14:textId="77777777" w:rsidR="00B67C49" w:rsidRDefault="00000000">
      <w:pPr>
        <w:spacing w:line="360" w:lineRule="auto"/>
        <w:ind w:firstLineChars="200" w:firstLine="480"/>
        <w:rPr>
          <w:sz w:val="24"/>
          <w:szCs w:val="24"/>
        </w:rPr>
      </w:pPr>
      <w:r>
        <w:rPr>
          <w:rFonts w:hint="eastAsia"/>
          <w:sz w:val="24"/>
          <w:szCs w:val="24"/>
        </w:rPr>
        <w:t>联系电话：</w:t>
      </w:r>
      <w:r>
        <w:rPr>
          <w:rFonts w:hint="eastAsia"/>
          <w:sz w:val="24"/>
          <w:szCs w:val="24"/>
        </w:rPr>
        <w:t>021-38917599-5</w:t>
      </w:r>
    </w:p>
    <w:p w14:paraId="03F51155" w14:textId="77777777" w:rsidR="00B67C49" w:rsidRDefault="00000000">
      <w:pPr>
        <w:spacing w:line="360" w:lineRule="auto"/>
        <w:ind w:firstLineChars="200" w:firstLine="480"/>
        <w:rPr>
          <w:sz w:val="24"/>
          <w:szCs w:val="24"/>
        </w:rPr>
      </w:pPr>
      <w:r>
        <w:rPr>
          <w:rFonts w:hint="eastAsia"/>
          <w:sz w:val="24"/>
          <w:szCs w:val="24"/>
        </w:rPr>
        <w:t>国泰君安证券股份有限公司前身为国泰证券和</w:t>
      </w:r>
      <w:proofErr w:type="gramStart"/>
      <w:r>
        <w:rPr>
          <w:rFonts w:hint="eastAsia"/>
          <w:sz w:val="24"/>
          <w:szCs w:val="24"/>
        </w:rPr>
        <w:t>君安</w:t>
      </w:r>
      <w:proofErr w:type="gramEnd"/>
      <w:r>
        <w:rPr>
          <w:rFonts w:hint="eastAsia"/>
          <w:sz w:val="24"/>
          <w:szCs w:val="24"/>
        </w:rPr>
        <w:t>证券，</w:t>
      </w:r>
      <w:r>
        <w:rPr>
          <w:rFonts w:hint="eastAsia"/>
          <w:sz w:val="24"/>
          <w:szCs w:val="24"/>
        </w:rPr>
        <w:t>1999</w:t>
      </w:r>
      <w:r>
        <w:rPr>
          <w:rFonts w:hint="eastAsia"/>
          <w:sz w:val="24"/>
          <w:szCs w:val="24"/>
        </w:rPr>
        <w:t>年</w:t>
      </w:r>
      <w:r>
        <w:rPr>
          <w:rFonts w:hint="eastAsia"/>
          <w:sz w:val="24"/>
          <w:szCs w:val="24"/>
        </w:rPr>
        <w:t>8</w:t>
      </w:r>
      <w:r>
        <w:rPr>
          <w:rFonts w:hint="eastAsia"/>
          <w:sz w:val="24"/>
          <w:szCs w:val="24"/>
        </w:rPr>
        <w:t>月</w:t>
      </w:r>
      <w:r>
        <w:rPr>
          <w:rFonts w:hint="eastAsia"/>
          <w:sz w:val="24"/>
          <w:szCs w:val="24"/>
        </w:rPr>
        <w:t>18</w:t>
      </w:r>
      <w:r>
        <w:rPr>
          <w:rFonts w:hint="eastAsia"/>
          <w:sz w:val="24"/>
          <w:szCs w:val="24"/>
        </w:rPr>
        <w:t>日两公司合并新设为国泰君安证券股份有限公司。</w:t>
      </w:r>
      <w:r>
        <w:rPr>
          <w:sz w:val="24"/>
          <w:szCs w:val="24"/>
        </w:rPr>
        <w:t>2015</w:t>
      </w:r>
      <w:r>
        <w:rPr>
          <w:sz w:val="24"/>
          <w:szCs w:val="24"/>
        </w:rPr>
        <w:t>年</w:t>
      </w:r>
      <w:r>
        <w:rPr>
          <w:sz w:val="24"/>
          <w:szCs w:val="24"/>
        </w:rPr>
        <w:t>6</w:t>
      </w:r>
      <w:r>
        <w:rPr>
          <w:sz w:val="24"/>
          <w:szCs w:val="24"/>
        </w:rPr>
        <w:t>月</w:t>
      </w:r>
      <w:r>
        <w:rPr>
          <w:sz w:val="24"/>
          <w:szCs w:val="24"/>
        </w:rPr>
        <w:t>26</w:t>
      </w:r>
      <w:r>
        <w:rPr>
          <w:sz w:val="24"/>
          <w:szCs w:val="24"/>
        </w:rPr>
        <w:t>日</w:t>
      </w:r>
      <w:r>
        <w:rPr>
          <w:rFonts w:hint="eastAsia"/>
          <w:sz w:val="24"/>
          <w:szCs w:val="24"/>
        </w:rPr>
        <w:t>国泰君安证券股份有限公司</w:t>
      </w:r>
      <w:r>
        <w:rPr>
          <w:sz w:val="24"/>
          <w:szCs w:val="24"/>
        </w:rPr>
        <w:t>在上交所上市交易</w:t>
      </w:r>
      <w:r>
        <w:rPr>
          <w:rFonts w:hint="eastAsia"/>
          <w:sz w:val="24"/>
          <w:szCs w:val="24"/>
        </w:rPr>
        <w:t>，</w:t>
      </w:r>
      <w:r>
        <w:rPr>
          <w:sz w:val="24"/>
          <w:szCs w:val="24"/>
        </w:rPr>
        <w:t>证券简称为</w:t>
      </w:r>
      <w:r>
        <w:rPr>
          <w:sz w:val="24"/>
          <w:szCs w:val="24"/>
        </w:rPr>
        <w:t>“</w:t>
      </w:r>
      <w:r>
        <w:rPr>
          <w:sz w:val="24"/>
          <w:szCs w:val="24"/>
        </w:rPr>
        <w:t>国泰君安</w:t>
      </w:r>
      <w:r>
        <w:rPr>
          <w:sz w:val="24"/>
          <w:szCs w:val="24"/>
        </w:rPr>
        <w:t>”</w:t>
      </w:r>
      <w:r>
        <w:rPr>
          <w:rFonts w:hint="eastAsia"/>
          <w:sz w:val="24"/>
          <w:szCs w:val="24"/>
        </w:rPr>
        <w:t>，</w:t>
      </w:r>
      <w:r>
        <w:rPr>
          <w:sz w:val="24"/>
          <w:szCs w:val="24"/>
        </w:rPr>
        <w:t>证券代码为</w:t>
      </w:r>
      <w:r>
        <w:rPr>
          <w:sz w:val="24"/>
          <w:szCs w:val="24"/>
        </w:rPr>
        <w:t>“601211”</w:t>
      </w:r>
      <w:r>
        <w:rPr>
          <w:sz w:val="24"/>
          <w:szCs w:val="24"/>
        </w:rPr>
        <w:t>。</w:t>
      </w:r>
      <w:r>
        <w:rPr>
          <w:rFonts w:hint="eastAsia"/>
          <w:sz w:val="24"/>
          <w:szCs w:val="24"/>
        </w:rPr>
        <w:t>2017</w:t>
      </w:r>
      <w:r>
        <w:rPr>
          <w:rFonts w:hint="eastAsia"/>
          <w:sz w:val="24"/>
          <w:szCs w:val="24"/>
        </w:rPr>
        <w:t>年</w:t>
      </w:r>
      <w:r>
        <w:rPr>
          <w:rFonts w:hint="eastAsia"/>
          <w:sz w:val="24"/>
          <w:szCs w:val="24"/>
        </w:rPr>
        <w:t>4</w:t>
      </w:r>
      <w:r>
        <w:rPr>
          <w:rFonts w:hint="eastAsia"/>
          <w:sz w:val="24"/>
          <w:szCs w:val="24"/>
        </w:rPr>
        <w:t>月</w:t>
      </w:r>
      <w:r>
        <w:rPr>
          <w:rFonts w:hint="eastAsia"/>
          <w:sz w:val="24"/>
          <w:szCs w:val="24"/>
        </w:rPr>
        <w:t>11</w:t>
      </w:r>
      <w:r>
        <w:rPr>
          <w:rFonts w:hint="eastAsia"/>
          <w:sz w:val="24"/>
          <w:szCs w:val="24"/>
        </w:rPr>
        <w:t>日国泰君安证券股份有限公司在香港联交所主板挂牌并上市交易，</w:t>
      </w:r>
      <w:r>
        <w:rPr>
          <w:rFonts w:hint="eastAsia"/>
          <w:sz w:val="24"/>
          <w:szCs w:val="24"/>
        </w:rPr>
        <w:t>H</w:t>
      </w:r>
      <w:r>
        <w:rPr>
          <w:rFonts w:hint="eastAsia"/>
          <w:sz w:val="24"/>
          <w:szCs w:val="24"/>
        </w:rPr>
        <w:t>股股票中文简称“</w:t>
      </w:r>
      <w:proofErr w:type="gramStart"/>
      <w:r>
        <w:rPr>
          <w:rFonts w:hint="eastAsia"/>
          <w:sz w:val="24"/>
          <w:szCs w:val="24"/>
        </w:rPr>
        <w:t>國</w:t>
      </w:r>
      <w:proofErr w:type="gramEnd"/>
      <w:r>
        <w:rPr>
          <w:rFonts w:hint="eastAsia"/>
          <w:sz w:val="24"/>
          <w:szCs w:val="24"/>
        </w:rPr>
        <w:t>泰君安”，英文简称为“</w:t>
      </w:r>
      <w:r>
        <w:rPr>
          <w:rFonts w:hint="eastAsia"/>
          <w:sz w:val="24"/>
          <w:szCs w:val="24"/>
        </w:rPr>
        <w:t>GTJA</w:t>
      </w:r>
      <w:r>
        <w:rPr>
          <w:rFonts w:hint="eastAsia"/>
          <w:sz w:val="24"/>
          <w:szCs w:val="24"/>
        </w:rPr>
        <w:t>”，股票代码为“</w:t>
      </w:r>
      <w:r>
        <w:rPr>
          <w:rFonts w:hint="eastAsia"/>
          <w:sz w:val="24"/>
          <w:szCs w:val="24"/>
        </w:rPr>
        <w:t>02611</w:t>
      </w:r>
      <w:r>
        <w:rPr>
          <w:rFonts w:hint="eastAsia"/>
          <w:sz w:val="24"/>
          <w:szCs w:val="24"/>
        </w:rPr>
        <w:t>”。截至</w:t>
      </w:r>
      <w:r>
        <w:rPr>
          <w:rFonts w:hint="eastAsia"/>
          <w:sz w:val="24"/>
          <w:szCs w:val="24"/>
        </w:rPr>
        <w:t>2022</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日，国泰君安证券股份有限公司注册资本为</w:t>
      </w:r>
      <w:r>
        <w:rPr>
          <w:rFonts w:hint="eastAsia"/>
          <w:sz w:val="24"/>
          <w:szCs w:val="24"/>
        </w:rPr>
        <w:t>89.06671631</w:t>
      </w:r>
      <w:r>
        <w:rPr>
          <w:rFonts w:hint="eastAsia"/>
          <w:sz w:val="24"/>
          <w:szCs w:val="24"/>
        </w:rPr>
        <w:t>亿元人民币，</w:t>
      </w:r>
      <w:r>
        <w:rPr>
          <w:rFonts w:hint="eastAsia"/>
          <w:bCs/>
          <w:sz w:val="24"/>
          <w:szCs w:val="24"/>
        </w:rPr>
        <w:t>直接设有</w:t>
      </w:r>
      <w:r>
        <w:rPr>
          <w:rFonts w:hint="eastAsia"/>
          <w:bCs/>
          <w:sz w:val="24"/>
          <w:szCs w:val="24"/>
        </w:rPr>
        <w:t>6</w:t>
      </w:r>
      <w:r>
        <w:rPr>
          <w:rFonts w:hint="eastAsia"/>
          <w:bCs/>
          <w:sz w:val="24"/>
          <w:szCs w:val="24"/>
        </w:rPr>
        <w:t>家境内子公司和</w:t>
      </w:r>
      <w:r>
        <w:rPr>
          <w:bCs/>
          <w:sz w:val="24"/>
          <w:szCs w:val="24"/>
        </w:rPr>
        <w:t>1</w:t>
      </w:r>
      <w:r>
        <w:rPr>
          <w:rFonts w:hint="eastAsia"/>
          <w:bCs/>
          <w:sz w:val="24"/>
          <w:szCs w:val="24"/>
        </w:rPr>
        <w:t>家境外子公司，并在全国设有</w:t>
      </w:r>
      <w:r>
        <w:rPr>
          <w:bCs/>
          <w:sz w:val="24"/>
          <w:szCs w:val="24"/>
        </w:rPr>
        <w:t>3</w:t>
      </w:r>
      <w:r>
        <w:rPr>
          <w:rFonts w:hint="eastAsia"/>
          <w:bCs/>
          <w:sz w:val="24"/>
          <w:szCs w:val="24"/>
        </w:rPr>
        <w:t>3</w:t>
      </w:r>
      <w:r>
        <w:rPr>
          <w:rFonts w:hint="eastAsia"/>
          <w:bCs/>
          <w:sz w:val="24"/>
          <w:szCs w:val="24"/>
        </w:rPr>
        <w:t>家证券分公司、</w:t>
      </w:r>
      <w:r>
        <w:rPr>
          <w:rFonts w:hint="eastAsia"/>
          <w:bCs/>
          <w:sz w:val="24"/>
          <w:szCs w:val="24"/>
        </w:rPr>
        <w:t>16</w:t>
      </w:r>
      <w:r>
        <w:rPr>
          <w:rFonts w:hint="eastAsia"/>
          <w:bCs/>
          <w:sz w:val="24"/>
          <w:szCs w:val="24"/>
        </w:rPr>
        <w:t>家期货分公司、</w:t>
      </w:r>
      <w:r>
        <w:rPr>
          <w:rFonts w:hint="eastAsia"/>
          <w:bCs/>
          <w:sz w:val="24"/>
          <w:szCs w:val="24"/>
        </w:rPr>
        <w:t>339</w:t>
      </w:r>
      <w:r>
        <w:rPr>
          <w:rFonts w:hint="eastAsia"/>
          <w:bCs/>
          <w:sz w:val="24"/>
          <w:szCs w:val="24"/>
        </w:rPr>
        <w:t>家证券营业部和</w:t>
      </w:r>
      <w:r>
        <w:rPr>
          <w:rFonts w:hint="eastAsia"/>
          <w:bCs/>
          <w:sz w:val="24"/>
          <w:szCs w:val="24"/>
        </w:rPr>
        <w:t>9</w:t>
      </w:r>
      <w:r>
        <w:rPr>
          <w:rFonts w:hint="eastAsia"/>
          <w:bCs/>
          <w:sz w:val="24"/>
          <w:szCs w:val="24"/>
        </w:rPr>
        <w:t>家期货营业部，是国内最早开展各</w:t>
      </w:r>
      <w:proofErr w:type="gramStart"/>
      <w:r>
        <w:rPr>
          <w:rFonts w:hint="eastAsia"/>
          <w:bCs/>
          <w:sz w:val="24"/>
          <w:szCs w:val="24"/>
        </w:rPr>
        <w:t>类创新</w:t>
      </w:r>
      <w:proofErr w:type="gramEnd"/>
      <w:r>
        <w:rPr>
          <w:rFonts w:hint="eastAsia"/>
          <w:bCs/>
          <w:sz w:val="24"/>
          <w:szCs w:val="24"/>
        </w:rPr>
        <w:t>业务的券商之一。</w:t>
      </w:r>
      <w:r>
        <w:rPr>
          <w:bCs/>
          <w:sz w:val="24"/>
          <w:szCs w:val="24"/>
        </w:rPr>
        <w:t>2008-20</w:t>
      </w:r>
      <w:r>
        <w:rPr>
          <w:rFonts w:hint="eastAsia"/>
          <w:bCs/>
          <w:sz w:val="24"/>
          <w:szCs w:val="24"/>
        </w:rPr>
        <w:t>22</w:t>
      </w:r>
      <w:r>
        <w:rPr>
          <w:rFonts w:hint="eastAsia"/>
          <w:bCs/>
          <w:sz w:val="24"/>
          <w:szCs w:val="24"/>
        </w:rPr>
        <w:t>年，公司连续十六年在中国证监会证券公司分类评价中被评为</w:t>
      </w:r>
      <w:r>
        <w:rPr>
          <w:bCs/>
          <w:sz w:val="24"/>
          <w:szCs w:val="24"/>
        </w:rPr>
        <w:t>A</w:t>
      </w:r>
      <w:r>
        <w:rPr>
          <w:rFonts w:hint="eastAsia"/>
          <w:bCs/>
          <w:sz w:val="24"/>
          <w:szCs w:val="24"/>
        </w:rPr>
        <w:t>类</w:t>
      </w:r>
      <w:r>
        <w:rPr>
          <w:bCs/>
          <w:sz w:val="24"/>
          <w:szCs w:val="24"/>
        </w:rPr>
        <w:t>AA</w:t>
      </w:r>
      <w:r>
        <w:rPr>
          <w:rFonts w:hint="eastAsia"/>
          <w:bCs/>
          <w:sz w:val="24"/>
          <w:szCs w:val="24"/>
        </w:rPr>
        <w:t>级，为目前证券公司获得的最高评级。</w:t>
      </w:r>
    </w:p>
    <w:p w14:paraId="6BA69CE7" w14:textId="77777777" w:rsidR="00B67C49" w:rsidRDefault="00000000">
      <w:pPr>
        <w:spacing w:line="360" w:lineRule="auto"/>
        <w:ind w:firstLineChars="200" w:firstLine="480"/>
        <w:rPr>
          <w:sz w:val="24"/>
          <w:szCs w:val="24"/>
        </w:rPr>
      </w:pPr>
      <w:r>
        <w:rPr>
          <w:rFonts w:hint="eastAsia"/>
          <w:sz w:val="24"/>
          <w:szCs w:val="24"/>
        </w:rPr>
        <w:t>2</w:t>
      </w:r>
      <w:r>
        <w:rPr>
          <w:rFonts w:hint="eastAsia"/>
          <w:sz w:val="24"/>
          <w:szCs w:val="24"/>
        </w:rPr>
        <w:t>、主要人员情况</w:t>
      </w:r>
    </w:p>
    <w:p w14:paraId="71DE3E81" w14:textId="77777777" w:rsidR="00B67C49" w:rsidRDefault="00000000">
      <w:pPr>
        <w:spacing w:line="360" w:lineRule="auto"/>
        <w:ind w:firstLineChars="200" w:firstLine="480"/>
        <w:rPr>
          <w:sz w:val="24"/>
          <w:szCs w:val="24"/>
        </w:rPr>
      </w:pPr>
      <w:r>
        <w:rPr>
          <w:rFonts w:hint="eastAsia"/>
          <w:sz w:val="24"/>
          <w:szCs w:val="24"/>
        </w:rPr>
        <w:t>陈忠义先生，中国国籍，无境外居留权，</w:t>
      </w:r>
      <w:r>
        <w:rPr>
          <w:rFonts w:hint="eastAsia"/>
          <w:sz w:val="24"/>
          <w:szCs w:val="24"/>
        </w:rPr>
        <w:t>1970</w:t>
      </w:r>
      <w:r>
        <w:rPr>
          <w:rFonts w:hint="eastAsia"/>
          <w:sz w:val="24"/>
          <w:szCs w:val="24"/>
        </w:rPr>
        <w:t>年</w:t>
      </w:r>
      <w:r>
        <w:rPr>
          <w:rFonts w:hint="eastAsia"/>
          <w:sz w:val="24"/>
          <w:szCs w:val="24"/>
        </w:rPr>
        <w:t>10</w:t>
      </w:r>
      <w:r>
        <w:rPr>
          <w:rFonts w:hint="eastAsia"/>
          <w:sz w:val="24"/>
          <w:szCs w:val="24"/>
        </w:rPr>
        <w:t>月出生，经济学学士，中级经济师，现任国泰君安证券资产托管部总经理。</w:t>
      </w:r>
      <w:r>
        <w:rPr>
          <w:rFonts w:hint="eastAsia"/>
          <w:sz w:val="24"/>
          <w:szCs w:val="24"/>
        </w:rPr>
        <w:t>1993</w:t>
      </w:r>
      <w:r>
        <w:rPr>
          <w:rFonts w:hint="eastAsia"/>
          <w:sz w:val="24"/>
          <w:szCs w:val="24"/>
        </w:rPr>
        <w:t>年参加工作，曾任职于君安证券清算部总经理助理、国泰君安证券营运中心副总经理、光大证券营运</w:t>
      </w:r>
      <w:r>
        <w:rPr>
          <w:rFonts w:hint="eastAsia"/>
          <w:sz w:val="24"/>
          <w:szCs w:val="24"/>
        </w:rPr>
        <w:lastRenderedPageBreak/>
        <w:t>管理总部总经理等职。“全国金融五一劳动奖章”、“金融服务能手”称号获得者，中国证券业协会托管结算专业委员会副主任委员，带领团队设计的“直通式证券清算质量管理国际化标准平台”，被评为上海市</w:t>
      </w:r>
      <w:r>
        <w:rPr>
          <w:rFonts w:hint="eastAsia"/>
          <w:sz w:val="24"/>
          <w:szCs w:val="24"/>
        </w:rPr>
        <w:t>2011</w:t>
      </w:r>
      <w:r>
        <w:rPr>
          <w:rFonts w:hint="eastAsia"/>
          <w:sz w:val="24"/>
          <w:szCs w:val="24"/>
        </w:rPr>
        <w:t>年度金融创新奖二等奖。</w:t>
      </w:r>
      <w:r>
        <w:rPr>
          <w:rFonts w:hint="eastAsia"/>
          <w:sz w:val="24"/>
          <w:szCs w:val="24"/>
        </w:rPr>
        <w:t>2014</w:t>
      </w:r>
      <w:r>
        <w:rPr>
          <w:rFonts w:hint="eastAsia"/>
          <w:sz w:val="24"/>
          <w:szCs w:val="24"/>
        </w:rPr>
        <w:t>年</w:t>
      </w:r>
      <w:r>
        <w:rPr>
          <w:rFonts w:hint="eastAsia"/>
          <w:sz w:val="24"/>
          <w:szCs w:val="24"/>
        </w:rPr>
        <w:t>2</w:t>
      </w:r>
      <w:r>
        <w:rPr>
          <w:rFonts w:hint="eastAsia"/>
          <w:sz w:val="24"/>
          <w:szCs w:val="24"/>
        </w:rPr>
        <w:t>月起任国泰君安证券资产托管部总经理。</w:t>
      </w:r>
    </w:p>
    <w:p w14:paraId="7610CCFA" w14:textId="77777777" w:rsidR="00B67C49" w:rsidRDefault="00000000">
      <w:pPr>
        <w:spacing w:line="360" w:lineRule="auto"/>
        <w:ind w:firstLineChars="200" w:firstLine="480"/>
        <w:rPr>
          <w:sz w:val="24"/>
          <w:szCs w:val="24"/>
        </w:rPr>
      </w:pPr>
      <w:r>
        <w:rPr>
          <w:rFonts w:hint="eastAsia"/>
          <w:sz w:val="24"/>
          <w:szCs w:val="24"/>
        </w:rPr>
        <w:t>国泰君安证券总部</w:t>
      </w:r>
      <w:proofErr w:type="gramStart"/>
      <w:r>
        <w:rPr>
          <w:rFonts w:hint="eastAsia"/>
          <w:sz w:val="24"/>
          <w:szCs w:val="24"/>
        </w:rPr>
        <w:t>设资产</w:t>
      </w:r>
      <w:proofErr w:type="gramEnd"/>
      <w:r>
        <w:rPr>
          <w:rFonts w:hint="eastAsia"/>
          <w:sz w:val="24"/>
          <w:szCs w:val="24"/>
        </w:rPr>
        <w:t>托管部，现有员工全部具备基金从业资格及本科以上学历，管理人员及业务骨干均具有多年基金、证券和银行的从业经验，从业人员囊括了经济师、会计师、注册会计师、律师、国际注册内部审计师等中高级专业技术职称及专业资格，专业背景覆盖了金融、会计、经济、法律、计算机等各领域，是一支诚实勤勉、积极进取、专业分布合理，职业技能优良的资产托管从业人员队伍。</w:t>
      </w:r>
    </w:p>
    <w:p w14:paraId="7D94853B" w14:textId="77777777" w:rsidR="00B67C49" w:rsidRDefault="00000000">
      <w:pPr>
        <w:spacing w:line="360" w:lineRule="auto"/>
        <w:ind w:firstLineChars="200" w:firstLine="480"/>
        <w:rPr>
          <w:sz w:val="24"/>
          <w:szCs w:val="24"/>
        </w:rPr>
      </w:pPr>
      <w:r>
        <w:rPr>
          <w:rFonts w:hint="eastAsia"/>
          <w:sz w:val="24"/>
          <w:szCs w:val="24"/>
        </w:rPr>
        <w:t>3</w:t>
      </w:r>
      <w:r>
        <w:rPr>
          <w:rFonts w:hint="eastAsia"/>
          <w:sz w:val="24"/>
          <w:szCs w:val="24"/>
        </w:rPr>
        <w:t>、基金托管业务经营情况</w:t>
      </w:r>
    </w:p>
    <w:p w14:paraId="45C836B9" w14:textId="77777777" w:rsidR="00B67C49" w:rsidRDefault="00000000">
      <w:pPr>
        <w:spacing w:line="360" w:lineRule="auto"/>
        <w:ind w:firstLineChars="200" w:firstLine="480"/>
        <w:rPr>
          <w:sz w:val="24"/>
          <w:szCs w:val="24"/>
        </w:rPr>
      </w:pPr>
      <w:r>
        <w:rPr>
          <w:rFonts w:hint="eastAsia"/>
          <w:sz w:val="24"/>
          <w:szCs w:val="24"/>
        </w:rPr>
        <w:t>国泰君安证券于</w:t>
      </w:r>
      <w:r>
        <w:rPr>
          <w:rFonts w:hint="eastAsia"/>
          <w:sz w:val="24"/>
          <w:szCs w:val="24"/>
        </w:rPr>
        <w:t>2013</w:t>
      </w:r>
      <w:r>
        <w:rPr>
          <w:rFonts w:hint="eastAsia"/>
          <w:sz w:val="24"/>
          <w:szCs w:val="24"/>
        </w:rPr>
        <w:t>年</w:t>
      </w:r>
      <w:r>
        <w:rPr>
          <w:rFonts w:hint="eastAsia"/>
          <w:sz w:val="24"/>
          <w:szCs w:val="24"/>
        </w:rPr>
        <w:t>4</w:t>
      </w:r>
      <w:r>
        <w:rPr>
          <w:rFonts w:hint="eastAsia"/>
          <w:sz w:val="24"/>
          <w:szCs w:val="24"/>
        </w:rPr>
        <w:t>月</w:t>
      </w:r>
      <w:r>
        <w:rPr>
          <w:rFonts w:hint="eastAsia"/>
          <w:sz w:val="24"/>
          <w:szCs w:val="24"/>
        </w:rPr>
        <w:t>3</w:t>
      </w:r>
      <w:r>
        <w:rPr>
          <w:rFonts w:hint="eastAsia"/>
          <w:sz w:val="24"/>
          <w:szCs w:val="24"/>
        </w:rPr>
        <w:t>日取得私募基金综合托管业务资格，于</w:t>
      </w:r>
      <w:r>
        <w:rPr>
          <w:rFonts w:hint="eastAsia"/>
          <w:sz w:val="24"/>
          <w:szCs w:val="24"/>
        </w:rPr>
        <w:t>2014</w:t>
      </w:r>
      <w:r>
        <w:rPr>
          <w:rFonts w:hint="eastAsia"/>
          <w:sz w:val="24"/>
          <w:szCs w:val="24"/>
        </w:rPr>
        <w:t>年</w:t>
      </w:r>
      <w:r>
        <w:rPr>
          <w:rFonts w:hint="eastAsia"/>
          <w:sz w:val="24"/>
          <w:szCs w:val="24"/>
        </w:rPr>
        <w:t>5</w:t>
      </w:r>
      <w:r>
        <w:rPr>
          <w:rFonts w:hint="eastAsia"/>
          <w:sz w:val="24"/>
          <w:szCs w:val="24"/>
        </w:rPr>
        <w:t>月</w:t>
      </w:r>
      <w:r>
        <w:rPr>
          <w:rFonts w:hint="eastAsia"/>
          <w:sz w:val="24"/>
          <w:szCs w:val="24"/>
        </w:rPr>
        <w:t>20</w:t>
      </w:r>
      <w:r>
        <w:rPr>
          <w:rFonts w:hint="eastAsia"/>
          <w:sz w:val="24"/>
          <w:szCs w:val="24"/>
        </w:rPr>
        <w:t>日取得证券投资基金托管资格，可为各类公开募集基金、非公开募集基金提供托管服务。国泰君安证券坚守“诚信专业、质量为本”的服务宗旨，通过组建经验丰富的专业团队、搭建安全高效的业务系统，为基金份额持有人提供值得信赖的托管服务。国泰君安证券获得证券投资基金托管资格以来，广泛开展了公募基金、基金专户、</w:t>
      </w:r>
      <w:proofErr w:type="gramStart"/>
      <w:r>
        <w:rPr>
          <w:rFonts w:hint="eastAsia"/>
          <w:sz w:val="24"/>
          <w:szCs w:val="24"/>
        </w:rPr>
        <w:t>券商资管计划</w:t>
      </w:r>
      <w:proofErr w:type="gramEnd"/>
      <w:r>
        <w:rPr>
          <w:rFonts w:hint="eastAsia"/>
          <w:sz w:val="24"/>
          <w:szCs w:val="24"/>
        </w:rPr>
        <w:t>、私募基金等基金托管业务，与建信、平安、天弘、易方达、富国、长信等多家基金公司及其子公司建立了托管合作关系，截止</w:t>
      </w:r>
      <w:r>
        <w:rPr>
          <w:rFonts w:hint="eastAsia"/>
          <w:sz w:val="24"/>
          <w:szCs w:val="24"/>
        </w:rPr>
        <w:t>2023</w:t>
      </w:r>
      <w:r>
        <w:rPr>
          <w:rFonts w:hint="eastAsia"/>
          <w:sz w:val="24"/>
          <w:szCs w:val="24"/>
        </w:rPr>
        <w:t>年</w:t>
      </w:r>
      <w:r>
        <w:rPr>
          <w:rFonts w:hint="eastAsia"/>
          <w:sz w:val="24"/>
          <w:szCs w:val="24"/>
        </w:rPr>
        <w:t>10</w:t>
      </w:r>
      <w:r>
        <w:rPr>
          <w:rFonts w:hint="eastAsia"/>
          <w:sz w:val="24"/>
          <w:szCs w:val="24"/>
        </w:rPr>
        <w:t>月</w:t>
      </w:r>
      <w:r>
        <w:rPr>
          <w:rFonts w:hint="eastAsia"/>
          <w:sz w:val="24"/>
          <w:szCs w:val="24"/>
        </w:rPr>
        <w:t>9</w:t>
      </w:r>
      <w:r>
        <w:rPr>
          <w:rFonts w:hint="eastAsia"/>
          <w:sz w:val="24"/>
          <w:szCs w:val="24"/>
        </w:rPr>
        <w:t>日托管公</w:t>
      </w:r>
      <w:proofErr w:type="gramStart"/>
      <w:r>
        <w:rPr>
          <w:rFonts w:hint="eastAsia"/>
          <w:sz w:val="24"/>
          <w:szCs w:val="24"/>
        </w:rPr>
        <w:t>募基金</w:t>
      </w:r>
      <w:proofErr w:type="gramEnd"/>
      <w:r>
        <w:rPr>
          <w:rFonts w:hint="eastAsia"/>
          <w:sz w:val="24"/>
          <w:szCs w:val="24"/>
        </w:rPr>
        <w:t>62</w:t>
      </w:r>
      <w:r>
        <w:rPr>
          <w:rFonts w:hint="eastAsia"/>
          <w:sz w:val="24"/>
          <w:szCs w:val="24"/>
        </w:rPr>
        <w:t>只，专业的服务和可靠的运营获得了管理人的一致认可。</w:t>
      </w:r>
    </w:p>
    <w:p w14:paraId="2CE82EA6" w14:textId="77777777" w:rsidR="00B67C49" w:rsidRDefault="00000000">
      <w:pPr>
        <w:spacing w:line="360" w:lineRule="auto"/>
        <w:ind w:firstLineChars="200" w:firstLine="480"/>
        <w:rPr>
          <w:sz w:val="24"/>
          <w:szCs w:val="24"/>
        </w:rPr>
      </w:pPr>
      <w:r>
        <w:rPr>
          <w:rFonts w:hint="eastAsia"/>
          <w:sz w:val="24"/>
          <w:szCs w:val="24"/>
        </w:rPr>
        <w:t>（二）基金托管人的内部控制制度</w:t>
      </w:r>
    </w:p>
    <w:p w14:paraId="62526F2B" w14:textId="77777777" w:rsidR="00B67C49" w:rsidRDefault="00000000">
      <w:pPr>
        <w:spacing w:line="360" w:lineRule="auto"/>
        <w:ind w:firstLineChars="200" w:firstLine="480"/>
        <w:rPr>
          <w:sz w:val="24"/>
          <w:szCs w:val="24"/>
        </w:rPr>
      </w:pPr>
      <w:r>
        <w:rPr>
          <w:rFonts w:hint="eastAsia"/>
          <w:sz w:val="24"/>
          <w:szCs w:val="24"/>
        </w:rPr>
        <w:t>1</w:t>
      </w:r>
      <w:r>
        <w:rPr>
          <w:rFonts w:hint="eastAsia"/>
          <w:sz w:val="24"/>
          <w:szCs w:val="24"/>
        </w:rPr>
        <w:t>、内部控制目标</w:t>
      </w:r>
    </w:p>
    <w:p w14:paraId="0F7FAECC" w14:textId="77777777" w:rsidR="00B67C49" w:rsidRDefault="00000000">
      <w:pPr>
        <w:spacing w:line="360" w:lineRule="auto"/>
        <w:ind w:firstLineChars="200" w:firstLine="480"/>
        <w:rPr>
          <w:sz w:val="24"/>
          <w:szCs w:val="24"/>
        </w:rPr>
      </w:pPr>
      <w:r>
        <w:rPr>
          <w:rFonts w:hint="eastAsia"/>
          <w:sz w:val="24"/>
          <w:szCs w:val="24"/>
        </w:rPr>
        <w:t>严格遵守国家法律法规、行业规章及公司内相关管理规定，加强内部管理，保证资产托管部业务规章的健全和各项规章的贯彻执行，通过对各种风险的梳理、评估、监控，有效地实现对各项业务风险的监控和管理，确保业务稳健运行，保护基金份额持有人的合法权益。</w:t>
      </w:r>
      <w:r>
        <w:rPr>
          <w:rFonts w:hint="eastAsia"/>
          <w:sz w:val="24"/>
          <w:szCs w:val="24"/>
        </w:rPr>
        <w:t xml:space="preserve"> </w:t>
      </w:r>
    </w:p>
    <w:p w14:paraId="30618A59" w14:textId="77777777" w:rsidR="00B67C49" w:rsidRDefault="00000000">
      <w:pPr>
        <w:spacing w:line="360" w:lineRule="auto"/>
        <w:ind w:firstLineChars="200" w:firstLine="480"/>
        <w:rPr>
          <w:sz w:val="24"/>
          <w:szCs w:val="24"/>
        </w:rPr>
      </w:pPr>
      <w:r>
        <w:rPr>
          <w:rFonts w:hint="eastAsia"/>
          <w:sz w:val="24"/>
          <w:szCs w:val="24"/>
        </w:rPr>
        <w:t>2</w:t>
      </w:r>
      <w:r>
        <w:rPr>
          <w:rFonts w:hint="eastAsia"/>
          <w:sz w:val="24"/>
          <w:szCs w:val="24"/>
        </w:rPr>
        <w:t>、内部控制组织结构</w:t>
      </w:r>
    </w:p>
    <w:p w14:paraId="290541B0" w14:textId="77777777" w:rsidR="00B67C49" w:rsidRDefault="00000000">
      <w:pPr>
        <w:spacing w:line="360" w:lineRule="auto"/>
        <w:ind w:firstLineChars="200" w:firstLine="480"/>
        <w:rPr>
          <w:sz w:val="24"/>
          <w:szCs w:val="24"/>
        </w:rPr>
      </w:pPr>
      <w:r>
        <w:rPr>
          <w:rFonts w:hint="eastAsia"/>
          <w:sz w:val="24"/>
          <w:szCs w:val="24"/>
        </w:rPr>
        <w:t>国泰君安证券在董事会中内设风险控制委员会，是公司风险管理的最高决策机构；公司在经营管理层面设置风险管理委员会，对公司经营风险实行统筹管理，</w:t>
      </w:r>
      <w:r>
        <w:rPr>
          <w:rFonts w:hint="eastAsia"/>
          <w:sz w:val="24"/>
          <w:szCs w:val="24"/>
        </w:rPr>
        <w:lastRenderedPageBreak/>
        <w:t>对风险管理重大事项进行审议与决策；风险管理部门包括专职履行风险管理职责的风险管理部、合</w:t>
      </w:r>
      <w:proofErr w:type="gramStart"/>
      <w:r>
        <w:rPr>
          <w:rFonts w:hint="eastAsia"/>
          <w:sz w:val="24"/>
          <w:szCs w:val="24"/>
        </w:rPr>
        <w:t>规</w:t>
      </w:r>
      <w:proofErr w:type="gramEnd"/>
      <w:r>
        <w:rPr>
          <w:rFonts w:hint="eastAsia"/>
          <w:sz w:val="24"/>
          <w:szCs w:val="24"/>
        </w:rPr>
        <w:t>部、法律部、稽核审计部，以及计划财务部、信息技术部、营运中心等履行其他风险管理职责的部门。</w:t>
      </w:r>
    </w:p>
    <w:p w14:paraId="49B5D01C" w14:textId="77777777" w:rsidR="00B67C49" w:rsidRDefault="00000000">
      <w:pPr>
        <w:spacing w:line="360" w:lineRule="auto"/>
        <w:ind w:firstLineChars="200" w:firstLine="480"/>
        <w:rPr>
          <w:sz w:val="24"/>
          <w:szCs w:val="24"/>
        </w:rPr>
      </w:pPr>
      <w:r>
        <w:rPr>
          <w:rFonts w:hint="eastAsia"/>
          <w:sz w:val="24"/>
          <w:szCs w:val="24"/>
        </w:rPr>
        <w:t>资产托管部设置</w:t>
      </w:r>
      <w:proofErr w:type="gramStart"/>
      <w:r>
        <w:rPr>
          <w:rFonts w:hint="eastAsia"/>
          <w:sz w:val="24"/>
          <w:szCs w:val="24"/>
        </w:rPr>
        <w:t>风控合规</w:t>
      </w:r>
      <w:proofErr w:type="gramEnd"/>
      <w:r>
        <w:rPr>
          <w:rFonts w:hint="eastAsia"/>
          <w:sz w:val="24"/>
          <w:szCs w:val="24"/>
        </w:rPr>
        <w:t>岗和稽核监控岗，负责制定本部门风险管理规章制度，分析报告部门整体风险管理状况，评估检查风险管理执行情况并提出改进建议，抓住要害环节和关键风险，协助业务运营岗位进行专项化解，监督风险薄弱环节的整改情况；同时部门设置风险评估及处置小组，由资产托管部总经理及各小组、运营中心负责人组成，负责对重大风险事项进行评估、确定风险管理违规事项的处理意见、突发事件应急管理等事项。</w:t>
      </w:r>
      <w:r>
        <w:rPr>
          <w:rFonts w:hint="eastAsia"/>
          <w:sz w:val="24"/>
          <w:szCs w:val="24"/>
        </w:rPr>
        <w:t xml:space="preserve"> </w:t>
      </w:r>
    </w:p>
    <w:p w14:paraId="5EFD8D79" w14:textId="77777777" w:rsidR="00B67C49" w:rsidRDefault="00000000">
      <w:pPr>
        <w:spacing w:line="360" w:lineRule="auto"/>
        <w:ind w:firstLineChars="200" w:firstLine="480"/>
        <w:rPr>
          <w:sz w:val="24"/>
          <w:szCs w:val="24"/>
        </w:rPr>
      </w:pPr>
      <w:r>
        <w:rPr>
          <w:rFonts w:hint="eastAsia"/>
          <w:sz w:val="24"/>
          <w:szCs w:val="24"/>
        </w:rPr>
        <w:t>3</w:t>
      </w:r>
      <w:r>
        <w:rPr>
          <w:rFonts w:hint="eastAsia"/>
          <w:sz w:val="24"/>
          <w:szCs w:val="24"/>
        </w:rPr>
        <w:t>、内部控制制度及措施</w:t>
      </w:r>
    </w:p>
    <w:p w14:paraId="402949DA" w14:textId="77777777" w:rsidR="00B67C49" w:rsidRDefault="00000000">
      <w:pPr>
        <w:spacing w:line="360" w:lineRule="auto"/>
        <w:ind w:firstLineChars="200" w:firstLine="480"/>
        <w:rPr>
          <w:sz w:val="24"/>
          <w:szCs w:val="24"/>
        </w:rPr>
      </w:pPr>
      <w:r>
        <w:rPr>
          <w:rFonts w:hint="eastAsia"/>
          <w:sz w:val="24"/>
          <w:szCs w:val="24"/>
        </w:rPr>
        <w:t>根据《基金法》、《运作办法》、《证券投资基金托管业务管理办法》等法律法规，基金托管</w:t>
      </w:r>
      <w:proofErr w:type="gramStart"/>
      <w:r>
        <w:rPr>
          <w:rFonts w:hint="eastAsia"/>
          <w:sz w:val="24"/>
          <w:szCs w:val="24"/>
        </w:rPr>
        <w:t>人制</w:t>
      </w:r>
      <w:proofErr w:type="gramEnd"/>
      <w:r>
        <w:rPr>
          <w:rFonts w:hint="eastAsia"/>
          <w:sz w:val="24"/>
          <w:szCs w:val="24"/>
        </w:rPr>
        <w:t>定了一整套严密、高效的证券投资基金托管管理规章制度，确保基金托管业务运行的规范、安全、高效，包括《国泰君安证券资产托管业务管理暂行办法》、《国泰君安证券资产托管部内部控制与风险管理操作规程》、《国泰君安证券资产托管部稽核监控操作规程》、《国泰君安证券资产托管部突发事件与危机处理规程》、《国泰君安证券资产托管部保密规程》、《国泰君安证券资产托管部资产保管操作规程》、《国泰君安证券资产托管部档案管理操作规程》等，并根据市场变化和基金业务的发展不断加以完善。做到业务管理制度化，技术系统完整独立，核心作业区实行封闭管理，业务分工合理，有关信息披露由专人负责。</w:t>
      </w:r>
    </w:p>
    <w:p w14:paraId="0B030372" w14:textId="77777777" w:rsidR="00B67C49" w:rsidRDefault="00000000">
      <w:pPr>
        <w:spacing w:line="360" w:lineRule="auto"/>
        <w:ind w:firstLineChars="200" w:firstLine="480"/>
        <w:rPr>
          <w:sz w:val="24"/>
          <w:szCs w:val="24"/>
        </w:rPr>
      </w:pPr>
      <w:r>
        <w:rPr>
          <w:rFonts w:hint="eastAsia"/>
          <w:sz w:val="24"/>
          <w:szCs w:val="24"/>
        </w:rPr>
        <w:t>基金托管人通过基金托管业务各环节风险的事前揭示、事中控制和事后稽核的动态管理过程来实施内部风险控制；安全保管基金财产，保持基金财产的独立性；实行经营场所封闭式双门禁管理，并配备录音和录像监控系统；建立独立的托管运营系统并进行防火墙设置；实施严格的岗位冲突矩阵管理，重要岗位设置双人复核机制，建立严格有效的操作制约体系；深入进行职业道德教育，树立内控优先的理念，培养部门全体员工的风险防范和保密意识；配备专门的稽核监控岗对基金托管业务运行进行内部稽核审查，以保证基金托管业务内部控制的有效性。</w:t>
      </w:r>
    </w:p>
    <w:p w14:paraId="0DA7D853" w14:textId="77777777" w:rsidR="00B67C49" w:rsidRDefault="00000000">
      <w:pPr>
        <w:spacing w:line="360" w:lineRule="auto"/>
        <w:ind w:firstLineChars="200" w:firstLine="480"/>
        <w:rPr>
          <w:sz w:val="24"/>
          <w:szCs w:val="24"/>
        </w:rPr>
      </w:pPr>
      <w:r>
        <w:rPr>
          <w:rFonts w:hint="eastAsia"/>
          <w:sz w:val="24"/>
          <w:szCs w:val="24"/>
        </w:rPr>
        <w:t>（三）基金托管人对基金管理人运作基金进行监督的方法和程序</w:t>
      </w:r>
    </w:p>
    <w:p w14:paraId="7B22AC8F" w14:textId="77777777" w:rsidR="00B67C49" w:rsidRDefault="00000000">
      <w:pPr>
        <w:spacing w:line="360" w:lineRule="auto"/>
        <w:ind w:firstLineChars="200" w:firstLine="480"/>
        <w:rPr>
          <w:sz w:val="24"/>
          <w:szCs w:val="24"/>
        </w:rPr>
      </w:pPr>
      <w:r>
        <w:rPr>
          <w:rFonts w:hint="eastAsia"/>
          <w:sz w:val="24"/>
          <w:szCs w:val="24"/>
        </w:rPr>
        <w:t>1</w:t>
      </w:r>
      <w:r>
        <w:rPr>
          <w:rFonts w:hint="eastAsia"/>
          <w:sz w:val="24"/>
          <w:szCs w:val="24"/>
        </w:rPr>
        <w:t>、监督方法</w:t>
      </w:r>
    </w:p>
    <w:p w14:paraId="7C42E3EE" w14:textId="77777777" w:rsidR="00B67C49" w:rsidRDefault="00000000">
      <w:pPr>
        <w:spacing w:line="360" w:lineRule="auto"/>
        <w:ind w:firstLineChars="200" w:firstLine="480"/>
        <w:rPr>
          <w:sz w:val="24"/>
          <w:szCs w:val="24"/>
        </w:rPr>
      </w:pPr>
      <w:r>
        <w:rPr>
          <w:rFonts w:hint="eastAsia"/>
          <w:sz w:val="24"/>
          <w:szCs w:val="24"/>
        </w:rPr>
        <w:lastRenderedPageBreak/>
        <w:t>基金托管人根据《基金法》、《运作办法》等有关法律法规的规定及《基金合同》约定，制定投资监督标准与监督流程，对基金合同生效之后所委托资产的投资范围、投资比例、投资限制等进行严格监督，及时提示管理人违规风险，并定期编写基金投资运作监督报告，报送中国证监会。在日常为基金投资运作所提供的基金清算和核算服务环节中，对基金管理人发送的投资指令、基金管理人对基金资产的核算、基金资产净值的计算、对各基金费用的提取与开支情况、基金的申购资金的到账与赎回资金的划付、基金收益分配等行为的合法性、合</w:t>
      </w:r>
      <w:proofErr w:type="gramStart"/>
      <w:r>
        <w:rPr>
          <w:rFonts w:hint="eastAsia"/>
          <w:sz w:val="24"/>
          <w:szCs w:val="24"/>
        </w:rPr>
        <w:t>规</w:t>
      </w:r>
      <w:proofErr w:type="gramEnd"/>
      <w:r>
        <w:rPr>
          <w:rFonts w:hint="eastAsia"/>
          <w:sz w:val="24"/>
          <w:szCs w:val="24"/>
        </w:rPr>
        <w:t>性进行监督和核查。</w:t>
      </w:r>
    </w:p>
    <w:p w14:paraId="2D2F1693" w14:textId="77777777" w:rsidR="00B67C49" w:rsidRDefault="00000000">
      <w:pPr>
        <w:spacing w:line="360" w:lineRule="auto"/>
        <w:ind w:firstLineChars="200" w:firstLine="480"/>
        <w:rPr>
          <w:sz w:val="24"/>
          <w:szCs w:val="24"/>
        </w:rPr>
      </w:pPr>
      <w:r>
        <w:rPr>
          <w:rFonts w:hint="eastAsia"/>
          <w:sz w:val="24"/>
          <w:szCs w:val="24"/>
        </w:rPr>
        <w:t>2</w:t>
      </w:r>
      <w:r>
        <w:rPr>
          <w:rFonts w:hint="eastAsia"/>
          <w:sz w:val="24"/>
          <w:szCs w:val="24"/>
        </w:rPr>
        <w:t>、监督程序</w:t>
      </w:r>
      <w:r>
        <w:rPr>
          <w:rFonts w:hint="eastAsia"/>
          <w:sz w:val="24"/>
          <w:szCs w:val="24"/>
        </w:rPr>
        <w:t xml:space="preserve"> </w:t>
      </w:r>
    </w:p>
    <w:p w14:paraId="0281DBA6" w14:textId="77777777" w:rsidR="00B67C49" w:rsidRDefault="00000000">
      <w:pPr>
        <w:spacing w:line="360" w:lineRule="auto"/>
        <w:ind w:firstLineChars="200" w:firstLine="480"/>
        <w:rPr>
          <w:sz w:val="24"/>
          <w:szCs w:val="24"/>
        </w:rPr>
      </w:pPr>
      <w:r>
        <w:rPr>
          <w:rFonts w:hint="eastAsia"/>
          <w:sz w:val="24"/>
          <w:szCs w:val="24"/>
        </w:rPr>
        <w:t>基金托管人发现基金管理人有违反《基金法》、《运作办法》等有关法律法规和《基金合同》的行为，应当及时通知基金管理人予以纠正，基金管理人收到通知后及时核对确认并进行调整。基金托管人有权随时对通知事项进行复查，督促基金管理人改正。基金管理人对基金托管人通知的违规事项未能在限期内纠正的，基金托管人应报告中国证监会。基金托管人发现基金管理人有重大违规行为，应立即报告中国证监会，同时通知基金管理人限期纠正。</w:t>
      </w:r>
    </w:p>
    <w:p w14:paraId="4AD42567" w14:textId="77777777" w:rsidR="00B67C49" w:rsidRDefault="00B67C49">
      <w:pPr>
        <w:spacing w:line="360" w:lineRule="auto"/>
        <w:ind w:firstLineChars="200" w:firstLine="480"/>
        <w:rPr>
          <w:sz w:val="24"/>
          <w:szCs w:val="24"/>
        </w:rPr>
      </w:pPr>
    </w:p>
    <w:p w14:paraId="47ABBFCE" w14:textId="77777777" w:rsidR="00B67C49" w:rsidRDefault="00B67C49">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22EA1515" w14:textId="77777777" w:rsidR="00B67C49" w:rsidRDefault="00B67C49">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093798E7" w14:textId="77777777" w:rsidR="00B67C49" w:rsidRDefault="00B67C49">
      <w:pPr>
        <w:tabs>
          <w:tab w:val="left" w:pos="1110"/>
        </w:tabs>
        <w:adjustRightInd w:val="0"/>
        <w:snapToGrid w:val="0"/>
        <w:spacing w:line="360" w:lineRule="auto"/>
        <w:ind w:firstLineChars="200" w:firstLine="480"/>
        <w:rPr>
          <w:rFonts w:asciiTheme="minorEastAsia" w:hAnsiTheme="minorEastAsia" w:cs="Arial"/>
          <w:bCs/>
          <w:sz w:val="24"/>
          <w:szCs w:val="24"/>
        </w:rPr>
      </w:pPr>
    </w:p>
    <w:p w14:paraId="34F19A54" w14:textId="77777777" w:rsidR="00B67C49" w:rsidRDefault="00000000">
      <w:pPr>
        <w:widowControl/>
        <w:jc w:val="left"/>
        <w:rPr>
          <w:rFonts w:asciiTheme="minorEastAsia" w:hAnsiTheme="minorEastAsia" w:cs="Arial"/>
          <w:bCs/>
          <w:sz w:val="24"/>
          <w:szCs w:val="24"/>
        </w:rPr>
      </w:pPr>
      <w:r>
        <w:rPr>
          <w:rFonts w:asciiTheme="minorEastAsia" w:hAnsiTheme="minorEastAsia" w:cs="Arial"/>
          <w:bCs/>
          <w:sz w:val="24"/>
          <w:szCs w:val="24"/>
        </w:rPr>
        <w:br w:type="page"/>
      </w:r>
    </w:p>
    <w:p w14:paraId="33BA5C23" w14:textId="77777777" w:rsidR="00B67C49" w:rsidRDefault="00000000">
      <w:pPr>
        <w:pStyle w:val="1"/>
        <w:jc w:val="center"/>
        <w:rPr>
          <w:sz w:val="30"/>
          <w:szCs w:val="30"/>
        </w:rPr>
      </w:pPr>
      <w:bookmarkStart w:id="93" w:name="_Toc214873594"/>
      <w:bookmarkStart w:id="94" w:name="_Toc119568461"/>
      <w:bookmarkStart w:id="95" w:name="_Toc263092313"/>
      <w:bookmarkStart w:id="96" w:name="_Toc68266292"/>
      <w:bookmarkStart w:id="97" w:name="_Toc416264541"/>
      <w:bookmarkStart w:id="98" w:name="_Toc20733"/>
      <w:bookmarkStart w:id="99" w:name="_Toc139991736"/>
      <w:bookmarkStart w:id="100" w:name="_Toc1270"/>
      <w:bookmarkStart w:id="101" w:name="_Toc11081"/>
      <w:bookmarkStart w:id="102" w:name="_Toc4003"/>
      <w:bookmarkStart w:id="103" w:name="_Toc10463"/>
      <w:bookmarkStart w:id="104" w:name="_Toc123051452"/>
      <w:bookmarkStart w:id="105" w:name="_Toc141703886"/>
      <w:bookmarkStart w:id="106" w:name="_Toc123112234"/>
      <w:bookmarkStart w:id="107" w:name="_Toc48649707"/>
      <w:bookmarkStart w:id="108" w:name="_Toc123102453"/>
      <w:bookmarkStart w:id="109" w:name="_Toc23822"/>
      <w:bookmarkStart w:id="110" w:name="_Toc79392606"/>
      <w:bookmarkStart w:id="111" w:name="_Toc352229752"/>
      <w:bookmarkStart w:id="112" w:name="_Toc17244"/>
      <w:bookmarkStart w:id="113" w:name="_Toc98560352"/>
      <w:bookmarkStart w:id="114" w:name="_Toc23261"/>
      <w:bookmarkStart w:id="115" w:name="_Toc1427"/>
      <w:bookmarkStart w:id="116" w:name="_Toc610"/>
      <w:bookmarkStart w:id="117" w:name="_Toc7920"/>
      <w:bookmarkStart w:id="118" w:name="_Toc35222975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Fonts w:hint="eastAsia"/>
          <w:sz w:val="30"/>
          <w:szCs w:val="30"/>
        </w:rPr>
        <w:lastRenderedPageBreak/>
        <w:t>第五部分</w:t>
      </w:r>
      <w:r>
        <w:rPr>
          <w:sz w:val="30"/>
          <w:szCs w:val="30"/>
        </w:rPr>
        <w:t xml:space="preserve">  </w:t>
      </w:r>
      <w:r>
        <w:rPr>
          <w:rFonts w:hint="eastAsia"/>
          <w:sz w:val="30"/>
          <w:szCs w:val="30"/>
        </w:rPr>
        <w:t>相关服务机构</w:t>
      </w:r>
      <w:bookmarkEnd w:id="93"/>
      <w:bookmarkEnd w:id="94"/>
      <w:bookmarkEnd w:id="95"/>
      <w:bookmarkEnd w:id="96"/>
      <w:bookmarkEnd w:id="97"/>
    </w:p>
    <w:p w14:paraId="0F6D7978" w14:textId="77777777" w:rsidR="00B67C49" w:rsidRDefault="00000000">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75D9A065" w14:textId="77777777" w:rsidR="00B67C49"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38EB3E8C" w14:textId="77777777" w:rsidR="00B67C49"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w:t>
      </w:r>
      <w:r>
        <w:rPr>
          <w:rFonts w:asciiTheme="minorEastAsia" w:hAnsiTheme="minorEastAsia" w:hint="eastAsia"/>
          <w:kern w:val="0"/>
          <w:sz w:val="24"/>
        </w:rPr>
        <w:t>广东省广州市南沙区横</w:t>
      </w:r>
      <w:proofErr w:type="gramStart"/>
      <w:r>
        <w:rPr>
          <w:rFonts w:asciiTheme="minorEastAsia" w:hAnsiTheme="minorEastAsia" w:hint="eastAsia"/>
          <w:kern w:val="0"/>
          <w:sz w:val="24"/>
        </w:rPr>
        <w:t>沥</w:t>
      </w:r>
      <w:proofErr w:type="gramEnd"/>
      <w:r>
        <w:rPr>
          <w:rFonts w:asciiTheme="minorEastAsia" w:hAnsiTheme="minorEastAsia" w:hint="eastAsia"/>
          <w:kern w:val="0"/>
          <w:sz w:val="24"/>
        </w:rPr>
        <w:t>镇汇通二街2号3110房</w:t>
      </w:r>
    </w:p>
    <w:p w14:paraId="33CB6471" w14:textId="77777777" w:rsidR="00B67C49"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w:t>
      </w:r>
      <w:r>
        <w:rPr>
          <w:rFonts w:asciiTheme="minorEastAsia" w:hAnsiTheme="minorEastAsia" w:cs="Times New Roman" w:hint="eastAsia"/>
          <w:kern w:val="0"/>
          <w:sz w:val="24"/>
          <w:szCs w:val="24"/>
        </w:rPr>
        <w:t>深圳市福田区八卦四路52号安吉尔大厦24层</w:t>
      </w:r>
    </w:p>
    <w:p w14:paraId="1CD905E4" w14:textId="77777777" w:rsidR="00B67C49"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法定代表人：王亦伟</w:t>
      </w:r>
    </w:p>
    <w:p w14:paraId="4CC3B034" w14:textId="77777777" w:rsidR="00B67C49"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0A4B9376" w14:textId="77777777" w:rsidR="00B67C49"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w:t>
      </w:r>
      <w:r>
        <w:rPr>
          <w:rFonts w:asciiTheme="minorEastAsia" w:hAnsiTheme="minorEastAsia" w:cs="Arial" w:hint="eastAsia"/>
          <w:kern w:val="0"/>
          <w:sz w:val="24"/>
          <w:szCs w:val="24"/>
        </w:rPr>
        <w:t>83230902</w:t>
      </w:r>
    </w:p>
    <w:p w14:paraId="1064BDCF" w14:textId="77777777" w:rsidR="00B67C49"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03D25A90" w14:textId="77777777" w:rsidR="00B67C49"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37E8E7CE" w14:textId="77777777" w:rsidR="00B67C49"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2、其他销售机构：</w:t>
      </w:r>
    </w:p>
    <w:tbl>
      <w:tblPr>
        <w:tblStyle w:val="afa"/>
        <w:tblW w:w="8505" w:type="dxa"/>
        <w:tblInd w:w="250" w:type="dxa"/>
        <w:tblLook w:val="04A0" w:firstRow="1" w:lastRow="0" w:firstColumn="1" w:lastColumn="0" w:noHBand="0" w:noVBand="1"/>
      </w:tblPr>
      <w:tblGrid>
        <w:gridCol w:w="709"/>
        <w:gridCol w:w="2693"/>
        <w:gridCol w:w="5103"/>
      </w:tblGrid>
      <w:tr w:rsidR="00B67C49" w14:paraId="598179EC" w14:textId="77777777">
        <w:trPr>
          <w:trHeight w:val="14"/>
        </w:trPr>
        <w:tc>
          <w:tcPr>
            <w:tcW w:w="709" w:type="dxa"/>
          </w:tcPr>
          <w:p w14:paraId="7D11AB17" w14:textId="77777777" w:rsidR="00B67C49" w:rsidRDefault="00000000">
            <w:pPr>
              <w:snapToGrid w:val="0"/>
              <w:spacing w:line="360" w:lineRule="auto"/>
              <w:jc w:val="center"/>
              <w:rPr>
                <w:rFonts w:asciiTheme="minorEastAsia" w:hAnsiTheme="minorEastAsia" w:cs="Arial"/>
                <w:sz w:val="24"/>
                <w:szCs w:val="24"/>
              </w:rPr>
            </w:pPr>
            <w:r>
              <w:rPr>
                <w:rFonts w:asciiTheme="minorEastAsia" w:hAnsiTheme="minorEastAsia" w:cs="Arial" w:hint="eastAsia"/>
                <w:sz w:val="24"/>
                <w:szCs w:val="24"/>
              </w:rPr>
              <w:t>序号</w:t>
            </w:r>
          </w:p>
        </w:tc>
        <w:tc>
          <w:tcPr>
            <w:tcW w:w="2693" w:type="dxa"/>
          </w:tcPr>
          <w:p w14:paraId="29DD88B8" w14:textId="77777777" w:rsidR="00B67C49" w:rsidRDefault="00000000">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代销机构名称</w:t>
            </w:r>
          </w:p>
        </w:tc>
        <w:tc>
          <w:tcPr>
            <w:tcW w:w="5103" w:type="dxa"/>
          </w:tcPr>
          <w:p w14:paraId="32D2BBF5" w14:textId="77777777" w:rsidR="00B67C49" w:rsidRDefault="00000000">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代销机构信息</w:t>
            </w:r>
          </w:p>
        </w:tc>
      </w:tr>
      <w:tr w:rsidR="00B67C49" w14:paraId="3128B823" w14:textId="77777777">
        <w:trPr>
          <w:trHeight w:val="14"/>
        </w:trPr>
        <w:tc>
          <w:tcPr>
            <w:tcW w:w="709" w:type="dxa"/>
          </w:tcPr>
          <w:p w14:paraId="572F3D5B"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1</w:t>
            </w:r>
          </w:p>
        </w:tc>
        <w:tc>
          <w:tcPr>
            <w:tcW w:w="2693" w:type="dxa"/>
          </w:tcPr>
          <w:p w14:paraId="4A51B81B"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东方财富证券股份有限公司</w:t>
            </w:r>
          </w:p>
        </w:tc>
        <w:tc>
          <w:tcPr>
            <w:tcW w:w="5103" w:type="dxa"/>
          </w:tcPr>
          <w:p w14:paraId="3C10BACD"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 xml:space="preserve">(办公)地址：西藏自治区拉萨市柳梧新区国际总部城10栋楼 </w:t>
            </w:r>
          </w:p>
          <w:p w14:paraId="68DB1FE4"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95357</w:t>
            </w:r>
          </w:p>
          <w:p w14:paraId="39634A5E"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 xml:space="preserve"> www.18.cn</w:t>
            </w:r>
          </w:p>
        </w:tc>
      </w:tr>
      <w:tr w:rsidR="00B67C49" w14:paraId="4AFA9DF0" w14:textId="77777777">
        <w:trPr>
          <w:trHeight w:val="14"/>
        </w:trPr>
        <w:tc>
          <w:tcPr>
            <w:tcW w:w="709" w:type="dxa"/>
          </w:tcPr>
          <w:p w14:paraId="022CF534"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2</w:t>
            </w:r>
          </w:p>
        </w:tc>
        <w:tc>
          <w:tcPr>
            <w:tcW w:w="2693" w:type="dxa"/>
          </w:tcPr>
          <w:p w14:paraId="11C7813E"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上海基</w:t>
            </w:r>
            <w:proofErr w:type="gramStart"/>
            <w:r>
              <w:rPr>
                <w:rFonts w:asciiTheme="minorEastAsia" w:hAnsiTheme="minorEastAsia" w:cs="Arial" w:hint="eastAsia"/>
                <w:szCs w:val="21"/>
              </w:rPr>
              <w:t>煜</w:t>
            </w:r>
            <w:proofErr w:type="gramEnd"/>
            <w:r>
              <w:rPr>
                <w:rFonts w:asciiTheme="minorEastAsia" w:hAnsiTheme="minorEastAsia" w:cs="Arial" w:hint="eastAsia"/>
                <w:szCs w:val="21"/>
              </w:rPr>
              <w:t>基金销售有限公司</w:t>
            </w:r>
          </w:p>
        </w:tc>
        <w:tc>
          <w:tcPr>
            <w:tcW w:w="5103" w:type="dxa"/>
          </w:tcPr>
          <w:p w14:paraId="2DB5E797"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办公（办公）地址：上海市浦东</w:t>
            </w:r>
            <w:proofErr w:type="gramStart"/>
            <w:r>
              <w:rPr>
                <w:rFonts w:asciiTheme="minorEastAsia" w:hAnsiTheme="minorEastAsia" w:cs="Arial" w:hint="eastAsia"/>
                <w:szCs w:val="21"/>
              </w:rPr>
              <w:t>新区银</w:t>
            </w:r>
            <w:proofErr w:type="gramEnd"/>
            <w:r>
              <w:rPr>
                <w:rFonts w:asciiTheme="minorEastAsia" w:hAnsiTheme="minorEastAsia" w:cs="Arial" w:hint="eastAsia"/>
                <w:szCs w:val="21"/>
              </w:rPr>
              <w:t>城中路488号</w:t>
            </w:r>
          </w:p>
          <w:p w14:paraId="368261F3"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太平金融大厦1503室</w:t>
            </w:r>
          </w:p>
          <w:p w14:paraId="42F475CD"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4008205369</w:t>
            </w:r>
          </w:p>
          <w:p w14:paraId="37582119"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www.jiyufund.com.cn</w:t>
            </w:r>
          </w:p>
        </w:tc>
      </w:tr>
      <w:tr w:rsidR="00B67C49" w14:paraId="7D63BCD1" w14:textId="77777777">
        <w:trPr>
          <w:trHeight w:val="14"/>
        </w:trPr>
        <w:tc>
          <w:tcPr>
            <w:tcW w:w="709" w:type="dxa"/>
          </w:tcPr>
          <w:p w14:paraId="0B89E292"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3</w:t>
            </w:r>
          </w:p>
        </w:tc>
        <w:tc>
          <w:tcPr>
            <w:tcW w:w="2693" w:type="dxa"/>
          </w:tcPr>
          <w:p w14:paraId="43C5C179"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奕丰金融销售有限公司</w:t>
            </w:r>
          </w:p>
        </w:tc>
        <w:tc>
          <w:tcPr>
            <w:tcW w:w="5103" w:type="dxa"/>
          </w:tcPr>
          <w:p w14:paraId="149C0EE9"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 xml:space="preserve">地址: </w:t>
            </w:r>
            <w:r>
              <w:rPr>
                <w:rFonts w:asciiTheme="minorEastAsia" w:hAnsiTheme="minorEastAsia" w:cs="Arial" w:hint="eastAsia"/>
                <w:szCs w:val="21"/>
              </w:rPr>
              <w:t>深圳市南山区海德三道航天科技广场A座17楼1704室</w:t>
            </w:r>
          </w:p>
          <w:p w14:paraId="41F4ACDA"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400-684-0500</w:t>
            </w:r>
          </w:p>
          <w:p w14:paraId="6298077A"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www.ifastps.com.cn</w:t>
            </w:r>
          </w:p>
        </w:tc>
      </w:tr>
      <w:tr w:rsidR="00B67C49" w14:paraId="4DBAB9A7" w14:textId="77777777">
        <w:trPr>
          <w:trHeight w:val="14"/>
        </w:trPr>
        <w:tc>
          <w:tcPr>
            <w:tcW w:w="709" w:type="dxa"/>
          </w:tcPr>
          <w:p w14:paraId="764F9489"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4</w:t>
            </w:r>
          </w:p>
        </w:tc>
        <w:tc>
          <w:tcPr>
            <w:tcW w:w="2693" w:type="dxa"/>
          </w:tcPr>
          <w:p w14:paraId="66023A49"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上海好买基金销售有限公司</w:t>
            </w:r>
          </w:p>
        </w:tc>
        <w:tc>
          <w:tcPr>
            <w:tcW w:w="5103" w:type="dxa"/>
          </w:tcPr>
          <w:p w14:paraId="7E82FFB9"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办公（办公）地址：上海市浦东新区张杨路500号华</w:t>
            </w:r>
            <w:proofErr w:type="gramStart"/>
            <w:r>
              <w:rPr>
                <w:rFonts w:asciiTheme="minorEastAsia" w:hAnsiTheme="minorEastAsia" w:cs="Arial" w:hint="eastAsia"/>
                <w:szCs w:val="21"/>
              </w:rPr>
              <w:t>润时代</w:t>
            </w:r>
            <w:proofErr w:type="gramEnd"/>
            <w:r>
              <w:rPr>
                <w:rFonts w:asciiTheme="minorEastAsia" w:hAnsiTheme="minorEastAsia" w:cs="Arial" w:hint="eastAsia"/>
                <w:szCs w:val="21"/>
              </w:rPr>
              <w:t>广场10、11、12、14层客服电话：</w:t>
            </w:r>
            <w:r>
              <w:rPr>
                <w:rFonts w:asciiTheme="minorEastAsia" w:hAnsiTheme="minorEastAsia" w:cs="Arial"/>
                <w:szCs w:val="21"/>
              </w:rPr>
              <w:t>400-700-9665</w:t>
            </w:r>
          </w:p>
          <w:p w14:paraId="02994A0E"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公司网址：</w:t>
            </w:r>
            <w:r>
              <w:rPr>
                <w:rFonts w:asciiTheme="minorEastAsia" w:hAnsiTheme="minorEastAsia" w:cs="Arial"/>
                <w:szCs w:val="21"/>
              </w:rPr>
              <w:t>www.ehowbuy.com</w:t>
            </w:r>
          </w:p>
        </w:tc>
      </w:tr>
      <w:tr w:rsidR="00B67C49" w14:paraId="6ADADB56" w14:textId="77777777">
        <w:trPr>
          <w:trHeight w:val="14"/>
        </w:trPr>
        <w:tc>
          <w:tcPr>
            <w:tcW w:w="709" w:type="dxa"/>
          </w:tcPr>
          <w:p w14:paraId="0F7108DA"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5</w:t>
            </w:r>
          </w:p>
        </w:tc>
        <w:tc>
          <w:tcPr>
            <w:tcW w:w="2693" w:type="dxa"/>
          </w:tcPr>
          <w:p w14:paraId="7E6D3AC1"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京东肯特瑞基金销售有限公司</w:t>
            </w:r>
          </w:p>
        </w:tc>
        <w:tc>
          <w:tcPr>
            <w:tcW w:w="5103" w:type="dxa"/>
          </w:tcPr>
          <w:p w14:paraId="3F73FAB8"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注册(办公)地址：北京市海淀区知春路76号(写字楼)1号楼4层1-7-2</w:t>
            </w:r>
          </w:p>
          <w:p w14:paraId="5F664161"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客服电话：400 098 8511</w:t>
            </w:r>
          </w:p>
          <w:p w14:paraId="70E70C96"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公司网址：https://kenterui.jd.com/</w:t>
            </w:r>
          </w:p>
        </w:tc>
      </w:tr>
      <w:tr w:rsidR="00B67C49" w14:paraId="6A2D2359" w14:textId="77777777">
        <w:trPr>
          <w:trHeight w:val="14"/>
        </w:trPr>
        <w:tc>
          <w:tcPr>
            <w:tcW w:w="709" w:type="dxa"/>
          </w:tcPr>
          <w:p w14:paraId="691D7464"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6</w:t>
            </w:r>
          </w:p>
        </w:tc>
        <w:tc>
          <w:tcPr>
            <w:tcW w:w="2693" w:type="dxa"/>
          </w:tcPr>
          <w:p w14:paraId="2A070DCD"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北京虹点基金销售有限公司</w:t>
            </w:r>
          </w:p>
        </w:tc>
        <w:tc>
          <w:tcPr>
            <w:tcW w:w="5103" w:type="dxa"/>
          </w:tcPr>
          <w:p w14:paraId="6BA93368"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注册（办公）地址：北京市朝阳区工人体育场北路甲</w:t>
            </w:r>
            <w:r>
              <w:rPr>
                <w:rFonts w:asciiTheme="minorEastAsia" w:hAnsiTheme="minorEastAsia" w:cs="Arial"/>
                <w:szCs w:val="21"/>
              </w:rPr>
              <w:t>2号裙房2层222单元</w:t>
            </w:r>
          </w:p>
          <w:p w14:paraId="552616FD"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400-618-0707</w:t>
            </w:r>
          </w:p>
          <w:p w14:paraId="314CCBA4"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http://www.hongdianfund.com/</w:t>
            </w:r>
          </w:p>
        </w:tc>
      </w:tr>
      <w:tr w:rsidR="00B67C49" w14:paraId="691B7C01" w14:textId="77777777">
        <w:trPr>
          <w:trHeight w:val="14"/>
        </w:trPr>
        <w:tc>
          <w:tcPr>
            <w:tcW w:w="709" w:type="dxa"/>
          </w:tcPr>
          <w:p w14:paraId="60B20631"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7</w:t>
            </w:r>
          </w:p>
        </w:tc>
        <w:tc>
          <w:tcPr>
            <w:tcW w:w="2693" w:type="dxa"/>
          </w:tcPr>
          <w:p w14:paraId="28A45F1E"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上海陆金</w:t>
            </w:r>
            <w:proofErr w:type="gramStart"/>
            <w:r>
              <w:rPr>
                <w:rFonts w:asciiTheme="minorEastAsia" w:hAnsiTheme="minorEastAsia" w:cs="Arial" w:hint="eastAsia"/>
                <w:szCs w:val="21"/>
              </w:rPr>
              <w:t>所基金</w:t>
            </w:r>
            <w:proofErr w:type="gramEnd"/>
            <w:r>
              <w:rPr>
                <w:rFonts w:asciiTheme="minorEastAsia" w:hAnsiTheme="minorEastAsia" w:cs="Arial" w:hint="eastAsia"/>
                <w:szCs w:val="21"/>
              </w:rPr>
              <w:t>销售有限公司</w:t>
            </w:r>
          </w:p>
        </w:tc>
        <w:tc>
          <w:tcPr>
            <w:tcW w:w="5103" w:type="dxa"/>
          </w:tcPr>
          <w:p w14:paraId="44E1C928"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办公（办公）地址：中国（上海）自由贸易试验区源深路1088号7层</w:t>
            </w:r>
          </w:p>
          <w:p w14:paraId="24EED368"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4008219031</w:t>
            </w:r>
          </w:p>
          <w:p w14:paraId="79310861"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公司网址：</w:t>
            </w:r>
            <w:r>
              <w:rPr>
                <w:rFonts w:asciiTheme="minorEastAsia" w:hAnsiTheme="minorEastAsia" w:cs="Arial"/>
                <w:szCs w:val="21"/>
              </w:rPr>
              <w:t>www.lufunds.com</w:t>
            </w:r>
          </w:p>
        </w:tc>
      </w:tr>
      <w:tr w:rsidR="00B67C49" w14:paraId="01CFC210" w14:textId="77777777">
        <w:trPr>
          <w:trHeight w:val="14"/>
        </w:trPr>
        <w:tc>
          <w:tcPr>
            <w:tcW w:w="709" w:type="dxa"/>
          </w:tcPr>
          <w:p w14:paraId="5E711B7C"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8</w:t>
            </w:r>
          </w:p>
        </w:tc>
        <w:tc>
          <w:tcPr>
            <w:tcW w:w="2693" w:type="dxa"/>
          </w:tcPr>
          <w:p w14:paraId="34385E2E"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上海联泰资产管理有限公司</w:t>
            </w:r>
          </w:p>
        </w:tc>
        <w:tc>
          <w:tcPr>
            <w:tcW w:w="5103" w:type="dxa"/>
          </w:tcPr>
          <w:p w14:paraId="7181E765"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注册(办公)地址：上海市虹口区北外滩</w:t>
            </w:r>
            <w:proofErr w:type="gramStart"/>
            <w:r>
              <w:rPr>
                <w:rFonts w:asciiTheme="minorEastAsia" w:hAnsiTheme="minorEastAsia" w:cs="Arial" w:hint="eastAsia"/>
                <w:szCs w:val="21"/>
              </w:rPr>
              <w:t>临潼路</w:t>
            </w:r>
            <w:proofErr w:type="gramEnd"/>
            <w:r>
              <w:rPr>
                <w:rFonts w:asciiTheme="minorEastAsia" w:hAnsiTheme="minorEastAsia" w:cs="Arial" w:hint="eastAsia"/>
                <w:szCs w:val="21"/>
              </w:rPr>
              <w:t>188号</w:t>
            </w:r>
          </w:p>
          <w:p w14:paraId="1F9701FB"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客服电话：400-118-1188</w:t>
            </w:r>
          </w:p>
          <w:p w14:paraId="7F33D06C"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lastRenderedPageBreak/>
              <w:t>公司网址： https://www.66liantai.com/</w:t>
            </w:r>
          </w:p>
        </w:tc>
      </w:tr>
      <w:tr w:rsidR="00B67C49" w14:paraId="5B144096" w14:textId="77777777">
        <w:trPr>
          <w:trHeight w:val="14"/>
        </w:trPr>
        <w:tc>
          <w:tcPr>
            <w:tcW w:w="709" w:type="dxa"/>
          </w:tcPr>
          <w:p w14:paraId="1A5498FC"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lastRenderedPageBreak/>
              <w:t>9</w:t>
            </w:r>
          </w:p>
        </w:tc>
        <w:tc>
          <w:tcPr>
            <w:tcW w:w="2693" w:type="dxa"/>
          </w:tcPr>
          <w:p w14:paraId="3A7DC5BB"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深圳金斧子投资咨询有限公司</w:t>
            </w:r>
          </w:p>
        </w:tc>
        <w:tc>
          <w:tcPr>
            <w:tcW w:w="5103" w:type="dxa"/>
          </w:tcPr>
          <w:p w14:paraId="06175AAC"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注册(办公)地址：深圳市南山区粤海街道科技园社区科苑路15号科兴科学园B栋B3-1801</w:t>
            </w:r>
          </w:p>
          <w:p w14:paraId="48FE33C1"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客服电话：400-8224-888公司网址：</w:t>
            </w:r>
            <w:r>
              <w:rPr>
                <w:rFonts w:asciiTheme="minorEastAsia" w:hAnsiTheme="minorEastAsia" w:cs="Arial"/>
                <w:szCs w:val="21"/>
              </w:rPr>
              <w:t>www.jfzinv.com</w:t>
            </w:r>
          </w:p>
        </w:tc>
      </w:tr>
      <w:tr w:rsidR="00B67C49" w14:paraId="13FF5C7B" w14:textId="77777777">
        <w:trPr>
          <w:trHeight w:val="14"/>
        </w:trPr>
        <w:tc>
          <w:tcPr>
            <w:tcW w:w="709" w:type="dxa"/>
          </w:tcPr>
          <w:p w14:paraId="32FEB3A7"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10</w:t>
            </w:r>
          </w:p>
        </w:tc>
        <w:tc>
          <w:tcPr>
            <w:tcW w:w="2693" w:type="dxa"/>
          </w:tcPr>
          <w:p w14:paraId="703EDC7D"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上海天天基金销售有限公司</w:t>
            </w:r>
          </w:p>
        </w:tc>
        <w:tc>
          <w:tcPr>
            <w:tcW w:w="5103" w:type="dxa"/>
          </w:tcPr>
          <w:p w14:paraId="369DAAE9"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注册(办公)地址：上海市徐汇区宛平南路88号东方财富大厦</w:t>
            </w:r>
          </w:p>
          <w:p w14:paraId="59B27E17"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客服电话：95021</w:t>
            </w:r>
          </w:p>
          <w:p w14:paraId="2F9C2334"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公司网址： fund.eastmoney.com</w:t>
            </w:r>
          </w:p>
        </w:tc>
      </w:tr>
      <w:tr w:rsidR="00B67C49" w14:paraId="103F91EF" w14:textId="77777777">
        <w:trPr>
          <w:trHeight w:val="14"/>
        </w:trPr>
        <w:tc>
          <w:tcPr>
            <w:tcW w:w="709" w:type="dxa"/>
          </w:tcPr>
          <w:p w14:paraId="468BA550"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11</w:t>
            </w:r>
          </w:p>
        </w:tc>
        <w:tc>
          <w:tcPr>
            <w:tcW w:w="2693" w:type="dxa"/>
          </w:tcPr>
          <w:p w14:paraId="7651C49A"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珠海盈米财富管理有限公司</w:t>
            </w:r>
          </w:p>
        </w:tc>
        <w:tc>
          <w:tcPr>
            <w:tcW w:w="5103" w:type="dxa"/>
          </w:tcPr>
          <w:p w14:paraId="39F04048"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办公（办公）地址：广州市海</w:t>
            </w:r>
            <w:proofErr w:type="gramStart"/>
            <w:r>
              <w:rPr>
                <w:rFonts w:asciiTheme="minorEastAsia" w:hAnsiTheme="minorEastAsia" w:cs="Arial" w:hint="eastAsia"/>
                <w:szCs w:val="21"/>
              </w:rPr>
              <w:t>珠区阅江</w:t>
            </w:r>
            <w:proofErr w:type="gramEnd"/>
            <w:r>
              <w:rPr>
                <w:rFonts w:asciiTheme="minorEastAsia" w:hAnsiTheme="minorEastAsia" w:cs="Arial" w:hint="eastAsia"/>
                <w:szCs w:val="21"/>
              </w:rPr>
              <w:t>中路688号保利国际广场北塔33楼、8楼客户服务电话：</w:t>
            </w:r>
            <w:r>
              <w:rPr>
                <w:rFonts w:asciiTheme="minorEastAsia" w:hAnsiTheme="minorEastAsia" w:cs="Arial"/>
                <w:szCs w:val="21"/>
              </w:rPr>
              <w:t>020-89629066</w:t>
            </w:r>
          </w:p>
          <w:p w14:paraId="50DED934"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hyperlink r:id="rId31" w:history="1">
              <w:r>
                <w:rPr>
                  <w:rFonts w:asciiTheme="minorEastAsia" w:hAnsiTheme="minorEastAsia" w:cs="Arial"/>
                  <w:szCs w:val="21"/>
                </w:rPr>
                <w:t>www.yingmi.cn</w:t>
              </w:r>
            </w:hyperlink>
          </w:p>
        </w:tc>
      </w:tr>
      <w:tr w:rsidR="00B67C49" w14:paraId="624358DC" w14:textId="77777777">
        <w:trPr>
          <w:trHeight w:val="14"/>
        </w:trPr>
        <w:tc>
          <w:tcPr>
            <w:tcW w:w="709" w:type="dxa"/>
          </w:tcPr>
          <w:p w14:paraId="71CE42D5"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12</w:t>
            </w:r>
          </w:p>
        </w:tc>
        <w:tc>
          <w:tcPr>
            <w:tcW w:w="2693" w:type="dxa"/>
          </w:tcPr>
          <w:p w14:paraId="10E6CA63"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上海长</w:t>
            </w:r>
            <w:proofErr w:type="gramStart"/>
            <w:r>
              <w:rPr>
                <w:rFonts w:asciiTheme="minorEastAsia" w:hAnsiTheme="minorEastAsia" w:cs="Arial" w:hint="eastAsia"/>
                <w:szCs w:val="21"/>
              </w:rPr>
              <w:t>量基金</w:t>
            </w:r>
            <w:proofErr w:type="gramEnd"/>
            <w:r>
              <w:rPr>
                <w:rFonts w:asciiTheme="minorEastAsia" w:hAnsiTheme="minorEastAsia" w:cs="Arial" w:hint="eastAsia"/>
                <w:szCs w:val="21"/>
              </w:rPr>
              <w:t>销售投资顾问有限公司</w:t>
            </w:r>
          </w:p>
        </w:tc>
        <w:tc>
          <w:tcPr>
            <w:tcW w:w="5103" w:type="dxa"/>
          </w:tcPr>
          <w:p w14:paraId="00EEE5C0"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办公地址：上海市浦东新区东方路1267号陆家嘴金融服务广场二期11层</w:t>
            </w:r>
          </w:p>
          <w:p w14:paraId="67F0A98D"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400-820-2899</w:t>
            </w:r>
          </w:p>
          <w:p w14:paraId="16A565E9"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 xml:space="preserve"> www.erichfund.com</w:t>
            </w:r>
          </w:p>
        </w:tc>
      </w:tr>
      <w:tr w:rsidR="00B67C49" w14:paraId="4453865A" w14:textId="77777777">
        <w:trPr>
          <w:trHeight w:val="14"/>
        </w:trPr>
        <w:tc>
          <w:tcPr>
            <w:tcW w:w="709" w:type="dxa"/>
          </w:tcPr>
          <w:p w14:paraId="4CB4D91F"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13</w:t>
            </w:r>
          </w:p>
        </w:tc>
        <w:tc>
          <w:tcPr>
            <w:tcW w:w="2693" w:type="dxa"/>
          </w:tcPr>
          <w:p w14:paraId="50FA5500"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北京汇成基金销售有限公司</w:t>
            </w:r>
          </w:p>
        </w:tc>
        <w:tc>
          <w:tcPr>
            <w:tcW w:w="5103" w:type="dxa"/>
          </w:tcPr>
          <w:p w14:paraId="2E9BB991"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(办公)地址：</w:t>
            </w:r>
            <w:r>
              <w:rPr>
                <w:rFonts w:asciiTheme="minorEastAsia" w:hAnsiTheme="minorEastAsia" w:cs="Arial" w:hint="eastAsia"/>
                <w:szCs w:val="21"/>
              </w:rPr>
              <w:t>北京市西城区宣武门外大街甲</w:t>
            </w:r>
            <w:r>
              <w:rPr>
                <w:rFonts w:asciiTheme="minorEastAsia" w:hAnsiTheme="minorEastAsia" w:cs="Arial"/>
                <w:szCs w:val="21"/>
              </w:rPr>
              <w:t>1号</w:t>
            </w:r>
            <w:proofErr w:type="gramStart"/>
            <w:r>
              <w:rPr>
                <w:rFonts w:asciiTheme="minorEastAsia" w:hAnsiTheme="minorEastAsia" w:cs="Arial" w:hint="eastAsia"/>
                <w:szCs w:val="21"/>
              </w:rPr>
              <w:t>环球财讯中心</w:t>
            </w:r>
            <w:proofErr w:type="gramEnd"/>
            <w:r>
              <w:rPr>
                <w:rFonts w:asciiTheme="minorEastAsia" w:hAnsiTheme="minorEastAsia" w:cs="Arial"/>
                <w:szCs w:val="21"/>
              </w:rPr>
              <w:t>D座401</w:t>
            </w:r>
          </w:p>
          <w:p w14:paraId="272ABDFA"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400-055-5728</w:t>
            </w:r>
          </w:p>
          <w:p w14:paraId="2DC6F28B"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www.hcjijin.com</w:t>
            </w:r>
          </w:p>
        </w:tc>
      </w:tr>
      <w:tr w:rsidR="00B67C49" w14:paraId="0CFF8373" w14:textId="77777777">
        <w:trPr>
          <w:trHeight w:val="14"/>
        </w:trPr>
        <w:tc>
          <w:tcPr>
            <w:tcW w:w="709" w:type="dxa"/>
          </w:tcPr>
          <w:p w14:paraId="53560BF4"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14</w:t>
            </w:r>
          </w:p>
        </w:tc>
        <w:tc>
          <w:tcPr>
            <w:tcW w:w="2693" w:type="dxa"/>
          </w:tcPr>
          <w:p w14:paraId="271560A4"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深圳市新兰德证券投资咨询有限公司</w:t>
            </w:r>
          </w:p>
        </w:tc>
        <w:tc>
          <w:tcPr>
            <w:tcW w:w="5103" w:type="dxa"/>
          </w:tcPr>
          <w:p w14:paraId="7A29349D"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注册(办公)地址：深圳市福田区梅林</w:t>
            </w:r>
            <w:proofErr w:type="gramStart"/>
            <w:r>
              <w:rPr>
                <w:rFonts w:asciiTheme="minorEastAsia" w:hAnsiTheme="minorEastAsia" w:cs="Arial" w:hint="eastAsia"/>
                <w:szCs w:val="21"/>
              </w:rPr>
              <w:t>街道梅都社区</w:t>
            </w:r>
            <w:proofErr w:type="gramEnd"/>
            <w:r>
              <w:rPr>
                <w:rFonts w:asciiTheme="minorEastAsia" w:hAnsiTheme="minorEastAsia" w:cs="Arial" w:hint="eastAsia"/>
                <w:szCs w:val="21"/>
              </w:rPr>
              <w:t>中康路136号深圳新一代产业园2栋3401</w:t>
            </w:r>
          </w:p>
          <w:p w14:paraId="19D45E5A"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客服电话：010-83275199</w:t>
            </w:r>
            <w:r>
              <w:rPr>
                <w:rFonts w:asciiTheme="minorEastAsia" w:hAnsiTheme="minorEastAsia" w:cs="Arial" w:hint="eastAsia"/>
                <w:szCs w:val="21"/>
              </w:rPr>
              <w:tab/>
            </w:r>
          </w:p>
          <w:p w14:paraId="03346B28"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公司网址：http://www.new-rand.cn/</w:t>
            </w:r>
          </w:p>
        </w:tc>
      </w:tr>
      <w:tr w:rsidR="00B67C49" w14:paraId="7C56568C" w14:textId="77777777">
        <w:trPr>
          <w:trHeight w:val="14"/>
        </w:trPr>
        <w:tc>
          <w:tcPr>
            <w:tcW w:w="709" w:type="dxa"/>
          </w:tcPr>
          <w:p w14:paraId="416282CF"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15</w:t>
            </w:r>
          </w:p>
        </w:tc>
        <w:tc>
          <w:tcPr>
            <w:tcW w:w="2693" w:type="dxa"/>
          </w:tcPr>
          <w:p w14:paraId="7B411A39"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济安财富（北京）基金销售有限公司</w:t>
            </w:r>
          </w:p>
        </w:tc>
        <w:tc>
          <w:tcPr>
            <w:tcW w:w="5103" w:type="dxa"/>
          </w:tcPr>
          <w:p w14:paraId="0B98083A" w14:textId="77777777" w:rsidR="00B67C49" w:rsidRDefault="00000000">
            <w:pPr>
              <w:widowControl/>
              <w:snapToGrid w:val="0"/>
              <w:rPr>
                <w:rFonts w:asciiTheme="minorEastAsia" w:hAnsiTheme="minorEastAsia" w:cs="Arial"/>
                <w:szCs w:val="21"/>
              </w:rPr>
            </w:pPr>
            <w:r>
              <w:rPr>
                <w:rFonts w:asciiTheme="minorEastAsia" w:hAnsiTheme="minorEastAsia" w:cs="Arial" w:hint="eastAsia"/>
                <w:szCs w:val="21"/>
              </w:rPr>
              <w:t>注册(办公)地址：北京市朝阳区太阳宫中路16号院1号</w:t>
            </w:r>
            <w:proofErr w:type="gramStart"/>
            <w:r>
              <w:rPr>
                <w:rFonts w:asciiTheme="minorEastAsia" w:hAnsiTheme="minorEastAsia" w:cs="Arial" w:hint="eastAsia"/>
                <w:szCs w:val="21"/>
              </w:rPr>
              <w:t>楼冠捷大厦</w:t>
            </w:r>
            <w:proofErr w:type="gramEnd"/>
            <w:r>
              <w:rPr>
                <w:rFonts w:asciiTheme="minorEastAsia" w:hAnsiTheme="minorEastAsia" w:cs="Arial" w:hint="eastAsia"/>
                <w:szCs w:val="21"/>
              </w:rPr>
              <w:t>3层307单元</w:t>
            </w:r>
          </w:p>
          <w:p w14:paraId="628054F0" w14:textId="77777777" w:rsidR="00B67C49" w:rsidRDefault="00000000">
            <w:pPr>
              <w:widowControl/>
              <w:snapToGrid w:val="0"/>
              <w:rPr>
                <w:rFonts w:asciiTheme="minorEastAsia" w:hAnsiTheme="minorEastAsia" w:cs="Arial"/>
                <w:szCs w:val="21"/>
              </w:rPr>
            </w:pPr>
            <w:r>
              <w:rPr>
                <w:rFonts w:asciiTheme="minorEastAsia" w:hAnsiTheme="minorEastAsia" w:cs="Arial" w:hint="eastAsia"/>
                <w:szCs w:val="21"/>
              </w:rPr>
              <w:t>客户服务电话：400-673-7010</w:t>
            </w:r>
          </w:p>
          <w:p w14:paraId="70475A0B"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网址：http://www.jianfortune.com/</w:t>
            </w:r>
          </w:p>
        </w:tc>
      </w:tr>
      <w:tr w:rsidR="00B67C49" w14:paraId="29AB8BFA" w14:textId="77777777">
        <w:trPr>
          <w:trHeight w:val="14"/>
        </w:trPr>
        <w:tc>
          <w:tcPr>
            <w:tcW w:w="709" w:type="dxa"/>
          </w:tcPr>
          <w:p w14:paraId="1743311F"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16</w:t>
            </w:r>
          </w:p>
        </w:tc>
        <w:tc>
          <w:tcPr>
            <w:tcW w:w="2693" w:type="dxa"/>
          </w:tcPr>
          <w:p w14:paraId="07C03A46"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民</w:t>
            </w:r>
            <w:proofErr w:type="gramStart"/>
            <w:r>
              <w:rPr>
                <w:rFonts w:asciiTheme="minorEastAsia" w:hAnsiTheme="minorEastAsia" w:cs="Arial" w:hint="eastAsia"/>
                <w:szCs w:val="21"/>
              </w:rPr>
              <w:t>商基金</w:t>
            </w:r>
            <w:proofErr w:type="gramEnd"/>
            <w:r>
              <w:rPr>
                <w:rFonts w:asciiTheme="minorEastAsia" w:hAnsiTheme="minorEastAsia" w:cs="Arial" w:hint="eastAsia"/>
                <w:szCs w:val="21"/>
              </w:rPr>
              <w:t>销售（上海）有限公司</w:t>
            </w:r>
          </w:p>
        </w:tc>
        <w:tc>
          <w:tcPr>
            <w:tcW w:w="5103" w:type="dxa"/>
          </w:tcPr>
          <w:p w14:paraId="748831E5"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注册(办公)地址：上海市浦东新区张扬路707号生命人寿大厦32楼</w:t>
            </w:r>
          </w:p>
          <w:p w14:paraId="27EF0D50"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客户服务电话：021-50206003</w:t>
            </w:r>
          </w:p>
          <w:p w14:paraId="18DE77ED"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 www.msftec.com/</w:t>
            </w:r>
          </w:p>
        </w:tc>
      </w:tr>
      <w:tr w:rsidR="00B67C49" w14:paraId="34F49543" w14:textId="77777777">
        <w:trPr>
          <w:trHeight w:val="14"/>
        </w:trPr>
        <w:tc>
          <w:tcPr>
            <w:tcW w:w="709" w:type="dxa"/>
          </w:tcPr>
          <w:p w14:paraId="3525B73C"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17</w:t>
            </w:r>
          </w:p>
        </w:tc>
        <w:tc>
          <w:tcPr>
            <w:tcW w:w="2693" w:type="dxa"/>
          </w:tcPr>
          <w:p w14:paraId="02F3423B"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大连</w:t>
            </w:r>
            <w:proofErr w:type="gramStart"/>
            <w:r>
              <w:rPr>
                <w:rFonts w:asciiTheme="minorEastAsia" w:hAnsiTheme="minorEastAsia" w:cs="Arial" w:hint="eastAsia"/>
                <w:szCs w:val="21"/>
              </w:rPr>
              <w:t>网金基金</w:t>
            </w:r>
            <w:proofErr w:type="gramEnd"/>
            <w:r>
              <w:rPr>
                <w:rFonts w:asciiTheme="minorEastAsia" w:hAnsiTheme="minorEastAsia" w:cs="Arial" w:hint="eastAsia"/>
                <w:szCs w:val="21"/>
              </w:rPr>
              <w:t>销售有限公司</w:t>
            </w:r>
          </w:p>
        </w:tc>
        <w:tc>
          <w:tcPr>
            <w:tcW w:w="5103" w:type="dxa"/>
          </w:tcPr>
          <w:p w14:paraId="49408535" w14:textId="77777777" w:rsidR="00B67C49" w:rsidRDefault="00000000">
            <w:pPr>
              <w:widowControl/>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w:t>
            </w:r>
            <w:r>
              <w:rPr>
                <w:rFonts w:asciiTheme="minorEastAsia" w:hAnsiTheme="minorEastAsia" w:cs="Arial" w:hint="eastAsia"/>
                <w:szCs w:val="21"/>
              </w:rPr>
              <w:t>办公</w:t>
            </w:r>
            <w:r>
              <w:rPr>
                <w:rFonts w:asciiTheme="minorEastAsia" w:hAnsiTheme="minorEastAsia" w:cs="Arial"/>
                <w:szCs w:val="21"/>
              </w:rPr>
              <w:t>)</w:t>
            </w:r>
            <w:r>
              <w:rPr>
                <w:rFonts w:asciiTheme="minorEastAsia" w:hAnsiTheme="minorEastAsia" w:cs="Arial" w:hint="eastAsia"/>
                <w:szCs w:val="21"/>
              </w:rPr>
              <w:t>地址：辽宁省大连市沙河口区体坛路22号诺德大厦2层202室</w:t>
            </w:r>
          </w:p>
          <w:p w14:paraId="4B432FCD" w14:textId="77777777" w:rsidR="00B67C49" w:rsidRDefault="00000000">
            <w:pPr>
              <w:widowControl/>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4000-899-100</w:t>
            </w:r>
          </w:p>
          <w:p w14:paraId="6B8DAB61"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 xml:space="preserve"> http://www.yibaijin.com/</w:t>
            </w:r>
          </w:p>
        </w:tc>
      </w:tr>
      <w:tr w:rsidR="00B67C49" w14:paraId="62EE66A5" w14:textId="77777777">
        <w:trPr>
          <w:trHeight w:val="14"/>
        </w:trPr>
        <w:tc>
          <w:tcPr>
            <w:tcW w:w="709" w:type="dxa"/>
          </w:tcPr>
          <w:p w14:paraId="260EE9E8"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18</w:t>
            </w:r>
          </w:p>
        </w:tc>
        <w:tc>
          <w:tcPr>
            <w:tcW w:w="2693" w:type="dxa"/>
          </w:tcPr>
          <w:p w14:paraId="25303676"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深圳</w:t>
            </w:r>
            <w:proofErr w:type="gramStart"/>
            <w:r>
              <w:rPr>
                <w:rFonts w:asciiTheme="minorEastAsia" w:hAnsiTheme="minorEastAsia" w:cs="Arial" w:hint="eastAsia"/>
                <w:szCs w:val="21"/>
              </w:rPr>
              <w:t>众禄基金</w:t>
            </w:r>
            <w:proofErr w:type="gramEnd"/>
            <w:r>
              <w:rPr>
                <w:rFonts w:asciiTheme="minorEastAsia" w:hAnsiTheme="minorEastAsia" w:cs="Arial" w:hint="eastAsia"/>
                <w:szCs w:val="21"/>
              </w:rPr>
              <w:t>销售股份有限公司</w:t>
            </w:r>
          </w:p>
        </w:tc>
        <w:tc>
          <w:tcPr>
            <w:tcW w:w="5103" w:type="dxa"/>
          </w:tcPr>
          <w:p w14:paraId="45A603CA" w14:textId="77777777" w:rsidR="00B67C49" w:rsidRDefault="00000000">
            <w:pPr>
              <w:widowControl/>
              <w:snapToGrid w:val="0"/>
              <w:rPr>
                <w:rFonts w:asciiTheme="minorEastAsia" w:hAnsiTheme="minorEastAsia" w:cs="Arial"/>
                <w:szCs w:val="21"/>
              </w:rPr>
            </w:pPr>
            <w:r>
              <w:rPr>
                <w:rFonts w:asciiTheme="minorEastAsia" w:hAnsiTheme="minorEastAsia" w:cs="Arial" w:hint="eastAsia"/>
                <w:szCs w:val="21"/>
              </w:rPr>
              <w:t>注册（办公）地址：深圳市罗湖区梨园路Halo广场4楼客户服务电话：</w:t>
            </w:r>
            <w:r>
              <w:rPr>
                <w:rFonts w:asciiTheme="minorEastAsia" w:hAnsiTheme="minorEastAsia" w:cs="Arial"/>
                <w:szCs w:val="21"/>
              </w:rPr>
              <w:t>4006-788-887</w:t>
            </w:r>
          </w:p>
          <w:p w14:paraId="0CEC3BB2" w14:textId="77777777" w:rsidR="00B67C49" w:rsidRDefault="00000000">
            <w:pPr>
              <w:widowControl/>
              <w:snapToGrid w:val="0"/>
              <w:rPr>
                <w:rFonts w:asciiTheme="minorEastAsia" w:hAnsiTheme="minorEastAsia" w:cs="Arial"/>
                <w:szCs w:val="21"/>
              </w:rPr>
            </w:pPr>
            <w:r>
              <w:rPr>
                <w:rFonts w:asciiTheme="minorEastAsia" w:hAnsiTheme="minorEastAsia" w:cs="Arial" w:hint="eastAsia"/>
                <w:szCs w:val="21"/>
              </w:rPr>
              <w:t>网址：</w:t>
            </w:r>
            <w:proofErr w:type="gramStart"/>
            <w:r>
              <w:rPr>
                <w:rFonts w:asciiTheme="minorEastAsia" w:hAnsiTheme="minorEastAsia" w:cs="Arial" w:hint="eastAsia"/>
                <w:szCs w:val="21"/>
              </w:rPr>
              <w:t>众禄基金</w:t>
            </w:r>
            <w:proofErr w:type="gramEnd"/>
            <w:r>
              <w:rPr>
                <w:rFonts w:asciiTheme="minorEastAsia" w:hAnsiTheme="minorEastAsia" w:cs="Arial" w:hint="eastAsia"/>
                <w:szCs w:val="21"/>
              </w:rPr>
              <w:t>网</w:t>
            </w:r>
            <w:r>
              <w:rPr>
                <w:rFonts w:asciiTheme="minorEastAsia" w:hAnsiTheme="minorEastAsia" w:cs="Arial"/>
                <w:szCs w:val="21"/>
              </w:rPr>
              <w:t xml:space="preserve"> </w:t>
            </w:r>
            <w:hyperlink r:id="rId32" w:history="1">
              <w:r>
                <w:rPr>
                  <w:rFonts w:asciiTheme="minorEastAsia" w:hAnsiTheme="minorEastAsia" w:cs="Arial"/>
                  <w:szCs w:val="21"/>
                </w:rPr>
                <w:t>www.zlfund.cn</w:t>
              </w:r>
            </w:hyperlink>
          </w:p>
          <w:p w14:paraId="5DBAD0F0"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基金</w:t>
            </w:r>
            <w:proofErr w:type="gramStart"/>
            <w:r>
              <w:rPr>
                <w:rFonts w:asciiTheme="minorEastAsia" w:hAnsiTheme="minorEastAsia" w:cs="Arial" w:hint="eastAsia"/>
                <w:szCs w:val="21"/>
              </w:rPr>
              <w:t>买卖网</w:t>
            </w:r>
            <w:proofErr w:type="gramEnd"/>
            <w:r>
              <w:rPr>
                <w:rFonts w:asciiTheme="minorEastAsia" w:hAnsiTheme="minorEastAsia" w:cs="Arial"/>
                <w:szCs w:val="21"/>
              </w:rPr>
              <w:t xml:space="preserve"> </w:t>
            </w:r>
            <w:hyperlink r:id="rId33" w:history="1">
              <w:r>
                <w:rPr>
                  <w:rFonts w:asciiTheme="minorEastAsia" w:hAnsiTheme="minorEastAsia" w:cs="Arial"/>
                  <w:szCs w:val="21"/>
                </w:rPr>
                <w:t>www.jjmmw.com</w:t>
              </w:r>
            </w:hyperlink>
          </w:p>
        </w:tc>
      </w:tr>
      <w:tr w:rsidR="00B67C49" w14:paraId="2786F537" w14:textId="77777777">
        <w:trPr>
          <w:trHeight w:val="14"/>
        </w:trPr>
        <w:tc>
          <w:tcPr>
            <w:tcW w:w="709" w:type="dxa"/>
          </w:tcPr>
          <w:p w14:paraId="6EE4B183"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19</w:t>
            </w:r>
          </w:p>
        </w:tc>
        <w:tc>
          <w:tcPr>
            <w:tcW w:w="2693" w:type="dxa"/>
          </w:tcPr>
          <w:p w14:paraId="567AEC2B"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北京雪球基金销售有限公司</w:t>
            </w:r>
          </w:p>
          <w:p w14:paraId="44C317F2" w14:textId="77777777" w:rsidR="00B67C49" w:rsidRDefault="00B67C49">
            <w:pPr>
              <w:snapToGrid w:val="0"/>
              <w:ind w:firstLineChars="200" w:firstLine="420"/>
              <w:rPr>
                <w:rFonts w:asciiTheme="minorEastAsia" w:hAnsiTheme="minorEastAsia" w:cs="Arial"/>
                <w:szCs w:val="21"/>
              </w:rPr>
            </w:pPr>
          </w:p>
        </w:tc>
        <w:tc>
          <w:tcPr>
            <w:tcW w:w="5103" w:type="dxa"/>
          </w:tcPr>
          <w:p w14:paraId="0B7A6F17"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注册（办公）地址：北京市朝阳区创远路34号院6号楼15层1501室</w:t>
            </w:r>
          </w:p>
          <w:p w14:paraId="73048677"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客户服务电话：400-159-9288</w:t>
            </w:r>
          </w:p>
          <w:p w14:paraId="0FA77D84"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hyperlink r:id="rId34" w:history="1">
              <w:r>
                <w:rPr>
                  <w:rFonts w:asciiTheme="minorEastAsia" w:hAnsiTheme="minorEastAsia" w:cs="Arial"/>
                  <w:szCs w:val="21"/>
                </w:rPr>
                <w:t>http://danjuanapp.com/</w:t>
              </w:r>
            </w:hyperlink>
          </w:p>
        </w:tc>
      </w:tr>
      <w:tr w:rsidR="00B67C49" w14:paraId="2C3329CA" w14:textId="77777777">
        <w:trPr>
          <w:trHeight w:val="14"/>
        </w:trPr>
        <w:tc>
          <w:tcPr>
            <w:tcW w:w="709" w:type="dxa"/>
          </w:tcPr>
          <w:p w14:paraId="7F7A04A9"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20</w:t>
            </w:r>
          </w:p>
        </w:tc>
        <w:tc>
          <w:tcPr>
            <w:tcW w:w="2693" w:type="dxa"/>
          </w:tcPr>
          <w:p w14:paraId="0711C4C1"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上海</w:t>
            </w:r>
            <w:r>
              <w:rPr>
                <w:rFonts w:asciiTheme="minorEastAsia" w:hAnsiTheme="minorEastAsia" w:cs="Arial"/>
                <w:szCs w:val="21"/>
              </w:rPr>
              <w:t>挖财基金销售有限公司</w:t>
            </w:r>
          </w:p>
        </w:tc>
        <w:tc>
          <w:tcPr>
            <w:tcW w:w="5103" w:type="dxa"/>
          </w:tcPr>
          <w:p w14:paraId="4FB5CF3E"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注册(办公)地址：上海市浦东</w:t>
            </w:r>
            <w:proofErr w:type="gramStart"/>
            <w:r>
              <w:rPr>
                <w:rFonts w:asciiTheme="minorEastAsia" w:hAnsiTheme="minorEastAsia" w:cs="Arial" w:hint="eastAsia"/>
                <w:szCs w:val="21"/>
              </w:rPr>
              <w:t>新区杨</w:t>
            </w:r>
            <w:proofErr w:type="gramEnd"/>
            <w:r>
              <w:rPr>
                <w:rFonts w:asciiTheme="minorEastAsia" w:hAnsiTheme="minorEastAsia" w:cs="Arial" w:hint="eastAsia"/>
                <w:szCs w:val="21"/>
              </w:rPr>
              <w:t>高南路759号2号楼18层03单元</w:t>
            </w:r>
          </w:p>
          <w:p w14:paraId="0CDC6108"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客户服务电话：021-50810673</w:t>
            </w:r>
          </w:p>
          <w:p w14:paraId="7D832BC5"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 </w:t>
            </w:r>
            <w:hyperlink r:id="rId35" w:history="1">
              <w:r>
                <w:rPr>
                  <w:rFonts w:asciiTheme="minorEastAsia" w:hAnsiTheme="minorEastAsia" w:cs="Arial"/>
                  <w:szCs w:val="21"/>
                </w:rPr>
                <w:t>www.wacaijijin.com</w:t>
              </w:r>
            </w:hyperlink>
          </w:p>
        </w:tc>
      </w:tr>
      <w:tr w:rsidR="00B67C49" w14:paraId="568EC97B" w14:textId="77777777">
        <w:trPr>
          <w:trHeight w:val="14"/>
        </w:trPr>
        <w:tc>
          <w:tcPr>
            <w:tcW w:w="709" w:type="dxa"/>
          </w:tcPr>
          <w:p w14:paraId="41D702B9"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21</w:t>
            </w:r>
          </w:p>
        </w:tc>
        <w:tc>
          <w:tcPr>
            <w:tcW w:w="2693" w:type="dxa"/>
          </w:tcPr>
          <w:p w14:paraId="709052F6"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诺亚正</w:t>
            </w:r>
            <w:proofErr w:type="gramStart"/>
            <w:r>
              <w:rPr>
                <w:rFonts w:asciiTheme="minorEastAsia" w:hAnsiTheme="minorEastAsia" w:cs="Arial" w:hint="eastAsia"/>
                <w:szCs w:val="21"/>
              </w:rPr>
              <w:t>行基金</w:t>
            </w:r>
            <w:proofErr w:type="gramEnd"/>
            <w:r>
              <w:rPr>
                <w:rFonts w:asciiTheme="minorEastAsia" w:hAnsiTheme="minorEastAsia" w:cs="Arial" w:hint="eastAsia"/>
                <w:szCs w:val="21"/>
              </w:rPr>
              <w:t>销售有限公司</w:t>
            </w:r>
          </w:p>
        </w:tc>
        <w:tc>
          <w:tcPr>
            <w:tcW w:w="5103" w:type="dxa"/>
          </w:tcPr>
          <w:p w14:paraId="6BCBACD0"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注册(办公)地址：上海市</w:t>
            </w:r>
            <w:proofErr w:type="gramStart"/>
            <w:r>
              <w:rPr>
                <w:rFonts w:asciiTheme="minorEastAsia" w:hAnsiTheme="minorEastAsia" w:cs="Arial" w:hint="eastAsia"/>
                <w:szCs w:val="21"/>
              </w:rPr>
              <w:t>闵行区申滨南路</w:t>
            </w:r>
            <w:proofErr w:type="gramEnd"/>
            <w:r>
              <w:rPr>
                <w:rFonts w:asciiTheme="minorEastAsia" w:hAnsiTheme="minorEastAsia" w:cs="Arial" w:hint="eastAsia"/>
                <w:szCs w:val="21"/>
              </w:rPr>
              <w:t>1226号诺亚财富中心</w:t>
            </w:r>
          </w:p>
          <w:p w14:paraId="7FB194BB"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lastRenderedPageBreak/>
              <w:t>客户服务电话：400-821-5399</w:t>
            </w:r>
          </w:p>
          <w:p w14:paraId="5AA3BCCC"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www.noah-fund.com</w:t>
            </w:r>
          </w:p>
        </w:tc>
      </w:tr>
      <w:tr w:rsidR="00B67C49" w14:paraId="363B9CD2" w14:textId="77777777">
        <w:trPr>
          <w:trHeight w:val="14"/>
        </w:trPr>
        <w:tc>
          <w:tcPr>
            <w:tcW w:w="709" w:type="dxa"/>
          </w:tcPr>
          <w:p w14:paraId="3ED458B0"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lastRenderedPageBreak/>
              <w:t>22</w:t>
            </w:r>
          </w:p>
        </w:tc>
        <w:tc>
          <w:tcPr>
            <w:tcW w:w="2693" w:type="dxa"/>
          </w:tcPr>
          <w:p w14:paraId="735B2C14"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上海</w:t>
            </w:r>
            <w:proofErr w:type="gramStart"/>
            <w:r>
              <w:rPr>
                <w:rFonts w:asciiTheme="minorEastAsia" w:hAnsiTheme="minorEastAsia" w:cs="Arial" w:hint="eastAsia"/>
                <w:szCs w:val="21"/>
              </w:rPr>
              <w:t>凯</w:t>
            </w:r>
            <w:proofErr w:type="gramEnd"/>
            <w:r>
              <w:rPr>
                <w:rFonts w:asciiTheme="minorEastAsia" w:hAnsiTheme="minorEastAsia" w:cs="Arial" w:hint="eastAsia"/>
                <w:szCs w:val="21"/>
              </w:rPr>
              <w:t>石财富基金销售有限公司</w:t>
            </w:r>
          </w:p>
        </w:tc>
        <w:tc>
          <w:tcPr>
            <w:tcW w:w="5103" w:type="dxa"/>
          </w:tcPr>
          <w:p w14:paraId="0BB6FACC"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(办公)地址：</w:t>
            </w:r>
            <w:r>
              <w:rPr>
                <w:rFonts w:asciiTheme="minorEastAsia" w:hAnsiTheme="minorEastAsia" w:cs="Arial" w:hint="eastAsia"/>
                <w:szCs w:val="21"/>
              </w:rPr>
              <w:t>上海市黄浦区延安东路1号</w:t>
            </w:r>
            <w:proofErr w:type="gramStart"/>
            <w:r>
              <w:rPr>
                <w:rFonts w:asciiTheme="minorEastAsia" w:hAnsiTheme="minorEastAsia" w:cs="Arial" w:hint="eastAsia"/>
                <w:szCs w:val="21"/>
              </w:rPr>
              <w:t>凯石大厦</w:t>
            </w:r>
            <w:proofErr w:type="gramEnd"/>
            <w:r>
              <w:rPr>
                <w:rFonts w:asciiTheme="minorEastAsia" w:hAnsiTheme="minorEastAsia" w:cs="Arial" w:hint="eastAsia"/>
                <w:szCs w:val="21"/>
              </w:rPr>
              <w:t>客户服务电话：</w:t>
            </w:r>
            <w:r>
              <w:rPr>
                <w:rFonts w:asciiTheme="minorEastAsia" w:hAnsiTheme="minorEastAsia" w:cs="Arial"/>
                <w:szCs w:val="21"/>
              </w:rPr>
              <w:t>400-643-3389</w:t>
            </w:r>
          </w:p>
          <w:p w14:paraId="05C01D95"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www.vstonewealth.com</w:t>
            </w:r>
          </w:p>
        </w:tc>
      </w:tr>
      <w:tr w:rsidR="00B67C49" w14:paraId="5FE53060" w14:textId="77777777">
        <w:trPr>
          <w:trHeight w:val="14"/>
        </w:trPr>
        <w:tc>
          <w:tcPr>
            <w:tcW w:w="709" w:type="dxa"/>
          </w:tcPr>
          <w:p w14:paraId="27FBE6E7"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23</w:t>
            </w:r>
          </w:p>
        </w:tc>
        <w:tc>
          <w:tcPr>
            <w:tcW w:w="2693" w:type="dxa"/>
          </w:tcPr>
          <w:p w14:paraId="05D5F1C1" w14:textId="77777777" w:rsidR="00B67C49" w:rsidRDefault="00000000">
            <w:pPr>
              <w:snapToGrid w:val="0"/>
              <w:rPr>
                <w:rFonts w:asciiTheme="minorEastAsia" w:hAnsiTheme="minorEastAsia" w:cs="Arial"/>
                <w:szCs w:val="21"/>
              </w:rPr>
            </w:pPr>
            <w:proofErr w:type="gramStart"/>
            <w:r>
              <w:rPr>
                <w:rFonts w:asciiTheme="minorEastAsia" w:hAnsiTheme="minorEastAsia" w:cs="Arial" w:hint="eastAsia"/>
                <w:szCs w:val="21"/>
              </w:rPr>
              <w:t>泰信财富</w:t>
            </w:r>
            <w:proofErr w:type="gramEnd"/>
            <w:r>
              <w:rPr>
                <w:rFonts w:asciiTheme="minorEastAsia" w:hAnsiTheme="minorEastAsia" w:cs="Arial" w:hint="eastAsia"/>
                <w:szCs w:val="21"/>
              </w:rPr>
              <w:t>基金销售有限公司</w:t>
            </w:r>
          </w:p>
        </w:tc>
        <w:tc>
          <w:tcPr>
            <w:tcW w:w="5103" w:type="dxa"/>
          </w:tcPr>
          <w:p w14:paraId="7BA837AD" w14:textId="77777777" w:rsidR="00B67C49" w:rsidRDefault="00000000">
            <w:pPr>
              <w:snapToGrid w:val="0"/>
              <w:rPr>
                <w:rFonts w:asciiTheme="minorEastAsia" w:hAnsiTheme="minorEastAsia" w:cs="Arial"/>
                <w:szCs w:val="21"/>
              </w:rPr>
            </w:pPr>
            <w:r>
              <w:rPr>
                <w:rFonts w:asciiTheme="minorEastAsia" w:hAnsiTheme="minorEastAsia" w:cs="Arial" w:hint="eastAsia"/>
                <w:color w:val="000000"/>
                <w:szCs w:val="21"/>
              </w:rPr>
              <w:t>注册（办公）地址：北京市朝阳区建国</w:t>
            </w:r>
            <w:proofErr w:type="gramStart"/>
            <w:r>
              <w:rPr>
                <w:rFonts w:asciiTheme="minorEastAsia" w:hAnsiTheme="minorEastAsia" w:cs="Arial" w:hint="eastAsia"/>
                <w:szCs w:val="21"/>
              </w:rPr>
              <w:t>路乙</w:t>
            </w:r>
            <w:r>
              <w:rPr>
                <w:rFonts w:asciiTheme="minorEastAsia" w:hAnsiTheme="minorEastAsia" w:cs="Arial"/>
                <w:szCs w:val="21"/>
              </w:rPr>
              <w:t>118</w:t>
            </w:r>
            <w:r>
              <w:rPr>
                <w:rFonts w:asciiTheme="minorEastAsia" w:hAnsiTheme="minorEastAsia" w:cs="Arial" w:hint="eastAsia"/>
                <w:szCs w:val="21"/>
              </w:rPr>
              <w:t>号京汇</w:t>
            </w:r>
            <w:proofErr w:type="gramEnd"/>
            <w:r>
              <w:rPr>
                <w:rFonts w:asciiTheme="minorEastAsia" w:hAnsiTheme="minorEastAsia" w:cs="Arial" w:hint="eastAsia"/>
                <w:szCs w:val="21"/>
              </w:rPr>
              <w:t>大厦</w:t>
            </w:r>
            <w:r>
              <w:rPr>
                <w:rFonts w:asciiTheme="minorEastAsia" w:hAnsiTheme="minorEastAsia" w:cs="Arial"/>
                <w:szCs w:val="21"/>
              </w:rPr>
              <w:t>1206</w:t>
            </w:r>
          </w:p>
          <w:p w14:paraId="7F6CDB62"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 xml:space="preserve">400-004-8821 </w:t>
            </w:r>
          </w:p>
          <w:p w14:paraId="0E294267"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hyperlink r:id="rId36" w:history="1">
              <w:r>
                <w:rPr>
                  <w:rFonts w:asciiTheme="minorEastAsia" w:hAnsiTheme="minorEastAsia" w:cs="Arial"/>
                  <w:szCs w:val="21"/>
                </w:rPr>
                <w:t>www.taixincf.com</w:t>
              </w:r>
            </w:hyperlink>
          </w:p>
        </w:tc>
      </w:tr>
      <w:tr w:rsidR="00B67C49" w14:paraId="340562F9" w14:textId="77777777">
        <w:trPr>
          <w:trHeight w:val="14"/>
        </w:trPr>
        <w:tc>
          <w:tcPr>
            <w:tcW w:w="709" w:type="dxa"/>
          </w:tcPr>
          <w:p w14:paraId="767DAD3C"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24</w:t>
            </w:r>
          </w:p>
        </w:tc>
        <w:tc>
          <w:tcPr>
            <w:tcW w:w="2693" w:type="dxa"/>
          </w:tcPr>
          <w:p w14:paraId="4E6BD93F"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上海利得基金销售有限公司</w:t>
            </w:r>
          </w:p>
        </w:tc>
        <w:tc>
          <w:tcPr>
            <w:tcW w:w="5103" w:type="dxa"/>
          </w:tcPr>
          <w:p w14:paraId="1A7A28DF"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注册（办公）地址：上海市虹口区东大名路1098号浦江国际金融广场53楼</w:t>
            </w:r>
          </w:p>
          <w:p w14:paraId="5B7EA477"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客户服务电话：400-032-5885</w:t>
            </w:r>
          </w:p>
          <w:p w14:paraId="24783E93"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www.leadfund.com.cn</w:t>
            </w:r>
          </w:p>
        </w:tc>
      </w:tr>
      <w:tr w:rsidR="00B67C49" w14:paraId="47D3B47F" w14:textId="77777777">
        <w:trPr>
          <w:trHeight w:val="14"/>
        </w:trPr>
        <w:tc>
          <w:tcPr>
            <w:tcW w:w="709" w:type="dxa"/>
          </w:tcPr>
          <w:p w14:paraId="4DB2AE91"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25</w:t>
            </w:r>
          </w:p>
        </w:tc>
        <w:tc>
          <w:tcPr>
            <w:tcW w:w="2693" w:type="dxa"/>
          </w:tcPr>
          <w:p w14:paraId="5ADFCEC9"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南京苏宁基金销售有限公司</w:t>
            </w:r>
          </w:p>
        </w:tc>
        <w:tc>
          <w:tcPr>
            <w:tcW w:w="5103" w:type="dxa"/>
          </w:tcPr>
          <w:p w14:paraId="570CD441"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(办公)地址 :南京市玄武区苏宁大道</w:t>
            </w:r>
            <w:r>
              <w:rPr>
                <w:rFonts w:asciiTheme="minorEastAsia" w:hAnsiTheme="minorEastAsia" w:cs="Arial" w:hint="eastAsia"/>
                <w:szCs w:val="21"/>
              </w:rPr>
              <w:t>1-5号</w:t>
            </w:r>
          </w:p>
          <w:p w14:paraId="22379649"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95177</w:t>
            </w:r>
          </w:p>
          <w:p w14:paraId="498D2BBC"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www.snjijin.com</w:t>
            </w:r>
          </w:p>
        </w:tc>
      </w:tr>
      <w:tr w:rsidR="00B67C49" w14:paraId="64777853" w14:textId="77777777">
        <w:trPr>
          <w:trHeight w:val="14"/>
        </w:trPr>
        <w:tc>
          <w:tcPr>
            <w:tcW w:w="709" w:type="dxa"/>
          </w:tcPr>
          <w:p w14:paraId="1FC046E1"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26</w:t>
            </w:r>
          </w:p>
        </w:tc>
        <w:tc>
          <w:tcPr>
            <w:tcW w:w="2693" w:type="dxa"/>
          </w:tcPr>
          <w:p w14:paraId="2E6BD7F1"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中证金牛（北京）投资咨询有限公司</w:t>
            </w:r>
          </w:p>
        </w:tc>
        <w:tc>
          <w:tcPr>
            <w:tcW w:w="5103" w:type="dxa"/>
          </w:tcPr>
          <w:p w14:paraId="7A4806D9"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w:t>
            </w:r>
            <w:r>
              <w:rPr>
                <w:rFonts w:asciiTheme="minorEastAsia" w:hAnsiTheme="minorEastAsia" w:cs="Arial"/>
                <w:szCs w:val="21"/>
              </w:rPr>
              <w:t>:</w:t>
            </w:r>
            <w:r>
              <w:rPr>
                <w:rFonts w:hint="eastAsia"/>
              </w:rPr>
              <w:t xml:space="preserve"> </w:t>
            </w:r>
            <w:r>
              <w:rPr>
                <w:rFonts w:asciiTheme="minorEastAsia" w:hAnsiTheme="minorEastAsia" w:cs="Arial" w:hint="eastAsia"/>
                <w:szCs w:val="21"/>
              </w:rPr>
              <w:t>北京市宣武门外大街甲1号</w:t>
            </w:r>
            <w:proofErr w:type="gramStart"/>
            <w:r>
              <w:rPr>
                <w:rFonts w:asciiTheme="minorEastAsia" w:hAnsiTheme="minorEastAsia" w:cs="Arial" w:hint="eastAsia"/>
                <w:szCs w:val="21"/>
              </w:rPr>
              <w:t>环球财讯中心</w:t>
            </w:r>
            <w:proofErr w:type="gramEnd"/>
            <w:r>
              <w:rPr>
                <w:rFonts w:asciiTheme="minorEastAsia" w:hAnsiTheme="minorEastAsia" w:cs="Arial" w:hint="eastAsia"/>
                <w:szCs w:val="21"/>
              </w:rPr>
              <w:t>A座4层</w:t>
            </w:r>
          </w:p>
          <w:p w14:paraId="383BABEB"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4008-909-998</w:t>
            </w:r>
          </w:p>
          <w:p w14:paraId="643F1E3A"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www.jnlc.com</w:t>
            </w:r>
          </w:p>
        </w:tc>
      </w:tr>
      <w:tr w:rsidR="00B67C49" w14:paraId="754DAE4A" w14:textId="77777777">
        <w:trPr>
          <w:trHeight w:val="14"/>
        </w:trPr>
        <w:tc>
          <w:tcPr>
            <w:tcW w:w="709" w:type="dxa"/>
          </w:tcPr>
          <w:p w14:paraId="564FFF83"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27</w:t>
            </w:r>
          </w:p>
        </w:tc>
        <w:tc>
          <w:tcPr>
            <w:tcW w:w="2693" w:type="dxa"/>
          </w:tcPr>
          <w:p w14:paraId="560A2BFD"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江苏汇林保大基金销售有限公司</w:t>
            </w:r>
          </w:p>
        </w:tc>
        <w:tc>
          <w:tcPr>
            <w:tcW w:w="5103" w:type="dxa"/>
          </w:tcPr>
          <w:p w14:paraId="5F467C39"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地址:</w:t>
            </w:r>
            <w:r>
              <w:rPr>
                <w:rFonts w:asciiTheme="minorEastAsia" w:hAnsiTheme="minorEastAsia" w:cs="Arial" w:hint="eastAsia"/>
                <w:szCs w:val="21"/>
              </w:rPr>
              <w:t>南京市高淳区经济开发区古檀大道</w:t>
            </w:r>
            <w:r>
              <w:rPr>
                <w:rFonts w:asciiTheme="minorEastAsia" w:hAnsiTheme="minorEastAsia" w:cs="Arial"/>
                <w:szCs w:val="21"/>
              </w:rPr>
              <w:t>47号</w:t>
            </w:r>
          </w:p>
          <w:p w14:paraId="2E188574"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025-66046166</w:t>
            </w:r>
          </w:p>
          <w:p w14:paraId="7DC47872"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www.huilinbd.com</w:t>
            </w:r>
          </w:p>
        </w:tc>
      </w:tr>
      <w:tr w:rsidR="00B67C49" w14:paraId="32EDD54E" w14:textId="77777777">
        <w:trPr>
          <w:trHeight w:val="14"/>
        </w:trPr>
        <w:tc>
          <w:tcPr>
            <w:tcW w:w="709" w:type="dxa"/>
          </w:tcPr>
          <w:p w14:paraId="402436E8"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28</w:t>
            </w:r>
          </w:p>
        </w:tc>
        <w:tc>
          <w:tcPr>
            <w:tcW w:w="2693" w:type="dxa"/>
          </w:tcPr>
          <w:p w14:paraId="485B3D05" w14:textId="77777777" w:rsidR="00B67C49" w:rsidRDefault="00000000">
            <w:pPr>
              <w:snapToGrid w:val="0"/>
              <w:rPr>
                <w:rFonts w:asciiTheme="minorEastAsia" w:hAnsiTheme="minorEastAsia" w:cs="Arial"/>
                <w:szCs w:val="21"/>
              </w:rPr>
            </w:pPr>
            <w:proofErr w:type="gramStart"/>
            <w:r>
              <w:rPr>
                <w:rFonts w:asciiTheme="minorEastAsia" w:hAnsiTheme="minorEastAsia" w:cs="Arial" w:hint="eastAsia"/>
                <w:szCs w:val="21"/>
              </w:rPr>
              <w:t>玄元保险</w:t>
            </w:r>
            <w:proofErr w:type="gramEnd"/>
            <w:r>
              <w:rPr>
                <w:rFonts w:asciiTheme="minorEastAsia" w:hAnsiTheme="minorEastAsia" w:cs="Arial" w:hint="eastAsia"/>
                <w:szCs w:val="21"/>
              </w:rPr>
              <w:t>代理有限公司</w:t>
            </w:r>
          </w:p>
        </w:tc>
        <w:tc>
          <w:tcPr>
            <w:tcW w:w="5103" w:type="dxa"/>
          </w:tcPr>
          <w:p w14:paraId="6F40C161"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 xml:space="preserve">地址: </w:t>
            </w:r>
            <w:r>
              <w:rPr>
                <w:rFonts w:asciiTheme="minorEastAsia" w:hAnsiTheme="minorEastAsia" w:cs="Arial" w:hint="eastAsia"/>
                <w:szCs w:val="21"/>
              </w:rPr>
              <w:t>中国（上海）自由贸易试验区张杨路</w:t>
            </w:r>
            <w:r>
              <w:rPr>
                <w:rFonts w:asciiTheme="minorEastAsia" w:hAnsiTheme="minorEastAsia" w:cs="Arial"/>
                <w:szCs w:val="21"/>
              </w:rPr>
              <w:t>707</w:t>
            </w:r>
            <w:r>
              <w:rPr>
                <w:rFonts w:asciiTheme="minorEastAsia" w:hAnsiTheme="minorEastAsia" w:cs="Arial" w:hint="eastAsia"/>
                <w:szCs w:val="21"/>
              </w:rPr>
              <w:t>号</w:t>
            </w:r>
            <w:r>
              <w:rPr>
                <w:rFonts w:asciiTheme="minorEastAsia" w:hAnsiTheme="minorEastAsia" w:cs="Arial"/>
                <w:szCs w:val="21"/>
              </w:rPr>
              <w:t>1105</w:t>
            </w:r>
            <w:r>
              <w:rPr>
                <w:rFonts w:asciiTheme="minorEastAsia" w:hAnsiTheme="minorEastAsia" w:cs="Arial" w:hint="eastAsia"/>
                <w:szCs w:val="21"/>
              </w:rPr>
              <w:t>室</w:t>
            </w:r>
          </w:p>
          <w:p w14:paraId="22479AE7"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4000808208</w:t>
            </w:r>
          </w:p>
          <w:p w14:paraId="300E62B7"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www.licaimofang.cn</w:t>
            </w:r>
          </w:p>
        </w:tc>
      </w:tr>
      <w:tr w:rsidR="00B67C49" w14:paraId="2100508E" w14:textId="77777777">
        <w:trPr>
          <w:trHeight w:val="14"/>
        </w:trPr>
        <w:tc>
          <w:tcPr>
            <w:tcW w:w="709" w:type="dxa"/>
          </w:tcPr>
          <w:p w14:paraId="691CEE78"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29</w:t>
            </w:r>
          </w:p>
        </w:tc>
        <w:tc>
          <w:tcPr>
            <w:tcW w:w="2693" w:type="dxa"/>
          </w:tcPr>
          <w:p w14:paraId="15F56955" w14:textId="77777777" w:rsidR="00B67C49" w:rsidRDefault="00000000">
            <w:pPr>
              <w:snapToGrid w:val="0"/>
              <w:rPr>
                <w:rFonts w:asciiTheme="minorEastAsia" w:hAnsiTheme="minorEastAsia" w:cs="Arial"/>
                <w:szCs w:val="21"/>
              </w:rPr>
            </w:pPr>
            <w:proofErr w:type="gramStart"/>
            <w:r>
              <w:rPr>
                <w:rFonts w:asciiTheme="minorEastAsia" w:hAnsiTheme="minorEastAsia" w:cs="Arial" w:hint="eastAsia"/>
                <w:szCs w:val="21"/>
              </w:rPr>
              <w:t>宜信普</w:t>
            </w:r>
            <w:proofErr w:type="gramEnd"/>
            <w:r>
              <w:rPr>
                <w:rFonts w:asciiTheme="minorEastAsia" w:hAnsiTheme="minorEastAsia" w:cs="Arial" w:hint="eastAsia"/>
                <w:szCs w:val="21"/>
              </w:rPr>
              <w:t>泽（北京）基金销售有限公司</w:t>
            </w:r>
          </w:p>
        </w:tc>
        <w:tc>
          <w:tcPr>
            <w:tcW w:w="5103" w:type="dxa"/>
          </w:tcPr>
          <w:p w14:paraId="02D69F66"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 xml:space="preserve">地址: </w:t>
            </w:r>
            <w:r>
              <w:rPr>
                <w:rFonts w:asciiTheme="minorEastAsia" w:hAnsiTheme="minorEastAsia" w:cs="Arial" w:hint="eastAsia"/>
                <w:szCs w:val="21"/>
              </w:rPr>
              <w:t>北京市</w:t>
            </w:r>
            <w:r>
              <w:rPr>
                <w:rFonts w:asciiTheme="minorEastAsia" w:hAnsiTheme="minorEastAsia" w:cs="Arial"/>
                <w:szCs w:val="21"/>
              </w:rPr>
              <w:t>朝阳区建国路88号9号楼15层1809</w:t>
            </w:r>
          </w:p>
          <w:p w14:paraId="7EADC466"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4006099200</w:t>
            </w:r>
          </w:p>
          <w:p w14:paraId="6B546DAC"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http://www.yixinfund.com/</w:t>
            </w:r>
          </w:p>
        </w:tc>
      </w:tr>
      <w:tr w:rsidR="00B67C49" w14:paraId="53120423" w14:textId="77777777">
        <w:trPr>
          <w:trHeight w:val="14"/>
        </w:trPr>
        <w:tc>
          <w:tcPr>
            <w:tcW w:w="709" w:type="dxa"/>
          </w:tcPr>
          <w:p w14:paraId="241F0ECF"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30</w:t>
            </w:r>
          </w:p>
        </w:tc>
        <w:tc>
          <w:tcPr>
            <w:tcW w:w="2693" w:type="dxa"/>
          </w:tcPr>
          <w:p w14:paraId="5687F004"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喜鹊财富基金销售有限公司</w:t>
            </w:r>
          </w:p>
        </w:tc>
        <w:tc>
          <w:tcPr>
            <w:tcW w:w="5103" w:type="dxa"/>
          </w:tcPr>
          <w:p w14:paraId="380FBAF8"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w:t>
            </w:r>
            <w:r>
              <w:rPr>
                <w:rFonts w:asciiTheme="minorEastAsia" w:hAnsiTheme="minorEastAsia" w:cs="Arial"/>
                <w:szCs w:val="21"/>
              </w:rPr>
              <w:t xml:space="preserve">地址: </w:t>
            </w:r>
            <w:r>
              <w:rPr>
                <w:rFonts w:asciiTheme="minorEastAsia" w:hAnsiTheme="minorEastAsia" w:cs="Arial" w:hint="eastAsia"/>
                <w:szCs w:val="21"/>
              </w:rPr>
              <w:t>西藏拉萨市柳梧新区柳梧大厦</w:t>
            </w:r>
            <w:r>
              <w:rPr>
                <w:rFonts w:asciiTheme="minorEastAsia" w:hAnsiTheme="minorEastAsia" w:cs="Arial"/>
                <w:szCs w:val="21"/>
              </w:rPr>
              <w:t>1513室</w:t>
            </w:r>
          </w:p>
          <w:p w14:paraId="4E849D0D"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400-699-7719</w:t>
            </w:r>
          </w:p>
          <w:p w14:paraId="5089D736"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www.xiquefund.com</w:t>
            </w:r>
          </w:p>
        </w:tc>
      </w:tr>
      <w:tr w:rsidR="00B67C49" w14:paraId="50179EEE" w14:textId="77777777">
        <w:trPr>
          <w:trHeight w:val="14"/>
        </w:trPr>
        <w:tc>
          <w:tcPr>
            <w:tcW w:w="709" w:type="dxa"/>
          </w:tcPr>
          <w:p w14:paraId="7535A487"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31</w:t>
            </w:r>
          </w:p>
        </w:tc>
        <w:tc>
          <w:tcPr>
            <w:tcW w:w="2693" w:type="dxa"/>
          </w:tcPr>
          <w:p w14:paraId="25F5CBE0" w14:textId="77777777" w:rsidR="00B67C49" w:rsidRDefault="00000000">
            <w:pPr>
              <w:snapToGrid w:val="0"/>
              <w:rPr>
                <w:rFonts w:asciiTheme="minorEastAsia" w:hAnsiTheme="minorEastAsia" w:cs="Arial"/>
                <w:szCs w:val="21"/>
              </w:rPr>
            </w:pPr>
            <w:proofErr w:type="gramStart"/>
            <w:r>
              <w:rPr>
                <w:rFonts w:asciiTheme="minorEastAsia" w:hAnsiTheme="minorEastAsia" w:cs="Arial" w:hint="eastAsia"/>
                <w:szCs w:val="21"/>
              </w:rPr>
              <w:t>和耕传承</w:t>
            </w:r>
            <w:proofErr w:type="gramEnd"/>
            <w:r>
              <w:rPr>
                <w:rFonts w:asciiTheme="minorEastAsia" w:hAnsiTheme="minorEastAsia" w:cs="Arial" w:hint="eastAsia"/>
                <w:szCs w:val="21"/>
              </w:rPr>
              <w:t>基金销售有限公司</w:t>
            </w:r>
          </w:p>
        </w:tc>
        <w:tc>
          <w:tcPr>
            <w:tcW w:w="5103" w:type="dxa"/>
          </w:tcPr>
          <w:p w14:paraId="619B1B87" w14:textId="77777777" w:rsidR="00B67C49" w:rsidRDefault="00000000">
            <w:pPr>
              <w:rPr>
                <w:rFonts w:asciiTheme="minorEastAsia" w:hAnsiTheme="minorEastAsia" w:cs="Arial"/>
                <w:szCs w:val="21"/>
              </w:rPr>
            </w:pPr>
            <w:r>
              <w:rPr>
                <w:rFonts w:asciiTheme="minorEastAsia" w:hAnsiTheme="minorEastAsia" w:cs="Arial" w:hint="eastAsia"/>
                <w:szCs w:val="21"/>
              </w:rPr>
              <w:t>注册（办公）地址：河南自贸试验区郑州片区（郑东）东风南路东康宁街北</w:t>
            </w:r>
            <w:r>
              <w:rPr>
                <w:rFonts w:asciiTheme="minorEastAsia" w:hAnsiTheme="minorEastAsia" w:cs="Arial"/>
                <w:szCs w:val="21"/>
              </w:rPr>
              <w:t>6号楼5楼503</w:t>
            </w:r>
          </w:p>
          <w:p w14:paraId="167BEB01" w14:textId="77777777" w:rsidR="00B67C49" w:rsidRDefault="00000000">
            <w:pPr>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4000-555-671</w:t>
            </w:r>
          </w:p>
          <w:p w14:paraId="2AF33A7D"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 hgccpb.com</w:t>
            </w:r>
          </w:p>
        </w:tc>
      </w:tr>
      <w:tr w:rsidR="00B67C49" w14:paraId="3C470C5A" w14:textId="77777777">
        <w:trPr>
          <w:trHeight w:val="14"/>
        </w:trPr>
        <w:tc>
          <w:tcPr>
            <w:tcW w:w="709" w:type="dxa"/>
          </w:tcPr>
          <w:p w14:paraId="35390247"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32</w:t>
            </w:r>
          </w:p>
        </w:tc>
        <w:tc>
          <w:tcPr>
            <w:tcW w:w="2693" w:type="dxa"/>
          </w:tcPr>
          <w:p w14:paraId="67193442"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北京新</w:t>
            </w:r>
            <w:proofErr w:type="gramStart"/>
            <w:r>
              <w:rPr>
                <w:rFonts w:asciiTheme="minorEastAsia" w:hAnsiTheme="minorEastAsia" w:cs="Arial" w:hint="eastAsia"/>
                <w:szCs w:val="21"/>
              </w:rPr>
              <w:t>浪仓石基金</w:t>
            </w:r>
            <w:proofErr w:type="gramEnd"/>
            <w:r>
              <w:rPr>
                <w:rFonts w:asciiTheme="minorEastAsia" w:hAnsiTheme="minorEastAsia" w:cs="Arial" w:hint="eastAsia"/>
                <w:szCs w:val="21"/>
              </w:rPr>
              <w:t>销售有限公司</w:t>
            </w:r>
          </w:p>
        </w:tc>
        <w:tc>
          <w:tcPr>
            <w:tcW w:w="5103" w:type="dxa"/>
          </w:tcPr>
          <w:p w14:paraId="4CF6B958" w14:textId="77777777" w:rsidR="00B67C49" w:rsidRDefault="00000000">
            <w:pPr>
              <w:rPr>
                <w:rFonts w:asciiTheme="minorEastAsia" w:hAnsiTheme="minorEastAsia" w:cs="Arial"/>
                <w:szCs w:val="21"/>
              </w:rPr>
            </w:pPr>
            <w:r>
              <w:rPr>
                <w:rFonts w:asciiTheme="minorEastAsia" w:hAnsiTheme="minorEastAsia" w:cs="Arial" w:hint="eastAsia"/>
                <w:szCs w:val="21"/>
              </w:rPr>
              <w:t>注册（办公）地址：北京市海淀区西北旺东路10号院西区8号楼新浪总部大厦</w:t>
            </w:r>
          </w:p>
          <w:p w14:paraId="303137FE" w14:textId="77777777" w:rsidR="00B67C49" w:rsidRDefault="00000000">
            <w:pPr>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010-62675369</w:t>
            </w:r>
          </w:p>
          <w:p w14:paraId="6B3DC8A3" w14:textId="77777777" w:rsidR="00B67C49" w:rsidRDefault="00000000">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www.xincai.com</w:t>
            </w:r>
          </w:p>
        </w:tc>
      </w:tr>
      <w:tr w:rsidR="00B67C49" w14:paraId="18BFC2D2" w14:textId="77777777">
        <w:trPr>
          <w:trHeight w:val="14"/>
        </w:trPr>
        <w:tc>
          <w:tcPr>
            <w:tcW w:w="709" w:type="dxa"/>
          </w:tcPr>
          <w:p w14:paraId="0CB1AB58"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33</w:t>
            </w:r>
          </w:p>
        </w:tc>
        <w:tc>
          <w:tcPr>
            <w:tcW w:w="2693" w:type="dxa"/>
          </w:tcPr>
          <w:p w14:paraId="17070FDC"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财</w:t>
            </w:r>
            <w:proofErr w:type="gramStart"/>
            <w:r>
              <w:rPr>
                <w:rFonts w:asciiTheme="minorEastAsia" w:hAnsiTheme="minorEastAsia" w:cs="Arial" w:hint="eastAsia"/>
                <w:szCs w:val="21"/>
              </w:rPr>
              <w:t>咨</w:t>
            </w:r>
            <w:proofErr w:type="gramEnd"/>
            <w:r>
              <w:rPr>
                <w:rFonts w:asciiTheme="minorEastAsia" w:hAnsiTheme="minorEastAsia" w:cs="Arial" w:hint="eastAsia"/>
                <w:szCs w:val="21"/>
              </w:rPr>
              <w:t>道信息技术有限公司</w:t>
            </w:r>
          </w:p>
        </w:tc>
        <w:tc>
          <w:tcPr>
            <w:tcW w:w="5103" w:type="dxa"/>
          </w:tcPr>
          <w:p w14:paraId="04F829F1" w14:textId="77777777" w:rsidR="00B67C49" w:rsidRDefault="00000000">
            <w:pPr>
              <w:widowControl/>
              <w:jc w:val="left"/>
              <w:rPr>
                <w:rFonts w:asciiTheme="minorEastAsia" w:hAnsiTheme="minorEastAsia" w:cs="Arial"/>
                <w:szCs w:val="21"/>
              </w:rPr>
            </w:pPr>
            <w:r>
              <w:rPr>
                <w:rFonts w:asciiTheme="minorEastAsia" w:hAnsiTheme="minorEastAsia" w:cs="Arial" w:hint="eastAsia"/>
                <w:szCs w:val="21"/>
              </w:rPr>
              <w:t>注册（办公）地址：</w:t>
            </w:r>
            <w:r>
              <w:rPr>
                <w:rFonts w:asciiTheme="minorEastAsia" w:hAnsiTheme="minorEastAsia" w:cs="Arial"/>
                <w:szCs w:val="21"/>
              </w:rPr>
              <w:t>辽宁省沈阳市</w:t>
            </w:r>
            <w:proofErr w:type="gramStart"/>
            <w:r>
              <w:rPr>
                <w:rFonts w:asciiTheme="minorEastAsia" w:hAnsiTheme="minorEastAsia" w:cs="Arial"/>
                <w:szCs w:val="21"/>
              </w:rPr>
              <w:t>浑</w:t>
            </w:r>
            <w:proofErr w:type="gramEnd"/>
            <w:r>
              <w:rPr>
                <w:rFonts w:asciiTheme="minorEastAsia" w:hAnsiTheme="minorEastAsia" w:cs="Arial"/>
                <w:szCs w:val="21"/>
              </w:rPr>
              <w:t>南区白塔二南街18-2号B座601</w:t>
            </w:r>
          </w:p>
          <w:p w14:paraId="3F6DACD0" w14:textId="77777777" w:rsidR="00B67C49" w:rsidRDefault="00000000">
            <w:pPr>
              <w:widowControl/>
              <w:jc w:val="left"/>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400-003-5811</w:t>
            </w:r>
          </w:p>
          <w:p w14:paraId="6D8B6C1F" w14:textId="77777777" w:rsidR="00B67C49" w:rsidRDefault="00000000">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www.win-stock.com.cn</w:t>
            </w:r>
          </w:p>
        </w:tc>
      </w:tr>
      <w:tr w:rsidR="00B67C49" w14:paraId="61394381" w14:textId="77777777">
        <w:trPr>
          <w:trHeight w:val="14"/>
        </w:trPr>
        <w:tc>
          <w:tcPr>
            <w:tcW w:w="709" w:type="dxa"/>
          </w:tcPr>
          <w:p w14:paraId="0FA1B8F3"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lastRenderedPageBreak/>
              <w:t>34</w:t>
            </w:r>
          </w:p>
        </w:tc>
        <w:tc>
          <w:tcPr>
            <w:tcW w:w="2693" w:type="dxa"/>
          </w:tcPr>
          <w:p w14:paraId="4A4100C4"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北京度小满基金销售有限公司</w:t>
            </w:r>
          </w:p>
        </w:tc>
        <w:tc>
          <w:tcPr>
            <w:tcW w:w="5103" w:type="dxa"/>
          </w:tcPr>
          <w:p w14:paraId="3AC74BC6" w14:textId="77777777" w:rsidR="00B67C49" w:rsidRDefault="00000000">
            <w:pPr>
              <w:rPr>
                <w:rFonts w:asciiTheme="minorEastAsia" w:hAnsiTheme="minorEastAsia" w:cs="Arial"/>
                <w:szCs w:val="21"/>
              </w:rPr>
            </w:pPr>
            <w:r>
              <w:rPr>
                <w:rFonts w:asciiTheme="minorEastAsia" w:hAnsiTheme="minorEastAsia" w:cs="Arial"/>
                <w:szCs w:val="21"/>
              </w:rPr>
              <w:t>注册</w:t>
            </w:r>
            <w:r>
              <w:rPr>
                <w:rFonts w:asciiTheme="minorEastAsia" w:hAnsiTheme="minorEastAsia" w:cs="Arial" w:hint="eastAsia"/>
                <w:szCs w:val="21"/>
              </w:rPr>
              <w:t>（办公）</w:t>
            </w:r>
            <w:r>
              <w:rPr>
                <w:rFonts w:asciiTheme="minorEastAsia" w:hAnsiTheme="minorEastAsia" w:cs="Arial"/>
                <w:szCs w:val="21"/>
              </w:rPr>
              <w:t xml:space="preserve">地址: </w:t>
            </w:r>
            <w:r>
              <w:rPr>
                <w:rFonts w:asciiTheme="minorEastAsia" w:hAnsiTheme="minorEastAsia" w:cs="Arial" w:hint="eastAsia"/>
                <w:szCs w:val="21"/>
              </w:rPr>
              <w:t>北京市海淀区西北旺东路</w:t>
            </w:r>
            <w:r>
              <w:rPr>
                <w:rFonts w:asciiTheme="minorEastAsia" w:hAnsiTheme="minorEastAsia" w:cs="Arial"/>
                <w:szCs w:val="21"/>
              </w:rPr>
              <w:t>10号院西区4号楼1层103室</w:t>
            </w:r>
          </w:p>
          <w:p w14:paraId="0AB2CC57" w14:textId="77777777" w:rsidR="00B67C49" w:rsidRDefault="00000000">
            <w:pPr>
              <w:widowControl/>
              <w:jc w:val="left"/>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95055</w:t>
            </w:r>
          </w:p>
          <w:p w14:paraId="0855DE2E" w14:textId="77777777" w:rsidR="00B67C49" w:rsidRDefault="00000000">
            <w:pPr>
              <w:rPr>
                <w:rFonts w:asciiTheme="minorEastAsia" w:hAnsiTheme="minorEastAsia" w:cs="Arial"/>
                <w:szCs w:val="21"/>
              </w:rPr>
            </w:pPr>
            <w:r>
              <w:rPr>
                <w:rFonts w:asciiTheme="minorEastAsia" w:hAnsiTheme="minorEastAsia" w:cs="Arial" w:hint="eastAsia"/>
                <w:szCs w:val="21"/>
              </w:rPr>
              <w:t>网站：</w:t>
            </w:r>
            <w:r>
              <w:rPr>
                <w:rFonts w:asciiTheme="minorEastAsia" w:hAnsiTheme="minorEastAsia" w:cs="Arial"/>
                <w:szCs w:val="21"/>
              </w:rPr>
              <w:t>www.duxiaoman.com</w:t>
            </w:r>
          </w:p>
        </w:tc>
      </w:tr>
      <w:tr w:rsidR="00B67C49" w14:paraId="720255CC" w14:textId="77777777">
        <w:trPr>
          <w:trHeight w:val="14"/>
        </w:trPr>
        <w:tc>
          <w:tcPr>
            <w:tcW w:w="709" w:type="dxa"/>
          </w:tcPr>
          <w:p w14:paraId="6CDF9FED"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35</w:t>
            </w:r>
          </w:p>
        </w:tc>
        <w:tc>
          <w:tcPr>
            <w:tcW w:w="2693" w:type="dxa"/>
          </w:tcPr>
          <w:p w14:paraId="5A072ECC"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通华财富（上海）基金销售有限公司</w:t>
            </w:r>
          </w:p>
        </w:tc>
        <w:tc>
          <w:tcPr>
            <w:tcW w:w="5103" w:type="dxa"/>
          </w:tcPr>
          <w:p w14:paraId="609B30EF" w14:textId="77777777" w:rsidR="00B67C49" w:rsidRDefault="00000000">
            <w:pPr>
              <w:rPr>
                <w:rFonts w:asciiTheme="minorEastAsia" w:hAnsiTheme="minorEastAsia" w:cs="Arial"/>
                <w:szCs w:val="21"/>
              </w:rPr>
            </w:pPr>
            <w:r>
              <w:rPr>
                <w:rFonts w:asciiTheme="minorEastAsia" w:hAnsiTheme="minorEastAsia" w:cs="Arial" w:hint="eastAsia"/>
                <w:szCs w:val="21"/>
              </w:rPr>
              <w:t>注册（办公）地址：上海市浦东新区</w:t>
            </w:r>
            <w:proofErr w:type="gramStart"/>
            <w:r>
              <w:rPr>
                <w:rFonts w:asciiTheme="minorEastAsia" w:hAnsiTheme="minorEastAsia" w:cs="Arial" w:hint="eastAsia"/>
                <w:szCs w:val="21"/>
              </w:rPr>
              <w:t>金沪路55号</w:t>
            </w:r>
            <w:proofErr w:type="gramEnd"/>
            <w:r>
              <w:rPr>
                <w:rFonts w:asciiTheme="minorEastAsia" w:hAnsiTheme="minorEastAsia" w:cs="Arial" w:hint="eastAsia"/>
                <w:szCs w:val="21"/>
              </w:rPr>
              <w:t>通华科技大厦10层客户服务电话：</w:t>
            </w:r>
            <w:r>
              <w:rPr>
                <w:rFonts w:asciiTheme="minorEastAsia" w:hAnsiTheme="minorEastAsia" w:cs="Arial"/>
                <w:szCs w:val="21"/>
              </w:rPr>
              <w:t>400-101-9301</w:t>
            </w:r>
          </w:p>
          <w:p w14:paraId="3CB11F16" w14:textId="77777777" w:rsidR="00B67C49" w:rsidRDefault="00000000">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www.tonghuafund.com</w:t>
            </w:r>
          </w:p>
        </w:tc>
      </w:tr>
      <w:tr w:rsidR="00B67C49" w14:paraId="006EEF6A" w14:textId="77777777">
        <w:trPr>
          <w:trHeight w:val="14"/>
        </w:trPr>
        <w:tc>
          <w:tcPr>
            <w:tcW w:w="709" w:type="dxa"/>
          </w:tcPr>
          <w:p w14:paraId="5EA265E6"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36</w:t>
            </w:r>
          </w:p>
        </w:tc>
        <w:tc>
          <w:tcPr>
            <w:tcW w:w="2693" w:type="dxa"/>
          </w:tcPr>
          <w:p w14:paraId="172C0CE3" w14:textId="77777777" w:rsidR="00B67C49" w:rsidRDefault="00000000">
            <w:pPr>
              <w:pStyle w:val="a6"/>
              <w:rPr>
                <w:rFonts w:asciiTheme="minorEastAsia" w:eastAsiaTheme="minorEastAsia" w:hAnsiTheme="minorEastAsia" w:cs="Arial"/>
                <w:szCs w:val="21"/>
              </w:rPr>
            </w:pPr>
            <w:proofErr w:type="gramStart"/>
            <w:r>
              <w:rPr>
                <w:rFonts w:asciiTheme="minorEastAsia" w:eastAsiaTheme="minorEastAsia" w:hAnsiTheme="minorEastAsia" w:cs="Arial" w:hint="eastAsia"/>
                <w:szCs w:val="21"/>
              </w:rPr>
              <w:t>腾安基金</w:t>
            </w:r>
            <w:proofErr w:type="gramEnd"/>
            <w:r>
              <w:rPr>
                <w:rFonts w:asciiTheme="minorEastAsia" w:eastAsiaTheme="minorEastAsia" w:hAnsiTheme="minorEastAsia" w:cs="Arial" w:hint="eastAsia"/>
                <w:szCs w:val="21"/>
              </w:rPr>
              <w:t>销售（深圳）有限公司</w:t>
            </w:r>
          </w:p>
          <w:p w14:paraId="0FF71C43" w14:textId="77777777" w:rsidR="00B67C49" w:rsidRDefault="00B67C49">
            <w:pPr>
              <w:snapToGrid w:val="0"/>
              <w:ind w:firstLineChars="200" w:firstLine="420"/>
              <w:rPr>
                <w:rFonts w:asciiTheme="minorEastAsia" w:hAnsiTheme="minorEastAsia" w:cs="Arial"/>
                <w:szCs w:val="21"/>
              </w:rPr>
            </w:pPr>
          </w:p>
        </w:tc>
        <w:tc>
          <w:tcPr>
            <w:tcW w:w="5103" w:type="dxa"/>
          </w:tcPr>
          <w:p w14:paraId="1603E7DF" w14:textId="77777777" w:rsidR="00B67C49"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注册（办公）地址：深圳市南山区海天二路</w:t>
            </w:r>
            <w:proofErr w:type="gramStart"/>
            <w:r>
              <w:rPr>
                <w:rFonts w:asciiTheme="minorEastAsia" w:eastAsiaTheme="minorEastAsia" w:hAnsiTheme="minorEastAsia" w:cs="Arial"/>
                <w:szCs w:val="21"/>
              </w:rPr>
              <w:t>33</w:t>
            </w:r>
            <w:r>
              <w:rPr>
                <w:rFonts w:asciiTheme="minorEastAsia" w:eastAsiaTheme="minorEastAsia" w:hAnsiTheme="minorEastAsia" w:cs="Arial" w:hint="eastAsia"/>
                <w:szCs w:val="21"/>
              </w:rPr>
              <w:t>号腾讯滨海</w:t>
            </w:r>
            <w:proofErr w:type="gramEnd"/>
            <w:r>
              <w:rPr>
                <w:rFonts w:asciiTheme="minorEastAsia" w:eastAsiaTheme="minorEastAsia" w:hAnsiTheme="minorEastAsia" w:cs="Arial" w:hint="eastAsia"/>
                <w:szCs w:val="21"/>
              </w:rPr>
              <w:t>大厦</w:t>
            </w:r>
            <w:r>
              <w:rPr>
                <w:rFonts w:asciiTheme="minorEastAsia" w:eastAsiaTheme="minorEastAsia" w:hAnsiTheme="minorEastAsia" w:cs="Arial"/>
                <w:szCs w:val="21"/>
              </w:rPr>
              <w:t>15</w:t>
            </w:r>
            <w:r>
              <w:rPr>
                <w:rFonts w:asciiTheme="minorEastAsia" w:eastAsiaTheme="minorEastAsia" w:hAnsiTheme="minorEastAsia" w:cs="Arial" w:hint="eastAsia"/>
                <w:szCs w:val="21"/>
              </w:rPr>
              <w:t>楼</w:t>
            </w:r>
          </w:p>
          <w:p w14:paraId="2EE30BF6" w14:textId="77777777" w:rsidR="00B67C49"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客服电话：</w:t>
            </w:r>
            <w:r>
              <w:rPr>
                <w:rFonts w:asciiTheme="minorEastAsia" w:eastAsiaTheme="minorEastAsia" w:hAnsiTheme="minorEastAsia" w:cs="Arial"/>
                <w:szCs w:val="21"/>
              </w:rPr>
              <w:t xml:space="preserve">4000-890-555 </w:t>
            </w:r>
          </w:p>
          <w:p w14:paraId="574EADD0" w14:textId="77777777" w:rsidR="00B67C49" w:rsidRDefault="00000000">
            <w:pPr>
              <w:rPr>
                <w:rFonts w:asciiTheme="minorEastAsia" w:hAnsiTheme="minorEastAsia" w:cs="Arial"/>
                <w:szCs w:val="21"/>
              </w:rPr>
            </w:pPr>
            <w:r>
              <w:rPr>
                <w:rFonts w:asciiTheme="minorEastAsia" w:hAnsiTheme="minorEastAsia" w:cs="Arial" w:hint="eastAsia"/>
                <w:szCs w:val="21"/>
              </w:rPr>
              <w:t>公司网站：</w:t>
            </w:r>
            <w:hyperlink r:id="rId37" w:history="1">
              <w:r>
                <w:rPr>
                  <w:rFonts w:asciiTheme="minorEastAsia" w:hAnsiTheme="minorEastAsia" w:cs="Arial"/>
                  <w:szCs w:val="21"/>
                </w:rPr>
                <w:t>www.txfund.com</w:t>
              </w:r>
            </w:hyperlink>
          </w:p>
        </w:tc>
      </w:tr>
      <w:tr w:rsidR="00B67C49" w14:paraId="513141DB" w14:textId="77777777">
        <w:trPr>
          <w:trHeight w:val="14"/>
        </w:trPr>
        <w:tc>
          <w:tcPr>
            <w:tcW w:w="709" w:type="dxa"/>
          </w:tcPr>
          <w:p w14:paraId="3AE369BC"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37</w:t>
            </w:r>
          </w:p>
        </w:tc>
        <w:tc>
          <w:tcPr>
            <w:tcW w:w="2693" w:type="dxa"/>
          </w:tcPr>
          <w:p w14:paraId="415C1BED" w14:textId="77777777" w:rsidR="00B67C49" w:rsidRDefault="00000000">
            <w:pPr>
              <w:pStyle w:val="aff1"/>
              <w:widowControl/>
              <w:ind w:firstLineChars="0" w:firstLine="0"/>
              <w:rPr>
                <w:rFonts w:asciiTheme="minorEastAsia" w:hAnsiTheme="minorEastAsia" w:cs="Arial"/>
                <w:szCs w:val="21"/>
              </w:rPr>
            </w:pPr>
            <w:r>
              <w:rPr>
                <w:rFonts w:asciiTheme="minorEastAsia" w:hAnsiTheme="minorEastAsia" w:cs="Arial" w:hint="eastAsia"/>
                <w:szCs w:val="21"/>
              </w:rPr>
              <w:t>泛华</w:t>
            </w:r>
            <w:proofErr w:type="gramStart"/>
            <w:r>
              <w:rPr>
                <w:rFonts w:asciiTheme="minorEastAsia" w:hAnsiTheme="minorEastAsia" w:cs="Arial" w:hint="eastAsia"/>
                <w:szCs w:val="21"/>
              </w:rPr>
              <w:t>普益基金</w:t>
            </w:r>
            <w:proofErr w:type="gramEnd"/>
            <w:r>
              <w:rPr>
                <w:rFonts w:asciiTheme="minorEastAsia" w:hAnsiTheme="minorEastAsia" w:cs="Arial" w:hint="eastAsia"/>
                <w:szCs w:val="21"/>
              </w:rPr>
              <w:t>销售有限公司</w:t>
            </w:r>
            <w:r>
              <w:rPr>
                <w:rFonts w:asciiTheme="minorEastAsia" w:hAnsiTheme="minorEastAsia" w:cs="Arial"/>
                <w:szCs w:val="21"/>
              </w:rPr>
              <w:t xml:space="preserve"> </w:t>
            </w:r>
          </w:p>
          <w:p w14:paraId="05A8351C" w14:textId="77777777" w:rsidR="00B67C49" w:rsidRDefault="00B67C49">
            <w:pPr>
              <w:snapToGrid w:val="0"/>
              <w:ind w:firstLineChars="200" w:firstLine="420"/>
              <w:rPr>
                <w:rFonts w:asciiTheme="minorEastAsia" w:hAnsiTheme="minorEastAsia" w:cs="Arial"/>
                <w:szCs w:val="21"/>
              </w:rPr>
            </w:pPr>
          </w:p>
        </w:tc>
        <w:tc>
          <w:tcPr>
            <w:tcW w:w="5103" w:type="dxa"/>
          </w:tcPr>
          <w:p w14:paraId="210A16C4" w14:textId="77777777" w:rsidR="00B67C49" w:rsidRDefault="00000000">
            <w:pPr>
              <w:pStyle w:val="aff1"/>
              <w:widowControl/>
              <w:ind w:firstLineChars="0" w:firstLine="0"/>
              <w:rPr>
                <w:rFonts w:asciiTheme="minorEastAsia" w:hAnsiTheme="minorEastAsia" w:cs="Arial"/>
                <w:szCs w:val="21"/>
              </w:rPr>
            </w:pPr>
            <w:r>
              <w:rPr>
                <w:rFonts w:asciiTheme="minorEastAsia" w:hAnsiTheme="minorEastAsia" w:cs="Arial" w:hint="eastAsia"/>
                <w:szCs w:val="21"/>
              </w:rPr>
              <w:t>注册（办公）地址：成都市成华区建设路</w:t>
            </w:r>
            <w:r>
              <w:rPr>
                <w:rFonts w:asciiTheme="minorEastAsia" w:hAnsiTheme="minorEastAsia" w:cs="Arial"/>
                <w:szCs w:val="21"/>
              </w:rPr>
              <w:t>9</w:t>
            </w:r>
            <w:r>
              <w:rPr>
                <w:rFonts w:asciiTheme="minorEastAsia" w:hAnsiTheme="minorEastAsia" w:cs="Arial" w:hint="eastAsia"/>
                <w:szCs w:val="21"/>
              </w:rPr>
              <w:t>号高地中心</w:t>
            </w:r>
            <w:r>
              <w:rPr>
                <w:rFonts w:asciiTheme="minorEastAsia" w:hAnsiTheme="minorEastAsia" w:cs="Arial"/>
                <w:szCs w:val="21"/>
              </w:rPr>
              <w:t xml:space="preserve">1101 </w:t>
            </w:r>
            <w:r>
              <w:rPr>
                <w:rFonts w:asciiTheme="minorEastAsia" w:hAnsiTheme="minorEastAsia" w:cs="Arial" w:hint="eastAsia"/>
                <w:szCs w:val="21"/>
              </w:rPr>
              <w:t>室</w:t>
            </w:r>
          </w:p>
          <w:p w14:paraId="1B181B65" w14:textId="77777777" w:rsidR="00B67C49" w:rsidRDefault="00000000">
            <w:pPr>
              <w:pStyle w:val="aff1"/>
              <w:widowControl/>
              <w:ind w:firstLineChars="0" w:firstLine="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 xml:space="preserve">400-080-3388 </w:t>
            </w:r>
          </w:p>
          <w:p w14:paraId="06DFC265" w14:textId="77777777" w:rsidR="00B67C49" w:rsidRDefault="00000000">
            <w:pPr>
              <w:rPr>
                <w:rFonts w:asciiTheme="minorEastAsia" w:hAnsiTheme="minorEastAsia" w:cs="Arial"/>
                <w:szCs w:val="21"/>
              </w:rPr>
            </w:pPr>
            <w:r>
              <w:rPr>
                <w:rFonts w:asciiTheme="minorEastAsia" w:hAnsiTheme="minorEastAsia" w:cs="Arial" w:hint="eastAsia"/>
                <w:szCs w:val="21"/>
              </w:rPr>
              <w:t>网址：</w:t>
            </w:r>
            <w:hyperlink r:id="rId38" w:history="1">
              <w:r>
                <w:rPr>
                  <w:rFonts w:asciiTheme="minorEastAsia" w:hAnsiTheme="minorEastAsia" w:cs="Arial"/>
                  <w:szCs w:val="21"/>
                </w:rPr>
                <w:t>www.puyifund.com</w:t>
              </w:r>
            </w:hyperlink>
          </w:p>
        </w:tc>
      </w:tr>
      <w:tr w:rsidR="00B67C49" w14:paraId="40A26F05" w14:textId="77777777">
        <w:trPr>
          <w:trHeight w:val="14"/>
        </w:trPr>
        <w:tc>
          <w:tcPr>
            <w:tcW w:w="709" w:type="dxa"/>
          </w:tcPr>
          <w:p w14:paraId="69B84BFE"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38</w:t>
            </w:r>
          </w:p>
        </w:tc>
        <w:tc>
          <w:tcPr>
            <w:tcW w:w="2693" w:type="dxa"/>
          </w:tcPr>
          <w:p w14:paraId="5E483C84"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上海大智慧基金销售有限公司</w:t>
            </w:r>
          </w:p>
        </w:tc>
        <w:tc>
          <w:tcPr>
            <w:tcW w:w="5103" w:type="dxa"/>
          </w:tcPr>
          <w:p w14:paraId="14468DB7"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注册（办公）地址：上海市浦东</w:t>
            </w:r>
            <w:proofErr w:type="gramStart"/>
            <w:r>
              <w:rPr>
                <w:rFonts w:asciiTheme="minorEastAsia" w:hAnsiTheme="minorEastAsia" w:cs="Arial" w:hint="eastAsia"/>
                <w:szCs w:val="21"/>
              </w:rPr>
              <w:t>新区杨</w:t>
            </w:r>
            <w:proofErr w:type="gramEnd"/>
            <w:r>
              <w:rPr>
                <w:rFonts w:asciiTheme="minorEastAsia" w:hAnsiTheme="minorEastAsia" w:cs="Arial" w:hint="eastAsia"/>
                <w:szCs w:val="21"/>
              </w:rPr>
              <w:t>高南路428弄由</w:t>
            </w:r>
            <w:proofErr w:type="gramStart"/>
            <w:r>
              <w:rPr>
                <w:rFonts w:asciiTheme="minorEastAsia" w:hAnsiTheme="minorEastAsia" w:cs="Arial" w:hint="eastAsia"/>
                <w:szCs w:val="21"/>
              </w:rPr>
              <w:t>由</w:t>
            </w:r>
            <w:proofErr w:type="gramEnd"/>
            <w:r>
              <w:rPr>
                <w:rFonts w:asciiTheme="minorEastAsia" w:hAnsiTheme="minorEastAsia" w:cs="Arial" w:hint="eastAsia"/>
                <w:szCs w:val="21"/>
              </w:rPr>
              <w:t>世纪广场1号楼</w:t>
            </w:r>
          </w:p>
          <w:p w14:paraId="71B75F53"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021-20219988</w:t>
            </w:r>
          </w:p>
          <w:p w14:paraId="22D0D5AF" w14:textId="77777777" w:rsidR="00B67C49" w:rsidRDefault="00000000">
            <w:pPr>
              <w:rPr>
                <w:rFonts w:asciiTheme="minorEastAsia" w:hAnsiTheme="minorEastAsia" w:cs="Arial"/>
                <w:szCs w:val="21"/>
              </w:rPr>
            </w:pPr>
            <w:r>
              <w:rPr>
                <w:rFonts w:asciiTheme="minorEastAsia" w:hAnsiTheme="minorEastAsia" w:cs="Arial" w:hint="eastAsia"/>
                <w:szCs w:val="21"/>
              </w:rPr>
              <w:t>公司网站：</w:t>
            </w:r>
            <w:hyperlink r:id="rId39" w:history="1">
              <w:r>
                <w:rPr>
                  <w:rStyle w:val="afc"/>
                  <w:rFonts w:asciiTheme="minorEastAsia" w:hAnsiTheme="minorEastAsia" w:cs="Arial"/>
                  <w:szCs w:val="21"/>
                </w:rPr>
                <w:t>https://www.gw.com.cn/</w:t>
              </w:r>
            </w:hyperlink>
          </w:p>
        </w:tc>
      </w:tr>
      <w:tr w:rsidR="00B67C49" w14:paraId="5F3A45EF" w14:textId="77777777">
        <w:trPr>
          <w:trHeight w:val="14"/>
        </w:trPr>
        <w:tc>
          <w:tcPr>
            <w:tcW w:w="709" w:type="dxa"/>
          </w:tcPr>
          <w:p w14:paraId="3289E17E"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39</w:t>
            </w:r>
          </w:p>
        </w:tc>
        <w:tc>
          <w:tcPr>
            <w:tcW w:w="2693" w:type="dxa"/>
          </w:tcPr>
          <w:p w14:paraId="6E9C6DF8" w14:textId="77777777" w:rsidR="00B67C49"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北京中</w:t>
            </w:r>
            <w:proofErr w:type="gramStart"/>
            <w:r>
              <w:rPr>
                <w:rFonts w:asciiTheme="minorEastAsia" w:eastAsiaTheme="minorEastAsia" w:hAnsiTheme="minorEastAsia" w:cs="Arial" w:hint="eastAsia"/>
                <w:szCs w:val="21"/>
              </w:rPr>
              <w:t>植基金</w:t>
            </w:r>
            <w:proofErr w:type="gramEnd"/>
            <w:r>
              <w:rPr>
                <w:rFonts w:asciiTheme="minorEastAsia" w:eastAsiaTheme="minorEastAsia" w:hAnsiTheme="minorEastAsia" w:cs="Arial" w:hint="eastAsia"/>
                <w:szCs w:val="21"/>
              </w:rPr>
              <w:t>销售有限公司</w:t>
            </w:r>
          </w:p>
          <w:p w14:paraId="0233C313" w14:textId="77777777" w:rsidR="00B67C49" w:rsidRDefault="00B67C49">
            <w:pPr>
              <w:snapToGrid w:val="0"/>
              <w:ind w:firstLineChars="200" w:firstLine="420"/>
              <w:rPr>
                <w:rFonts w:asciiTheme="minorEastAsia" w:hAnsiTheme="minorEastAsia" w:cs="Arial"/>
                <w:szCs w:val="21"/>
              </w:rPr>
            </w:pPr>
          </w:p>
        </w:tc>
        <w:tc>
          <w:tcPr>
            <w:tcW w:w="5103" w:type="dxa"/>
          </w:tcPr>
          <w:p w14:paraId="16CF6CAC" w14:textId="77777777" w:rsidR="00B67C49" w:rsidRDefault="00000000">
            <w:pPr>
              <w:widowControl/>
              <w:snapToGrid w:val="0"/>
              <w:rPr>
                <w:rFonts w:asciiTheme="minorEastAsia" w:hAnsiTheme="minorEastAsia" w:cs="Arial"/>
                <w:szCs w:val="21"/>
              </w:rPr>
            </w:pPr>
            <w:r>
              <w:rPr>
                <w:rFonts w:asciiTheme="minorEastAsia" w:hAnsiTheme="minorEastAsia" w:cs="Arial" w:hint="eastAsia"/>
                <w:szCs w:val="21"/>
              </w:rPr>
              <w:t>注册（办公）地址：北京市朝阳区建国路91号金地中心B座21、29层</w:t>
            </w:r>
          </w:p>
          <w:p w14:paraId="2E88C1E1" w14:textId="77777777" w:rsidR="00B67C49" w:rsidRDefault="00000000">
            <w:pPr>
              <w:widowControl/>
              <w:snapToGrid w:val="0"/>
              <w:rPr>
                <w:rFonts w:asciiTheme="minorEastAsia" w:hAnsiTheme="minorEastAsia" w:cs="Arial"/>
                <w:szCs w:val="21"/>
              </w:rPr>
            </w:pPr>
            <w:r>
              <w:rPr>
                <w:rFonts w:asciiTheme="minorEastAsia" w:hAnsiTheme="minorEastAsia" w:cs="Arial" w:hint="eastAsia"/>
                <w:szCs w:val="21"/>
              </w:rPr>
              <w:t>客户服务电话：400-8180-888</w:t>
            </w:r>
          </w:p>
          <w:p w14:paraId="4F82927B" w14:textId="77777777" w:rsidR="00B67C49" w:rsidRDefault="00000000">
            <w:pPr>
              <w:widowControl/>
              <w:snapToGrid w:val="0"/>
              <w:rPr>
                <w:rFonts w:asciiTheme="minorEastAsia" w:hAnsiTheme="minorEastAsia" w:cs="Arial"/>
                <w:szCs w:val="21"/>
              </w:rPr>
            </w:pPr>
            <w:r>
              <w:rPr>
                <w:rFonts w:asciiTheme="minorEastAsia" w:hAnsiTheme="minorEastAsia" w:cs="Arial" w:hint="eastAsia"/>
                <w:szCs w:val="21"/>
              </w:rPr>
              <w:t>公司网站：</w:t>
            </w:r>
            <w:hyperlink r:id="rId40" w:history="1">
              <w:r>
                <w:rPr>
                  <w:rFonts w:asciiTheme="minorEastAsia" w:hAnsiTheme="minorEastAsia" w:cs="Arial"/>
                  <w:szCs w:val="21"/>
                </w:rPr>
                <w:t>https://www.zzfund.com</w:t>
              </w:r>
            </w:hyperlink>
          </w:p>
        </w:tc>
      </w:tr>
      <w:tr w:rsidR="00B67C49" w14:paraId="3D91DD62" w14:textId="77777777">
        <w:trPr>
          <w:trHeight w:val="14"/>
        </w:trPr>
        <w:tc>
          <w:tcPr>
            <w:tcW w:w="709" w:type="dxa"/>
          </w:tcPr>
          <w:p w14:paraId="5999C614"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40</w:t>
            </w:r>
          </w:p>
        </w:tc>
        <w:tc>
          <w:tcPr>
            <w:tcW w:w="2693" w:type="dxa"/>
          </w:tcPr>
          <w:p w14:paraId="7B50C873"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北京</w:t>
            </w:r>
            <w:proofErr w:type="gramStart"/>
            <w:r>
              <w:rPr>
                <w:rFonts w:asciiTheme="minorEastAsia" w:hAnsiTheme="minorEastAsia" w:cs="Arial" w:hint="eastAsia"/>
                <w:szCs w:val="21"/>
              </w:rPr>
              <w:t>创金启富基金</w:t>
            </w:r>
            <w:proofErr w:type="gramEnd"/>
            <w:r>
              <w:rPr>
                <w:rFonts w:asciiTheme="minorEastAsia" w:hAnsiTheme="minorEastAsia" w:cs="Arial" w:hint="eastAsia"/>
                <w:szCs w:val="21"/>
              </w:rPr>
              <w:t>销售有限公司</w:t>
            </w:r>
          </w:p>
        </w:tc>
        <w:tc>
          <w:tcPr>
            <w:tcW w:w="5103" w:type="dxa"/>
          </w:tcPr>
          <w:p w14:paraId="6526E627" w14:textId="77777777" w:rsidR="00B67C49"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注册（办公）地址：北京市西城区白纸坊东街</w:t>
            </w:r>
            <w:r>
              <w:rPr>
                <w:rFonts w:asciiTheme="minorEastAsia" w:eastAsiaTheme="minorEastAsia" w:hAnsiTheme="minorEastAsia" w:cs="Arial"/>
                <w:szCs w:val="21"/>
              </w:rPr>
              <w:t>2</w:t>
            </w:r>
            <w:r>
              <w:rPr>
                <w:rFonts w:asciiTheme="minorEastAsia" w:eastAsiaTheme="minorEastAsia" w:hAnsiTheme="minorEastAsia" w:cs="Arial" w:hint="eastAsia"/>
                <w:szCs w:val="21"/>
              </w:rPr>
              <w:t>号经济日报社</w:t>
            </w:r>
            <w:r>
              <w:rPr>
                <w:rFonts w:asciiTheme="minorEastAsia" w:eastAsiaTheme="minorEastAsia" w:hAnsiTheme="minorEastAsia" w:cs="Arial"/>
                <w:szCs w:val="21"/>
              </w:rPr>
              <w:t>A</w:t>
            </w:r>
            <w:proofErr w:type="gramStart"/>
            <w:r>
              <w:rPr>
                <w:rFonts w:asciiTheme="minorEastAsia" w:eastAsiaTheme="minorEastAsia" w:hAnsiTheme="minorEastAsia" w:cs="Arial" w:hint="eastAsia"/>
                <w:szCs w:val="21"/>
              </w:rPr>
              <w:t>座综合</w:t>
            </w:r>
            <w:proofErr w:type="gramEnd"/>
            <w:r>
              <w:rPr>
                <w:rFonts w:asciiTheme="minorEastAsia" w:eastAsiaTheme="minorEastAsia" w:hAnsiTheme="minorEastAsia" w:cs="Arial" w:hint="eastAsia"/>
                <w:szCs w:val="21"/>
              </w:rPr>
              <w:t>楼</w:t>
            </w:r>
            <w:r>
              <w:rPr>
                <w:rFonts w:asciiTheme="minorEastAsia" w:eastAsiaTheme="minorEastAsia" w:hAnsiTheme="minorEastAsia" w:cs="Arial"/>
                <w:szCs w:val="21"/>
              </w:rPr>
              <w:t>712</w:t>
            </w:r>
            <w:r>
              <w:rPr>
                <w:rFonts w:asciiTheme="minorEastAsia" w:eastAsiaTheme="minorEastAsia" w:hAnsiTheme="minorEastAsia" w:cs="Arial" w:hint="eastAsia"/>
                <w:szCs w:val="21"/>
              </w:rPr>
              <w:t>室</w:t>
            </w:r>
          </w:p>
          <w:p w14:paraId="2058421B" w14:textId="77777777" w:rsidR="00B67C49"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客服电话：</w:t>
            </w:r>
            <w:r>
              <w:rPr>
                <w:rFonts w:asciiTheme="minorEastAsia" w:eastAsiaTheme="minorEastAsia" w:hAnsiTheme="minorEastAsia" w:cs="Arial"/>
                <w:szCs w:val="21"/>
              </w:rPr>
              <w:t xml:space="preserve">010-66154828 </w:t>
            </w:r>
          </w:p>
          <w:p w14:paraId="74ECDAC6" w14:textId="77777777" w:rsidR="00B67C49" w:rsidRDefault="00000000">
            <w:pPr>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https://www.5irich.com/</w:t>
            </w:r>
          </w:p>
        </w:tc>
      </w:tr>
      <w:tr w:rsidR="00B67C49" w14:paraId="6B7E9D36" w14:textId="77777777">
        <w:trPr>
          <w:trHeight w:val="14"/>
        </w:trPr>
        <w:tc>
          <w:tcPr>
            <w:tcW w:w="709" w:type="dxa"/>
          </w:tcPr>
          <w:p w14:paraId="1FE6D165"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41</w:t>
            </w:r>
          </w:p>
        </w:tc>
        <w:tc>
          <w:tcPr>
            <w:tcW w:w="2693" w:type="dxa"/>
          </w:tcPr>
          <w:p w14:paraId="74FBCC88" w14:textId="77777777" w:rsidR="00B67C49"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和讯信息科技有限公司</w:t>
            </w:r>
          </w:p>
          <w:p w14:paraId="7AE26A20" w14:textId="77777777" w:rsidR="00B67C49" w:rsidRDefault="00B67C49">
            <w:pPr>
              <w:snapToGrid w:val="0"/>
              <w:ind w:firstLineChars="200" w:firstLine="420"/>
              <w:rPr>
                <w:rFonts w:asciiTheme="minorEastAsia" w:hAnsiTheme="minorEastAsia" w:cs="Arial"/>
                <w:szCs w:val="21"/>
              </w:rPr>
            </w:pPr>
          </w:p>
        </w:tc>
        <w:tc>
          <w:tcPr>
            <w:tcW w:w="5103" w:type="dxa"/>
          </w:tcPr>
          <w:p w14:paraId="5B0E3D0B" w14:textId="77777777" w:rsidR="00B67C49"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注册（办公）地址：北京市朝外大街</w:t>
            </w:r>
            <w:r>
              <w:rPr>
                <w:rFonts w:asciiTheme="minorEastAsia" w:eastAsiaTheme="minorEastAsia" w:hAnsiTheme="minorEastAsia" w:cs="Arial"/>
                <w:szCs w:val="21"/>
              </w:rPr>
              <w:t>22</w:t>
            </w:r>
            <w:r>
              <w:rPr>
                <w:rFonts w:asciiTheme="minorEastAsia" w:eastAsiaTheme="minorEastAsia" w:hAnsiTheme="minorEastAsia" w:cs="Arial" w:hint="eastAsia"/>
                <w:szCs w:val="21"/>
              </w:rPr>
              <w:t>号</w:t>
            </w:r>
            <w:r>
              <w:rPr>
                <w:rFonts w:asciiTheme="minorEastAsia" w:eastAsiaTheme="minorEastAsia" w:hAnsiTheme="minorEastAsia" w:cs="Arial"/>
                <w:szCs w:val="21"/>
              </w:rPr>
              <w:t xml:space="preserve"> </w:t>
            </w:r>
            <w:proofErr w:type="gramStart"/>
            <w:r>
              <w:rPr>
                <w:rFonts w:asciiTheme="minorEastAsia" w:eastAsiaTheme="minorEastAsia" w:hAnsiTheme="minorEastAsia" w:cs="Arial" w:hint="eastAsia"/>
                <w:szCs w:val="21"/>
              </w:rPr>
              <w:t>泛利大厦</w:t>
            </w:r>
            <w:proofErr w:type="gramEnd"/>
            <w:r>
              <w:rPr>
                <w:rFonts w:asciiTheme="minorEastAsia" w:eastAsiaTheme="minorEastAsia" w:hAnsiTheme="minorEastAsia" w:cs="Arial"/>
                <w:szCs w:val="21"/>
              </w:rPr>
              <w:t>10</w:t>
            </w:r>
            <w:r>
              <w:rPr>
                <w:rFonts w:asciiTheme="minorEastAsia" w:eastAsiaTheme="minorEastAsia" w:hAnsiTheme="minorEastAsia" w:cs="Arial" w:hint="eastAsia"/>
                <w:szCs w:val="21"/>
              </w:rPr>
              <w:t>层</w:t>
            </w:r>
          </w:p>
          <w:p w14:paraId="4C48ACBB" w14:textId="77777777" w:rsidR="00B67C49" w:rsidRDefault="00000000">
            <w:pPr>
              <w:pStyle w:val="a6"/>
              <w:rPr>
                <w:rFonts w:asciiTheme="minorEastAsia" w:eastAsiaTheme="minorEastAsia" w:hAnsiTheme="minorEastAsia" w:cs="Arial"/>
                <w:szCs w:val="21"/>
              </w:rPr>
            </w:pPr>
            <w:r>
              <w:rPr>
                <w:rFonts w:asciiTheme="minorEastAsia" w:eastAsiaTheme="minorEastAsia" w:hAnsiTheme="minorEastAsia" w:cs="Arial" w:hint="eastAsia"/>
                <w:szCs w:val="21"/>
              </w:rPr>
              <w:t>客服电话：</w:t>
            </w:r>
            <w:r>
              <w:rPr>
                <w:rFonts w:asciiTheme="minorEastAsia" w:eastAsiaTheme="minorEastAsia" w:hAnsiTheme="minorEastAsia" w:cs="Arial"/>
                <w:szCs w:val="21"/>
              </w:rPr>
              <w:t>400-920-0022</w:t>
            </w:r>
          </w:p>
          <w:p w14:paraId="1B1764B1" w14:textId="77777777" w:rsidR="00B67C49" w:rsidRDefault="00000000">
            <w:pPr>
              <w:rPr>
                <w:rFonts w:asciiTheme="minorEastAsia" w:hAnsiTheme="minorEastAsia" w:cs="Arial"/>
                <w:szCs w:val="21"/>
              </w:rPr>
            </w:pPr>
            <w:r>
              <w:rPr>
                <w:rFonts w:asciiTheme="minorEastAsia" w:hAnsiTheme="minorEastAsia" w:cs="Arial" w:hint="eastAsia"/>
                <w:szCs w:val="21"/>
              </w:rPr>
              <w:t>公司网站：</w:t>
            </w:r>
            <w:hyperlink r:id="rId41" w:history="1">
              <w:r>
                <w:rPr>
                  <w:rFonts w:asciiTheme="minorEastAsia" w:hAnsiTheme="minorEastAsia" w:cs="Arial"/>
                  <w:szCs w:val="21"/>
                </w:rPr>
                <w:t>www.licaike.com</w:t>
              </w:r>
            </w:hyperlink>
          </w:p>
        </w:tc>
      </w:tr>
      <w:tr w:rsidR="00B67C49" w14:paraId="48C280B3" w14:textId="77777777">
        <w:trPr>
          <w:trHeight w:val="14"/>
        </w:trPr>
        <w:tc>
          <w:tcPr>
            <w:tcW w:w="709" w:type="dxa"/>
          </w:tcPr>
          <w:p w14:paraId="73620252"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42</w:t>
            </w:r>
          </w:p>
        </w:tc>
        <w:tc>
          <w:tcPr>
            <w:tcW w:w="2693" w:type="dxa"/>
          </w:tcPr>
          <w:p w14:paraId="11FFFE9A"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上海</w:t>
            </w:r>
            <w:proofErr w:type="gramStart"/>
            <w:r>
              <w:rPr>
                <w:rFonts w:asciiTheme="minorEastAsia" w:hAnsiTheme="minorEastAsia" w:cs="Arial" w:hint="eastAsia"/>
                <w:szCs w:val="21"/>
              </w:rPr>
              <w:t>陆享基金</w:t>
            </w:r>
            <w:proofErr w:type="gramEnd"/>
            <w:r>
              <w:rPr>
                <w:rFonts w:asciiTheme="minorEastAsia" w:hAnsiTheme="minorEastAsia" w:cs="Arial" w:hint="eastAsia"/>
                <w:szCs w:val="21"/>
              </w:rPr>
              <w:t>销售有限公司</w:t>
            </w:r>
          </w:p>
        </w:tc>
        <w:tc>
          <w:tcPr>
            <w:tcW w:w="5103" w:type="dxa"/>
          </w:tcPr>
          <w:p w14:paraId="24D70255"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注册（办公）地址：中国（上海）自由贸易试验区世纪大道1196号世纪汇广场二座16层</w:t>
            </w:r>
          </w:p>
          <w:p w14:paraId="67814D0B"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客服电话：400-168-1235</w:t>
            </w:r>
          </w:p>
          <w:p w14:paraId="66759ADA" w14:textId="77777777" w:rsidR="00B67C49" w:rsidRDefault="00000000">
            <w:pPr>
              <w:rPr>
                <w:rFonts w:asciiTheme="minorEastAsia" w:hAnsiTheme="minorEastAsia" w:cs="Arial"/>
                <w:szCs w:val="21"/>
              </w:rPr>
            </w:pPr>
            <w:r>
              <w:rPr>
                <w:rFonts w:asciiTheme="minorEastAsia" w:hAnsiTheme="minorEastAsia" w:cs="Arial" w:hint="eastAsia"/>
                <w:szCs w:val="21"/>
              </w:rPr>
              <w:t>公司网站：www.luxxfund.com</w:t>
            </w:r>
          </w:p>
        </w:tc>
      </w:tr>
      <w:tr w:rsidR="00B67C49" w14:paraId="50A9CC0C" w14:textId="77777777">
        <w:trPr>
          <w:trHeight w:val="14"/>
        </w:trPr>
        <w:tc>
          <w:tcPr>
            <w:tcW w:w="709" w:type="dxa"/>
          </w:tcPr>
          <w:p w14:paraId="68D03542"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43</w:t>
            </w:r>
          </w:p>
        </w:tc>
        <w:tc>
          <w:tcPr>
            <w:tcW w:w="2693" w:type="dxa"/>
          </w:tcPr>
          <w:p w14:paraId="169803D7"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阳光人寿保险股份有限公司</w:t>
            </w:r>
          </w:p>
        </w:tc>
        <w:tc>
          <w:tcPr>
            <w:tcW w:w="5103" w:type="dxa"/>
          </w:tcPr>
          <w:p w14:paraId="60D800EE" w14:textId="77777777" w:rsidR="00B67C49" w:rsidRDefault="00000000">
            <w:pPr>
              <w:rPr>
                <w:rFonts w:asciiTheme="minorEastAsia" w:hAnsiTheme="minorEastAsia" w:cs="Arial"/>
                <w:szCs w:val="21"/>
              </w:rPr>
            </w:pPr>
            <w:r>
              <w:rPr>
                <w:rFonts w:asciiTheme="minorEastAsia" w:hAnsiTheme="minorEastAsia" w:cs="Arial" w:hint="eastAsia"/>
                <w:szCs w:val="21"/>
              </w:rPr>
              <w:t>注册</w:t>
            </w:r>
            <w:r>
              <w:rPr>
                <w:rFonts w:asciiTheme="minorEastAsia" w:hAnsiTheme="minorEastAsia" w:cs="Arial"/>
                <w:szCs w:val="21"/>
              </w:rPr>
              <w:t xml:space="preserve">地址: </w:t>
            </w:r>
            <w:r>
              <w:rPr>
                <w:rFonts w:asciiTheme="minorEastAsia" w:hAnsiTheme="minorEastAsia" w:cs="Arial" w:hint="eastAsia"/>
                <w:szCs w:val="21"/>
              </w:rPr>
              <w:t>海南省三亚市迎宾路</w:t>
            </w:r>
            <w:r>
              <w:rPr>
                <w:rFonts w:asciiTheme="minorEastAsia" w:hAnsiTheme="minorEastAsia" w:cs="Arial"/>
                <w:szCs w:val="21"/>
              </w:rPr>
              <w:t>360-1号三亚阳光金融广场16层</w:t>
            </w:r>
          </w:p>
          <w:p w14:paraId="59A8A2A5" w14:textId="77777777" w:rsidR="00B67C49" w:rsidRDefault="00000000">
            <w:pPr>
              <w:widowControl/>
              <w:jc w:val="left"/>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95510</w:t>
            </w:r>
          </w:p>
          <w:p w14:paraId="35747B45" w14:textId="77777777" w:rsidR="00B67C49" w:rsidRDefault="00000000">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fund.sinosig.com</w:t>
            </w:r>
          </w:p>
        </w:tc>
      </w:tr>
      <w:tr w:rsidR="00B67C49" w14:paraId="70E35C94" w14:textId="77777777">
        <w:trPr>
          <w:trHeight w:val="14"/>
        </w:trPr>
        <w:tc>
          <w:tcPr>
            <w:tcW w:w="709" w:type="dxa"/>
          </w:tcPr>
          <w:p w14:paraId="1D05DB3A"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44</w:t>
            </w:r>
          </w:p>
        </w:tc>
        <w:tc>
          <w:tcPr>
            <w:tcW w:w="2693" w:type="dxa"/>
          </w:tcPr>
          <w:p w14:paraId="04B80502"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深圳市前海排</w:t>
            </w:r>
            <w:proofErr w:type="gramStart"/>
            <w:r>
              <w:rPr>
                <w:rFonts w:asciiTheme="minorEastAsia" w:hAnsiTheme="minorEastAsia" w:cs="Arial" w:hint="eastAsia"/>
                <w:szCs w:val="21"/>
              </w:rPr>
              <w:t>排</w:t>
            </w:r>
            <w:proofErr w:type="gramEnd"/>
            <w:r>
              <w:rPr>
                <w:rFonts w:asciiTheme="minorEastAsia" w:hAnsiTheme="minorEastAsia" w:cs="Arial" w:hint="eastAsia"/>
                <w:szCs w:val="21"/>
              </w:rPr>
              <w:t>网基金销售有限责任公司</w:t>
            </w:r>
          </w:p>
        </w:tc>
        <w:tc>
          <w:tcPr>
            <w:tcW w:w="5103" w:type="dxa"/>
          </w:tcPr>
          <w:p w14:paraId="22A4D567" w14:textId="77777777" w:rsidR="00B67C49" w:rsidRDefault="00000000">
            <w:pPr>
              <w:rPr>
                <w:rFonts w:asciiTheme="minorEastAsia" w:hAnsiTheme="minorEastAsia" w:cs="Arial"/>
                <w:szCs w:val="21"/>
              </w:rPr>
            </w:pPr>
            <w:r>
              <w:rPr>
                <w:rFonts w:asciiTheme="minorEastAsia" w:hAnsiTheme="minorEastAsia" w:cs="Arial" w:hint="eastAsia"/>
                <w:szCs w:val="21"/>
              </w:rPr>
              <w:t>注册（办公）地址：深圳市前海深港合作区前湾一路1号A栋201室（入驻深圳市前海商务秘书有限公司）客服电话：</w:t>
            </w:r>
            <w:r>
              <w:rPr>
                <w:rFonts w:asciiTheme="minorEastAsia" w:hAnsiTheme="minorEastAsia" w:cs="Arial"/>
                <w:szCs w:val="21"/>
              </w:rPr>
              <w:t xml:space="preserve">400-666-7388 </w:t>
            </w:r>
          </w:p>
          <w:p w14:paraId="289B8252" w14:textId="77777777" w:rsidR="00B67C49" w:rsidRDefault="00000000">
            <w:pPr>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www.ppwfund.com</w:t>
            </w:r>
          </w:p>
        </w:tc>
      </w:tr>
      <w:tr w:rsidR="00B67C49" w14:paraId="239C7ACF" w14:textId="77777777">
        <w:trPr>
          <w:trHeight w:val="14"/>
        </w:trPr>
        <w:tc>
          <w:tcPr>
            <w:tcW w:w="709" w:type="dxa"/>
          </w:tcPr>
          <w:p w14:paraId="5D637CF8"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45</w:t>
            </w:r>
          </w:p>
        </w:tc>
        <w:tc>
          <w:tcPr>
            <w:tcW w:w="2693" w:type="dxa"/>
          </w:tcPr>
          <w:p w14:paraId="4CBE22D0"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上海爱建基金销售有限公司</w:t>
            </w:r>
          </w:p>
        </w:tc>
        <w:tc>
          <w:tcPr>
            <w:tcW w:w="5103" w:type="dxa"/>
          </w:tcPr>
          <w:p w14:paraId="354A74E8"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注册(办公)地址 : 上海市黄浦区西藏中路336号1806-13室</w:t>
            </w:r>
          </w:p>
          <w:p w14:paraId="0473BEFA"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lastRenderedPageBreak/>
              <w:t>客户服务电话：400-803-2733</w:t>
            </w:r>
          </w:p>
          <w:p w14:paraId="6772365D" w14:textId="77777777" w:rsidR="00B67C49" w:rsidRDefault="00000000">
            <w:pPr>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www.ajwm.com.cn</w:t>
            </w:r>
          </w:p>
        </w:tc>
      </w:tr>
      <w:tr w:rsidR="00B67C49" w14:paraId="252E2E49" w14:textId="77777777">
        <w:trPr>
          <w:trHeight w:val="14"/>
        </w:trPr>
        <w:tc>
          <w:tcPr>
            <w:tcW w:w="709" w:type="dxa"/>
          </w:tcPr>
          <w:p w14:paraId="452015B0"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lastRenderedPageBreak/>
              <w:t>46</w:t>
            </w:r>
          </w:p>
        </w:tc>
        <w:tc>
          <w:tcPr>
            <w:tcW w:w="2693" w:type="dxa"/>
          </w:tcPr>
          <w:p w14:paraId="7AECED81"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上海</w:t>
            </w:r>
            <w:proofErr w:type="gramStart"/>
            <w:r>
              <w:rPr>
                <w:rFonts w:asciiTheme="minorEastAsia" w:hAnsiTheme="minorEastAsia" w:cs="Arial" w:hint="eastAsia"/>
                <w:szCs w:val="21"/>
              </w:rPr>
              <w:t>攀赢基金</w:t>
            </w:r>
            <w:proofErr w:type="gramEnd"/>
            <w:r>
              <w:rPr>
                <w:rFonts w:asciiTheme="minorEastAsia" w:hAnsiTheme="minorEastAsia" w:cs="Arial" w:hint="eastAsia"/>
                <w:szCs w:val="21"/>
              </w:rPr>
              <w:t>销售有限公司</w:t>
            </w:r>
          </w:p>
        </w:tc>
        <w:tc>
          <w:tcPr>
            <w:tcW w:w="5103" w:type="dxa"/>
          </w:tcPr>
          <w:p w14:paraId="6E6075A1" w14:textId="77777777" w:rsidR="00B67C49" w:rsidRDefault="00000000">
            <w:pPr>
              <w:snapToGrid w:val="0"/>
              <w:jc w:val="left"/>
              <w:rPr>
                <w:rFonts w:asciiTheme="minorEastAsia" w:hAnsiTheme="minorEastAsia" w:cs="Arial"/>
                <w:szCs w:val="21"/>
              </w:rPr>
            </w:pPr>
            <w:r>
              <w:rPr>
                <w:rFonts w:asciiTheme="minorEastAsia" w:hAnsiTheme="minorEastAsia" w:cs="Arial" w:hint="eastAsia"/>
                <w:szCs w:val="21"/>
              </w:rPr>
              <w:t>注册（办公）地址：上海市浦东</w:t>
            </w:r>
            <w:proofErr w:type="gramStart"/>
            <w:r>
              <w:rPr>
                <w:rFonts w:asciiTheme="minorEastAsia" w:hAnsiTheme="minorEastAsia" w:cs="Arial" w:hint="eastAsia"/>
                <w:szCs w:val="21"/>
              </w:rPr>
              <w:t>新区银</w:t>
            </w:r>
            <w:proofErr w:type="gramEnd"/>
            <w:r>
              <w:rPr>
                <w:rFonts w:asciiTheme="minorEastAsia" w:hAnsiTheme="minorEastAsia" w:cs="Arial" w:hint="eastAsia"/>
                <w:szCs w:val="21"/>
              </w:rPr>
              <w:t>城路116号大华银行大厦7楼</w:t>
            </w:r>
          </w:p>
          <w:p w14:paraId="058DA6CA" w14:textId="77777777" w:rsidR="00B67C49" w:rsidRDefault="00000000">
            <w:pPr>
              <w:snapToGrid w:val="0"/>
              <w:jc w:val="left"/>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021-68889082</w:t>
            </w:r>
          </w:p>
          <w:p w14:paraId="26444C41" w14:textId="77777777" w:rsidR="00B67C49" w:rsidRDefault="00000000">
            <w:pPr>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www.pytz.cn</w:t>
            </w:r>
          </w:p>
        </w:tc>
      </w:tr>
      <w:tr w:rsidR="00B67C49" w14:paraId="55D083EA" w14:textId="77777777">
        <w:trPr>
          <w:trHeight w:val="14"/>
        </w:trPr>
        <w:tc>
          <w:tcPr>
            <w:tcW w:w="709" w:type="dxa"/>
          </w:tcPr>
          <w:p w14:paraId="77B263BC"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47</w:t>
            </w:r>
          </w:p>
        </w:tc>
        <w:tc>
          <w:tcPr>
            <w:tcW w:w="2693" w:type="dxa"/>
          </w:tcPr>
          <w:p w14:paraId="11A90C80"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嘉实财富管理有限公司</w:t>
            </w:r>
          </w:p>
        </w:tc>
        <w:tc>
          <w:tcPr>
            <w:tcW w:w="5103" w:type="dxa"/>
          </w:tcPr>
          <w:p w14:paraId="1D513EE1" w14:textId="77777777" w:rsidR="00B67C49" w:rsidRDefault="00000000">
            <w:pPr>
              <w:rPr>
                <w:rFonts w:asciiTheme="minorEastAsia" w:hAnsiTheme="minorEastAsia" w:cs="Arial"/>
                <w:szCs w:val="21"/>
              </w:rPr>
            </w:pPr>
            <w:r>
              <w:rPr>
                <w:rFonts w:asciiTheme="minorEastAsia" w:hAnsiTheme="minorEastAsia" w:cs="Arial" w:hint="eastAsia"/>
                <w:szCs w:val="21"/>
              </w:rPr>
              <w:t>注册（办公）地址：海南省三亚市天涯区凤凰岛</w:t>
            </w:r>
            <w:r>
              <w:rPr>
                <w:rFonts w:asciiTheme="minorEastAsia" w:hAnsiTheme="minorEastAsia" w:cs="Arial"/>
                <w:szCs w:val="21"/>
              </w:rPr>
              <w:t>1</w:t>
            </w:r>
            <w:r>
              <w:rPr>
                <w:rFonts w:asciiTheme="minorEastAsia" w:hAnsiTheme="minorEastAsia" w:cs="Arial" w:hint="eastAsia"/>
                <w:szCs w:val="21"/>
              </w:rPr>
              <w:t>号楼</w:t>
            </w:r>
            <w:r>
              <w:rPr>
                <w:rFonts w:asciiTheme="minorEastAsia" w:hAnsiTheme="minorEastAsia" w:cs="Arial"/>
                <w:szCs w:val="21"/>
              </w:rPr>
              <w:t>7</w:t>
            </w:r>
            <w:r>
              <w:rPr>
                <w:rFonts w:asciiTheme="minorEastAsia" w:hAnsiTheme="minorEastAsia" w:cs="Arial" w:hint="eastAsia"/>
                <w:szCs w:val="21"/>
              </w:rPr>
              <w:t>层</w:t>
            </w:r>
            <w:r>
              <w:rPr>
                <w:rFonts w:asciiTheme="minorEastAsia" w:hAnsiTheme="minorEastAsia" w:cs="Arial"/>
                <w:szCs w:val="21"/>
              </w:rPr>
              <w:t>710</w:t>
            </w:r>
            <w:r>
              <w:rPr>
                <w:rFonts w:asciiTheme="minorEastAsia" w:hAnsiTheme="minorEastAsia" w:cs="Arial" w:hint="eastAsia"/>
                <w:szCs w:val="21"/>
              </w:rPr>
              <w:t>号</w:t>
            </w:r>
          </w:p>
          <w:p w14:paraId="50E5EFF1" w14:textId="77777777" w:rsidR="00B67C49" w:rsidRDefault="00000000">
            <w:pPr>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400-021-8850</w:t>
            </w:r>
          </w:p>
          <w:p w14:paraId="2032BEDA" w14:textId="77777777" w:rsidR="00B67C49" w:rsidRDefault="00000000">
            <w:pPr>
              <w:rPr>
                <w:rFonts w:asciiTheme="minorEastAsia" w:hAnsiTheme="minorEastAsia" w:cs="Arial"/>
                <w:szCs w:val="21"/>
              </w:rPr>
            </w:pPr>
            <w:r>
              <w:rPr>
                <w:rFonts w:asciiTheme="minorEastAsia" w:hAnsiTheme="minorEastAsia" w:cs="Arial" w:hint="eastAsia"/>
                <w:szCs w:val="21"/>
              </w:rPr>
              <w:t>公司网站：</w:t>
            </w:r>
            <w:r>
              <w:rPr>
                <w:rFonts w:asciiTheme="minorEastAsia" w:hAnsiTheme="minorEastAsia" w:cs="Arial"/>
                <w:szCs w:val="21"/>
              </w:rPr>
              <w:t>www.harvestwm.cn</w:t>
            </w:r>
          </w:p>
        </w:tc>
      </w:tr>
      <w:tr w:rsidR="00B67C49" w14:paraId="39219D74" w14:textId="77777777">
        <w:trPr>
          <w:trHeight w:val="14"/>
        </w:trPr>
        <w:tc>
          <w:tcPr>
            <w:tcW w:w="709" w:type="dxa"/>
          </w:tcPr>
          <w:p w14:paraId="3B61963A" w14:textId="77777777" w:rsidR="00B67C49" w:rsidRDefault="00000000">
            <w:pPr>
              <w:snapToGrid w:val="0"/>
              <w:jc w:val="center"/>
              <w:rPr>
                <w:rFonts w:asciiTheme="minorEastAsia" w:hAnsiTheme="minorEastAsia" w:cs="Arial"/>
                <w:szCs w:val="21"/>
              </w:rPr>
            </w:pPr>
            <w:r>
              <w:rPr>
                <w:rFonts w:asciiTheme="minorEastAsia" w:hAnsiTheme="minorEastAsia" w:cs="Arial"/>
                <w:szCs w:val="21"/>
              </w:rPr>
              <w:t>48</w:t>
            </w:r>
          </w:p>
        </w:tc>
        <w:tc>
          <w:tcPr>
            <w:tcW w:w="2693" w:type="dxa"/>
          </w:tcPr>
          <w:p w14:paraId="29CD1054"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渤海证券股份有限公司</w:t>
            </w:r>
          </w:p>
        </w:tc>
        <w:tc>
          <w:tcPr>
            <w:tcW w:w="5103" w:type="dxa"/>
          </w:tcPr>
          <w:p w14:paraId="3AF83784"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注册地址：天津市经济技术开发区第二大街</w:t>
            </w:r>
            <w:r>
              <w:rPr>
                <w:rFonts w:asciiTheme="minorEastAsia" w:hAnsiTheme="minorEastAsia" w:cs="Arial"/>
                <w:szCs w:val="21"/>
              </w:rPr>
              <w:t>42</w:t>
            </w:r>
            <w:r>
              <w:rPr>
                <w:rFonts w:asciiTheme="minorEastAsia" w:hAnsiTheme="minorEastAsia" w:cs="Arial" w:hint="eastAsia"/>
                <w:szCs w:val="21"/>
              </w:rPr>
              <w:t>号写字楼</w:t>
            </w:r>
            <w:r>
              <w:rPr>
                <w:rFonts w:asciiTheme="minorEastAsia" w:hAnsiTheme="minorEastAsia" w:cs="Arial"/>
                <w:szCs w:val="21"/>
              </w:rPr>
              <w:t>101</w:t>
            </w:r>
            <w:r>
              <w:rPr>
                <w:rFonts w:asciiTheme="minorEastAsia" w:hAnsiTheme="minorEastAsia" w:cs="Arial" w:hint="eastAsia"/>
                <w:szCs w:val="21"/>
              </w:rPr>
              <w:t>室</w:t>
            </w:r>
          </w:p>
          <w:p w14:paraId="5F7683FD"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客户服务电话：</w:t>
            </w:r>
            <w:r>
              <w:rPr>
                <w:rFonts w:asciiTheme="minorEastAsia" w:hAnsiTheme="minorEastAsia" w:cs="Arial"/>
                <w:szCs w:val="21"/>
              </w:rPr>
              <w:t>956066</w:t>
            </w:r>
          </w:p>
          <w:p w14:paraId="60B27439"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网址：</w:t>
            </w:r>
            <w:r>
              <w:rPr>
                <w:rFonts w:asciiTheme="minorEastAsia" w:hAnsiTheme="minorEastAsia" w:cs="Arial"/>
                <w:szCs w:val="21"/>
              </w:rPr>
              <w:t>www.ewww.com.cn</w:t>
            </w:r>
          </w:p>
        </w:tc>
      </w:tr>
      <w:tr w:rsidR="00B67C49" w14:paraId="23648917" w14:textId="77777777">
        <w:trPr>
          <w:trHeight w:val="14"/>
        </w:trPr>
        <w:tc>
          <w:tcPr>
            <w:tcW w:w="709" w:type="dxa"/>
          </w:tcPr>
          <w:p w14:paraId="59A23073" w14:textId="77777777" w:rsidR="00B67C49" w:rsidRDefault="00000000">
            <w:pPr>
              <w:snapToGrid w:val="0"/>
              <w:jc w:val="center"/>
              <w:rPr>
                <w:rFonts w:asciiTheme="minorEastAsia" w:hAnsiTheme="minorEastAsia" w:cs="Arial"/>
                <w:sz w:val="22"/>
              </w:rPr>
            </w:pPr>
            <w:r>
              <w:rPr>
                <w:rFonts w:asciiTheme="minorEastAsia" w:hAnsiTheme="minorEastAsia" w:cs="Arial"/>
                <w:sz w:val="22"/>
              </w:rPr>
              <w:t>49</w:t>
            </w:r>
          </w:p>
        </w:tc>
        <w:tc>
          <w:tcPr>
            <w:tcW w:w="2693" w:type="dxa"/>
          </w:tcPr>
          <w:p w14:paraId="3E29864B"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国泰君安证券股份有限公司</w:t>
            </w:r>
          </w:p>
        </w:tc>
        <w:tc>
          <w:tcPr>
            <w:tcW w:w="5103" w:type="dxa"/>
          </w:tcPr>
          <w:p w14:paraId="5A11AEE8"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注册地址：中国（上海）自由贸易试验区商城路618号</w:t>
            </w:r>
          </w:p>
          <w:p w14:paraId="736FD4F1"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客户服务电话：95521</w:t>
            </w:r>
          </w:p>
          <w:p w14:paraId="24491983"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www.gtja.com</w:t>
            </w:r>
          </w:p>
        </w:tc>
      </w:tr>
      <w:tr w:rsidR="00B67C49" w14:paraId="6932F3D9" w14:textId="77777777">
        <w:trPr>
          <w:trHeight w:val="14"/>
        </w:trPr>
        <w:tc>
          <w:tcPr>
            <w:tcW w:w="709" w:type="dxa"/>
          </w:tcPr>
          <w:p w14:paraId="62EBEA4E" w14:textId="77777777" w:rsidR="00B67C49" w:rsidRDefault="00000000">
            <w:pPr>
              <w:snapToGrid w:val="0"/>
              <w:jc w:val="center"/>
              <w:rPr>
                <w:rFonts w:asciiTheme="minorEastAsia" w:hAnsiTheme="minorEastAsia" w:cs="Arial"/>
                <w:sz w:val="22"/>
              </w:rPr>
            </w:pPr>
            <w:r>
              <w:rPr>
                <w:rFonts w:asciiTheme="minorEastAsia" w:hAnsiTheme="minorEastAsia" w:cs="Arial"/>
                <w:sz w:val="22"/>
              </w:rPr>
              <w:t>50</w:t>
            </w:r>
          </w:p>
        </w:tc>
        <w:tc>
          <w:tcPr>
            <w:tcW w:w="2693" w:type="dxa"/>
          </w:tcPr>
          <w:p w14:paraId="0F889FF6"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宁波银行股份有限公司</w:t>
            </w:r>
          </w:p>
        </w:tc>
        <w:tc>
          <w:tcPr>
            <w:tcW w:w="5103" w:type="dxa"/>
          </w:tcPr>
          <w:p w14:paraId="076D49E2"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注册地址：浙江省宁波市</w:t>
            </w:r>
            <w:proofErr w:type="gramStart"/>
            <w:r>
              <w:rPr>
                <w:rFonts w:asciiTheme="minorEastAsia" w:hAnsiTheme="minorEastAsia" w:cs="Arial" w:hint="eastAsia"/>
                <w:sz w:val="22"/>
              </w:rPr>
              <w:t>鄞</w:t>
            </w:r>
            <w:proofErr w:type="gramEnd"/>
            <w:r>
              <w:rPr>
                <w:rFonts w:asciiTheme="minorEastAsia" w:hAnsiTheme="minorEastAsia" w:cs="Arial" w:hint="eastAsia"/>
                <w:sz w:val="22"/>
              </w:rPr>
              <w:t>州区宁东路</w:t>
            </w:r>
            <w:r>
              <w:rPr>
                <w:rFonts w:asciiTheme="minorEastAsia" w:hAnsiTheme="minorEastAsia" w:cs="Arial"/>
                <w:sz w:val="22"/>
              </w:rPr>
              <w:t>345</w:t>
            </w:r>
            <w:r>
              <w:rPr>
                <w:rFonts w:asciiTheme="minorEastAsia" w:hAnsiTheme="minorEastAsia" w:cs="Arial" w:hint="eastAsia"/>
                <w:sz w:val="22"/>
              </w:rPr>
              <w:t>号</w:t>
            </w:r>
          </w:p>
          <w:p w14:paraId="06B80858"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95574</w:t>
            </w:r>
          </w:p>
          <w:p w14:paraId="5D24D602"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www.nbcb.com.cn</w:t>
            </w:r>
          </w:p>
        </w:tc>
      </w:tr>
      <w:tr w:rsidR="00B67C49" w14:paraId="2B6229CA" w14:textId="77777777">
        <w:trPr>
          <w:trHeight w:val="14"/>
        </w:trPr>
        <w:tc>
          <w:tcPr>
            <w:tcW w:w="709" w:type="dxa"/>
          </w:tcPr>
          <w:p w14:paraId="62C1C5F7" w14:textId="77777777" w:rsidR="00B67C49" w:rsidRDefault="00000000">
            <w:pPr>
              <w:snapToGrid w:val="0"/>
              <w:jc w:val="center"/>
              <w:rPr>
                <w:rFonts w:asciiTheme="minorEastAsia" w:hAnsiTheme="minorEastAsia" w:cs="Arial"/>
                <w:sz w:val="22"/>
              </w:rPr>
            </w:pPr>
            <w:r>
              <w:rPr>
                <w:rFonts w:asciiTheme="minorEastAsia" w:hAnsiTheme="minorEastAsia" w:cs="Arial"/>
                <w:sz w:val="22"/>
              </w:rPr>
              <w:t>51</w:t>
            </w:r>
          </w:p>
        </w:tc>
        <w:tc>
          <w:tcPr>
            <w:tcW w:w="2693" w:type="dxa"/>
          </w:tcPr>
          <w:p w14:paraId="3ED4716B" w14:textId="77777777" w:rsidR="00B67C49" w:rsidRDefault="00000000">
            <w:pPr>
              <w:snapToGrid w:val="0"/>
              <w:rPr>
                <w:rFonts w:asciiTheme="minorEastAsia" w:hAnsiTheme="minorEastAsia" w:cs="Arial"/>
                <w:sz w:val="22"/>
              </w:rPr>
            </w:pPr>
            <w:proofErr w:type="gramStart"/>
            <w:r>
              <w:rPr>
                <w:rFonts w:asciiTheme="minorEastAsia" w:hAnsiTheme="minorEastAsia" w:cs="Arial" w:hint="eastAsia"/>
                <w:sz w:val="22"/>
              </w:rPr>
              <w:t>万联证券</w:t>
            </w:r>
            <w:proofErr w:type="gramEnd"/>
            <w:r>
              <w:rPr>
                <w:rFonts w:asciiTheme="minorEastAsia" w:hAnsiTheme="minorEastAsia" w:cs="Arial" w:hint="eastAsia"/>
                <w:sz w:val="22"/>
              </w:rPr>
              <w:t>股份有限公司</w:t>
            </w:r>
          </w:p>
        </w:tc>
        <w:tc>
          <w:tcPr>
            <w:tcW w:w="5103" w:type="dxa"/>
          </w:tcPr>
          <w:p w14:paraId="770FE3CB"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注册地址：广东省广州市天河区珠江东路</w:t>
            </w:r>
            <w:r>
              <w:rPr>
                <w:rFonts w:asciiTheme="minorEastAsia" w:hAnsiTheme="minorEastAsia" w:cs="Arial"/>
                <w:sz w:val="22"/>
              </w:rPr>
              <w:t>11</w:t>
            </w:r>
            <w:r>
              <w:rPr>
                <w:rFonts w:asciiTheme="minorEastAsia" w:hAnsiTheme="minorEastAsia" w:cs="Arial" w:hint="eastAsia"/>
                <w:sz w:val="22"/>
              </w:rPr>
              <w:t>号</w:t>
            </w:r>
            <w:r>
              <w:rPr>
                <w:rFonts w:asciiTheme="minorEastAsia" w:hAnsiTheme="minorEastAsia" w:cs="Arial"/>
                <w:sz w:val="22"/>
              </w:rPr>
              <w:t>18,19</w:t>
            </w:r>
            <w:r>
              <w:rPr>
                <w:rFonts w:asciiTheme="minorEastAsia" w:hAnsiTheme="minorEastAsia" w:cs="Arial" w:hint="eastAsia"/>
                <w:sz w:val="22"/>
              </w:rPr>
              <w:t>楼全层</w:t>
            </w:r>
          </w:p>
          <w:p w14:paraId="37A2DF5A"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95322</w:t>
            </w:r>
          </w:p>
          <w:p w14:paraId="7E5F5C3A"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www.wlzq.cn</w:t>
            </w:r>
          </w:p>
        </w:tc>
      </w:tr>
      <w:tr w:rsidR="00B67C49" w14:paraId="6DC3ADFC" w14:textId="77777777">
        <w:trPr>
          <w:trHeight w:val="14"/>
        </w:trPr>
        <w:tc>
          <w:tcPr>
            <w:tcW w:w="709" w:type="dxa"/>
          </w:tcPr>
          <w:p w14:paraId="6FE9E2A7" w14:textId="77777777" w:rsidR="00B67C49" w:rsidRDefault="00000000">
            <w:pPr>
              <w:snapToGrid w:val="0"/>
              <w:jc w:val="center"/>
              <w:rPr>
                <w:rFonts w:asciiTheme="minorEastAsia" w:hAnsiTheme="minorEastAsia" w:cs="Arial"/>
                <w:sz w:val="22"/>
              </w:rPr>
            </w:pPr>
            <w:r>
              <w:rPr>
                <w:rFonts w:asciiTheme="minorEastAsia" w:hAnsiTheme="minorEastAsia" w:cs="Arial"/>
                <w:sz w:val="22"/>
              </w:rPr>
              <w:t>52</w:t>
            </w:r>
          </w:p>
        </w:tc>
        <w:tc>
          <w:tcPr>
            <w:tcW w:w="2693" w:type="dxa"/>
          </w:tcPr>
          <w:p w14:paraId="7AA90A50" w14:textId="77777777" w:rsidR="00B67C49" w:rsidRDefault="00000000">
            <w:pPr>
              <w:snapToGrid w:val="0"/>
              <w:rPr>
                <w:rFonts w:asciiTheme="minorEastAsia" w:hAnsiTheme="minorEastAsia" w:cs="Arial"/>
                <w:sz w:val="22"/>
              </w:rPr>
            </w:pPr>
            <w:r>
              <w:rPr>
                <w:rFonts w:asciiTheme="minorEastAsia" w:hAnsiTheme="minorEastAsia" w:cs="Arial" w:hint="eastAsia"/>
                <w:sz w:val="22"/>
              </w:rPr>
              <w:t>五</w:t>
            </w:r>
            <w:proofErr w:type="gramStart"/>
            <w:r>
              <w:rPr>
                <w:rFonts w:asciiTheme="minorEastAsia" w:hAnsiTheme="minorEastAsia" w:cs="Arial" w:hint="eastAsia"/>
                <w:sz w:val="22"/>
              </w:rPr>
              <w:t>矿证券</w:t>
            </w:r>
            <w:proofErr w:type="gramEnd"/>
            <w:r>
              <w:rPr>
                <w:rFonts w:asciiTheme="minorEastAsia" w:hAnsiTheme="minorEastAsia" w:cs="Arial" w:hint="eastAsia"/>
                <w:sz w:val="22"/>
              </w:rPr>
              <w:t>有限公司</w:t>
            </w:r>
          </w:p>
        </w:tc>
        <w:tc>
          <w:tcPr>
            <w:tcW w:w="5103" w:type="dxa"/>
          </w:tcPr>
          <w:p w14:paraId="41FDA3C3"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注册地址：广东省深圳市南山区粤海</w:t>
            </w:r>
            <w:proofErr w:type="gramStart"/>
            <w:r>
              <w:rPr>
                <w:rFonts w:asciiTheme="minorEastAsia" w:hAnsiTheme="minorEastAsia" w:cs="Arial" w:hint="eastAsia"/>
                <w:sz w:val="22"/>
              </w:rPr>
              <w:t>街道海</w:t>
            </w:r>
            <w:proofErr w:type="gramEnd"/>
            <w:r>
              <w:rPr>
                <w:rFonts w:asciiTheme="minorEastAsia" w:hAnsiTheme="minorEastAsia" w:cs="Arial" w:hint="eastAsia"/>
                <w:sz w:val="22"/>
              </w:rPr>
              <w:t>珠社区滨海大道</w:t>
            </w:r>
            <w:r>
              <w:rPr>
                <w:rFonts w:asciiTheme="minorEastAsia" w:hAnsiTheme="minorEastAsia" w:cs="Arial"/>
                <w:sz w:val="22"/>
              </w:rPr>
              <w:t>3165</w:t>
            </w:r>
            <w:r>
              <w:rPr>
                <w:rFonts w:asciiTheme="minorEastAsia" w:hAnsiTheme="minorEastAsia" w:cs="Arial" w:hint="eastAsia"/>
                <w:sz w:val="22"/>
              </w:rPr>
              <w:t>号五</w:t>
            </w:r>
            <w:proofErr w:type="gramStart"/>
            <w:r>
              <w:rPr>
                <w:rFonts w:asciiTheme="minorEastAsia" w:hAnsiTheme="minorEastAsia" w:cs="Arial" w:hint="eastAsia"/>
                <w:sz w:val="22"/>
              </w:rPr>
              <w:t>矿金融</w:t>
            </w:r>
            <w:proofErr w:type="gramEnd"/>
            <w:r>
              <w:rPr>
                <w:rFonts w:asciiTheme="minorEastAsia" w:hAnsiTheme="minorEastAsia" w:cs="Arial" w:hint="eastAsia"/>
                <w:sz w:val="22"/>
              </w:rPr>
              <w:t>大厦</w:t>
            </w:r>
            <w:r>
              <w:rPr>
                <w:rFonts w:asciiTheme="minorEastAsia" w:hAnsiTheme="minorEastAsia" w:cs="Arial"/>
                <w:sz w:val="22"/>
              </w:rPr>
              <w:t>2401</w:t>
            </w:r>
          </w:p>
          <w:p w14:paraId="3A803DB1"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4001840028</w:t>
            </w:r>
          </w:p>
          <w:p w14:paraId="64CB7E93"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www.wkzq.com.cn</w:t>
            </w:r>
          </w:p>
        </w:tc>
      </w:tr>
      <w:tr w:rsidR="00B67C49" w14:paraId="6C524B33" w14:textId="77777777">
        <w:trPr>
          <w:trHeight w:val="14"/>
        </w:trPr>
        <w:tc>
          <w:tcPr>
            <w:tcW w:w="709" w:type="dxa"/>
          </w:tcPr>
          <w:p w14:paraId="06F67B8F" w14:textId="77777777" w:rsidR="00B67C49" w:rsidRDefault="00000000">
            <w:pPr>
              <w:snapToGrid w:val="0"/>
              <w:jc w:val="center"/>
              <w:rPr>
                <w:rFonts w:asciiTheme="minorEastAsia" w:hAnsiTheme="minorEastAsia" w:cs="Arial"/>
                <w:sz w:val="22"/>
              </w:rPr>
            </w:pPr>
            <w:r>
              <w:rPr>
                <w:rFonts w:asciiTheme="minorEastAsia" w:hAnsiTheme="minorEastAsia" w:cs="Arial"/>
                <w:sz w:val="22"/>
              </w:rPr>
              <w:t>53</w:t>
            </w:r>
          </w:p>
        </w:tc>
        <w:tc>
          <w:tcPr>
            <w:tcW w:w="2693" w:type="dxa"/>
          </w:tcPr>
          <w:p w14:paraId="38EEDCB7" w14:textId="77777777" w:rsidR="00B67C49" w:rsidRDefault="00000000">
            <w:pPr>
              <w:snapToGrid w:val="0"/>
              <w:rPr>
                <w:rFonts w:asciiTheme="minorEastAsia" w:hAnsiTheme="minorEastAsia" w:cs="Arial"/>
                <w:sz w:val="22"/>
              </w:rPr>
            </w:pPr>
            <w:proofErr w:type="gramStart"/>
            <w:r>
              <w:rPr>
                <w:rFonts w:asciiTheme="minorEastAsia" w:hAnsiTheme="minorEastAsia" w:cs="Arial" w:hint="eastAsia"/>
                <w:sz w:val="22"/>
              </w:rPr>
              <w:t>粤开证券</w:t>
            </w:r>
            <w:proofErr w:type="gramEnd"/>
            <w:r>
              <w:rPr>
                <w:rFonts w:asciiTheme="minorEastAsia" w:hAnsiTheme="minorEastAsia" w:cs="Arial" w:hint="eastAsia"/>
                <w:sz w:val="22"/>
              </w:rPr>
              <w:t>股份有限公司</w:t>
            </w:r>
          </w:p>
        </w:tc>
        <w:tc>
          <w:tcPr>
            <w:tcW w:w="5103" w:type="dxa"/>
          </w:tcPr>
          <w:p w14:paraId="3E96220F"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注册地址：广州市黄埔区科学大道60号开发区控股中心19、21、22、23层</w:t>
            </w:r>
          </w:p>
          <w:p w14:paraId="20A58187"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95564</w:t>
            </w:r>
          </w:p>
          <w:p w14:paraId="0866D6FD"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www.ykzq.com</w:t>
            </w:r>
          </w:p>
        </w:tc>
      </w:tr>
      <w:tr w:rsidR="00B67C49" w14:paraId="3C4FD229" w14:textId="77777777">
        <w:trPr>
          <w:trHeight w:val="14"/>
        </w:trPr>
        <w:tc>
          <w:tcPr>
            <w:tcW w:w="709" w:type="dxa"/>
          </w:tcPr>
          <w:p w14:paraId="2C1BD293" w14:textId="77777777" w:rsidR="00B67C49" w:rsidRDefault="00000000">
            <w:pPr>
              <w:snapToGrid w:val="0"/>
              <w:jc w:val="center"/>
              <w:rPr>
                <w:rFonts w:asciiTheme="minorEastAsia" w:hAnsiTheme="minorEastAsia" w:cs="Arial"/>
                <w:sz w:val="22"/>
              </w:rPr>
            </w:pPr>
            <w:r>
              <w:rPr>
                <w:rFonts w:asciiTheme="minorEastAsia" w:hAnsiTheme="minorEastAsia" w:cs="Arial"/>
                <w:sz w:val="22"/>
              </w:rPr>
              <w:t>54</w:t>
            </w:r>
          </w:p>
        </w:tc>
        <w:tc>
          <w:tcPr>
            <w:tcW w:w="2693" w:type="dxa"/>
          </w:tcPr>
          <w:p w14:paraId="426A0C5F"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招商证券股份有限公司</w:t>
            </w:r>
          </w:p>
        </w:tc>
        <w:tc>
          <w:tcPr>
            <w:tcW w:w="5103" w:type="dxa"/>
          </w:tcPr>
          <w:p w14:paraId="79697079"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注册地址：广东省深圳市福田区福田街道福华一路</w:t>
            </w:r>
            <w:r>
              <w:rPr>
                <w:rFonts w:asciiTheme="minorEastAsia" w:hAnsiTheme="minorEastAsia" w:cs="Arial"/>
                <w:sz w:val="22"/>
              </w:rPr>
              <w:t>111</w:t>
            </w:r>
            <w:r>
              <w:rPr>
                <w:rFonts w:asciiTheme="minorEastAsia" w:hAnsiTheme="minorEastAsia" w:cs="Arial" w:hint="eastAsia"/>
                <w:sz w:val="22"/>
              </w:rPr>
              <w:t>号</w:t>
            </w:r>
          </w:p>
          <w:p w14:paraId="5D0CDB99"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95565</w:t>
            </w:r>
          </w:p>
          <w:p w14:paraId="51517058"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www.cmschina.com</w:t>
            </w:r>
          </w:p>
        </w:tc>
      </w:tr>
      <w:tr w:rsidR="00B67C49" w14:paraId="14774FA9" w14:textId="77777777">
        <w:trPr>
          <w:trHeight w:val="14"/>
        </w:trPr>
        <w:tc>
          <w:tcPr>
            <w:tcW w:w="709" w:type="dxa"/>
          </w:tcPr>
          <w:p w14:paraId="5D3E41D7" w14:textId="77777777" w:rsidR="00B67C49" w:rsidRDefault="00000000">
            <w:pPr>
              <w:snapToGrid w:val="0"/>
              <w:jc w:val="center"/>
              <w:rPr>
                <w:rFonts w:asciiTheme="minorEastAsia" w:hAnsiTheme="minorEastAsia" w:cs="Arial"/>
                <w:sz w:val="22"/>
              </w:rPr>
            </w:pPr>
            <w:r>
              <w:rPr>
                <w:rFonts w:asciiTheme="minorEastAsia" w:hAnsiTheme="minorEastAsia" w:cs="Arial"/>
                <w:sz w:val="22"/>
              </w:rPr>
              <w:t>55</w:t>
            </w:r>
          </w:p>
        </w:tc>
        <w:tc>
          <w:tcPr>
            <w:tcW w:w="2693" w:type="dxa"/>
          </w:tcPr>
          <w:p w14:paraId="3870B1DE" w14:textId="77777777" w:rsidR="00B67C49" w:rsidRDefault="00000000">
            <w:pPr>
              <w:snapToGrid w:val="0"/>
              <w:rPr>
                <w:rFonts w:asciiTheme="minorEastAsia" w:hAnsiTheme="minorEastAsia" w:cs="Arial"/>
                <w:sz w:val="22"/>
              </w:rPr>
            </w:pPr>
            <w:r>
              <w:rPr>
                <w:rFonts w:asciiTheme="minorEastAsia" w:hAnsiTheme="minorEastAsia" w:cs="Arial" w:hint="eastAsia"/>
                <w:sz w:val="22"/>
              </w:rPr>
              <w:t>中山证券有限责任公司</w:t>
            </w:r>
          </w:p>
        </w:tc>
        <w:tc>
          <w:tcPr>
            <w:tcW w:w="5103" w:type="dxa"/>
          </w:tcPr>
          <w:p w14:paraId="5664668B"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注册地址：深圳市南山区粤海街道蔚蓝海岸社区创业路</w:t>
            </w:r>
            <w:r>
              <w:rPr>
                <w:rFonts w:asciiTheme="minorEastAsia" w:hAnsiTheme="minorEastAsia" w:cs="Arial"/>
                <w:sz w:val="22"/>
              </w:rPr>
              <w:t>1777</w:t>
            </w:r>
            <w:r>
              <w:rPr>
                <w:rFonts w:asciiTheme="minorEastAsia" w:hAnsiTheme="minorEastAsia" w:cs="Arial" w:hint="eastAsia"/>
                <w:sz w:val="22"/>
              </w:rPr>
              <w:t>号海信南方大厦</w:t>
            </w:r>
            <w:r>
              <w:rPr>
                <w:rFonts w:asciiTheme="minorEastAsia" w:hAnsiTheme="minorEastAsia" w:cs="Arial"/>
                <w:sz w:val="22"/>
              </w:rPr>
              <w:t>21</w:t>
            </w:r>
            <w:r>
              <w:rPr>
                <w:rFonts w:asciiTheme="minorEastAsia" w:hAnsiTheme="minorEastAsia" w:cs="Arial" w:hint="eastAsia"/>
                <w:sz w:val="22"/>
              </w:rPr>
              <w:t>层、</w:t>
            </w:r>
            <w:r>
              <w:rPr>
                <w:rFonts w:asciiTheme="minorEastAsia" w:hAnsiTheme="minorEastAsia" w:cs="Arial"/>
                <w:sz w:val="22"/>
              </w:rPr>
              <w:t>22</w:t>
            </w:r>
            <w:r>
              <w:rPr>
                <w:rFonts w:asciiTheme="minorEastAsia" w:hAnsiTheme="minorEastAsia" w:cs="Arial" w:hint="eastAsia"/>
                <w:sz w:val="22"/>
              </w:rPr>
              <w:t>层</w:t>
            </w:r>
          </w:p>
          <w:p w14:paraId="64BEB49E"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95329</w:t>
            </w:r>
          </w:p>
          <w:p w14:paraId="0323EE3D"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www.zszq.com</w:t>
            </w:r>
          </w:p>
        </w:tc>
      </w:tr>
      <w:tr w:rsidR="00B67C49" w14:paraId="4252777D" w14:textId="77777777">
        <w:trPr>
          <w:trHeight w:val="14"/>
        </w:trPr>
        <w:tc>
          <w:tcPr>
            <w:tcW w:w="709" w:type="dxa"/>
          </w:tcPr>
          <w:p w14:paraId="4037D466" w14:textId="77777777" w:rsidR="00B67C49" w:rsidRDefault="00000000">
            <w:pPr>
              <w:snapToGrid w:val="0"/>
              <w:jc w:val="center"/>
              <w:rPr>
                <w:rFonts w:asciiTheme="minorEastAsia" w:hAnsiTheme="minorEastAsia" w:cs="Arial"/>
                <w:sz w:val="22"/>
              </w:rPr>
            </w:pPr>
            <w:r>
              <w:rPr>
                <w:rFonts w:asciiTheme="minorEastAsia" w:hAnsiTheme="minorEastAsia" w:cs="Arial"/>
                <w:sz w:val="22"/>
              </w:rPr>
              <w:t>56</w:t>
            </w:r>
          </w:p>
        </w:tc>
        <w:tc>
          <w:tcPr>
            <w:tcW w:w="2693" w:type="dxa"/>
          </w:tcPr>
          <w:p w14:paraId="38DC1AE8" w14:textId="77777777" w:rsidR="00B67C49" w:rsidRDefault="00000000">
            <w:pPr>
              <w:snapToGrid w:val="0"/>
              <w:rPr>
                <w:rFonts w:asciiTheme="minorEastAsia" w:hAnsiTheme="minorEastAsia" w:cs="Arial"/>
                <w:sz w:val="22"/>
              </w:rPr>
            </w:pPr>
            <w:r>
              <w:rPr>
                <w:rFonts w:asciiTheme="minorEastAsia" w:hAnsiTheme="minorEastAsia" w:cs="Arial" w:hint="eastAsia"/>
                <w:sz w:val="22"/>
              </w:rPr>
              <w:t>中</w:t>
            </w:r>
            <w:proofErr w:type="gramStart"/>
            <w:r>
              <w:rPr>
                <w:rFonts w:asciiTheme="minorEastAsia" w:hAnsiTheme="minorEastAsia" w:cs="Arial" w:hint="eastAsia"/>
                <w:sz w:val="22"/>
              </w:rPr>
              <w:t>信建投证券</w:t>
            </w:r>
            <w:proofErr w:type="gramEnd"/>
            <w:r>
              <w:rPr>
                <w:rFonts w:asciiTheme="minorEastAsia" w:hAnsiTheme="minorEastAsia" w:cs="Arial" w:hint="eastAsia"/>
                <w:sz w:val="22"/>
              </w:rPr>
              <w:t>股份有限公司</w:t>
            </w:r>
          </w:p>
        </w:tc>
        <w:tc>
          <w:tcPr>
            <w:tcW w:w="5103" w:type="dxa"/>
          </w:tcPr>
          <w:p w14:paraId="6F01058E"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注册地址：北京市朝阳区安立路</w:t>
            </w:r>
            <w:r>
              <w:rPr>
                <w:rFonts w:asciiTheme="minorEastAsia" w:hAnsiTheme="minorEastAsia" w:cs="Arial"/>
                <w:sz w:val="22"/>
              </w:rPr>
              <w:t>66</w:t>
            </w:r>
            <w:r>
              <w:rPr>
                <w:rFonts w:asciiTheme="minorEastAsia" w:hAnsiTheme="minorEastAsia" w:cs="Arial" w:hint="eastAsia"/>
                <w:sz w:val="22"/>
              </w:rPr>
              <w:t>号</w:t>
            </w:r>
            <w:r>
              <w:rPr>
                <w:rFonts w:asciiTheme="minorEastAsia" w:hAnsiTheme="minorEastAsia" w:cs="Arial"/>
                <w:sz w:val="22"/>
              </w:rPr>
              <w:t>4</w:t>
            </w:r>
            <w:r>
              <w:rPr>
                <w:rFonts w:asciiTheme="minorEastAsia" w:hAnsiTheme="minorEastAsia" w:cs="Arial" w:hint="eastAsia"/>
                <w:sz w:val="22"/>
              </w:rPr>
              <w:t>号楼</w:t>
            </w:r>
          </w:p>
          <w:p w14:paraId="153EF92C"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4008888108</w:t>
            </w:r>
          </w:p>
          <w:p w14:paraId="2BE9C5B5"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www.csc108.com</w:t>
            </w:r>
          </w:p>
        </w:tc>
      </w:tr>
      <w:tr w:rsidR="00B67C49" w14:paraId="44634A1C" w14:textId="77777777">
        <w:trPr>
          <w:trHeight w:val="14"/>
        </w:trPr>
        <w:tc>
          <w:tcPr>
            <w:tcW w:w="709" w:type="dxa"/>
          </w:tcPr>
          <w:p w14:paraId="70BEBBDE" w14:textId="77777777" w:rsidR="00B67C49" w:rsidRDefault="00000000">
            <w:pPr>
              <w:snapToGrid w:val="0"/>
              <w:jc w:val="center"/>
              <w:rPr>
                <w:rFonts w:asciiTheme="minorEastAsia" w:hAnsiTheme="minorEastAsia" w:cs="Arial"/>
                <w:sz w:val="22"/>
              </w:rPr>
            </w:pPr>
            <w:r>
              <w:rPr>
                <w:rFonts w:asciiTheme="minorEastAsia" w:hAnsiTheme="minorEastAsia" w:cs="Arial"/>
                <w:sz w:val="22"/>
              </w:rPr>
              <w:t>57</w:t>
            </w:r>
          </w:p>
        </w:tc>
        <w:tc>
          <w:tcPr>
            <w:tcW w:w="2693" w:type="dxa"/>
          </w:tcPr>
          <w:p w14:paraId="603A1C19" w14:textId="77777777" w:rsidR="00B67C49" w:rsidRDefault="00000000">
            <w:pPr>
              <w:snapToGrid w:val="0"/>
              <w:rPr>
                <w:rFonts w:asciiTheme="minorEastAsia" w:hAnsiTheme="minorEastAsia" w:cs="Arial"/>
                <w:sz w:val="22"/>
              </w:rPr>
            </w:pPr>
            <w:r>
              <w:rPr>
                <w:rFonts w:asciiTheme="minorEastAsia" w:hAnsiTheme="minorEastAsia" w:cs="Arial" w:hint="eastAsia"/>
                <w:sz w:val="22"/>
              </w:rPr>
              <w:t>中信期货有限公司</w:t>
            </w:r>
          </w:p>
        </w:tc>
        <w:tc>
          <w:tcPr>
            <w:tcW w:w="5103" w:type="dxa"/>
          </w:tcPr>
          <w:p w14:paraId="3054CD04"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注册地址：深圳市福田区中心三路</w:t>
            </w:r>
            <w:r>
              <w:rPr>
                <w:rFonts w:asciiTheme="minorEastAsia" w:hAnsiTheme="minorEastAsia" w:cs="Arial"/>
                <w:sz w:val="22"/>
              </w:rPr>
              <w:t>8</w:t>
            </w:r>
            <w:r>
              <w:rPr>
                <w:rFonts w:asciiTheme="minorEastAsia" w:hAnsiTheme="minorEastAsia" w:cs="Arial" w:hint="eastAsia"/>
                <w:sz w:val="22"/>
              </w:rPr>
              <w:t>号卓越时代广场</w:t>
            </w:r>
            <w:r>
              <w:rPr>
                <w:rFonts w:asciiTheme="minorEastAsia" w:hAnsiTheme="minorEastAsia" w:cs="Arial"/>
                <w:sz w:val="22"/>
              </w:rPr>
              <w:t>(</w:t>
            </w:r>
            <w:r>
              <w:rPr>
                <w:rFonts w:asciiTheme="minorEastAsia" w:hAnsiTheme="minorEastAsia" w:cs="Arial" w:hint="eastAsia"/>
                <w:sz w:val="22"/>
              </w:rPr>
              <w:t>二期</w:t>
            </w:r>
            <w:r>
              <w:rPr>
                <w:rFonts w:asciiTheme="minorEastAsia" w:hAnsiTheme="minorEastAsia" w:cs="Arial"/>
                <w:sz w:val="22"/>
              </w:rPr>
              <w:t>)</w:t>
            </w:r>
            <w:r>
              <w:rPr>
                <w:rFonts w:asciiTheme="minorEastAsia" w:hAnsiTheme="minorEastAsia" w:cs="Arial" w:hint="eastAsia"/>
                <w:sz w:val="22"/>
              </w:rPr>
              <w:t>北座</w:t>
            </w:r>
            <w:r>
              <w:rPr>
                <w:rFonts w:asciiTheme="minorEastAsia" w:hAnsiTheme="minorEastAsia" w:cs="Arial"/>
                <w:sz w:val="22"/>
              </w:rPr>
              <w:t>13</w:t>
            </w:r>
            <w:r>
              <w:rPr>
                <w:rFonts w:asciiTheme="minorEastAsia" w:hAnsiTheme="minorEastAsia" w:cs="Arial" w:hint="eastAsia"/>
                <w:sz w:val="22"/>
              </w:rPr>
              <w:t>层</w:t>
            </w:r>
            <w:r>
              <w:rPr>
                <w:rFonts w:asciiTheme="minorEastAsia" w:hAnsiTheme="minorEastAsia" w:cs="Arial"/>
                <w:sz w:val="22"/>
              </w:rPr>
              <w:t>1301-1305</w:t>
            </w:r>
            <w:r>
              <w:rPr>
                <w:rFonts w:asciiTheme="minorEastAsia" w:hAnsiTheme="minorEastAsia" w:cs="Arial" w:hint="eastAsia"/>
                <w:sz w:val="22"/>
              </w:rPr>
              <w:t>室</w:t>
            </w:r>
            <w:r>
              <w:rPr>
                <w:rFonts w:asciiTheme="minorEastAsia" w:hAnsiTheme="minorEastAsia" w:cs="Arial"/>
                <w:sz w:val="22"/>
              </w:rPr>
              <w:t>,14</w:t>
            </w:r>
            <w:r>
              <w:rPr>
                <w:rFonts w:asciiTheme="minorEastAsia" w:hAnsiTheme="minorEastAsia" w:cs="Arial" w:hint="eastAsia"/>
                <w:sz w:val="22"/>
              </w:rPr>
              <w:t>层</w:t>
            </w:r>
          </w:p>
          <w:p w14:paraId="4049D570"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4009908826</w:t>
            </w:r>
          </w:p>
          <w:p w14:paraId="6B8E125C"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www.citicsf.com</w:t>
            </w:r>
          </w:p>
        </w:tc>
      </w:tr>
      <w:tr w:rsidR="00B67C49" w14:paraId="704CDF40" w14:textId="77777777">
        <w:trPr>
          <w:trHeight w:val="14"/>
        </w:trPr>
        <w:tc>
          <w:tcPr>
            <w:tcW w:w="709" w:type="dxa"/>
          </w:tcPr>
          <w:p w14:paraId="301EE339" w14:textId="77777777" w:rsidR="00B67C49" w:rsidRDefault="00000000">
            <w:pPr>
              <w:snapToGrid w:val="0"/>
              <w:jc w:val="center"/>
              <w:rPr>
                <w:rFonts w:asciiTheme="minorEastAsia" w:hAnsiTheme="minorEastAsia" w:cs="Arial"/>
                <w:sz w:val="22"/>
              </w:rPr>
            </w:pPr>
            <w:r>
              <w:rPr>
                <w:rFonts w:asciiTheme="minorEastAsia" w:hAnsiTheme="minorEastAsia" w:cs="Arial"/>
                <w:sz w:val="22"/>
              </w:rPr>
              <w:lastRenderedPageBreak/>
              <w:t>58</w:t>
            </w:r>
          </w:p>
        </w:tc>
        <w:tc>
          <w:tcPr>
            <w:tcW w:w="2693" w:type="dxa"/>
          </w:tcPr>
          <w:p w14:paraId="2BFFCD63" w14:textId="77777777" w:rsidR="00B67C49" w:rsidRDefault="00000000">
            <w:pPr>
              <w:snapToGrid w:val="0"/>
              <w:rPr>
                <w:rFonts w:asciiTheme="minorEastAsia" w:hAnsiTheme="minorEastAsia" w:cs="Arial"/>
                <w:sz w:val="22"/>
              </w:rPr>
            </w:pPr>
            <w:r>
              <w:rPr>
                <w:rFonts w:asciiTheme="minorEastAsia" w:hAnsiTheme="minorEastAsia" w:cs="Arial" w:hint="eastAsia"/>
                <w:sz w:val="22"/>
              </w:rPr>
              <w:t>中信证券</w:t>
            </w:r>
            <w:r>
              <w:rPr>
                <w:rFonts w:asciiTheme="minorEastAsia" w:hAnsiTheme="minorEastAsia" w:cs="Arial"/>
                <w:sz w:val="22"/>
              </w:rPr>
              <w:t>(山东)有限责任公司</w:t>
            </w:r>
          </w:p>
        </w:tc>
        <w:tc>
          <w:tcPr>
            <w:tcW w:w="5103" w:type="dxa"/>
          </w:tcPr>
          <w:p w14:paraId="0F7713FA"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注册地址：山东省青岛市崂山区深圳路</w:t>
            </w:r>
            <w:r>
              <w:rPr>
                <w:rFonts w:asciiTheme="minorEastAsia" w:hAnsiTheme="minorEastAsia" w:cs="Arial"/>
                <w:sz w:val="22"/>
              </w:rPr>
              <w:t>222</w:t>
            </w:r>
            <w:r>
              <w:rPr>
                <w:rFonts w:asciiTheme="minorEastAsia" w:hAnsiTheme="minorEastAsia" w:cs="Arial" w:hint="eastAsia"/>
                <w:sz w:val="22"/>
              </w:rPr>
              <w:t>号</w:t>
            </w:r>
            <w:r>
              <w:rPr>
                <w:rFonts w:asciiTheme="minorEastAsia" w:hAnsiTheme="minorEastAsia" w:cs="Arial"/>
                <w:sz w:val="22"/>
              </w:rPr>
              <w:t>1</w:t>
            </w:r>
            <w:r>
              <w:rPr>
                <w:rFonts w:asciiTheme="minorEastAsia" w:hAnsiTheme="minorEastAsia" w:cs="Arial" w:hint="eastAsia"/>
                <w:sz w:val="22"/>
              </w:rPr>
              <w:t>号楼</w:t>
            </w:r>
            <w:r>
              <w:rPr>
                <w:rFonts w:asciiTheme="minorEastAsia" w:hAnsiTheme="minorEastAsia" w:cs="Arial"/>
                <w:sz w:val="22"/>
              </w:rPr>
              <w:t>2001</w:t>
            </w:r>
          </w:p>
          <w:p w14:paraId="66461C75"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95548</w:t>
            </w:r>
          </w:p>
          <w:p w14:paraId="2ABEAF03"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sd.citics.com</w:t>
            </w:r>
          </w:p>
        </w:tc>
      </w:tr>
      <w:tr w:rsidR="00B67C49" w14:paraId="4AD25C77" w14:textId="77777777">
        <w:trPr>
          <w:trHeight w:val="14"/>
        </w:trPr>
        <w:tc>
          <w:tcPr>
            <w:tcW w:w="709" w:type="dxa"/>
          </w:tcPr>
          <w:p w14:paraId="501DA04C" w14:textId="77777777" w:rsidR="00B67C49" w:rsidRDefault="00000000">
            <w:pPr>
              <w:snapToGrid w:val="0"/>
              <w:jc w:val="center"/>
              <w:rPr>
                <w:rFonts w:asciiTheme="minorEastAsia" w:hAnsiTheme="minorEastAsia" w:cs="Arial"/>
                <w:sz w:val="22"/>
              </w:rPr>
            </w:pPr>
            <w:r>
              <w:rPr>
                <w:rFonts w:asciiTheme="minorEastAsia" w:hAnsiTheme="minorEastAsia" w:cs="Arial"/>
                <w:sz w:val="22"/>
              </w:rPr>
              <w:t>59</w:t>
            </w:r>
          </w:p>
        </w:tc>
        <w:tc>
          <w:tcPr>
            <w:tcW w:w="2693" w:type="dxa"/>
          </w:tcPr>
          <w:p w14:paraId="1B9B5BCD" w14:textId="77777777" w:rsidR="00B67C49" w:rsidRDefault="00000000">
            <w:pPr>
              <w:snapToGrid w:val="0"/>
              <w:rPr>
                <w:rFonts w:asciiTheme="minorEastAsia" w:hAnsiTheme="minorEastAsia" w:cs="Arial"/>
                <w:sz w:val="22"/>
              </w:rPr>
            </w:pPr>
            <w:r>
              <w:rPr>
                <w:rFonts w:asciiTheme="minorEastAsia" w:hAnsiTheme="minorEastAsia" w:cs="Arial" w:hint="eastAsia"/>
                <w:sz w:val="22"/>
              </w:rPr>
              <w:t>中信证券股份有限公司</w:t>
            </w:r>
          </w:p>
        </w:tc>
        <w:tc>
          <w:tcPr>
            <w:tcW w:w="5103" w:type="dxa"/>
          </w:tcPr>
          <w:p w14:paraId="321D994C"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注册地址：广东省深圳市福田区中心三路</w:t>
            </w:r>
            <w:r>
              <w:rPr>
                <w:rFonts w:asciiTheme="minorEastAsia" w:hAnsiTheme="minorEastAsia" w:cs="Arial"/>
                <w:sz w:val="22"/>
              </w:rPr>
              <w:t>8</w:t>
            </w:r>
            <w:r>
              <w:rPr>
                <w:rFonts w:asciiTheme="minorEastAsia" w:hAnsiTheme="minorEastAsia" w:cs="Arial" w:hint="eastAsia"/>
                <w:sz w:val="22"/>
              </w:rPr>
              <w:t>号卓越时代广场</w:t>
            </w:r>
            <w:r>
              <w:rPr>
                <w:rFonts w:asciiTheme="minorEastAsia" w:hAnsiTheme="minorEastAsia" w:cs="Arial"/>
                <w:sz w:val="22"/>
              </w:rPr>
              <w:t>(</w:t>
            </w:r>
            <w:r>
              <w:rPr>
                <w:rFonts w:asciiTheme="minorEastAsia" w:hAnsiTheme="minorEastAsia" w:cs="Arial" w:hint="eastAsia"/>
                <w:sz w:val="22"/>
              </w:rPr>
              <w:t>二期</w:t>
            </w:r>
            <w:r>
              <w:rPr>
                <w:rFonts w:asciiTheme="minorEastAsia" w:hAnsiTheme="minorEastAsia" w:cs="Arial"/>
                <w:sz w:val="22"/>
              </w:rPr>
              <w:t>)</w:t>
            </w:r>
            <w:r>
              <w:rPr>
                <w:rFonts w:asciiTheme="minorEastAsia" w:hAnsiTheme="minorEastAsia" w:cs="Arial" w:hint="eastAsia"/>
                <w:sz w:val="22"/>
              </w:rPr>
              <w:t>北座</w:t>
            </w:r>
          </w:p>
          <w:p w14:paraId="348EB993"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95548</w:t>
            </w:r>
          </w:p>
          <w:p w14:paraId="62720262"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www.citics.com</w:t>
            </w:r>
          </w:p>
        </w:tc>
      </w:tr>
      <w:tr w:rsidR="00B67C49" w14:paraId="3A601E4E" w14:textId="77777777">
        <w:trPr>
          <w:trHeight w:val="14"/>
        </w:trPr>
        <w:tc>
          <w:tcPr>
            <w:tcW w:w="709" w:type="dxa"/>
          </w:tcPr>
          <w:p w14:paraId="03322C88" w14:textId="77777777" w:rsidR="00B67C49" w:rsidRDefault="00000000">
            <w:pPr>
              <w:snapToGrid w:val="0"/>
              <w:jc w:val="center"/>
              <w:rPr>
                <w:rFonts w:asciiTheme="minorEastAsia" w:hAnsiTheme="minorEastAsia" w:cs="Arial"/>
                <w:sz w:val="22"/>
              </w:rPr>
            </w:pPr>
            <w:r>
              <w:rPr>
                <w:rFonts w:asciiTheme="minorEastAsia" w:hAnsiTheme="minorEastAsia" w:cs="Arial"/>
                <w:sz w:val="22"/>
              </w:rPr>
              <w:t>60</w:t>
            </w:r>
          </w:p>
        </w:tc>
        <w:tc>
          <w:tcPr>
            <w:tcW w:w="2693" w:type="dxa"/>
          </w:tcPr>
          <w:p w14:paraId="36E31514" w14:textId="77777777" w:rsidR="00B67C49" w:rsidRDefault="00000000">
            <w:pPr>
              <w:snapToGrid w:val="0"/>
              <w:rPr>
                <w:rFonts w:asciiTheme="minorEastAsia" w:hAnsiTheme="minorEastAsia" w:cs="Arial"/>
                <w:sz w:val="22"/>
              </w:rPr>
            </w:pPr>
            <w:r>
              <w:rPr>
                <w:rFonts w:asciiTheme="minorEastAsia" w:hAnsiTheme="minorEastAsia" w:cs="Arial" w:hint="eastAsia"/>
                <w:sz w:val="22"/>
              </w:rPr>
              <w:t>中信证券华南股份有限公司</w:t>
            </w:r>
          </w:p>
        </w:tc>
        <w:tc>
          <w:tcPr>
            <w:tcW w:w="5103" w:type="dxa"/>
          </w:tcPr>
          <w:p w14:paraId="40AC7889"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注册地址：广东省广州市天河区临江大道</w:t>
            </w:r>
            <w:r>
              <w:rPr>
                <w:rFonts w:asciiTheme="minorEastAsia" w:hAnsiTheme="minorEastAsia" w:cs="Arial"/>
                <w:sz w:val="22"/>
              </w:rPr>
              <w:t>395号901室(部位:自编01),1001室</w:t>
            </w:r>
          </w:p>
          <w:p w14:paraId="3398E933"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95548</w:t>
            </w:r>
          </w:p>
          <w:p w14:paraId="0C3723AB"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www.gzs.com.cn</w:t>
            </w:r>
          </w:p>
        </w:tc>
      </w:tr>
      <w:tr w:rsidR="00B67C49" w14:paraId="479EC9CF" w14:textId="77777777">
        <w:trPr>
          <w:trHeight w:val="14"/>
        </w:trPr>
        <w:tc>
          <w:tcPr>
            <w:tcW w:w="709" w:type="dxa"/>
          </w:tcPr>
          <w:p w14:paraId="14775F3F" w14:textId="77777777" w:rsidR="00B67C49" w:rsidRDefault="00000000">
            <w:pPr>
              <w:snapToGrid w:val="0"/>
              <w:jc w:val="center"/>
              <w:rPr>
                <w:rFonts w:asciiTheme="minorEastAsia" w:hAnsiTheme="minorEastAsia" w:cs="Arial"/>
                <w:sz w:val="22"/>
              </w:rPr>
            </w:pPr>
            <w:r>
              <w:rPr>
                <w:rFonts w:asciiTheme="minorEastAsia" w:hAnsiTheme="minorEastAsia" w:cs="Arial"/>
                <w:sz w:val="22"/>
              </w:rPr>
              <w:t>61</w:t>
            </w:r>
          </w:p>
        </w:tc>
        <w:tc>
          <w:tcPr>
            <w:tcW w:w="2693" w:type="dxa"/>
          </w:tcPr>
          <w:p w14:paraId="428D9D3F" w14:textId="77777777" w:rsidR="00B67C49" w:rsidRDefault="00000000">
            <w:pPr>
              <w:snapToGrid w:val="0"/>
              <w:rPr>
                <w:rFonts w:asciiTheme="minorEastAsia" w:hAnsiTheme="minorEastAsia" w:cs="Arial"/>
                <w:sz w:val="22"/>
              </w:rPr>
            </w:pPr>
            <w:r>
              <w:rPr>
                <w:rFonts w:asciiTheme="minorEastAsia" w:hAnsiTheme="minorEastAsia" w:cs="Arial" w:hint="eastAsia"/>
                <w:sz w:val="22"/>
              </w:rPr>
              <w:t>中</w:t>
            </w:r>
            <w:proofErr w:type="gramStart"/>
            <w:r>
              <w:rPr>
                <w:rFonts w:asciiTheme="minorEastAsia" w:hAnsiTheme="minorEastAsia" w:cs="Arial" w:hint="eastAsia"/>
                <w:sz w:val="22"/>
              </w:rPr>
              <w:t>邮证券</w:t>
            </w:r>
            <w:proofErr w:type="gramEnd"/>
            <w:r>
              <w:rPr>
                <w:rFonts w:asciiTheme="minorEastAsia" w:hAnsiTheme="minorEastAsia" w:cs="Arial" w:hint="eastAsia"/>
                <w:sz w:val="22"/>
              </w:rPr>
              <w:t>有限责任公司</w:t>
            </w:r>
          </w:p>
        </w:tc>
        <w:tc>
          <w:tcPr>
            <w:tcW w:w="5103" w:type="dxa"/>
          </w:tcPr>
          <w:p w14:paraId="4DD65DEA"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注册地址：陕西省西安市</w:t>
            </w:r>
            <w:proofErr w:type="gramStart"/>
            <w:r>
              <w:rPr>
                <w:rFonts w:asciiTheme="minorEastAsia" w:hAnsiTheme="minorEastAsia" w:cs="Arial" w:hint="eastAsia"/>
                <w:sz w:val="22"/>
              </w:rPr>
              <w:t>唐延路</w:t>
            </w:r>
            <w:proofErr w:type="gramEnd"/>
            <w:r>
              <w:rPr>
                <w:rFonts w:asciiTheme="minorEastAsia" w:hAnsiTheme="minorEastAsia" w:cs="Arial"/>
                <w:sz w:val="22"/>
              </w:rPr>
              <w:t>5号(陕西邮政信息大厦9-11层)</w:t>
            </w:r>
          </w:p>
          <w:p w14:paraId="33DDC6A8"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4008888005</w:t>
            </w:r>
          </w:p>
          <w:p w14:paraId="5E1ADD0B"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www.cnpsec.com</w:t>
            </w:r>
          </w:p>
        </w:tc>
      </w:tr>
      <w:tr w:rsidR="00B67C49" w14:paraId="3E08C92A" w14:textId="77777777">
        <w:trPr>
          <w:trHeight w:val="14"/>
        </w:trPr>
        <w:tc>
          <w:tcPr>
            <w:tcW w:w="709" w:type="dxa"/>
          </w:tcPr>
          <w:p w14:paraId="31B0E9BC" w14:textId="77777777" w:rsidR="00B67C49"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2</w:t>
            </w:r>
          </w:p>
        </w:tc>
        <w:tc>
          <w:tcPr>
            <w:tcW w:w="2693" w:type="dxa"/>
          </w:tcPr>
          <w:p w14:paraId="6B039B79" w14:textId="77777777" w:rsidR="00B67C49" w:rsidRDefault="00000000">
            <w:pPr>
              <w:snapToGrid w:val="0"/>
              <w:rPr>
                <w:rFonts w:asciiTheme="minorEastAsia" w:hAnsiTheme="minorEastAsia" w:cs="Arial"/>
                <w:sz w:val="22"/>
              </w:rPr>
            </w:pPr>
            <w:r>
              <w:rPr>
                <w:rFonts w:asciiTheme="minorEastAsia" w:hAnsiTheme="minorEastAsia" w:cs="Arial" w:hint="eastAsia"/>
                <w:szCs w:val="21"/>
              </w:rPr>
              <w:t>上海华夏财富投资管理有限公司</w:t>
            </w:r>
          </w:p>
        </w:tc>
        <w:tc>
          <w:tcPr>
            <w:tcW w:w="5103" w:type="dxa"/>
          </w:tcPr>
          <w:p w14:paraId="04706A6B" w14:textId="77777777" w:rsidR="00B67C49" w:rsidRDefault="00000000">
            <w:pPr>
              <w:rPr>
                <w:rFonts w:asciiTheme="minorEastAsia" w:hAnsiTheme="minorEastAsia" w:cs="Arial"/>
                <w:szCs w:val="21"/>
              </w:rPr>
            </w:pPr>
            <w:r>
              <w:rPr>
                <w:rFonts w:asciiTheme="minorEastAsia" w:hAnsiTheme="minorEastAsia" w:cs="Arial" w:hint="eastAsia"/>
                <w:szCs w:val="21"/>
              </w:rPr>
              <w:t>注册（办公）地址：北京市西城区金融大街33号通泰大厦B座8层</w:t>
            </w:r>
          </w:p>
          <w:p w14:paraId="67AF4F47" w14:textId="77777777" w:rsidR="00B67C49" w:rsidRDefault="00B67C49">
            <w:pPr>
              <w:snapToGrid w:val="0"/>
              <w:rPr>
                <w:rFonts w:asciiTheme="minorEastAsia" w:hAnsiTheme="minorEastAsia" w:cs="Arial"/>
                <w:szCs w:val="21"/>
              </w:rPr>
            </w:pPr>
          </w:p>
          <w:p w14:paraId="4B8150C7" w14:textId="77777777" w:rsidR="00B67C49" w:rsidRDefault="00000000">
            <w:pPr>
              <w:snapToGrid w:val="0"/>
              <w:rPr>
                <w:rFonts w:asciiTheme="minorEastAsia" w:hAnsiTheme="minorEastAsia" w:cs="Arial"/>
                <w:szCs w:val="21"/>
              </w:rPr>
            </w:pPr>
            <w:r>
              <w:rPr>
                <w:rFonts w:asciiTheme="minorEastAsia" w:hAnsiTheme="minorEastAsia" w:cs="Arial" w:hint="eastAsia"/>
                <w:szCs w:val="21"/>
              </w:rPr>
              <w:t>客服电话：</w:t>
            </w:r>
            <w:r>
              <w:rPr>
                <w:rFonts w:asciiTheme="minorEastAsia" w:hAnsiTheme="minorEastAsia" w:cs="Arial"/>
                <w:szCs w:val="21"/>
              </w:rPr>
              <w:t>400-817-5666</w:t>
            </w:r>
          </w:p>
          <w:p w14:paraId="3B04B10B" w14:textId="77777777" w:rsidR="00B67C49" w:rsidRDefault="00000000">
            <w:pPr>
              <w:snapToGrid w:val="0"/>
              <w:rPr>
                <w:rFonts w:asciiTheme="minorEastAsia" w:hAnsiTheme="minorEastAsia" w:cs="Arial"/>
                <w:sz w:val="22"/>
              </w:rPr>
            </w:pPr>
            <w:r>
              <w:rPr>
                <w:rFonts w:asciiTheme="minorEastAsia" w:hAnsiTheme="minorEastAsia" w:cs="Arial" w:hint="eastAsia"/>
                <w:szCs w:val="21"/>
              </w:rPr>
              <w:t>公司网站：</w:t>
            </w:r>
            <w:r>
              <w:rPr>
                <w:rFonts w:asciiTheme="minorEastAsia" w:hAnsiTheme="minorEastAsia" w:cs="Arial"/>
                <w:szCs w:val="21"/>
              </w:rPr>
              <w:t>https://www.amcfortune.com/</w:t>
            </w:r>
          </w:p>
        </w:tc>
      </w:tr>
      <w:tr w:rsidR="00B67C49" w14:paraId="33988B78" w14:textId="77777777">
        <w:trPr>
          <w:trHeight w:val="14"/>
        </w:trPr>
        <w:tc>
          <w:tcPr>
            <w:tcW w:w="709" w:type="dxa"/>
          </w:tcPr>
          <w:p w14:paraId="721A25C0" w14:textId="77777777" w:rsidR="00B67C49"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3</w:t>
            </w:r>
          </w:p>
        </w:tc>
        <w:tc>
          <w:tcPr>
            <w:tcW w:w="2693" w:type="dxa"/>
          </w:tcPr>
          <w:p w14:paraId="70271A41" w14:textId="77777777" w:rsidR="00B67C49" w:rsidRDefault="00000000">
            <w:pPr>
              <w:snapToGrid w:val="0"/>
              <w:rPr>
                <w:rFonts w:asciiTheme="minorEastAsia" w:hAnsiTheme="minorEastAsia" w:cs="Arial"/>
                <w:szCs w:val="21"/>
              </w:rPr>
            </w:pPr>
            <w:r>
              <w:rPr>
                <w:rFonts w:ascii="宋体" w:hAnsi="宋体" w:cs="Calibri" w:hint="eastAsia"/>
                <w:color w:val="000000"/>
                <w:szCs w:val="21"/>
              </w:rPr>
              <w:t>浙江同花</w:t>
            </w:r>
            <w:proofErr w:type="gramStart"/>
            <w:r>
              <w:rPr>
                <w:rFonts w:ascii="宋体" w:hAnsi="宋体" w:cs="Calibri" w:hint="eastAsia"/>
                <w:color w:val="000000"/>
                <w:szCs w:val="21"/>
              </w:rPr>
              <w:t>顺基金</w:t>
            </w:r>
            <w:proofErr w:type="gramEnd"/>
            <w:r>
              <w:rPr>
                <w:rFonts w:ascii="宋体" w:hAnsi="宋体" w:cs="Calibri" w:hint="eastAsia"/>
                <w:color w:val="000000"/>
                <w:szCs w:val="21"/>
              </w:rPr>
              <w:t>销售有限公司</w:t>
            </w:r>
          </w:p>
        </w:tc>
        <w:tc>
          <w:tcPr>
            <w:tcW w:w="5103" w:type="dxa"/>
          </w:tcPr>
          <w:p w14:paraId="272711D9" w14:textId="77777777" w:rsidR="00B67C49" w:rsidRDefault="00000000">
            <w:pPr>
              <w:snapToGrid w:val="0"/>
              <w:spacing w:line="360" w:lineRule="auto"/>
              <w:rPr>
                <w:rFonts w:ascii="宋体" w:hAnsi="宋体" w:cs="Calibri"/>
                <w:color w:val="000000"/>
                <w:szCs w:val="21"/>
              </w:rPr>
            </w:pPr>
            <w:r>
              <w:rPr>
                <w:rFonts w:ascii="宋体" w:hAnsi="宋体" w:cs="Calibri" w:hint="eastAsia"/>
                <w:color w:val="000000"/>
                <w:szCs w:val="21"/>
              </w:rPr>
              <w:t>注册(办公)地址：杭州市西湖区文二西路1号元茂大厦903室</w:t>
            </w:r>
          </w:p>
          <w:p w14:paraId="20E46A68" w14:textId="77777777" w:rsidR="00B67C49" w:rsidRDefault="00000000">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952555</w:t>
            </w:r>
          </w:p>
          <w:p w14:paraId="75D2D093" w14:textId="77777777" w:rsidR="00B67C49" w:rsidRDefault="00000000">
            <w:pPr>
              <w:rPr>
                <w:rFonts w:asciiTheme="minorEastAsia" w:hAnsiTheme="minorEastAsia" w:cs="Arial"/>
                <w:szCs w:val="21"/>
              </w:rPr>
            </w:pPr>
            <w:r>
              <w:rPr>
                <w:rFonts w:ascii="宋体" w:hAnsi="宋体" w:cs="Calibri" w:hint="eastAsia"/>
                <w:color w:val="000000"/>
                <w:szCs w:val="21"/>
              </w:rPr>
              <w:t>网址：</w:t>
            </w:r>
            <w:hyperlink r:id="rId42" w:history="1">
              <w:r>
                <w:rPr>
                  <w:rFonts w:ascii="宋体" w:hAnsi="宋体" w:cs="Calibri" w:hint="eastAsia"/>
                  <w:color w:val="000000"/>
                  <w:szCs w:val="21"/>
                </w:rPr>
                <w:t>www.5ifund.com</w:t>
              </w:r>
            </w:hyperlink>
          </w:p>
        </w:tc>
      </w:tr>
      <w:tr w:rsidR="00B67C49" w14:paraId="47E6C4BB" w14:textId="77777777">
        <w:trPr>
          <w:trHeight w:val="14"/>
        </w:trPr>
        <w:tc>
          <w:tcPr>
            <w:tcW w:w="709" w:type="dxa"/>
          </w:tcPr>
          <w:p w14:paraId="7E2B3C01" w14:textId="77777777" w:rsidR="00B67C49"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4</w:t>
            </w:r>
          </w:p>
        </w:tc>
        <w:tc>
          <w:tcPr>
            <w:tcW w:w="2693" w:type="dxa"/>
          </w:tcPr>
          <w:p w14:paraId="5BA9E228" w14:textId="77777777" w:rsidR="00B67C49" w:rsidRDefault="00000000">
            <w:pPr>
              <w:pStyle w:val="aff1"/>
              <w:widowControl/>
              <w:ind w:firstLineChars="0" w:firstLine="0"/>
            </w:pPr>
            <w:proofErr w:type="gramStart"/>
            <w:r>
              <w:rPr>
                <w:rFonts w:hint="eastAsia"/>
              </w:rPr>
              <w:t>众惠基金</w:t>
            </w:r>
            <w:proofErr w:type="gramEnd"/>
            <w:r>
              <w:rPr>
                <w:rFonts w:hint="eastAsia"/>
              </w:rPr>
              <w:t>销售有限公司</w:t>
            </w:r>
          </w:p>
          <w:p w14:paraId="1F55F2AC" w14:textId="77777777" w:rsidR="00B67C49" w:rsidRDefault="00B67C49">
            <w:pPr>
              <w:snapToGrid w:val="0"/>
              <w:rPr>
                <w:rFonts w:ascii="宋体" w:hAnsi="宋体" w:cs="Calibri"/>
                <w:color w:val="000000"/>
                <w:szCs w:val="21"/>
              </w:rPr>
            </w:pPr>
          </w:p>
        </w:tc>
        <w:tc>
          <w:tcPr>
            <w:tcW w:w="5103" w:type="dxa"/>
          </w:tcPr>
          <w:p w14:paraId="3F4B77AB" w14:textId="77777777" w:rsidR="00B67C49" w:rsidRDefault="00000000">
            <w:pPr>
              <w:pStyle w:val="aff1"/>
              <w:widowControl/>
              <w:ind w:firstLineChars="0" w:firstLine="0"/>
            </w:pPr>
            <w:r>
              <w:t>注册</w:t>
            </w:r>
            <w:r>
              <w:rPr>
                <w:rFonts w:cs="Calibri" w:hint="eastAsia"/>
              </w:rPr>
              <w:t>（办公）</w:t>
            </w:r>
            <w:r>
              <w:t>地址：</w:t>
            </w:r>
            <w:r>
              <w:rPr>
                <w:rFonts w:hint="eastAsia"/>
              </w:rPr>
              <w:t>贵州省贵阳市观山湖区长岭北路贵阳国际金融中心二期商务区第</w:t>
            </w:r>
            <w:r>
              <w:rPr>
                <w:rFonts w:hint="eastAsia"/>
              </w:rPr>
              <w:t>C4</w:t>
            </w:r>
            <w:r>
              <w:rPr>
                <w:rFonts w:hint="eastAsia"/>
              </w:rPr>
              <w:t>栋</w:t>
            </w:r>
            <w:r>
              <w:rPr>
                <w:rFonts w:hint="eastAsia"/>
              </w:rPr>
              <w:t>30</w:t>
            </w:r>
            <w:r>
              <w:rPr>
                <w:rFonts w:hint="eastAsia"/>
              </w:rPr>
              <w:t>层</w:t>
            </w:r>
          </w:p>
          <w:p w14:paraId="4D3AA407" w14:textId="77777777" w:rsidR="00B67C49" w:rsidRDefault="00000000">
            <w:pPr>
              <w:pStyle w:val="aff1"/>
              <w:widowControl/>
              <w:ind w:firstLineChars="0" w:firstLine="0"/>
            </w:pPr>
            <w:r>
              <w:rPr>
                <w:rFonts w:hint="eastAsia"/>
              </w:rPr>
              <w:t>客服电话：</w:t>
            </w:r>
            <w:r>
              <w:rPr>
                <w:rFonts w:hint="eastAsia"/>
              </w:rPr>
              <w:t>400-839-1818</w:t>
            </w:r>
          </w:p>
          <w:p w14:paraId="5DB37044" w14:textId="77777777" w:rsidR="00B67C49" w:rsidRDefault="00000000">
            <w:pPr>
              <w:snapToGrid w:val="0"/>
              <w:spacing w:line="360" w:lineRule="auto"/>
              <w:rPr>
                <w:rFonts w:ascii="宋体" w:hAnsi="宋体" w:cs="Calibri"/>
                <w:color w:val="000000"/>
                <w:szCs w:val="21"/>
              </w:rPr>
            </w:pPr>
            <w:r>
              <w:rPr>
                <w:rFonts w:hint="eastAsia"/>
              </w:rPr>
              <w:t>公司网站：</w:t>
            </w:r>
            <w:r>
              <w:rPr>
                <w:rFonts w:hint="eastAsia"/>
              </w:rPr>
              <w:t>www.hyzhfund.com</w:t>
            </w:r>
          </w:p>
        </w:tc>
      </w:tr>
      <w:tr w:rsidR="00B67C49" w14:paraId="3D759507" w14:textId="77777777">
        <w:trPr>
          <w:trHeight w:val="14"/>
        </w:trPr>
        <w:tc>
          <w:tcPr>
            <w:tcW w:w="709" w:type="dxa"/>
          </w:tcPr>
          <w:p w14:paraId="7B162694" w14:textId="77777777" w:rsidR="00B67C49"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5</w:t>
            </w:r>
          </w:p>
        </w:tc>
        <w:tc>
          <w:tcPr>
            <w:tcW w:w="2693" w:type="dxa"/>
          </w:tcPr>
          <w:p w14:paraId="1BD2E425" w14:textId="77777777" w:rsidR="00B67C49" w:rsidRDefault="00000000">
            <w:pPr>
              <w:pStyle w:val="aff1"/>
              <w:widowControl/>
              <w:ind w:firstLineChars="0" w:firstLine="0"/>
            </w:pPr>
            <w:r>
              <w:rPr>
                <w:rFonts w:ascii="宋体" w:hAnsi="宋体" w:cs="Calibri" w:hint="eastAsia"/>
                <w:bCs/>
                <w:color w:val="000000"/>
                <w:szCs w:val="21"/>
              </w:rPr>
              <w:t>金元证券股份有限公司</w:t>
            </w:r>
          </w:p>
        </w:tc>
        <w:tc>
          <w:tcPr>
            <w:tcW w:w="5103" w:type="dxa"/>
          </w:tcPr>
          <w:p w14:paraId="048713F8" w14:textId="77777777" w:rsidR="00B67C49" w:rsidRDefault="00000000">
            <w:pPr>
              <w:snapToGrid w:val="0"/>
              <w:spacing w:line="360" w:lineRule="auto"/>
              <w:rPr>
                <w:rFonts w:ascii="宋体" w:hAnsi="宋体" w:cs="Calibri"/>
                <w:color w:val="000000"/>
                <w:szCs w:val="21"/>
              </w:rPr>
            </w:pPr>
            <w:r>
              <w:rPr>
                <w:rFonts w:ascii="宋体" w:hAnsi="宋体" w:cs="Calibri" w:hint="eastAsia"/>
                <w:color w:val="000000"/>
                <w:szCs w:val="21"/>
              </w:rPr>
              <w:t>注册(办公)地址 :</w:t>
            </w:r>
            <w:r>
              <w:rPr>
                <w:rFonts w:hint="eastAsia"/>
              </w:rPr>
              <w:t xml:space="preserve"> </w:t>
            </w:r>
            <w:r>
              <w:rPr>
                <w:rFonts w:ascii="宋体" w:hAnsi="宋体" w:cs="Calibri" w:hint="eastAsia"/>
                <w:color w:val="000000"/>
                <w:szCs w:val="21"/>
              </w:rPr>
              <w:t>深圳市深南大道4001号时代金融中心大厦17楼</w:t>
            </w:r>
          </w:p>
          <w:p w14:paraId="4D15D13B" w14:textId="77777777" w:rsidR="00B67C49" w:rsidRDefault="00000000">
            <w:pPr>
              <w:snapToGrid w:val="0"/>
              <w:spacing w:line="360" w:lineRule="auto"/>
            </w:pPr>
            <w:r>
              <w:rPr>
                <w:rFonts w:ascii="宋体" w:hAnsi="宋体" w:cs="Calibri" w:hint="eastAsia"/>
                <w:color w:val="000000"/>
                <w:szCs w:val="21"/>
              </w:rPr>
              <w:t>客户服务电话</w:t>
            </w:r>
            <w:r>
              <w:t>：</w:t>
            </w:r>
            <w:r>
              <w:t>95372</w:t>
            </w:r>
          </w:p>
          <w:p w14:paraId="5908B0DB" w14:textId="77777777" w:rsidR="00B67C49" w:rsidRDefault="00000000">
            <w:pPr>
              <w:pStyle w:val="aff1"/>
              <w:widowControl/>
              <w:ind w:firstLineChars="0" w:firstLine="0"/>
            </w:pPr>
            <w:r>
              <w:rPr>
                <w:rFonts w:ascii="宋体" w:hAnsi="宋体" w:cs="Calibri" w:hint="eastAsia"/>
                <w:color w:val="000000"/>
                <w:szCs w:val="21"/>
              </w:rPr>
              <w:t>网址：www.jyzq.cn</w:t>
            </w:r>
          </w:p>
        </w:tc>
      </w:tr>
      <w:tr w:rsidR="00B67C49" w14:paraId="60AC4813" w14:textId="77777777">
        <w:trPr>
          <w:trHeight w:val="14"/>
        </w:trPr>
        <w:tc>
          <w:tcPr>
            <w:tcW w:w="709" w:type="dxa"/>
          </w:tcPr>
          <w:p w14:paraId="62E314B8" w14:textId="77777777" w:rsidR="00B67C49"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6</w:t>
            </w:r>
          </w:p>
        </w:tc>
        <w:tc>
          <w:tcPr>
            <w:tcW w:w="2693" w:type="dxa"/>
          </w:tcPr>
          <w:p w14:paraId="3C9EB541"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华</w:t>
            </w:r>
            <w:proofErr w:type="gramStart"/>
            <w:r>
              <w:rPr>
                <w:rFonts w:asciiTheme="minorEastAsia" w:hAnsiTheme="minorEastAsia" w:cs="Arial" w:hint="eastAsia"/>
                <w:sz w:val="22"/>
              </w:rPr>
              <w:t>源证券</w:t>
            </w:r>
            <w:proofErr w:type="gramEnd"/>
            <w:r>
              <w:rPr>
                <w:rFonts w:asciiTheme="minorEastAsia" w:hAnsiTheme="minorEastAsia" w:cs="Arial" w:hint="eastAsia"/>
                <w:sz w:val="22"/>
              </w:rPr>
              <w:t>股份有限公司</w:t>
            </w:r>
          </w:p>
        </w:tc>
        <w:tc>
          <w:tcPr>
            <w:tcW w:w="5103" w:type="dxa"/>
          </w:tcPr>
          <w:p w14:paraId="2F9C535C"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注册地址：西宁市南川工业园区创业路108号</w:t>
            </w:r>
          </w:p>
          <w:p w14:paraId="1B36B49C"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客户服务电话：95305</w:t>
            </w:r>
          </w:p>
          <w:p w14:paraId="1CBB8364"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网址：www.jzsec.com</w:t>
            </w:r>
          </w:p>
        </w:tc>
      </w:tr>
      <w:tr w:rsidR="00B67C49" w14:paraId="339414FD" w14:textId="77777777">
        <w:trPr>
          <w:trHeight w:val="14"/>
        </w:trPr>
        <w:tc>
          <w:tcPr>
            <w:tcW w:w="709" w:type="dxa"/>
          </w:tcPr>
          <w:p w14:paraId="4C55FC4F" w14:textId="77777777" w:rsidR="00B67C49"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7</w:t>
            </w:r>
          </w:p>
        </w:tc>
        <w:tc>
          <w:tcPr>
            <w:tcW w:w="2693" w:type="dxa"/>
          </w:tcPr>
          <w:p w14:paraId="19BD42C3"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海通证券股份有限公司</w:t>
            </w:r>
          </w:p>
        </w:tc>
        <w:tc>
          <w:tcPr>
            <w:tcW w:w="5103" w:type="dxa"/>
          </w:tcPr>
          <w:p w14:paraId="0CB6E113"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注册地址：上海市广东路689号</w:t>
            </w:r>
          </w:p>
          <w:p w14:paraId="5EE54C26"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客户服务电话：95553</w:t>
            </w:r>
          </w:p>
          <w:p w14:paraId="1DA73B21"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网址：www.htsec.com</w:t>
            </w:r>
          </w:p>
        </w:tc>
      </w:tr>
      <w:tr w:rsidR="00B67C49" w14:paraId="594DF906" w14:textId="77777777">
        <w:trPr>
          <w:trHeight w:val="14"/>
        </w:trPr>
        <w:tc>
          <w:tcPr>
            <w:tcW w:w="709" w:type="dxa"/>
          </w:tcPr>
          <w:p w14:paraId="52F609FF" w14:textId="77777777" w:rsidR="00B67C49"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8</w:t>
            </w:r>
          </w:p>
        </w:tc>
        <w:tc>
          <w:tcPr>
            <w:tcW w:w="2693" w:type="dxa"/>
          </w:tcPr>
          <w:p w14:paraId="43EA5E8B"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华金证券股份有限公司</w:t>
            </w:r>
          </w:p>
        </w:tc>
        <w:tc>
          <w:tcPr>
            <w:tcW w:w="5103" w:type="dxa"/>
          </w:tcPr>
          <w:p w14:paraId="1139CB59"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注册地址：上海市静安区天目西路128号19层1902室</w:t>
            </w:r>
          </w:p>
          <w:p w14:paraId="713AC86E"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客户服务电话：956011</w:t>
            </w:r>
          </w:p>
          <w:p w14:paraId="77281F84"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网址：www.huajinsc.cn</w:t>
            </w:r>
          </w:p>
        </w:tc>
      </w:tr>
      <w:tr w:rsidR="00B67C49" w14:paraId="565C8671" w14:textId="77777777">
        <w:trPr>
          <w:trHeight w:val="14"/>
        </w:trPr>
        <w:tc>
          <w:tcPr>
            <w:tcW w:w="709" w:type="dxa"/>
          </w:tcPr>
          <w:p w14:paraId="1F572E94" w14:textId="77777777" w:rsidR="00B67C49" w:rsidRDefault="00000000">
            <w:pPr>
              <w:snapToGrid w:val="0"/>
              <w:jc w:val="center"/>
              <w:rPr>
                <w:rFonts w:asciiTheme="minorEastAsia" w:hAnsiTheme="minorEastAsia" w:cs="Arial"/>
                <w:sz w:val="22"/>
              </w:rPr>
            </w:pPr>
            <w:r>
              <w:rPr>
                <w:rFonts w:asciiTheme="minorEastAsia" w:hAnsiTheme="minorEastAsia" w:cs="Arial" w:hint="eastAsia"/>
                <w:sz w:val="22"/>
              </w:rPr>
              <w:t>6</w:t>
            </w:r>
            <w:r>
              <w:rPr>
                <w:rFonts w:asciiTheme="minorEastAsia" w:hAnsiTheme="minorEastAsia" w:cs="Arial"/>
                <w:sz w:val="22"/>
              </w:rPr>
              <w:t>9</w:t>
            </w:r>
          </w:p>
        </w:tc>
        <w:tc>
          <w:tcPr>
            <w:tcW w:w="2693" w:type="dxa"/>
          </w:tcPr>
          <w:p w14:paraId="6EA29D9C"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华</w:t>
            </w:r>
            <w:proofErr w:type="gramStart"/>
            <w:r>
              <w:rPr>
                <w:rFonts w:asciiTheme="minorEastAsia" w:hAnsiTheme="minorEastAsia" w:cs="Arial" w:hint="eastAsia"/>
                <w:sz w:val="22"/>
              </w:rPr>
              <w:t>宝证券</w:t>
            </w:r>
            <w:proofErr w:type="gramEnd"/>
            <w:r>
              <w:rPr>
                <w:rFonts w:asciiTheme="minorEastAsia" w:hAnsiTheme="minorEastAsia" w:cs="Arial" w:hint="eastAsia"/>
                <w:sz w:val="22"/>
              </w:rPr>
              <w:t>股份有限公司</w:t>
            </w:r>
          </w:p>
        </w:tc>
        <w:tc>
          <w:tcPr>
            <w:tcW w:w="5103" w:type="dxa"/>
          </w:tcPr>
          <w:p w14:paraId="6F854C33"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注册地址：中国（上海）自由贸易试验区浦电路370</w:t>
            </w:r>
            <w:r>
              <w:rPr>
                <w:rFonts w:asciiTheme="minorEastAsia" w:hAnsiTheme="minorEastAsia" w:cs="Arial" w:hint="eastAsia"/>
                <w:sz w:val="22"/>
              </w:rPr>
              <w:lastRenderedPageBreak/>
              <w:t>号2、3、4层</w:t>
            </w:r>
          </w:p>
          <w:p w14:paraId="67C93B55"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客户服务电话：400-820-9898</w:t>
            </w:r>
          </w:p>
          <w:p w14:paraId="2DF620FE"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网址：www.cnhbstock.com</w:t>
            </w:r>
          </w:p>
        </w:tc>
      </w:tr>
      <w:tr w:rsidR="00B67C49" w14:paraId="0772B767" w14:textId="77777777">
        <w:trPr>
          <w:trHeight w:val="14"/>
        </w:trPr>
        <w:tc>
          <w:tcPr>
            <w:tcW w:w="709" w:type="dxa"/>
          </w:tcPr>
          <w:p w14:paraId="369E728B" w14:textId="77777777" w:rsidR="00B67C49" w:rsidRDefault="00000000">
            <w:pPr>
              <w:snapToGrid w:val="0"/>
              <w:jc w:val="center"/>
              <w:rPr>
                <w:rFonts w:asciiTheme="minorEastAsia" w:hAnsiTheme="minorEastAsia" w:cs="Arial"/>
                <w:sz w:val="22"/>
              </w:rPr>
            </w:pPr>
            <w:r>
              <w:rPr>
                <w:rFonts w:asciiTheme="minorEastAsia" w:hAnsiTheme="minorEastAsia" w:cs="Arial" w:hint="eastAsia"/>
                <w:sz w:val="22"/>
              </w:rPr>
              <w:lastRenderedPageBreak/>
              <w:t>7</w:t>
            </w:r>
            <w:r>
              <w:rPr>
                <w:rFonts w:asciiTheme="minorEastAsia" w:hAnsiTheme="minorEastAsia" w:cs="Arial"/>
                <w:sz w:val="22"/>
              </w:rPr>
              <w:t>0</w:t>
            </w:r>
          </w:p>
        </w:tc>
        <w:tc>
          <w:tcPr>
            <w:tcW w:w="2693" w:type="dxa"/>
          </w:tcPr>
          <w:p w14:paraId="779D21FF"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江海证券有限公司</w:t>
            </w:r>
          </w:p>
        </w:tc>
        <w:tc>
          <w:tcPr>
            <w:tcW w:w="5103" w:type="dxa"/>
          </w:tcPr>
          <w:p w14:paraId="622E3C3B" w14:textId="77777777" w:rsidR="00B67C49" w:rsidRDefault="00000000">
            <w:pPr>
              <w:snapToGrid w:val="0"/>
              <w:rPr>
                <w:rFonts w:asciiTheme="minorEastAsia" w:hAnsiTheme="minorEastAsia" w:cs="Arial"/>
                <w:sz w:val="22"/>
              </w:rPr>
            </w:pPr>
            <w:r>
              <w:rPr>
                <w:rFonts w:asciiTheme="minorEastAsia" w:hAnsiTheme="minorEastAsia" w:cs="Arial" w:hint="eastAsia"/>
                <w:sz w:val="22"/>
              </w:rPr>
              <w:t>注册地址：哈尔滨市香</w:t>
            </w:r>
            <w:proofErr w:type="gramStart"/>
            <w:r>
              <w:rPr>
                <w:rFonts w:asciiTheme="minorEastAsia" w:hAnsiTheme="minorEastAsia" w:cs="Arial" w:hint="eastAsia"/>
                <w:sz w:val="22"/>
              </w:rPr>
              <w:t>坊区赣水路</w:t>
            </w:r>
            <w:proofErr w:type="gramEnd"/>
            <w:r>
              <w:rPr>
                <w:rFonts w:asciiTheme="minorEastAsia" w:hAnsiTheme="minorEastAsia" w:cs="Arial" w:hint="eastAsia"/>
                <w:sz w:val="22"/>
              </w:rPr>
              <w:t>56号</w:t>
            </w:r>
          </w:p>
          <w:p w14:paraId="22C9825F" w14:textId="77777777" w:rsidR="00B67C49" w:rsidRDefault="00000000">
            <w:pPr>
              <w:snapToGrid w:val="0"/>
              <w:rPr>
                <w:rFonts w:asciiTheme="minorEastAsia" w:hAnsiTheme="minorEastAsia" w:cs="Arial"/>
                <w:sz w:val="22"/>
              </w:rPr>
            </w:pPr>
            <w:r>
              <w:rPr>
                <w:rFonts w:asciiTheme="minorEastAsia" w:hAnsiTheme="minorEastAsia" w:cs="Arial" w:hint="eastAsia"/>
                <w:sz w:val="22"/>
              </w:rPr>
              <w:t>客户服务电话：956007</w:t>
            </w:r>
          </w:p>
          <w:p w14:paraId="279B2F4F" w14:textId="77777777" w:rsidR="00B67C49" w:rsidRDefault="00000000">
            <w:pPr>
              <w:snapToGrid w:val="0"/>
              <w:rPr>
                <w:rFonts w:asciiTheme="minorEastAsia" w:hAnsiTheme="minorEastAsia" w:cs="Arial"/>
                <w:sz w:val="22"/>
              </w:rPr>
            </w:pPr>
            <w:r>
              <w:rPr>
                <w:rFonts w:asciiTheme="minorEastAsia" w:hAnsiTheme="minorEastAsia" w:cs="Arial" w:hint="eastAsia"/>
                <w:sz w:val="22"/>
              </w:rPr>
              <w:t>网址：www.jhzq.com.cn</w:t>
            </w:r>
          </w:p>
        </w:tc>
      </w:tr>
    </w:tbl>
    <w:p w14:paraId="56F2ABC1" w14:textId="77777777" w:rsidR="00B67C49" w:rsidRDefault="00B67C49">
      <w:pPr>
        <w:tabs>
          <w:tab w:val="left" w:pos="540"/>
        </w:tabs>
        <w:adjustRightInd w:val="0"/>
        <w:snapToGrid w:val="0"/>
        <w:spacing w:line="360" w:lineRule="auto"/>
        <w:ind w:firstLineChars="200" w:firstLine="480"/>
        <w:rPr>
          <w:rFonts w:asciiTheme="minorEastAsia" w:hAnsiTheme="minorEastAsia" w:cs="Arial"/>
          <w:sz w:val="24"/>
          <w:szCs w:val="24"/>
        </w:rPr>
      </w:pPr>
    </w:p>
    <w:p w14:paraId="36B3F3F0" w14:textId="77777777" w:rsidR="00B67C49" w:rsidRDefault="00000000">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30A21C73" w14:textId="77777777" w:rsidR="00B67C49"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562A2E95" w14:textId="77777777" w:rsidR="00B67C49"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w:t>
      </w:r>
      <w:r>
        <w:rPr>
          <w:rFonts w:asciiTheme="minorEastAsia" w:hAnsiTheme="minorEastAsia" w:hint="eastAsia"/>
          <w:kern w:val="0"/>
          <w:sz w:val="24"/>
        </w:rPr>
        <w:t>广东省广州市南沙区横</w:t>
      </w:r>
      <w:proofErr w:type="gramStart"/>
      <w:r>
        <w:rPr>
          <w:rFonts w:asciiTheme="minorEastAsia" w:hAnsiTheme="minorEastAsia" w:hint="eastAsia"/>
          <w:kern w:val="0"/>
          <w:sz w:val="24"/>
        </w:rPr>
        <w:t>沥</w:t>
      </w:r>
      <w:proofErr w:type="gramEnd"/>
      <w:r>
        <w:rPr>
          <w:rFonts w:asciiTheme="minorEastAsia" w:hAnsiTheme="minorEastAsia" w:hint="eastAsia"/>
          <w:kern w:val="0"/>
          <w:sz w:val="24"/>
        </w:rPr>
        <w:t>镇汇通二街2号3110房</w:t>
      </w:r>
      <w:r>
        <w:rPr>
          <w:rFonts w:asciiTheme="minorEastAsia" w:hAnsiTheme="minorEastAsia" w:cs="Arial" w:hint="eastAsia"/>
          <w:color w:val="000000"/>
          <w:kern w:val="0"/>
          <w:sz w:val="24"/>
          <w:szCs w:val="24"/>
        </w:rPr>
        <w:t xml:space="preserve"> </w:t>
      </w:r>
    </w:p>
    <w:p w14:paraId="2B49FCEC" w14:textId="77777777" w:rsidR="00B67C49"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w:t>
      </w:r>
      <w:r>
        <w:rPr>
          <w:rFonts w:asciiTheme="minorEastAsia" w:hAnsiTheme="minorEastAsia" w:cs="Times New Roman" w:hint="eastAsia"/>
          <w:kern w:val="0"/>
          <w:sz w:val="24"/>
          <w:szCs w:val="24"/>
        </w:rPr>
        <w:t>深圳市福田区八卦四路52号安吉尔大厦24层</w:t>
      </w:r>
      <w:r>
        <w:rPr>
          <w:rFonts w:asciiTheme="minorEastAsia" w:hAnsiTheme="minorEastAsia" w:cs="Arial" w:hint="eastAsia"/>
          <w:color w:val="000000"/>
          <w:kern w:val="0"/>
          <w:sz w:val="24"/>
          <w:szCs w:val="24"/>
        </w:rPr>
        <w:t xml:space="preserve"> </w:t>
      </w:r>
    </w:p>
    <w:p w14:paraId="5078A7B3" w14:textId="77777777" w:rsidR="00B67C49"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法定代表人：王亦伟 </w:t>
      </w:r>
    </w:p>
    <w:p w14:paraId="3FC6602F" w14:textId="77777777" w:rsidR="00B67C49"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3864C2F7" w14:textId="77777777" w:rsidR="00B67C49"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0C985A0C" w14:textId="77777777" w:rsidR="00B67C49" w:rsidRDefault="00000000">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4BC32971" w14:textId="77777777" w:rsidR="00B67C49" w:rsidRDefault="00000000">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1919BEE7"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名称：上海源泰律师事务所</w:t>
      </w:r>
    </w:p>
    <w:p w14:paraId="0BBD5826"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住所：上海市浦东新区浦东南路256号华夏银行大厦14楼</w:t>
      </w:r>
    </w:p>
    <w:p w14:paraId="79EB4E11"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办公地址：上海市浦东新区浦东南路256号华夏银行大厦14楼</w:t>
      </w:r>
    </w:p>
    <w:p w14:paraId="531EDF15"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负责人：廖海</w:t>
      </w:r>
    </w:p>
    <w:p w14:paraId="6260FAAC"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电话：（021）51150298</w:t>
      </w:r>
    </w:p>
    <w:p w14:paraId="3D7D94B7"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传真：（021）51150</w:t>
      </w:r>
      <w:r>
        <w:rPr>
          <w:rFonts w:asciiTheme="minorEastAsia" w:hAnsiTheme="minorEastAsia" w:cs="Arial"/>
          <w:kern w:val="0"/>
          <w:sz w:val="24"/>
          <w:szCs w:val="24"/>
        </w:rPr>
        <w:t>3</w:t>
      </w:r>
      <w:r>
        <w:rPr>
          <w:rFonts w:asciiTheme="minorEastAsia" w:hAnsiTheme="minorEastAsia" w:cs="Arial" w:hint="eastAsia"/>
          <w:kern w:val="0"/>
          <w:sz w:val="24"/>
          <w:szCs w:val="24"/>
        </w:rPr>
        <w:t>98</w:t>
      </w:r>
    </w:p>
    <w:p w14:paraId="15BF1077"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经办律师：刘佳、黄丽华</w:t>
      </w:r>
    </w:p>
    <w:p w14:paraId="5DE772DB" w14:textId="77777777" w:rsidR="00B67C49"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刘佳</w:t>
      </w:r>
    </w:p>
    <w:p w14:paraId="132E1C4B" w14:textId="77777777" w:rsidR="00B67C49" w:rsidRDefault="00000000">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6B002FD4"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0137B5E8"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住所：中国北京市东城区东长安街1号东方广场安永大楼16层</w:t>
      </w:r>
    </w:p>
    <w:p w14:paraId="514A2952"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252016CB"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w:t>
      </w:r>
      <w:proofErr w:type="gramStart"/>
      <w:r>
        <w:rPr>
          <w:rFonts w:asciiTheme="minorEastAsia" w:hAnsiTheme="minorEastAsia" w:cs="Arial" w:hint="eastAsia"/>
          <w:kern w:val="0"/>
          <w:sz w:val="24"/>
          <w:szCs w:val="24"/>
        </w:rPr>
        <w:t>毛鞍宁</w:t>
      </w:r>
      <w:proofErr w:type="gramEnd"/>
    </w:p>
    <w:p w14:paraId="5B172D2E"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电话：+86</w:t>
      </w:r>
      <w:r>
        <w:rPr>
          <w:rFonts w:asciiTheme="minorEastAsia" w:hAnsiTheme="minorEastAsia" w:cs="Arial"/>
          <w:kern w:val="0"/>
          <w:sz w:val="24"/>
          <w:szCs w:val="24"/>
        </w:rPr>
        <w:t xml:space="preserve"> 10 58153000</w:t>
      </w:r>
    </w:p>
    <w:p w14:paraId="232D29D6"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传真：+86</w:t>
      </w:r>
      <w:r>
        <w:rPr>
          <w:rFonts w:asciiTheme="minorEastAsia" w:hAnsiTheme="minorEastAsia" w:cs="Arial"/>
          <w:kern w:val="0"/>
          <w:sz w:val="24"/>
          <w:szCs w:val="24"/>
        </w:rPr>
        <w:t xml:space="preserve"> 10 85188298</w:t>
      </w:r>
    </w:p>
    <w:p w14:paraId="16AAAE58"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  高鹤</w:t>
      </w:r>
    </w:p>
    <w:p w14:paraId="2CEF10E7" w14:textId="77777777" w:rsidR="00B67C49"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联系人：吴翠蓉</w:t>
      </w:r>
    </w:p>
    <w:p w14:paraId="0F2107E8" w14:textId="77777777" w:rsidR="00B67C49" w:rsidRDefault="00B67C49">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B67C49" w:rsidSect="00D84CBD">
          <w:headerReference w:type="even" r:id="rId43"/>
          <w:headerReference w:type="default" r:id="rId44"/>
          <w:footerReference w:type="default" r:id="rId45"/>
          <w:headerReference w:type="first" r:id="rId46"/>
          <w:pgSz w:w="11906" w:h="16838"/>
          <w:pgMar w:top="1440" w:right="1800" w:bottom="1440" w:left="1800" w:header="851" w:footer="992" w:gutter="0"/>
          <w:pgNumType w:chapStyle="1"/>
          <w:cols w:space="720"/>
          <w:docGrid w:type="lines" w:linePitch="312"/>
        </w:sectPr>
      </w:pPr>
      <w:bookmarkStart w:id="119" w:name="_Toc416264542"/>
      <w:bookmarkStart w:id="120" w:name="_Toc263092314"/>
      <w:bookmarkStart w:id="121" w:name="_Toc31235"/>
      <w:bookmarkStart w:id="122" w:name="_Toc15143"/>
      <w:bookmarkStart w:id="123" w:name="_Toc31653"/>
      <w:bookmarkStart w:id="124" w:name="_Toc31644"/>
      <w:bookmarkStart w:id="125" w:name="_Toc141703887"/>
      <w:bookmarkStart w:id="126" w:name="_Toc139991737"/>
      <w:bookmarkStart w:id="127" w:name="_Toc123051453"/>
      <w:bookmarkStart w:id="128" w:name="_Toc123112235"/>
      <w:bookmarkStart w:id="129" w:name="_Toc29251"/>
      <w:bookmarkStart w:id="130" w:name="_Toc352229753"/>
      <w:bookmarkStart w:id="131" w:name="_Toc26207"/>
      <w:bookmarkStart w:id="132" w:name="_Toc98560353"/>
      <w:bookmarkStart w:id="133" w:name="_Toc3601"/>
      <w:bookmarkStart w:id="134" w:name="_Toc14835"/>
      <w:bookmarkStart w:id="135" w:name="_Toc12245"/>
      <w:bookmarkStart w:id="136" w:name="_Toc16859"/>
      <w:bookmarkStart w:id="137" w:name="_Toc6405"/>
      <w:bookmarkStart w:id="138" w:name="_Toc12310245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01390250" w14:textId="77777777" w:rsidR="00B67C49" w:rsidRDefault="00000000">
      <w:pPr>
        <w:pStyle w:val="1"/>
        <w:jc w:val="center"/>
        <w:rPr>
          <w:sz w:val="30"/>
          <w:szCs w:val="30"/>
        </w:rPr>
      </w:pPr>
      <w:bookmarkStart w:id="139" w:name="_Toc68266293"/>
      <w:bookmarkStart w:id="140" w:name="_Toc119568462"/>
      <w:r>
        <w:rPr>
          <w:rFonts w:hint="eastAsia"/>
          <w:sz w:val="30"/>
          <w:szCs w:val="30"/>
        </w:rPr>
        <w:lastRenderedPageBreak/>
        <w:t>第六部分</w:t>
      </w:r>
      <w:r>
        <w:rPr>
          <w:sz w:val="30"/>
          <w:szCs w:val="30"/>
        </w:rPr>
        <w:t xml:space="preserve">  </w:t>
      </w:r>
      <w:r>
        <w:rPr>
          <w:rFonts w:asciiTheme="minorEastAsia" w:eastAsiaTheme="minorEastAsia" w:hAnsiTheme="minorEastAsia" w:hint="eastAsia"/>
          <w:sz w:val="30"/>
          <w:szCs w:val="30"/>
        </w:rPr>
        <w:t>基金的募集</w:t>
      </w:r>
      <w:bookmarkEnd w:id="119"/>
      <w:bookmarkEnd w:id="120"/>
      <w:bookmarkEnd w:id="139"/>
      <w:bookmarkEnd w:id="140"/>
    </w:p>
    <w:p w14:paraId="031A5EEE" w14:textId="77777777" w:rsidR="00B67C49" w:rsidRDefault="00B67C49">
      <w:pPr>
        <w:autoSpaceDE w:val="0"/>
        <w:autoSpaceDN w:val="0"/>
        <w:adjustRightInd w:val="0"/>
        <w:snapToGrid w:val="0"/>
        <w:spacing w:line="360" w:lineRule="auto"/>
        <w:ind w:firstLineChars="200" w:firstLine="480"/>
        <w:rPr>
          <w:rFonts w:asciiTheme="minorEastAsia" w:hAnsiTheme="minorEastAsia" w:cs="Arial"/>
          <w:sz w:val="24"/>
          <w:szCs w:val="24"/>
        </w:rPr>
      </w:pPr>
    </w:p>
    <w:p w14:paraId="25B875DA" w14:textId="77777777" w:rsidR="00B67C49" w:rsidRDefault="00000000">
      <w:pPr>
        <w:autoSpaceDE w:val="0"/>
        <w:autoSpaceDN w:val="0"/>
        <w:adjustRightInd w:val="0"/>
        <w:snapToGrid w:val="0"/>
        <w:spacing w:line="360" w:lineRule="auto"/>
        <w:ind w:firstLineChars="200" w:firstLine="480"/>
        <w:rPr>
          <w:rFonts w:ascii="宋体" w:eastAsia="宋体" w:hAnsi="宋体" w:cs="Arial"/>
          <w:sz w:val="24"/>
          <w:szCs w:val="24"/>
        </w:rPr>
      </w:pPr>
      <w:bookmarkStart w:id="141" w:name="_Toc214873596"/>
      <w:bookmarkStart w:id="142" w:name="_Toc263092315"/>
      <w:bookmarkStart w:id="143" w:name="_Toc416264543"/>
      <w:bookmarkStart w:id="144" w:name="_Toc25783"/>
      <w:bookmarkStart w:id="145" w:name="_Toc10650"/>
      <w:bookmarkStart w:id="146" w:name="_Toc123102455"/>
      <w:bookmarkStart w:id="147" w:name="_Toc79392583"/>
      <w:bookmarkStart w:id="148" w:name="_Toc4559"/>
      <w:bookmarkStart w:id="149" w:name="_Toc98560354"/>
      <w:bookmarkStart w:id="150" w:name="_Toc3771"/>
      <w:bookmarkStart w:id="151" w:name="_Toc139991738"/>
      <w:bookmarkStart w:id="152" w:name="_Toc11030"/>
      <w:bookmarkStart w:id="153" w:name="_Toc123051454"/>
      <w:bookmarkStart w:id="154" w:name="_Toc6447"/>
      <w:bookmarkStart w:id="155" w:name="_Toc141703888"/>
      <w:bookmarkStart w:id="156" w:name="_Toc20768"/>
      <w:bookmarkStart w:id="157" w:name="_Toc7058"/>
      <w:bookmarkStart w:id="158" w:name="_Toc9706"/>
      <w:bookmarkStart w:id="159" w:name="_Toc352229754"/>
      <w:bookmarkStart w:id="160" w:name="_Toc123112236"/>
      <w:bookmarkStart w:id="161" w:name="_Toc18567"/>
      <w:bookmarkStart w:id="162" w:name="_Toc332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Fonts w:ascii="宋体" w:eastAsia="宋体" w:hAnsi="宋体" w:cs="Arial" w:hint="eastAsia"/>
          <w:sz w:val="24"/>
          <w:szCs w:val="24"/>
        </w:rPr>
        <w:t>基金管理人按照《基金法》、《运作办法》、《销售办法》、基金合同及其他有关规定募集本基金，并于2021年6月2</w:t>
      </w:r>
      <w:r>
        <w:rPr>
          <w:rFonts w:ascii="宋体" w:eastAsia="宋体" w:hAnsi="宋体" w:cs="Arial"/>
          <w:sz w:val="24"/>
          <w:szCs w:val="24"/>
        </w:rPr>
        <w:t>1</w:t>
      </w:r>
      <w:r>
        <w:rPr>
          <w:rFonts w:ascii="宋体" w:eastAsia="宋体" w:hAnsi="宋体" w:cs="Arial" w:hint="eastAsia"/>
          <w:sz w:val="24"/>
          <w:szCs w:val="24"/>
        </w:rPr>
        <w:t>日</w:t>
      </w:r>
      <w:r>
        <w:rPr>
          <w:rFonts w:ascii="宋体" w:eastAsia="宋体" w:hAnsi="宋体" w:cs="Arial" w:hint="eastAsia"/>
          <w:kern w:val="0"/>
          <w:sz w:val="24"/>
          <w:szCs w:val="24"/>
        </w:rPr>
        <w:t>经中国证监会证监许可[</w:t>
      </w:r>
      <w:r>
        <w:rPr>
          <w:rFonts w:ascii="宋体" w:eastAsia="宋体" w:hAnsi="宋体" w:cs="Arial"/>
          <w:kern w:val="0"/>
          <w:sz w:val="24"/>
          <w:szCs w:val="24"/>
        </w:rPr>
        <w:t>2021]2091</w:t>
      </w:r>
      <w:r>
        <w:rPr>
          <w:rFonts w:ascii="宋体" w:eastAsia="宋体" w:hAnsi="宋体" w:cs="Arial" w:hint="eastAsia"/>
          <w:kern w:val="0"/>
          <w:sz w:val="24"/>
          <w:szCs w:val="24"/>
        </w:rPr>
        <w:t>号文</w:t>
      </w:r>
      <w:r>
        <w:rPr>
          <w:rFonts w:ascii="宋体" w:eastAsia="宋体" w:hAnsi="宋体" w:cs="Arial" w:hint="eastAsia"/>
          <w:sz w:val="24"/>
          <w:szCs w:val="24"/>
        </w:rPr>
        <w:t>准予注册募集。</w:t>
      </w:r>
      <w:r>
        <w:rPr>
          <w:rFonts w:asciiTheme="minorEastAsia" w:hAnsiTheme="minorEastAsia" w:cs="Arial" w:hint="eastAsia"/>
          <w:sz w:val="24"/>
          <w:szCs w:val="24"/>
        </w:rPr>
        <w:t>本基金于</w:t>
      </w:r>
      <w:r>
        <w:rPr>
          <w:rFonts w:asciiTheme="minorEastAsia" w:hAnsiTheme="minorEastAsia" w:cs="Arial"/>
          <w:sz w:val="24"/>
          <w:szCs w:val="24"/>
        </w:rPr>
        <w:t>2021年11月26日起通过各销售机构向社会公开募集，截至2021年</w:t>
      </w:r>
      <w:r>
        <w:rPr>
          <w:rFonts w:asciiTheme="minorEastAsia" w:hAnsiTheme="minorEastAsia" w:cs="Arial" w:hint="eastAsia"/>
          <w:sz w:val="24"/>
          <w:szCs w:val="24"/>
        </w:rPr>
        <w:t>1</w:t>
      </w:r>
      <w:r>
        <w:rPr>
          <w:rFonts w:asciiTheme="minorEastAsia" w:hAnsiTheme="minorEastAsia" w:cs="Arial"/>
          <w:sz w:val="24"/>
          <w:szCs w:val="24"/>
        </w:rPr>
        <w:t>2月23</w:t>
      </w:r>
      <w:r>
        <w:rPr>
          <w:rFonts w:asciiTheme="minorEastAsia" w:hAnsiTheme="minorEastAsia" w:cs="Arial" w:hint="eastAsia"/>
          <w:sz w:val="24"/>
          <w:szCs w:val="24"/>
        </w:rPr>
        <w:t>日，基金募集工作已顺利结束。</w:t>
      </w:r>
    </w:p>
    <w:p w14:paraId="1F6EA76B" w14:textId="77777777" w:rsidR="00B67C49" w:rsidRDefault="00B67C49">
      <w:pPr>
        <w:keepNext/>
        <w:keepLines/>
        <w:spacing w:line="360" w:lineRule="auto"/>
        <w:jc w:val="center"/>
        <w:outlineLvl w:val="0"/>
        <w:rPr>
          <w:rFonts w:ascii="Times New Roman" w:eastAsia="宋体" w:hAnsi="Times New Roman" w:cs="Times New Roman"/>
          <w:b/>
          <w:kern w:val="0"/>
          <w:sz w:val="24"/>
          <w:szCs w:val="24"/>
        </w:rPr>
        <w:sectPr w:rsidR="00B67C49" w:rsidSect="00D84CBD">
          <w:headerReference w:type="even" r:id="rId47"/>
          <w:headerReference w:type="default" r:id="rId48"/>
          <w:footerReference w:type="default" r:id="rId49"/>
          <w:headerReference w:type="first" r:id="rId50"/>
          <w:pgSz w:w="11906" w:h="16838"/>
          <w:pgMar w:top="1440" w:right="1800" w:bottom="1440" w:left="1800" w:header="851" w:footer="992" w:gutter="0"/>
          <w:pgNumType w:chapStyle="1"/>
          <w:cols w:space="720"/>
          <w:docGrid w:type="lines" w:linePitch="312"/>
        </w:sectPr>
      </w:pPr>
    </w:p>
    <w:p w14:paraId="73196492" w14:textId="77777777" w:rsidR="00B67C49" w:rsidRDefault="00000000">
      <w:pPr>
        <w:pStyle w:val="1"/>
        <w:jc w:val="center"/>
        <w:rPr>
          <w:sz w:val="30"/>
          <w:szCs w:val="30"/>
        </w:rPr>
      </w:pPr>
      <w:bookmarkStart w:id="163" w:name="_Toc119568463"/>
      <w:bookmarkStart w:id="164" w:name="_Toc68266294"/>
      <w:r>
        <w:rPr>
          <w:rFonts w:hint="eastAsia"/>
          <w:sz w:val="30"/>
          <w:szCs w:val="30"/>
        </w:rPr>
        <w:lastRenderedPageBreak/>
        <w:t>第七部分</w:t>
      </w:r>
      <w:r>
        <w:rPr>
          <w:sz w:val="30"/>
          <w:szCs w:val="30"/>
        </w:rPr>
        <w:t xml:space="preserve">  </w:t>
      </w:r>
      <w:r>
        <w:rPr>
          <w:rFonts w:hint="eastAsia"/>
          <w:sz w:val="30"/>
          <w:szCs w:val="30"/>
        </w:rPr>
        <w:t>基金</w:t>
      </w:r>
      <w:bookmarkEnd w:id="141"/>
      <w:bookmarkEnd w:id="142"/>
      <w:r>
        <w:rPr>
          <w:rFonts w:hint="eastAsia"/>
          <w:sz w:val="30"/>
          <w:szCs w:val="30"/>
        </w:rPr>
        <w:t>合同的生效</w:t>
      </w:r>
      <w:bookmarkEnd w:id="143"/>
      <w:bookmarkEnd w:id="163"/>
      <w:bookmarkEnd w:id="164"/>
    </w:p>
    <w:p w14:paraId="303437CA"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w:t>
      </w:r>
      <w:r>
        <w:rPr>
          <w:rFonts w:asciiTheme="minorEastAsia" w:hAnsiTheme="minorEastAsia" w:cs="Arial"/>
          <w:sz w:val="24"/>
          <w:szCs w:val="24"/>
        </w:rPr>
        <w:t>2021年12月27</w:t>
      </w:r>
      <w:r>
        <w:rPr>
          <w:rFonts w:asciiTheme="minorEastAsia" w:hAnsiTheme="minorEastAsia" w:cs="Arial" w:hint="eastAsia"/>
          <w:sz w:val="24"/>
          <w:szCs w:val="24"/>
        </w:rPr>
        <w:t>日向中国证监会办理完毕基金备案手续并已获书面确认，基金合同自该日期正式生效。自基金合同生效之日起，本基金管理人正式开始管理本基金。</w:t>
      </w:r>
    </w:p>
    <w:p w14:paraId="5E4D18DF" w14:textId="77777777" w:rsidR="00B67C49" w:rsidRDefault="0000000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基金合同》生效后，连续20个工作日出现基金份额持有人数量不满200人或者基金资产净值低于5000万元情形的，基金管理人应当在定期报告中予以披露；连续60个工作日出现前述情形的，基金管理人应在当10个工作日内向中国证监会报告并提出解决方案，如持续运作、转换运作方式、与其他基金合并或者终止基金合同等，并在6个月内召集基金份额持有人大会。</w:t>
      </w:r>
    </w:p>
    <w:p w14:paraId="5576B0EC" w14:textId="77777777" w:rsidR="00B67C49" w:rsidRDefault="00000000">
      <w:pPr>
        <w:widowControl/>
        <w:spacing w:line="360" w:lineRule="auto"/>
        <w:ind w:firstLineChars="200" w:firstLine="480"/>
        <w:jc w:val="left"/>
        <w:rPr>
          <w:rFonts w:ascii="Arial" w:eastAsia="宋体" w:hAnsi="Arial" w:cs="Times New Roman"/>
          <w:szCs w:val="20"/>
        </w:rPr>
        <w:sectPr w:rsidR="00B67C49" w:rsidSect="00D84CBD">
          <w:headerReference w:type="even" r:id="rId51"/>
          <w:headerReference w:type="default" r:id="rId52"/>
          <w:footerReference w:type="default" r:id="rId53"/>
          <w:headerReference w:type="first" r:id="rId54"/>
          <w:pgSz w:w="11906" w:h="16838"/>
          <w:pgMar w:top="1440" w:right="1800" w:bottom="1440" w:left="1800" w:header="851" w:footer="992" w:gutter="0"/>
          <w:pgNumType w:chapStyle="1"/>
          <w:cols w:space="720"/>
          <w:docGrid w:type="lines" w:linePitch="312"/>
        </w:sectPr>
      </w:pPr>
      <w:r>
        <w:rPr>
          <w:rFonts w:asciiTheme="minorEastAsia" w:hAnsiTheme="minorEastAsia" w:cs="Times New Roman" w:hint="eastAsia"/>
          <w:sz w:val="24"/>
          <w:szCs w:val="24"/>
        </w:rPr>
        <w:t xml:space="preserve">法律法规或中国证监会另有规定时，从其规定。 </w:t>
      </w:r>
      <w:bookmarkStart w:id="165" w:name="_Toc416264544"/>
      <w:bookmarkStart w:id="166" w:name="_Toc12357171"/>
      <w:bookmarkStart w:id="167" w:name="_Toc21073391"/>
      <w:bookmarkStart w:id="168" w:name="_Toc263092316"/>
      <w:bookmarkStart w:id="169" w:name="_Toc214873597"/>
      <w:bookmarkStart w:id="170" w:name="_Toc147463118"/>
      <w:bookmarkStart w:id="171" w:name="_Toc3963"/>
      <w:bookmarkStart w:id="172" w:name="_Toc10398"/>
      <w:bookmarkStart w:id="173" w:name="_Toc18206"/>
      <w:bookmarkStart w:id="174" w:name="_Toc31821"/>
      <w:bookmarkStart w:id="175" w:name="_Toc123102456"/>
      <w:bookmarkStart w:id="176" w:name="_Toc123051455"/>
      <w:bookmarkStart w:id="177" w:name="_Toc98560355"/>
      <w:bookmarkStart w:id="178" w:name="_Toc3080"/>
      <w:bookmarkStart w:id="179" w:name="_Toc141703889"/>
      <w:bookmarkStart w:id="180" w:name="_Toc725"/>
      <w:bookmarkStart w:id="181" w:name="_Toc352229755"/>
      <w:bookmarkStart w:id="182" w:name="_Toc1745"/>
      <w:bookmarkStart w:id="183" w:name="_Toc21735"/>
      <w:bookmarkStart w:id="184" w:name="_Toc3572"/>
      <w:bookmarkStart w:id="185" w:name="_Toc16164"/>
      <w:bookmarkStart w:id="186" w:name="_Toc139991739"/>
      <w:bookmarkStart w:id="187" w:name="_Toc123112237"/>
      <w:bookmarkStart w:id="188" w:name="_Toc1876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456E4445" w14:textId="77777777" w:rsidR="00B67C49" w:rsidRDefault="00000000">
      <w:pPr>
        <w:pStyle w:val="1"/>
        <w:jc w:val="center"/>
        <w:rPr>
          <w:rFonts w:ascii="Arial" w:hAnsi="Arial" w:cs="Arial"/>
          <w:bCs/>
          <w:sz w:val="30"/>
          <w:szCs w:val="30"/>
        </w:rPr>
      </w:pPr>
      <w:bookmarkStart w:id="189" w:name="_Toc119568464"/>
      <w:bookmarkStart w:id="190" w:name="_Toc68266295"/>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65"/>
      <w:bookmarkEnd w:id="166"/>
      <w:bookmarkEnd w:id="167"/>
      <w:bookmarkEnd w:id="168"/>
      <w:bookmarkEnd w:id="169"/>
      <w:bookmarkEnd w:id="170"/>
      <w:bookmarkEnd w:id="189"/>
      <w:bookmarkEnd w:id="190"/>
    </w:p>
    <w:p w14:paraId="323DF28B" w14:textId="77777777" w:rsidR="00B67C49" w:rsidRDefault="00000000">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0D8E926B"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14:paraId="3193D722" w14:textId="77777777" w:rsidR="00B67C49" w:rsidRDefault="00000000">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0FB0F90A"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1、开放日及开放时间</w:t>
      </w:r>
    </w:p>
    <w:p w14:paraId="134EA544"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B26D0C2"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2B237F04"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0BCC7C72"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w:t>
      </w:r>
      <w:r>
        <w:rPr>
          <w:rFonts w:asciiTheme="minorEastAsia" w:hAnsiTheme="minorEastAsia" w:cs="Arial"/>
          <w:sz w:val="24"/>
          <w:szCs w:val="24"/>
        </w:rPr>
        <w:t>2022年1月25日开始办理申购、赎回业务。</w:t>
      </w:r>
    </w:p>
    <w:p w14:paraId="3ECED989"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asciiTheme="minorEastAsia" w:hAnsiTheme="minorEastAsia" w:cs="Arial" w:hint="eastAsia"/>
          <w:sz w:val="24"/>
          <w:szCs w:val="24"/>
        </w:rPr>
        <w:t>且登记</w:t>
      </w:r>
      <w:proofErr w:type="gramEnd"/>
      <w:r>
        <w:rPr>
          <w:rFonts w:asciiTheme="minorEastAsia" w:hAnsiTheme="minorEastAsia" w:cs="Arial" w:hint="eastAsia"/>
          <w:sz w:val="24"/>
          <w:szCs w:val="24"/>
        </w:rPr>
        <w:t>机构确认接受的，其基金份额申购、赎回价格为下一开放日该类基金份额申购、赎回的价格。</w:t>
      </w:r>
    </w:p>
    <w:p w14:paraId="207C387C" w14:textId="77777777" w:rsidR="00B67C49" w:rsidRDefault="00000000">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588FAD1C"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1、“未知价”原则，即申购、赎回价格以申请当日收市后计算的该类基金份额净值为基准进行计算；</w:t>
      </w:r>
    </w:p>
    <w:p w14:paraId="1AF0F0A1"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2、“金额申购、份额赎回”原则，即申购以金额申请，赎回以份额申请；</w:t>
      </w:r>
    </w:p>
    <w:p w14:paraId="284C01B8"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3、当日的申购与赎回申请可以在基金管理人规定的时间以内撤销；</w:t>
      </w:r>
    </w:p>
    <w:p w14:paraId="06EAB049"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4、赎回遵循“先进先出”原则，即按照投资人认购、申购的先后次序进行顺序赎回；</w:t>
      </w:r>
    </w:p>
    <w:p w14:paraId="74799C16"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5、办理申购、赎回业务时，应当遵循基金份额持有人利益优先原则，确保投资者的合法权益不受损害并得到公平对待。</w:t>
      </w:r>
    </w:p>
    <w:p w14:paraId="7865E157"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基金管理人可在法律法规允许的情况下，对上述原则进行调整。基金管理人必须在新规则开始实施前依照《信息披露办法》的有关规定在规定媒介上公告。</w:t>
      </w:r>
    </w:p>
    <w:p w14:paraId="7782AF6D" w14:textId="77777777" w:rsidR="00B67C49" w:rsidRDefault="00000000">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6B90ED4B"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1、申购和赎回的申请方式</w:t>
      </w:r>
    </w:p>
    <w:p w14:paraId="31EC4A76"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50F16037"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2、申购和赎回的款项支付</w:t>
      </w:r>
    </w:p>
    <w:p w14:paraId="57050588"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在规定的时间内全额交付申购款项，投资人在规定的时间内全额交付申购款项，申购成立；基金份额登记机构确认基金份额时，申购生效。基金份额持有人递交赎回申请，赎回成立；基金份额登记机构确认赎回时，赎回生效。</w:t>
      </w:r>
    </w:p>
    <w:p w14:paraId="76B20D4B"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投资人T日赎回申请生效后，基金管理人将在T＋7日(包括该日)内支付赎回款项。在发生巨额赎回时或基金合同载明的延缓支付赎回款项的情形时，款项的支付办法参照基金合同有关条款处理。</w:t>
      </w:r>
    </w:p>
    <w:p w14:paraId="27B4DCC0"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遇证券、期货交易所或交易市场数据传输延迟、通讯系统故障、银行数据交换系统故障或其它</w:t>
      </w:r>
      <w:proofErr w:type="gramStart"/>
      <w:r>
        <w:rPr>
          <w:rFonts w:asciiTheme="minorEastAsia" w:hAnsiTheme="minorEastAsia" w:cs="Arial" w:hint="eastAsia"/>
          <w:sz w:val="24"/>
          <w:szCs w:val="24"/>
        </w:rPr>
        <w:t>非基金</w:t>
      </w:r>
      <w:proofErr w:type="gramEnd"/>
      <w:r>
        <w:rPr>
          <w:rFonts w:asciiTheme="minorEastAsia" w:hAnsiTheme="minorEastAsia" w:cs="Arial" w:hint="eastAsia"/>
          <w:sz w:val="24"/>
          <w:szCs w:val="24"/>
        </w:rPr>
        <w:t>管理人及基金托管人所能控制的因素影响业务处理流程时，赎回款项顺延至前述影响因素消除的下一个工作日划出。</w:t>
      </w:r>
    </w:p>
    <w:p w14:paraId="608577CE" w14:textId="77777777" w:rsidR="00B67C49" w:rsidRDefault="00000000">
      <w:pPr>
        <w:spacing w:line="360" w:lineRule="auto"/>
        <w:ind w:firstLineChars="200" w:firstLine="480"/>
        <w:rPr>
          <w:bCs/>
          <w:sz w:val="24"/>
        </w:rPr>
      </w:pPr>
      <w:r>
        <w:rPr>
          <w:rFonts w:hint="eastAsia"/>
          <w:bCs/>
          <w:sz w:val="24"/>
        </w:rPr>
        <w:t>基金管理人可以在法律法规和基金合同允许的范围内，对上述业务办理时间进行调整，基金管理人必须在调整实施前依照《信息披露办法》的有关规定在规定媒介上公告。</w:t>
      </w:r>
    </w:p>
    <w:p w14:paraId="7B5213AB"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3、申购和赎回申请的确认</w:t>
      </w:r>
    </w:p>
    <w:p w14:paraId="16C96E4D"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本金退还给投资人。</w:t>
      </w:r>
    </w:p>
    <w:p w14:paraId="48993818"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销售机构对申购、赎回申请的受理并不代表该申请一定成功，而仅代表销售机构确实接收到申购、赎回申请。申购、赎回申请的确认以基金份额登记机构的确认结果为准。对于申购、赎回申请的确认情况，投资人应及时查询并妥善行使合法权利。</w:t>
      </w:r>
    </w:p>
    <w:p w14:paraId="3909CC6F" w14:textId="77777777" w:rsidR="00B67C49"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基金管理人可以在法律法规允许的范围内，依法对上述申购和赎回申请的确认时间进行调整，并必须在调整实施日前按照《信息披露办法》的有关规定在规定媒介上公告。</w:t>
      </w:r>
    </w:p>
    <w:p w14:paraId="47F47E63" w14:textId="77777777" w:rsidR="00B67C49" w:rsidRDefault="00000000">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五、申购与赎回的数量限制</w:t>
      </w:r>
    </w:p>
    <w:p w14:paraId="09A1816C" w14:textId="77777777" w:rsidR="00B67C49"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A类基金份额，首次单笔最低申购金额为人民币1.00元，追加申购单笔最低金额为人民币1.00元。投资人申购C类基金份额，首次单笔最低申购金额为人民币1.00元，追加申购单笔最低金额为人民币1.00元。各销售机构在不低于上述规定的前提下，可根据自己的情况调整首次最低申购金额和追加最低申购金额和追加最低申购金额限制，具体以销售机构公布的为准。</w:t>
      </w:r>
    </w:p>
    <w:p w14:paraId="13EEBD77" w14:textId="77777777" w:rsidR="00B67C49"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2、每个基金交易账户最低持有基金份额余额为1份，若某笔赎回导致单个基金交易账户的基金份额余额少于1份时，余额部分基金份额必须一同赎回。</w:t>
      </w:r>
    </w:p>
    <w:p w14:paraId="48E73EAB" w14:textId="77777777" w:rsidR="00B67C49"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3、本基金目前对单个投资人累计持有份额不设上限限制，基金管理人可以规定单个投资者累计持有的基金份额数量限制，具体规定见更新的招募说明书或相关公告。</w:t>
      </w:r>
    </w:p>
    <w:p w14:paraId="6A5C080D" w14:textId="77777777" w:rsidR="00B67C49"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asciiTheme="minorEastAsia" w:hAnsiTheme="minorEastAsia" w:cs="Arial" w:hint="eastAsia"/>
          <w:sz w:val="24"/>
          <w:szCs w:val="24"/>
        </w:rPr>
        <w:t>见基金</w:t>
      </w:r>
      <w:proofErr w:type="gramEnd"/>
      <w:r>
        <w:rPr>
          <w:rFonts w:asciiTheme="minorEastAsia" w:hAnsiTheme="minorEastAsia" w:cs="Arial" w:hint="eastAsia"/>
          <w:sz w:val="24"/>
          <w:szCs w:val="24"/>
        </w:rPr>
        <w:t>管理人相关公告。</w:t>
      </w:r>
    </w:p>
    <w:p w14:paraId="67ADC412" w14:textId="77777777" w:rsidR="00B67C49"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5、基金管理人可在法律法规允许的情况下，调整上述规定申购金额和赎回份额的数量限制。基金管理人必须在调整实施前依照《信息披露办法》的有关规定在规定媒介上公告。</w:t>
      </w:r>
    </w:p>
    <w:p w14:paraId="1047CF38" w14:textId="77777777" w:rsidR="00B67C49" w:rsidRDefault="00000000">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2DE5414E" w14:textId="77777777" w:rsidR="00B67C49"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4F071C62" w14:textId="77777777" w:rsidR="00B67C49"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B67C49" w14:paraId="3E55F7F3"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5ED8CDA4" w14:textId="77777777" w:rsidR="00B67C49" w:rsidRDefault="00000000">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B67C49" w14:paraId="1BD0A324"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03160A49" w14:textId="77777777" w:rsidR="00B67C49"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7F95404C" w14:textId="77777777" w:rsidR="00B67C49"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B67C49" w14:paraId="34B3832A"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2E0F6C7A" w14:textId="77777777" w:rsidR="00B67C49"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4430" w:type="dxa"/>
            <w:tcBorders>
              <w:top w:val="single" w:sz="4" w:space="0" w:color="auto"/>
              <w:left w:val="single" w:sz="4" w:space="0" w:color="auto"/>
              <w:bottom w:val="single" w:sz="4" w:space="0" w:color="auto"/>
              <w:right w:val="single" w:sz="4" w:space="0" w:color="auto"/>
            </w:tcBorders>
          </w:tcPr>
          <w:p w14:paraId="20C15A57" w14:textId="77777777" w:rsidR="00B67C49"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1.50%</w:t>
            </w:r>
          </w:p>
        </w:tc>
      </w:tr>
      <w:tr w:rsidR="00B67C49" w14:paraId="0AA9C55B"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65BBA7A4" w14:textId="77777777" w:rsidR="00B67C49"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100万元≤M＜300万元</w:t>
            </w:r>
          </w:p>
        </w:tc>
        <w:tc>
          <w:tcPr>
            <w:tcW w:w="4430" w:type="dxa"/>
            <w:tcBorders>
              <w:top w:val="single" w:sz="4" w:space="0" w:color="auto"/>
              <w:left w:val="single" w:sz="4" w:space="0" w:color="auto"/>
              <w:bottom w:val="single" w:sz="4" w:space="0" w:color="auto"/>
              <w:right w:val="single" w:sz="4" w:space="0" w:color="auto"/>
            </w:tcBorders>
          </w:tcPr>
          <w:p w14:paraId="6B1B200F" w14:textId="77777777" w:rsidR="00B67C49"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w:t>
            </w:r>
          </w:p>
        </w:tc>
      </w:tr>
      <w:tr w:rsidR="00B67C49" w14:paraId="673C1AB0"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2E04E8BC" w14:textId="77777777" w:rsidR="00B67C49"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lastRenderedPageBreak/>
              <w:t>300万元≤M＜500万元</w:t>
            </w:r>
          </w:p>
        </w:tc>
        <w:tc>
          <w:tcPr>
            <w:tcW w:w="4430" w:type="dxa"/>
            <w:tcBorders>
              <w:top w:val="single" w:sz="4" w:space="0" w:color="auto"/>
              <w:left w:val="single" w:sz="4" w:space="0" w:color="auto"/>
              <w:bottom w:val="single" w:sz="4" w:space="0" w:color="auto"/>
              <w:right w:val="single" w:sz="4" w:space="0" w:color="auto"/>
            </w:tcBorders>
          </w:tcPr>
          <w:p w14:paraId="0D614260" w14:textId="77777777" w:rsidR="00B67C49"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0.60%</w:t>
            </w:r>
          </w:p>
        </w:tc>
      </w:tr>
      <w:tr w:rsidR="00B67C49" w14:paraId="40711957"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07D8CC86" w14:textId="77777777" w:rsidR="00B67C49"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M≥500万元</w:t>
            </w:r>
          </w:p>
        </w:tc>
        <w:tc>
          <w:tcPr>
            <w:tcW w:w="4430" w:type="dxa"/>
            <w:tcBorders>
              <w:top w:val="single" w:sz="4" w:space="0" w:color="auto"/>
              <w:left w:val="single" w:sz="4" w:space="0" w:color="auto"/>
              <w:bottom w:val="single" w:sz="4" w:space="0" w:color="auto"/>
              <w:right w:val="single" w:sz="4" w:space="0" w:color="auto"/>
            </w:tcBorders>
          </w:tcPr>
          <w:p w14:paraId="232AEA74" w14:textId="77777777" w:rsidR="00B67C49"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B67C49" w14:paraId="0A45416B"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4DE5F718" w14:textId="77777777" w:rsidR="00B67C49" w:rsidRDefault="00000000">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B67C49" w14:paraId="685C822D"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1DEB565A" w14:textId="77777777" w:rsidR="00B67C49" w:rsidRDefault="00000000">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3FFADD20" w14:textId="77777777" w:rsidR="00B67C49" w:rsidRDefault="00B67C4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1601FA3B" w14:textId="77777777" w:rsidR="00B67C49" w:rsidRDefault="00000000">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本基金A类基金份额的申购费用由申购A类基金份额的投资人承担，不列入基金资产，用于基金的市场推广、销售、登记等各项费用。</w:t>
      </w:r>
      <w:r>
        <w:rPr>
          <w:rFonts w:asciiTheme="minorEastAsia" w:hAnsiTheme="minorEastAsia" w:cs="Arial" w:hint="eastAsia"/>
          <w:bCs/>
          <w:sz w:val="24"/>
          <w:szCs w:val="24"/>
        </w:rPr>
        <w:t>C 类基金份额不收取申购费用</w:t>
      </w:r>
      <w:r>
        <w:rPr>
          <w:rFonts w:asciiTheme="minorEastAsia" w:hAnsiTheme="minorEastAsia" w:cs="Arial"/>
          <w:bCs/>
          <w:sz w:val="24"/>
          <w:szCs w:val="24"/>
        </w:rPr>
        <w:t>。</w:t>
      </w:r>
    </w:p>
    <w:p w14:paraId="64E96899"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695E9424"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B67C49" w14:paraId="1750DA1F"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6C660BC2" w14:textId="77777777" w:rsidR="00B67C49" w:rsidRDefault="00000000">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21DDF3C9" w14:textId="77777777" w:rsidR="00B67C49" w:rsidRDefault="00000000">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5ADE257C" w14:textId="77777777" w:rsidR="00B67C49" w:rsidRDefault="00000000">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B67C49" w14:paraId="6AEEA49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13CC8319" w14:textId="77777777" w:rsidR="00B67C49"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27CE1386" w14:textId="77777777" w:rsidR="00B67C49"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7CFD36C" w14:textId="77777777" w:rsidR="00B67C49" w:rsidRDefault="00000000">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B67C49" w14:paraId="420F65A5"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602DCE5C" w14:textId="77777777" w:rsidR="00B67C49"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58528998" w14:textId="77777777" w:rsidR="00B67C49"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717574D1" w14:textId="77777777" w:rsidR="00B67C49" w:rsidRDefault="00000000">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B67C49" w14:paraId="052E41A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63BB3E2F" w14:textId="77777777" w:rsidR="00B67C49"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＜180日</w:t>
            </w:r>
          </w:p>
        </w:tc>
        <w:tc>
          <w:tcPr>
            <w:tcW w:w="2127" w:type="dxa"/>
            <w:tcBorders>
              <w:top w:val="single" w:sz="4" w:space="0" w:color="auto"/>
              <w:left w:val="single" w:sz="4" w:space="0" w:color="auto"/>
              <w:bottom w:val="single" w:sz="4" w:space="0" w:color="auto"/>
              <w:right w:val="single" w:sz="4" w:space="0" w:color="auto"/>
            </w:tcBorders>
          </w:tcPr>
          <w:p w14:paraId="214D89B6" w14:textId="77777777" w:rsidR="00B67C49"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36A8CF87" w14:textId="77777777" w:rsidR="00B67C49" w:rsidRDefault="00000000">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B67C49" w14:paraId="7123189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5A99E582" w14:textId="77777777" w:rsidR="00B67C49"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Y≥180日</w:t>
            </w:r>
          </w:p>
        </w:tc>
        <w:tc>
          <w:tcPr>
            <w:tcW w:w="2127" w:type="dxa"/>
            <w:tcBorders>
              <w:top w:val="single" w:sz="4" w:space="0" w:color="auto"/>
              <w:left w:val="single" w:sz="4" w:space="0" w:color="auto"/>
              <w:bottom w:val="single" w:sz="4" w:space="0" w:color="auto"/>
              <w:right w:val="single" w:sz="4" w:space="0" w:color="auto"/>
            </w:tcBorders>
          </w:tcPr>
          <w:p w14:paraId="5D068265" w14:textId="77777777" w:rsidR="00B67C49"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5DC5322F" w14:textId="77777777" w:rsidR="00B67C49" w:rsidRDefault="00000000">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6A72C7FF" w14:textId="77777777" w:rsidR="00B67C49" w:rsidRDefault="00B67C49">
      <w:pPr>
        <w:adjustRightInd w:val="0"/>
        <w:snapToGrid w:val="0"/>
        <w:spacing w:line="360" w:lineRule="auto"/>
        <w:rPr>
          <w:rFonts w:asciiTheme="minorEastAsia" w:hAnsiTheme="minorEastAsia" w:cs="Arial"/>
          <w:sz w:val="24"/>
          <w:szCs w:val="24"/>
        </w:rPr>
      </w:pPr>
    </w:p>
    <w:p w14:paraId="506F6092"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5BD8A032"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注：1个月按30日计算，3个月按90日计算，以此类推）。</w:t>
      </w:r>
    </w:p>
    <w:p w14:paraId="2086923B"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、基金管理人可以在基金合同约定的范围内调整费率或收费方式，并最迟应于新的费率或收费方式实施日前依照《信息披露办法》的有关规定在规定媒介上公告。</w:t>
      </w:r>
    </w:p>
    <w:p w14:paraId="65A4A2C5" w14:textId="77777777" w:rsidR="00B67C49" w:rsidRDefault="00000000">
      <w:pPr>
        <w:snapToGrid w:val="0"/>
        <w:spacing w:line="360" w:lineRule="auto"/>
        <w:ind w:firstLineChars="200" w:firstLine="480"/>
        <w:rPr>
          <w:rFonts w:asciiTheme="minorEastAsia" w:hAnsiTheme="minorEastAsia" w:cs="Arial"/>
          <w:bCs/>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Arial" w:hint="eastAsia"/>
          <w:bCs/>
          <w:sz w:val="24"/>
          <w:szCs w:val="24"/>
        </w:rPr>
        <w:t>基金管理人可以在不违背法律法规规定、基金合同约定及基金持有人利益的情况下根据市场情况制定基金促销计划，定期和不定期地开展基金促销活动。在</w:t>
      </w:r>
      <w:r>
        <w:rPr>
          <w:rFonts w:asciiTheme="minorEastAsia" w:hAnsiTheme="minorEastAsia" w:cs="Arial" w:hint="eastAsia"/>
          <w:bCs/>
          <w:sz w:val="24"/>
          <w:szCs w:val="24"/>
        </w:rPr>
        <w:lastRenderedPageBreak/>
        <w:t>基金促销活动期间，基金管理人可以按中国证监会要求履行必要手续后，对基金投资者适当调低基金销售费用。</w:t>
      </w:r>
    </w:p>
    <w:p w14:paraId="78054863" w14:textId="77777777" w:rsidR="00B67C49" w:rsidRDefault="00000000">
      <w:pPr>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7DB70296"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70EB21CF"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（1）当申购费用适用比例费率时，申购份额的计算公式如下：</w:t>
      </w:r>
    </w:p>
    <w:p w14:paraId="077D0301"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61E8FA21"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41D0A9BE"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7D0CAB1F"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6A0DC0F1"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2CAFC0FB"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6D8B3872"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11015066"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7A760A94"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元申购本基金A类基金份额，且该申购申请被全额确认，对应的申购费率为1.5%，假定申购当日A类基金份额净值为1.0500元，则可得到的申购份额为：</w:t>
      </w:r>
    </w:p>
    <w:p w14:paraId="1D80D271"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净申购金额＝50,000/(1+1.5%)＝49,261.08元</w:t>
      </w:r>
    </w:p>
    <w:p w14:paraId="72160A7F"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529D94FC"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0269624A"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1FEC6316"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4AA2114B"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467E53F8"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7768363E"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2300元，则可得到的申购份额为：</w:t>
      </w:r>
    </w:p>
    <w:p w14:paraId="73F5F0F7"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w:t>
      </w:r>
      <w:r>
        <w:rPr>
          <w:rFonts w:asciiTheme="minorEastAsia" w:hAnsiTheme="minorEastAsia" w:cs="Arial" w:hint="eastAsia"/>
          <w:sz w:val="24"/>
          <w:szCs w:val="24"/>
        </w:rPr>
        <w:t>000,000.00份</w:t>
      </w:r>
    </w:p>
    <w:p w14:paraId="3D2A2B17"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w:t>
      </w:r>
      <w:r>
        <w:rPr>
          <w:rFonts w:asciiTheme="minorEastAsia" w:hAnsiTheme="minorEastAsia" w:cs="Arial" w:hint="eastAsia"/>
          <w:sz w:val="24"/>
          <w:szCs w:val="24"/>
        </w:rPr>
        <w:lastRenderedPageBreak/>
        <w:t>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w:t>
      </w:r>
      <w:r>
        <w:rPr>
          <w:rFonts w:asciiTheme="minorEastAsia" w:hAnsiTheme="minorEastAsia" w:cs="Arial" w:hint="eastAsia"/>
          <w:sz w:val="24"/>
          <w:szCs w:val="24"/>
        </w:rPr>
        <w:t>00,000.00份C类基金份额。</w:t>
      </w:r>
    </w:p>
    <w:p w14:paraId="15C3F8D6"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 xml:space="preserve"> </w:t>
      </w:r>
      <w:r>
        <w:rPr>
          <w:rFonts w:asciiTheme="minorEastAsia" w:hAnsiTheme="minorEastAsia" w:cs="Arial" w:hint="eastAsia"/>
          <w:sz w:val="24"/>
          <w:szCs w:val="24"/>
        </w:rPr>
        <w:t>赎回金额的计算方式：</w:t>
      </w:r>
    </w:p>
    <w:p w14:paraId="1A2DD74D"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6BA9693B"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5D36E87B"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1E818DD4"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6B2ABB01"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61551005"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175476FF"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1E65CCAF"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426A2A51"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7DE64FF8"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0796E88A"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4363AAF5"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61A25504"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2BA45664"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5A930F4C"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56BEAFB3" w14:textId="77777777" w:rsidR="00B67C49" w:rsidRDefault="00000000">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lastRenderedPageBreak/>
        <w:t>八、申购与赎回的登记业务</w:t>
      </w:r>
    </w:p>
    <w:p w14:paraId="6C673EBD"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4FDEDB42"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338E63E5"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在规定媒介公告。</w:t>
      </w:r>
    </w:p>
    <w:p w14:paraId="789B17C3" w14:textId="77777777" w:rsidR="00B67C49" w:rsidRDefault="00000000">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70EB904B"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180B8236"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1、因不可抗力导致基金无法正常运作。</w:t>
      </w:r>
    </w:p>
    <w:p w14:paraId="0C8F19ED"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2、发生基金合同规定的暂停基金资产估值情况时，基金管理人可暂停接受投资人的申购申请。</w:t>
      </w:r>
    </w:p>
    <w:p w14:paraId="68E25770"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4E414252"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4、接受某笔或某些申购申请可能会影响或损害现有基金份额持有人利益时。</w:t>
      </w:r>
    </w:p>
    <w:p w14:paraId="389A2D70"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0DCDFFE0"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6、当特定资产占前一估值日基金资产净值50%以上的，经与基金托管人协商确认后，基金管理人应当暂停接受基金申购申请。</w:t>
      </w:r>
    </w:p>
    <w:p w14:paraId="32DDF437"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7、基金管理人接受某笔或者某些申购申请有可能导致单一投资者持有基金份额的比例达到或者超过50%，或者变相规避50%集中度的情形。</w:t>
      </w:r>
    </w:p>
    <w:p w14:paraId="07EEB288"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8</w:t>
      </w:r>
      <w:r>
        <w:rPr>
          <w:rFonts w:asciiTheme="minorEastAsia" w:hAnsiTheme="minorEastAsia" w:cs="Arial" w:hint="eastAsia"/>
          <w:sz w:val="24"/>
          <w:szCs w:val="24"/>
        </w:rPr>
        <w:t>、基金管理人、基金托管人、基金销售机构或登记机构的异常情况导致基金销售系统、登记系统或基金会计系统无法正常运行。</w:t>
      </w:r>
    </w:p>
    <w:p w14:paraId="6B43C8FF"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9</w:t>
      </w:r>
      <w:r>
        <w:rPr>
          <w:rFonts w:asciiTheme="minorEastAsia" w:hAnsiTheme="minorEastAsia" w:cs="Arial" w:hint="eastAsia"/>
          <w:sz w:val="24"/>
          <w:szCs w:val="24"/>
        </w:rPr>
        <w:t>、接受某笔或某些申购申请超过基金管理人设定的本基金的总规模限额、单日净申购比例上限、单一投资者单日或单笔申购金额上限的。</w:t>
      </w:r>
    </w:p>
    <w:p w14:paraId="2282C451"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10</w:t>
      </w:r>
      <w:r>
        <w:rPr>
          <w:rFonts w:asciiTheme="minorEastAsia" w:hAnsiTheme="minorEastAsia" w:cs="Arial" w:hint="eastAsia"/>
          <w:sz w:val="24"/>
          <w:szCs w:val="24"/>
        </w:rPr>
        <w:t>、法律法规规定或中国证监会认定的其他情形。</w:t>
      </w:r>
    </w:p>
    <w:p w14:paraId="0DB21DA3"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发生上述第1、2、3、5、6、8、</w:t>
      </w:r>
      <w:r>
        <w:rPr>
          <w:rFonts w:asciiTheme="minorEastAsia" w:hAnsiTheme="minorEastAsia" w:cs="Arial"/>
          <w:sz w:val="24"/>
          <w:szCs w:val="24"/>
        </w:rPr>
        <w:t>10</w:t>
      </w:r>
      <w:r>
        <w:rPr>
          <w:rFonts w:asciiTheme="minorEastAsia" w:hAnsiTheme="minorEastAsia" w:cs="Arial" w:hint="eastAsia"/>
          <w:sz w:val="24"/>
          <w:szCs w:val="24"/>
        </w:rPr>
        <w:t>项暂停申购情形之一</w:t>
      </w:r>
      <w:proofErr w:type="gramStart"/>
      <w:r>
        <w:rPr>
          <w:rFonts w:asciiTheme="minorEastAsia" w:hAnsiTheme="minorEastAsia" w:cs="Arial" w:hint="eastAsia"/>
          <w:sz w:val="24"/>
          <w:szCs w:val="24"/>
        </w:rPr>
        <w:t>且基金</w:t>
      </w:r>
      <w:proofErr w:type="gramEnd"/>
      <w:r>
        <w:rPr>
          <w:rFonts w:asciiTheme="minorEastAsia" w:hAnsiTheme="minorEastAsia" w:cs="Arial" w:hint="eastAsia"/>
          <w:sz w:val="24"/>
          <w:szCs w:val="24"/>
        </w:rPr>
        <w:t>管理人决定暂停接受投资人的申购申请时，基金管理人应当根据有关规定在规定媒介上刊登暂停申购公告。如果投资人的申购申请被拒绝，被拒绝的申购款项本金将退还给投资人。</w:t>
      </w:r>
      <w:r>
        <w:rPr>
          <w:rFonts w:asciiTheme="minorEastAsia" w:hAnsiTheme="minorEastAsia" w:cs="Arial" w:hint="eastAsia"/>
          <w:sz w:val="24"/>
          <w:szCs w:val="24"/>
        </w:rPr>
        <w:lastRenderedPageBreak/>
        <w:t>在暂停申购的情况消除时，基金管理人应及时恢复申购业务的办理。</w:t>
      </w:r>
    </w:p>
    <w:p w14:paraId="0527B143" w14:textId="77777777" w:rsidR="00B67C49" w:rsidRDefault="00000000">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w:t>
      </w:r>
    </w:p>
    <w:p w14:paraId="5EC80FE9" w14:textId="77777777" w:rsidR="00B67C49" w:rsidRDefault="00000000">
      <w:pPr>
        <w:widowControl/>
        <w:spacing w:line="360" w:lineRule="auto"/>
        <w:ind w:firstLineChars="200" w:firstLine="480"/>
        <w:jc w:val="left"/>
        <w:rPr>
          <w:rFonts w:asciiTheme="minorEastAsia" w:hAnsiTheme="minorEastAsia" w:cs="Arial"/>
          <w:sz w:val="24"/>
          <w:szCs w:val="24"/>
        </w:rPr>
      </w:pPr>
      <w:bookmarkStart w:id="191" w:name="_Toc416264545"/>
      <w:bookmarkStart w:id="192" w:name="_Toc17920"/>
      <w:bookmarkStart w:id="193" w:name="_Toc32584"/>
      <w:bookmarkStart w:id="194" w:name="_Toc48649708"/>
      <w:bookmarkStart w:id="195" w:name="_Toc123051456"/>
      <w:bookmarkStart w:id="196" w:name="_Toc98560356"/>
      <w:bookmarkStart w:id="197" w:name="_Toc17198"/>
      <w:bookmarkStart w:id="198" w:name="_Toc141703890"/>
      <w:bookmarkStart w:id="199" w:name="_Toc21237"/>
      <w:bookmarkStart w:id="200" w:name="_Toc3329"/>
      <w:bookmarkStart w:id="201" w:name="_Toc5170"/>
      <w:bookmarkStart w:id="202" w:name="_Toc29408"/>
      <w:bookmarkStart w:id="203" w:name="_Toc739"/>
      <w:bookmarkStart w:id="204" w:name="_Toc123102457"/>
      <w:bookmarkStart w:id="205" w:name="_Toc32092"/>
      <w:bookmarkStart w:id="206" w:name="_Toc123112238"/>
      <w:bookmarkStart w:id="207" w:name="_Toc20976"/>
      <w:bookmarkStart w:id="208" w:name="_Toc79392622"/>
      <w:bookmarkStart w:id="209" w:name="_Toc139991740"/>
      <w:bookmarkStart w:id="210" w:name="_Toc352229756"/>
      <w:bookmarkStart w:id="211" w:name="_Toc879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asciiTheme="minorEastAsia" w:hAnsiTheme="minorEastAsia" w:cs="Arial" w:hint="eastAsia"/>
          <w:sz w:val="24"/>
          <w:szCs w:val="24"/>
        </w:rPr>
        <w:t>发生下列情形时，基金管理人可暂停接受投资人的赎回申请或延缓支付赎回款项：</w:t>
      </w:r>
    </w:p>
    <w:p w14:paraId="3C173CCE"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62847889"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0F110779"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1B586F6C"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2AB73A22"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5、发生继续接受赎回申请将损害现有基金份额持有人利益的情形时，基金管理人可暂停接受基金份额持有人的赎回申请。</w:t>
      </w:r>
    </w:p>
    <w:p w14:paraId="523DF128"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6、当特定资产占前一估值日基金资产净值50%以上的，经与基金托管人协商确认后，基金管理人应当延缓支付赎回款项或暂停接受基金赎回申请。</w:t>
      </w:r>
    </w:p>
    <w:p w14:paraId="2D597E53"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5D4FF41E"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w:t>
      </w:r>
      <w:proofErr w:type="gramStart"/>
      <w:r>
        <w:rPr>
          <w:rFonts w:asciiTheme="minorEastAsia" w:hAnsiTheme="minorEastAsia" w:cs="Arial" w:hint="eastAsia"/>
          <w:sz w:val="24"/>
          <w:szCs w:val="24"/>
        </w:rPr>
        <w:t>且基金</w:t>
      </w:r>
      <w:proofErr w:type="gramEnd"/>
      <w:r>
        <w:rPr>
          <w:rFonts w:asciiTheme="minorEastAsia" w:hAnsiTheme="minorEastAsia" w:cs="Arial" w:hint="eastAsia"/>
          <w:sz w:val="24"/>
          <w:szCs w:val="24"/>
        </w:rPr>
        <w:t>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5F55050E" w14:textId="77777777" w:rsidR="00B67C49"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5BAFC1FA"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00B17023"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322799CD"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344411F6"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3271CA18"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（1）全额赎回：当基金管理人认为有能力支付投资人的全部赎回申请时，按正常赎回程序执行。</w:t>
      </w:r>
    </w:p>
    <w:p w14:paraId="5262D3FF" w14:textId="77777777" w:rsidR="00B67C49" w:rsidRDefault="00000000">
      <w:pPr>
        <w:spacing w:line="360" w:lineRule="auto"/>
        <w:ind w:firstLineChars="200" w:firstLine="480"/>
        <w:rPr>
          <w:bCs/>
          <w:sz w:val="24"/>
        </w:rPr>
      </w:pPr>
      <w:r>
        <w:rPr>
          <w:rFonts w:asciiTheme="minorEastAsia" w:hAnsiTheme="minorEastAsia" w:cs="Arial" w:hint="eastAsia"/>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Theme="minorEastAsia" w:hAnsiTheme="minorEastAsia" w:cs="Arial" w:hint="eastAsia"/>
          <w:sz w:val="24"/>
          <w:szCs w:val="24"/>
        </w:rPr>
        <w:t>并以下</w:t>
      </w:r>
      <w:proofErr w:type="gramEnd"/>
      <w:r>
        <w:rPr>
          <w:rFonts w:asciiTheme="minorEastAsia" w:hAnsiTheme="minorEastAsia" w:cs="Arial" w:hint="eastAsia"/>
          <w:sz w:val="24"/>
          <w:szCs w:val="24"/>
        </w:rPr>
        <w:t>一开放日的该类基金份额净值为基础计算赎回金额，以此类推，直到全部赎回为止。如投资人在提交赎回申请时未作明确选择，投资人未能赎回部分作自动延期赎回处理。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p>
    <w:p w14:paraId="346BB498"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若本基金发生巨额赎回且在单个基金份额持有人超过上一日基金总份额20%以上的赎回申请的情形下，基金管理人有权对于该基金份额持有人当日超过上一日基金总份额20%以上的那部分赎回申请进行延期办理，对于该基金份额持有人其余赎回申请部分，基金管理人有权根据前段“（1）全额赎回”或“（2）部分延期赎回”的约定方式与其他基金份额持有人的赎回申请一并办理。但是，如该基金份额持有人在提交赎回申请时选择取消赎回，则其当日未获受理的部分赎回申请将被撤销。</w:t>
      </w:r>
    </w:p>
    <w:p w14:paraId="22FBEA03"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14:paraId="354D30CF"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6D56461F"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并依照《信息披露办法》的有关规定在规定媒介上刊登公告。</w:t>
      </w:r>
    </w:p>
    <w:p w14:paraId="21CCF3B2" w14:textId="77777777" w:rsidR="00B67C49"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4EADC4D0"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1、发生上述暂停申购或赎回情况的，基金管理人应在规定期限内在规定媒介上刊登暂停公告。</w:t>
      </w:r>
    </w:p>
    <w:p w14:paraId="7B642E89"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2、如发生暂停的时间为1日，基金管理人应于重新开放日，在规定媒介上刊登基金重新开放申购或赎回公告，并公布最近1个开放日的各类基金份额净值。</w:t>
      </w:r>
    </w:p>
    <w:p w14:paraId="4D5A28D7"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 xml:space="preserve">3、如发生暂停的时间超过1 日，基金管理人应提前1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 xml:space="preserve">工作日在规定媒介刊登基金重新开放申购或赎回的公告，并在重新开始办理申购或赎回的开放日公告最近1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工作日的各类基金份额净值。</w:t>
      </w:r>
    </w:p>
    <w:p w14:paraId="16DDAFAD" w14:textId="77777777" w:rsidR="00B67C49"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51A94515"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65CC0A2C" w14:textId="77777777" w:rsidR="00B67C49"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十四、基金的</w:t>
      </w:r>
      <w:proofErr w:type="gramStart"/>
      <w:r>
        <w:rPr>
          <w:rFonts w:asciiTheme="minorEastAsia" w:hAnsiTheme="minorEastAsia" w:cs="Arial" w:hint="eastAsia"/>
          <w:b/>
          <w:sz w:val="24"/>
          <w:szCs w:val="24"/>
        </w:rPr>
        <w:t>非交易</w:t>
      </w:r>
      <w:proofErr w:type="gramEnd"/>
      <w:r>
        <w:rPr>
          <w:rFonts w:asciiTheme="minorEastAsia" w:hAnsiTheme="minorEastAsia" w:cs="Arial" w:hint="eastAsia"/>
          <w:b/>
          <w:sz w:val="24"/>
          <w:szCs w:val="24"/>
        </w:rPr>
        <w:t>过户</w:t>
      </w:r>
    </w:p>
    <w:p w14:paraId="5FAF2821"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过户是指基金登记机构受理继承、捐赠和司法强制执行等情形而产生的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过户以及登记机构认可、符合法律法规的其它</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过户。无论在上述何种情况下，接受划转的主体必须是依法可以持有本</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份额的投资人。</w:t>
      </w:r>
    </w:p>
    <w:p w14:paraId="5DA35446"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w:t>
      </w:r>
      <w:proofErr w:type="gramStart"/>
      <w:r>
        <w:rPr>
          <w:rFonts w:asciiTheme="minorEastAsia" w:hAnsiTheme="minorEastAsia" w:cs="Arial" w:hint="eastAsia"/>
          <w:sz w:val="24"/>
          <w:szCs w:val="24"/>
        </w:rPr>
        <w:t>捐赠指</w:t>
      </w:r>
      <w:proofErr w:type="gramEnd"/>
      <w:r>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过户必须提供基金登记机构要求提供的相关资料，对于符合条件的</w:t>
      </w:r>
      <w:proofErr w:type="gramStart"/>
      <w:r>
        <w:rPr>
          <w:rFonts w:asciiTheme="minorEastAsia" w:hAnsiTheme="minorEastAsia" w:cs="Arial" w:hint="eastAsia"/>
          <w:sz w:val="24"/>
          <w:szCs w:val="24"/>
        </w:rPr>
        <w:t>非交易过户申请按</w:t>
      </w:r>
      <w:proofErr w:type="gramEnd"/>
      <w:r>
        <w:rPr>
          <w:rFonts w:asciiTheme="minorEastAsia" w:hAnsiTheme="minorEastAsia" w:cs="Arial" w:hint="eastAsia"/>
          <w:sz w:val="24"/>
          <w:szCs w:val="24"/>
        </w:rPr>
        <w:t>基金登记机构的规定办理，并按基金登记机构规定的标准收费。</w:t>
      </w:r>
    </w:p>
    <w:p w14:paraId="5DE4FCE9" w14:textId="77777777" w:rsidR="00B67C49"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十五、基金的转托管</w:t>
      </w:r>
    </w:p>
    <w:p w14:paraId="34C75DAC"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5F615FF5" w14:textId="77777777" w:rsidR="00B67C49"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十六、定期定额投资计划</w:t>
      </w:r>
    </w:p>
    <w:p w14:paraId="35AB16FE"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w:t>
      </w:r>
      <w:r>
        <w:rPr>
          <w:rFonts w:asciiTheme="minorEastAsia" w:hAnsiTheme="minorEastAsia" w:cs="Arial" w:hint="eastAsia"/>
          <w:sz w:val="24"/>
          <w:szCs w:val="24"/>
        </w:rPr>
        <w:lastRenderedPageBreak/>
        <w:t>必须不低于基金管理人在相关公告或更新的招募说明书中所规定的定期定额投资计划最低申购金额。</w:t>
      </w:r>
    </w:p>
    <w:p w14:paraId="7F9DD1B5" w14:textId="77777777" w:rsidR="00B67C49"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十七、基金份额的冻结</w:t>
      </w:r>
      <w:r>
        <w:rPr>
          <w:rFonts w:asciiTheme="minorEastAsia" w:hAnsiTheme="minorEastAsia" w:cs="Arial"/>
          <w:b/>
          <w:sz w:val="24"/>
          <w:szCs w:val="24"/>
        </w:rPr>
        <w:t>、</w:t>
      </w:r>
      <w:r>
        <w:rPr>
          <w:rFonts w:asciiTheme="minorEastAsia" w:hAnsiTheme="minorEastAsia" w:cs="Arial" w:hint="eastAsia"/>
          <w:b/>
          <w:sz w:val="24"/>
          <w:szCs w:val="24"/>
        </w:rPr>
        <w:t>解冻和质押</w:t>
      </w:r>
    </w:p>
    <w:p w14:paraId="6482F8E0" w14:textId="77777777" w:rsidR="00B67C49" w:rsidRDefault="00000000">
      <w:pPr>
        <w:spacing w:line="360" w:lineRule="auto"/>
        <w:ind w:firstLineChars="200" w:firstLine="480"/>
        <w:rPr>
          <w:bCs/>
          <w:sz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基金份额被冻结的，被冻结部分产生的权益一并冻结，被冻结部分份额仍然参与收益分配。法律法规或监管部门另有规定的除外。</w:t>
      </w:r>
    </w:p>
    <w:p w14:paraId="0F92876A" w14:textId="77777777" w:rsidR="00B67C49" w:rsidRDefault="00000000">
      <w:pPr>
        <w:spacing w:line="360" w:lineRule="auto"/>
        <w:ind w:firstLineChars="200" w:firstLine="480"/>
        <w:rPr>
          <w:bCs/>
          <w:sz w:val="24"/>
        </w:rPr>
      </w:pPr>
      <w:r>
        <w:rPr>
          <w:rFonts w:hint="eastAsia"/>
          <w:bCs/>
          <w:sz w:val="24"/>
        </w:rPr>
        <w:t>如相关法律法规允许基金管理人办理基金份额的质押业务或其他基金业务，在对基金份额持有人无实质性不利影响的情况下，履行相关程序后，基金管理人将制定和实施相应的业务规则。</w:t>
      </w:r>
    </w:p>
    <w:p w14:paraId="03619F6A" w14:textId="77777777" w:rsidR="00B67C49"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十八、基金份额的转让</w:t>
      </w:r>
    </w:p>
    <w:p w14:paraId="532D57EF"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规定媒介公告相关的业务规则，基金份额持有人应根据基金管理人届时公告的业务规则办理基金份额转让业务。</w:t>
      </w:r>
    </w:p>
    <w:p w14:paraId="0D934F08" w14:textId="77777777" w:rsidR="00B67C49"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十九、实施</w:t>
      </w:r>
      <w:proofErr w:type="gramStart"/>
      <w:r>
        <w:rPr>
          <w:rFonts w:asciiTheme="minorEastAsia" w:hAnsiTheme="minorEastAsia" w:cs="Arial" w:hint="eastAsia"/>
          <w:b/>
          <w:sz w:val="24"/>
          <w:szCs w:val="24"/>
        </w:rPr>
        <w:t>侧袋机制</w:t>
      </w:r>
      <w:proofErr w:type="gramEnd"/>
      <w:r>
        <w:rPr>
          <w:rFonts w:asciiTheme="minorEastAsia" w:hAnsiTheme="minorEastAsia" w:cs="Arial" w:hint="eastAsia"/>
          <w:b/>
          <w:sz w:val="24"/>
          <w:szCs w:val="24"/>
        </w:rPr>
        <w:t>期间本基金的申购与赎回</w:t>
      </w:r>
    </w:p>
    <w:p w14:paraId="674BAC43" w14:textId="77777777" w:rsidR="00B67C49"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本基金实施</w:t>
      </w:r>
      <w:proofErr w:type="gramStart"/>
      <w:r>
        <w:rPr>
          <w:rFonts w:asciiTheme="minorEastAsia" w:hAnsiTheme="minorEastAsia" w:cs="Arial" w:hint="eastAsia"/>
          <w:sz w:val="24"/>
          <w:szCs w:val="24"/>
        </w:rPr>
        <w:t>侧袋机制</w:t>
      </w:r>
      <w:proofErr w:type="gramEnd"/>
      <w:r>
        <w:rPr>
          <w:rFonts w:asciiTheme="minorEastAsia" w:hAnsiTheme="minorEastAsia" w:cs="Arial" w:hint="eastAsia"/>
          <w:sz w:val="24"/>
          <w:szCs w:val="24"/>
        </w:rPr>
        <w:t>的，本基金的申购和赎回安排详见招募说明书“侧袋机制</w:t>
      </w:r>
      <w:r>
        <w:rPr>
          <w:rFonts w:asciiTheme="minorEastAsia" w:hAnsiTheme="minorEastAsia" w:cs="Arial"/>
          <w:sz w:val="24"/>
          <w:szCs w:val="24"/>
        </w:rPr>
        <w:t>”</w:t>
      </w:r>
      <w:r>
        <w:rPr>
          <w:rFonts w:asciiTheme="minorEastAsia" w:hAnsiTheme="minorEastAsia" w:cs="Arial" w:hint="eastAsia"/>
          <w:sz w:val="24"/>
          <w:szCs w:val="24"/>
        </w:rPr>
        <w:t>部分的规定或相关公告。</w:t>
      </w:r>
    </w:p>
    <w:p w14:paraId="5D1C75AF" w14:textId="77777777" w:rsidR="00B67C49" w:rsidRDefault="00000000">
      <w:pPr>
        <w:widowControl/>
        <w:jc w:val="left"/>
        <w:rPr>
          <w:rFonts w:asciiTheme="minorEastAsia" w:hAnsiTheme="minorEastAsia" w:cs="Arial"/>
          <w:sz w:val="24"/>
          <w:szCs w:val="24"/>
        </w:rPr>
      </w:pPr>
      <w:r>
        <w:rPr>
          <w:rFonts w:asciiTheme="minorEastAsia" w:hAnsiTheme="minorEastAsia" w:cs="Arial"/>
          <w:sz w:val="24"/>
          <w:szCs w:val="24"/>
        </w:rPr>
        <w:br w:type="page"/>
      </w:r>
    </w:p>
    <w:p w14:paraId="27DB9145" w14:textId="77777777" w:rsidR="00B67C49" w:rsidRDefault="00000000">
      <w:pPr>
        <w:pStyle w:val="1"/>
        <w:jc w:val="center"/>
        <w:rPr>
          <w:sz w:val="30"/>
          <w:szCs w:val="30"/>
        </w:rPr>
      </w:pPr>
      <w:bookmarkStart w:id="212" w:name="_Toc119568465"/>
      <w:bookmarkStart w:id="213" w:name="_Toc68266296"/>
      <w:r>
        <w:rPr>
          <w:rFonts w:hint="eastAsia"/>
          <w:sz w:val="30"/>
          <w:szCs w:val="30"/>
        </w:rPr>
        <w:lastRenderedPageBreak/>
        <w:t>第九部分</w:t>
      </w:r>
      <w:r>
        <w:rPr>
          <w:sz w:val="30"/>
          <w:szCs w:val="30"/>
        </w:rPr>
        <w:t xml:space="preserve">  </w:t>
      </w:r>
      <w:r>
        <w:rPr>
          <w:rFonts w:hint="eastAsia"/>
          <w:sz w:val="30"/>
          <w:szCs w:val="30"/>
        </w:rPr>
        <w:t>基金的投资</w:t>
      </w:r>
      <w:bookmarkEnd w:id="191"/>
      <w:bookmarkEnd w:id="212"/>
      <w:bookmarkEnd w:id="213"/>
    </w:p>
    <w:p w14:paraId="2D60BD9D" w14:textId="77777777" w:rsidR="00B67C49"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一、投资目标</w:t>
      </w:r>
    </w:p>
    <w:p w14:paraId="7356F6B1"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本基金通过对行业及公司深入的研究分析，精选优质上市公司，在严格控制风险和保持资产流动性的前提下，追求超越业绩比较基准的投资回报，力争实现基金资产的长期稳健增值。</w:t>
      </w:r>
    </w:p>
    <w:p w14:paraId="6A42C927" w14:textId="77777777" w:rsidR="00B67C49"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二、投资范围</w:t>
      </w:r>
    </w:p>
    <w:p w14:paraId="1F2BC9E4"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范围为具有良好流动性的金融工具，包括国内依法发行上市的股票（含主板、创业板及其他经中国证监会允许投资的股票）、存托凭证、债券（包括国债、央行票据、金融债券、企业债券、公司债券、中期票据、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、超短期融资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6DECF8CE"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本基金将根据法律法规的规定参与融资业务。</w:t>
      </w:r>
    </w:p>
    <w:p w14:paraId="3711F3E4"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如果法律法规或监管机构以后允许基金投资其他品种，基金管理人在履行适当程序后，可以将其纳入投资范围。</w:t>
      </w:r>
    </w:p>
    <w:p w14:paraId="46C651D0"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组合比例为：股票资产占基金资产的比例为60%-95%。每个交易日日终在扣除股指期货、国债期货、股票期权合约需缴纳的交易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413D6630"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6B86202B" w14:textId="77777777" w:rsidR="00B67C49"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 xml:space="preserve">三、投资策略 </w:t>
      </w:r>
    </w:p>
    <w:p w14:paraId="138CFE92"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1、大类资产配置</w:t>
      </w:r>
    </w:p>
    <w:p w14:paraId="230EDEB6"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本基金在资产配置上采取相对稳健的策略，采取“自上而下”的方式进行大类资产配置，根据对宏观经济、市场面、政策面等因素进行定量与定性相结合的分析</w:t>
      </w:r>
      <w:r>
        <w:rPr>
          <w:rFonts w:asciiTheme="minorEastAsia" w:hAnsiTheme="minorEastAsia" w:cs="Times New Roman" w:hint="eastAsia"/>
          <w:bCs/>
          <w:sz w:val="24"/>
          <w:szCs w:val="24"/>
        </w:rPr>
        <w:lastRenderedPageBreak/>
        <w:t>研究，根据各类资产不同的预期风险收益比来确定组合中股票、债券、货币市场工具及其他金融工具的比例。</w:t>
      </w:r>
    </w:p>
    <w:p w14:paraId="0C82C463"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2、股票投资策略</w:t>
      </w:r>
    </w:p>
    <w:p w14:paraId="0FB4BC65"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（1）行业配置策略</w:t>
      </w:r>
    </w:p>
    <w:p w14:paraId="23AC2B89"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本基金将通过分析以下因素，对各行业的投资价值进行综合评估，从而确定并动态调整行业配置比例。</w:t>
      </w:r>
    </w:p>
    <w:p w14:paraId="1F0EED21"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1）行业景气度</w:t>
      </w:r>
    </w:p>
    <w:p w14:paraId="1AABD3F9"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本基金将密切关注国家相关产业政策、规划动态，并结合行业数据持续跟踪、上下游产业</w:t>
      </w:r>
      <w:proofErr w:type="gramStart"/>
      <w:r>
        <w:rPr>
          <w:rFonts w:asciiTheme="minorEastAsia" w:hAnsiTheme="minorEastAsia" w:cs="Times New Roman" w:hint="eastAsia"/>
          <w:bCs/>
          <w:sz w:val="24"/>
          <w:szCs w:val="24"/>
        </w:rPr>
        <w:t>链深入</w:t>
      </w:r>
      <w:proofErr w:type="gramEnd"/>
      <w:r>
        <w:rPr>
          <w:rFonts w:asciiTheme="minorEastAsia" w:hAnsiTheme="minorEastAsia" w:cs="Times New Roman" w:hint="eastAsia"/>
          <w:bCs/>
          <w:sz w:val="24"/>
          <w:szCs w:val="24"/>
        </w:rPr>
        <w:t>进行调研等方法，根据相关行业盈利水平的横向与纵向比较，适时对各行业景气度周期与行业未来盈利趋势进行</w:t>
      </w:r>
      <w:proofErr w:type="gramStart"/>
      <w:r>
        <w:rPr>
          <w:rFonts w:asciiTheme="minorEastAsia" w:hAnsiTheme="minorEastAsia" w:cs="Times New Roman" w:hint="eastAsia"/>
          <w:bCs/>
          <w:sz w:val="24"/>
          <w:szCs w:val="24"/>
        </w:rPr>
        <w:t>研</w:t>
      </w:r>
      <w:proofErr w:type="gramEnd"/>
      <w:r>
        <w:rPr>
          <w:rFonts w:asciiTheme="minorEastAsia" w:hAnsiTheme="minorEastAsia" w:cs="Times New Roman" w:hint="eastAsia"/>
          <w:bCs/>
          <w:sz w:val="24"/>
          <w:szCs w:val="24"/>
        </w:rPr>
        <w:t>判，重点投资于景气度较高且具有可持续性的行业。</w:t>
      </w:r>
    </w:p>
    <w:p w14:paraId="4CEFA7C9"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2）行业竞争格局</w:t>
      </w:r>
    </w:p>
    <w:p w14:paraId="2104A9EE"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本基金主要通过密切跟踪行业进入者的数量、行业内各公司的竞争策略及各公司产品或服务的市场份额来判断公司所处行业竞争格局的变化，重点投资于行业竞争格局良好的行业。</w:t>
      </w:r>
    </w:p>
    <w:p w14:paraId="4AF7D61E"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（2）个股投资策略</w:t>
      </w:r>
    </w:p>
    <w:p w14:paraId="20DE21C1"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本基金在积极进行行业配置的基础上，通过定量筛选和定性分析相结合的方式来分析和选择具有良好风险收益比的品种。</w:t>
      </w:r>
    </w:p>
    <w:p w14:paraId="04C1AF53"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首先根据定量指标进行初选，主要依据盈利能力（净资产收益率、销售毛利率、销售净利率、EBITDA/主营业务收入等）、成长性（主营业务收入增长率、营业利润增长率、净利润增长率、销售毛利率增长率、每股收益增长率等）、现金流状况（经营活动现金净流量、现金购销比率、营业现金回笼率等）、偿债能力（资产负债率、利息保障倍数、流动比率、速动比率等）、营运能力（应收账款周转率、存货周转率、总资产周转率、固定资产周转率等）等。主要参考以下定量指标：</w:t>
      </w:r>
    </w:p>
    <w:p w14:paraId="156FBE33"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①公司主营业务收入在未来一段时间的变化趋势，例如主营业务收入增速超越所在行业平均增速；</w:t>
      </w:r>
    </w:p>
    <w:p w14:paraId="7AE06318"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②公司扣除非经常性损益后的净利润在未来一段时间的变化趋势，例如</w:t>
      </w:r>
      <w:proofErr w:type="gramStart"/>
      <w:r>
        <w:rPr>
          <w:rFonts w:asciiTheme="minorEastAsia" w:hAnsiTheme="minorEastAsia" w:cs="Times New Roman" w:hint="eastAsia"/>
          <w:bCs/>
          <w:sz w:val="24"/>
          <w:szCs w:val="24"/>
        </w:rPr>
        <w:t>扣非净</w:t>
      </w:r>
      <w:proofErr w:type="gramEnd"/>
      <w:r>
        <w:rPr>
          <w:rFonts w:asciiTheme="minorEastAsia" w:hAnsiTheme="minorEastAsia" w:cs="Times New Roman" w:hint="eastAsia"/>
          <w:bCs/>
          <w:sz w:val="24"/>
          <w:szCs w:val="24"/>
        </w:rPr>
        <w:t>利润增速超越所在行业平均增速；</w:t>
      </w:r>
    </w:p>
    <w:p w14:paraId="0D46953F"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③公司盈利能力在未来一段时间的变化趋势，例如盈利能力位于行业所在排名</w:t>
      </w:r>
      <w:r>
        <w:rPr>
          <w:rFonts w:asciiTheme="minorEastAsia" w:hAnsiTheme="minorEastAsia" w:cs="Times New Roman" w:hint="eastAsia"/>
          <w:bCs/>
          <w:sz w:val="24"/>
          <w:szCs w:val="24"/>
        </w:rPr>
        <w:lastRenderedPageBreak/>
        <w:t>前50%，盈利能力定量指标包括净资产收益率（ROE），投资资本回报（ROIC）等。</w:t>
      </w:r>
    </w:p>
    <w:p w14:paraId="67D8395F"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在定量初选的基础上，定性方面首先考虑公司管理层的诚实与勤勉，是否已经证明了其领导能力和执行能力，公司的企业文化是否有正确的价值导向；公司的发展布局和战略的合理性和可行性；公司的竞争优势是否随着产业发展而逐步加强。</w:t>
      </w:r>
    </w:p>
    <w:p w14:paraId="6D1DE726"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基金经理结合定量和定性研究以及实地调研，筛选出行业增长空间广阔、业务布局合理、基本面健康的优秀公司作为本基金的核心投资标的，根据个股的风险收益比选择投资的时机。</w:t>
      </w:r>
    </w:p>
    <w:p w14:paraId="2F397D63"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在构建组合过程中，坚持风格均衡、个股适度、逆向投资和控制回撤。对于行业构成和个股风险收益比进行持续的权衡和优化，在确保组合在风险可控的前提下，获取稳健收益。</w:t>
      </w:r>
    </w:p>
    <w:p w14:paraId="4B8C1E0C"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3、存托凭证投资策略</w:t>
      </w:r>
    </w:p>
    <w:p w14:paraId="59699F74" w14:textId="77777777" w:rsidR="00B67C49" w:rsidRDefault="00000000">
      <w:pPr>
        <w:spacing w:line="360" w:lineRule="auto"/>
        <w:ind w:firstLineChars="200" w:firstLine="480"/>
        <w:rPr>
          <w:bCs/>
          <w:sz w:val="24"/>
        </w:rPr>
      </w:pPr>
      <w:r>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441710F6"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4、债券投资策略</w:t>
      </w:r>
    </w:p>
    <w:p w14:paraId="43F295D1"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（1）资产配置策略</w:t>
      </w:r>
    </w:p>
    <w:p w14:paraId="4C6A54B5"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14:paraId="26407F2B"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（2）利率类品种投资策略</w:t>
      </w:r>
    </w:p>
    <w:p w14:paraId="135B5F2E"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335F10EC"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（3）信用债投资策略</w:t>
      </w:r>
    </w:p>
    <w:p w14:paraId="611903D3"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本基金将在深入的宏观研究基础上，综合分析各类信用债发行主体所处行业环境、发行人所处的市场地位、财务状况、管理水平等因素后，结合具体发行契约，</w:t>
      </w:r>
      <w:r>
        <w:rPr>
          <w:rFonts w:asciiTheme="minorEastAsia" w:hAnsiTheme="minorEastAsia" w:cs="Times New Roman" w:hint="eastAsia"/>
          <w:bCs/>
          <w:sz w:val="24"/>
          <w:szCs w:val="24"/>
        </w:rPr>
        <w:lastRenderedPageBreak/>
        <w:t>对债券进行信用评级。在此基础上，建立信用类债券池，积极发掘信用利差具有相对投资机会的</w:t>
      </w:r>
      <w:proofErr w:type="gramStart"/>
      <w:r>
        <w:rPr>
          <w:rFonts w:asciiTheme="minorEastAsia" w:hAnsiTheme="minorEastAsia" w:cs="Times New Roman" w:hint="eastAsia"/>
          <w:bCs/>
          <w:sz w:val="24"/>
          <w:szCs w:val="24"/>
        </w:rPr>
        <w:t>个券</w:t>
      </w:r>
      <w:proofErr w:type="gramEnd"/>
      <w:r>
        <w:rPr>
          <w:rFonts w:asciiTheme="minorEastAsia" w:hAnsiTheme="minorEastAsia" w:cs="Times New Roman" w:hint="eastAsia"/>
          <w:bCs/>
          <w:sz w:val="24"/>
          <w:szCs w:val="24"/>
        </w:rPr>
        <w:t>进行投资。</w:t>
      </w:r>
    </w:p>
    <w:p w14:paraId="17B4AA8B"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（4）可转换债券投资策略</w:t>
      </w:r>
    </w:p>
    <w:p w14:paraId="08FF57C3"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可转换债券兼具权益类证券与固定收益类证券的特性，具有抵御下行风险、分享股票价格上涨收益的特点。本基金在对可转换公司债</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条款和发行债券公司基本面进行深入分析研究的基础上，综合考虑可转换债券</w:t>
      </w:r>
      <w:proofErr w:type="gramStart"/>
      <w:r>
        <w:rPr>
          <w:rFonts w:asciiTheme="minorEastAsia" w:hAnsiTheme="minorEastAsia" w:cs="Times New Roman" w:hint="eastAsia"/>
          <w:bCs/>
          <w:sz w:val="24"/>
          <w:szCs w:val="24"/>
        </w:rPr>
        <w:t>的债性和</w:t>
      </w:r>
      <w:proofErr w:type="gramEnd"/>
      <w:r>
        <w:rPr>
          <w:rFonts w:asciiTheme="minorEastAsia" w:hAnsiTheme="minorEastAsia" w:cs="Times New Roman" w:hint="eastAsia"/>
          <w:bCs/>
          <w:sz w:val="24"/>
          <w:szCs w:val="24"/>
        </w:rPr>
        <w:t>股性，利用可转换公司债</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定价模型进行估值分析，并最终选择合适的投资品种。</w:t>
      </w:r>
    </w:p>
    <w:p w14:paraId="46D68F55"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5、资产支持证券投资策略</w:t>
      </w:r>
    </w:p>
    <w:p w14:paraId="30459243"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本基金投资资产支持证券将综合</w:t>
      </w:r>
      <w:proofErr w:type="gramStart"/>
      <w:r>
        <w:rPr>
          <w:rFonts w:asciiTheme="minorEastAsia" w:hAnsiTheme="minorEastAsia" w:cs="Times New Roman" w:hint="eastAsia"/>
          <w:bCs/>
          <w:sz w:val="24"/>
          <w:szCs w:val="24"/>
        </w:rPr>
        <w:t>运用久期管理</w:t>
      </w:r>
      <w:proofErr w:type="gramEnd"/>
      <w:r>
        <w:rPr>
          <w:rFonts w:asciiTheme="minorEastAsia" w:hAnsiTheme="minorEastAsia" w:cs="Times New Roman" w:hint="eastAsia"/>
          <w:bCs/>
          <w:sz w:val="24"/>
          <w:szCs w:val="24"/>
        </w:rPr>
        <w:t>、收益率曲线、</w:t>
      </w:r>
      <w:proofErr w:type="gramStart"/>
      <w:r>
        <w:rPr>
          <w:rFonts w:asciiTheme="minorEastAsia" w:hAnsiTheme="minorEastAsia" w:cs="Times New Roman" w:hint="eastAsia"/>
          <w:bCs/>
          <w:sz w:val="24"/>
          <w:szCs w:val="24"/>
        </w:rPr>
        <w:t>个券</w:t>
      </w:r>
      <w:proofErr w:type="gramEnd"/>
      <w:r>
        <w:rPr>
          <w:rFonts w:asciiTheme="minorEastAsia" w:hAnsiTheme="minorEastAsia" w:cs="Times New Roman" w:hint="eastAsia"/>
          <w:bCs/>
          <w:sz w:val="24"/>
          <w:szCs w:val="24"/>
        </w:rPr>
        <w:t>选择和把握市场交易机会等积极策略，在严格遵守法律法规和基金合同基础上，通过信用研究和流动性管理，选择经风险调整后相对价值较高的品种进行投资，以期获得长期稳定收益。</w:t>
      </w:r>
    </w:p>
    <w:p w14:paraId="7808DAC5"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6、衍生</w:t>
      </w:r>
      <w:proofErr w:type="gramStart"/>
      <w:r>
        <w:rPr>
          <w:rFonts w:asciiTheme="minorEastAsia" w:hAnsiTheme="minorEastAsia" w:cs="Times New Roman" w:hint="eastAsia"/>
          <w:bCs/>
          <w:sz w:val="24"/>
          <w:szCs w:val="24"/>
        </w:rPr>
        <w:t>品投资</w:t>
      </w:r>
      <w:proofErr w:type="gramEnd"/>
      <w:r>
        <w:rPr>
          <w:rFonts w:asciiTheme="minorEastAsia" w:hAnsiTheme="minorEastAsia" w:cs="Times New Roman" w:hint="eastAsia"/>
          <w:bCs/>
          <w:sz w:val="24"/>
          <w:szCs w:val="24"/>
        </w:rPr>
        <w:t>策略</w:t>
      </w:r>
    </w:p>
    <w:p w14:paraId="06BDADE2"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本基金的衍生</w:t>
      </w:r>
      <w:proofErr w:type="gramStart"/>
      <w:r>
        <w:rPr>
          <w:rFonts w:asciiTheme="minorEastAsia" w:hAnsiTheme="minorEastAsia" w:cs="Times New Roman" w:hint="eastAsia"/>
          <w:bCs/>
          <w:sz w:val="24"/>
          <w:szCs w:val="24"/>
        </w:rPr>
        <w:t>品投资</w:t>
      </w:r>
      <w:proofErr w:type="gramEnd"/>
      <w:r>
        <w:rPr>
          <w:rFonts w:asciiTheme="minorEastAsia" w:hAnsiTheme="minorEastAsia" w:cs="Times New Roman" w:hint="eastAsia"/>
          <w:bCs/>
          <w:sz w:val="24"/>
          <w:szCs w:val="24"/>
        </w:rPr>
        <w:t>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w:t>
      </w:r>
      <w:proofErr w:type="gramStart"/>
      <w:r>
        <w:rPr>
          <w:rFonts w:asciiTheme="minorEastAsia" w:hAnsiTheme="minorEastAsia" w:cs="Times New Roman" w:hint="eastAsia"/>
          <w:bCs/>
          <w:sz w:val="24"/>
          <w:szCs w:val="24"/>
        </w:rPr>
        <w:t>或调仓过程</w:t>
      </w:r>
      <w:proofErr w:type="gramEnd"/>
      <w:r>
        <w:rPr>
          <w:rFonts w:asciiTheme="minorEastAsia" w:hAnsiTheme="minorEastAsia" w:cs="Times New Roman" w:hint="eastAsia"/>
          <w:bCs/>
          <w:sz w:val="24"/>
          <w:szCs w:val="24"/>
        </w:rPr>
        <w:t>中的冲击成本等。</w:t>
      </w:r>
    </w:p>
    <w:p w14:paraId="35C46363"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（1）股指期货投资策略</w:t>
      </w:r>
    </w:p>
    <w:p w14:paraId="4A258DDA"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1DBFC993"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基金管理人针对股指期货交易制订严格的授权管理制度和投资决策流程，确保研究分析、投资决策、交易执行及风险控制各环节的独立运作，并明确相关岗位职责。</w:t>
      </w:r>
    </w:p>
    <w:p w14:paraId="61A4DD06"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（2）国债期货投资策略</w:t>
      </w:r>
    </w:p>
    <w:p w14:paraId="0CC01A1B"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本基金参与国债期货投资将根据风险管理的原则，以套期保值为目的。本基金将在风险可控的前提下，本着谨慎原则，参与国债期货的投资，以管理投资组合的</w:t>
      </w:r>
      <w:r>
        <w:rPr>
          <w:rFonts w:asciiTheme="minorEastAsia" w:hAnsiTheme="minorEastAsia" w:cs="Times New Roman" w:hint="eastAsia"/>
          <w:bCs/>
          <w:sz w:val="24"/>
          <w:szCs w:val="24"/>
        </w:rPr>
        <w:lastRenderedPageBreak/>
        <w:t>系统性风险，改善组合的风险收益特性。</w:t>
      </w:r>
    </w:p>
    <w:p w14:paraId="40B63901"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基金管理人针对国债期货交易制订严格的授权管理制度和投资决策流程，确保研究分析、投资决策、交易执行及风险控制各环节的独立运作，并明确相关岗位职责。</w:t>
      </w:r>
    </w:p>
    <w:p w14:paraId="29B5A1DF"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（3）股票期权投资策略</w:t>
      </w:r>
    </w:p>
    <w:p w14:paraId="380FBEEE"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4F1C7EE9"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基金管理人将针对股票期权交易制订严格的授权管理制度和投资决策流程，确保投资、</w:t>
      </w:r>
      <w:proofErr w:type="gramStart"/>
      <w:r>
        <w:rPr>
          <w:rFonts w:asciiTheme="minorEastAsia" w:hAnsiTheme="minorEastAsia" w:cs="Times New Roman" w:hint="eastAsia"/>
          <w:bCs/>
          <w:sz w:val="24"/>
          <w:szCs w:val="24"/>
        </w:rPr>
        <w:t>风控等</w:t>
      </w:r>
      <w:proofErr w:type="gramEnd"/>
      <w:r>
        <w:rPr>
          <w:rFonts w:asciiTheme="minorEastAsia" w:hAnsiTheme="minorEastAsia" w:cs="Times New Roman" w:hint="eastAsia"/>
          <w:bCs/>
          <w:sz w:val="24"/>
          <w:szCs w:val="24"/>
        </w:rPr>
        <w:t>核心岗位人员具备股票期权业务知识和相应的专业能力，严格防范股票期权投资的风险。</w:t>
      </w:r>
    </w:p>
    <w:p w14:paraId="133D914E"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7、参与融资业务投资策略</w:t>
      </w:r>
    </w:p>
    <w:p w14:paraId="3BFC1CF3"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本基金在参与融资时将根据风险管理的原则，在法律法规允许的范围和比例内、风险可控的前提下，本着谨慎原则，参与融资业务。</w:t>
      </w:r>
    </w:p>
    <w:p w14:paraId="51EF7848" w14:textId="77777777" w:rsidR="00B67C49"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四、投资限制</w:t>
      </w:r>
    </w:p>
    <w:p w14:paraId="6AE65279"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1、组合限制</w:t>
      </w:r>
    </w:p>
    <w:p w14:paraId="20F6D083"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基金的投资组合应遵循以下限制：</w:t>
      </w:r>
    </w:p>
    <w:p w14:paraId="37AA0270"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（1）股票资产占基金资产的比例为60%-95%；</w:t>
      </w:r>
    </w:p>
    <w:p w14:paraId="102C5C28"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10D8195D"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（3）本基金持有一家公司发行的证券，其市值不超过基金资产净值的10％；</w:t>
      </w:r>
    </w:p>
    <w:p w14:paraId="4D51CC6B"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（4）本基金管理人管理的全部基金持有一家公司发行的证券，不超过该证券的10％；</w:t>
      </w:r>
    </w:p>
    <w:p w14:paraId="561BF139"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（5）本基金投资于同一原始权益人的各类资产支持证券的比例，不得超过基金资产净值的10%；</w:t>
      </w:r>
    </w:p>
    <w:p w14:paraId="0901F512"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（6）本基金持有的全部资产支持证券，其市值不得超过基金资产净值的20%；</w:t>
      </w:r>
    </w:p>
    <w:p w14:paraId="2B237374"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（7）本基金持有的同一(指同一信用级别)资产支持证券的比例，不得超过该</w:t>
      </w:r>
      <w:r>
        <w:rPr>
          <w:rFonts w:asciiTheme="minorEastAsia" w:hAnsiTheme="minorEastAsia" w:cs="Times New Roman" w:hint="eastAsia"/>
          <w:bCs/>
          <w:sz w:val="24"/>
          <w:szCs w:val="24"/>
        </w:rPr>
        <w:lastRenderedPageBreak/>
        <w:t>资产支持证券规模的10%；</w:t>
      </w:r>
    </w:p>
    <w:p w14:paraId="0A1100A9"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（8）本基金管理人管理的全部证券投资基金投资于同一原始权益人的各类资产支持证券，不得超过其各类资产支持证券合计规模的10%；</w:t>
      </w:r>
    </w:p>
    <w:p w14:paraId="49530CDD"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12216057"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（10）基金财产参与股票发行申购，本基金所申报的金额不超过本基金的总资产，本基金所申报的股票数量不超过拟发行股票公司本次发行股票的总量；</w:t>
      </w:r>
    </w:p>
    <w:p w14:paraId="2579AC38"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（11）本基金进入全国银行间同业市场进行债券回购的资金余额不得超过基金资产净值的40%；本基金在全国银行间同业市场的债券回购最长期限为1年，债券回购到期后不得展期；</w:t>
      </w:r>
    </w:p>
    <w:p w14:paraId="47D0A62D"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（12）本基金参与股指期货、国债期货交易依据下列标准建构组合：</w:t>
      </w:r>
    </w:p>
    <w:p w14:paraId="2A83F147"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22CBFDF9"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2）在任何交易日日终，持有的买入股指期货合约价值，不得超过基金资产净值的10%；在任何交易日日终，持有的买入国债期货合约价值，不得超过基金资产净值的15%；</w:t>
      </w:r>
    </w:p>
    <w:p w14:paraId="06DAF062"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3）在任何交易日日终，持有的卖出股指期货合约价值不得超过基金持有的股票总市值的20%；在任何交易日日终，持有的卖出国债期货合约价值不得超过基金持有的债券总市值的30%；</w:t>
      </w:r>
    </w:p>
    <w:p w14:paraId="1844988D"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1A9D0E80"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1641FD99"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（13）本基金投资流通受限证券，基金管理人应事先根据中国证监会相关规定，在首次投资前与基金托管人签订风险控制补充协议，并明确基金投资流通受限证券的比例，根据比例进行投资；</w:t>
      </w:r>
    </w:p>
    <w:p w14:paraId="7CAA99CA"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（14）基金资产总值不得超过基金资产净值的140%；</w:t>
      </w:r>
    </w:p>
    <w:p w14:paraId="37DAD7F7"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619BE2B0"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（16）本基金主动投资于流动性受限资产的市值合计不得超过基金资产净值的15%；</w:t>
      </w:r>
    </w:p>
    <w:p w14:paraId="3454707A"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因证券市场波动、上市公司股票停牌、基金规模变动等基金管理人之外的因素致使基金不符合前款所规定比例限制的，基金管理人不得主动新增流动性受限资产的投资；</w:t>
      </w:r>
    </w:p>
    <w:p w14:paraId="266BB96F"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（17）本基金与私募类</w:t>
      </w:r>
      <w:proofErr w:type="gramStart"/>
      <w:r>
        <w:rPr>
          <w:rFonts w:asciiTheme="minorEastAsia" w:hAnsiTheme="minorEastAsia" w:cs="Times New Roman" w:hint="eastAsia"/>
          <w:bCs/>
          <w:sz w:val="24"/>
          <w:szCs w:val="24"/>
        </w:rPr>
        <w:t>证券资管产品</w:t>
      </w:r>
      <w:proofErr w:type="gramEnd"/>
      <w:r>
        <w:rPr>
          <w:rFonts w:asciiTheme="minorEastAsia" w:hAnsiTheme="minorEastAsia" w:cs="Times New Roman" w:hint="eastAsia"/>
          <w:bCs/>
          <w:sz w:val="24"/>
          <w:szCs w:val="24"/>
        </w:rPr>
        <w:t>及中国证监会认定的其他主体为交易对手开展逆回购交易的，可接受质押品的资质要求应当与基金合同约定的投资范围保持一致；</w:t>
      </w:r>
    </w:p>
    <w:p w14:paraId="0DB5AB3F"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（18）本基金参与股票期权交易的，需遵守下列投资比例限制：</w:t>
      </w:r>
    </w:p>
    <w:p w14:paraId="0D775426"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1）本基金因未平仓的期权合约支付和收取的权利金总额不得超过基金资产净值的10%；</w:t>
      </w:r>
    </w:p>
    <w:p w14:paraId="35E3FB7D"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0633C168"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3）本基金未平仓的期权合约面值不得超过基金资产净值的20%。其中，合约面值按照行权价乘以合约乘数计算；</w:t>
      </w:r>
    </w:p>
    <w:p w14:paraId="0A8F61D7"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19</w:t>
      </w:r>
      <w:r>
        <w:rPr>
          <w:rFonts w:asciiTheme="minorEastAsia" w:hAnsiTheme="minorEastAsia" w:cs="Times New Roman" w:hint="eastAsia"/>
          <w:bCs/>
          <w:sz w:val="24"/>
          <w:szCs w:val="24"/>
        </w:rPr>
        <w:t>）本基金投资存托凭证的比例限制依照境内上市交易的股票执行，与境内上市交易的股票合并计算；</w:t>
      </w:r>
    </w:p>
    <w:p w14:paraId="39A92B48"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20</w:t>
      </w:r>
      <w:r>
        <w:rPr>
          <w:rFonts w:asciiTheme="minorEastAsia" w:hAnsiTheme="minorEastAsia" w:cs="Times New Roman" w:hint="eastAsia"/>
          <w:bCs/>
          <w:sz w:val="24"/>
          <w:szCs w:val="24"/>
        </w:rPr>
        <w:t>）本基金参与融资的，每个交易日日终，本基金持有的融资买入股票与其他有价证券市值之和，不得超过基金资产净值的95%；</w:t>
      </w:r>
    </w:p>
    <w:p w14:paraId="29EE2926"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21</w:t>
      </w:r>
      <w:r>
        <w:rPr>
          <w:rFonts w:asciiTheme="minorEastAsia" w:hAnsiTheme="minorEastAsia" w:cs="Times New Roman" w:hint="eastAsia"/>
          <w:bCs/>
          <w:sz w:val="24"/>
          <w:szCs w:val="24"/>
        </w:rPr>
        <w:t>）法律法规及中国证监会规定的和《基金合同》约定的其他投资限制。</w:t>
      </w:r>
    </w:p>
    <w:p w14:paraId="30AD4EED"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除上述第（2）、（9）、（13）、（16）、（17）项另有约定外，因证券、期货市场波</w:t>
      </w:r>
      <w:r>
        <w:rPr>
          <w:rFonts w:asciiTheme="minorEastAsia" w:hAnsiTheme="minorEastAsia" w:cs="Times New Roman" w:hint="eastAsia"/>
          <w:bCs/>
          <w:sz w:val="24"/>
          <w:szCs w:val="24"/>
        </w:rPr>
        <w:lastRenderedPageBreak/>
        <w:t>动、证券发行人合并、基金规模变动等基金管理人之外的因素致使基金投资比例不符合上述规定投资比例的，基金管理人应当在10个交易日内进行调整，但中国证监会规定的特殊情形除外。</w:t>
      </w:r>
    </w:p>
    <w:p w14:paraId="03B9B5D0"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0680ACA1"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法律法规或监管部门取消或变更上述限制，如适用于本基金，基金管理人在履行适当程序后，则本基金投资不再受相关限制或以变更后的规定为准。</w:t>
      </w:r>
    </w:p>
    <w:p w14:paraId="116B5B95"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2、禁止行为</w:t>
      </w:r>
    </w:p>
    <w:p w14:paraId="5EA5145B"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为维护基金份额持有人的合法权益，基金财产不得用于下列投资或者活动：</w:t>
      </w:r>
    </w:p>
    <w:p w14:paraId="7E0ACDDB"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（1）承销证券；</w:t>
      </w:r>
    </w:p>
    <w:p w14:paraId="7F8852D9"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（2）违反规定向他人贷款或者提供担保；</w:t>
      </w:r>
    </w:p>
    <w:p w14:paraId="2BDF5E9F"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（3）从事承担无限责任的投资；</w:t>
      </w:r>
    </w:p>
    <w:p w14:paraId="333DC31E"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（4）买卖其他基金份额，但是中国证监会另有规定的除外；</w:t>
      </w:r>
    </w:p>
    <w:p w14:paraId="63732911"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（5）向基金管理人、基金托管人出资；</w:t>
      </w:r>
    </w:p>
    <w:p w14:paraId="53FB62D7"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（6）从事内幕交易、操纵证券交易价格及其他不正当的证券交易活动；</w:t>
      </w:r>
    </w:p>
    <w:p w14:paraId="6E0BC0FF"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（7）法律、行政法规和中国证监会规定禁止的其他活动。</w:t>
      </w:r>
    </w:p>
    <w:p w14:paraId="53F7F03F"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9C8733B"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法律、行政法规或监管部门取消或调整上述禁止行为，如适用于本基金，基金管理人在履行适当程序后，则本基金投资按照取消或调整后的规定执行。</w:t>
      </w:r>
    </w:p>
    <w:p w14:paraId="49F9902D" w14:textId="77777777" w:rsidR="00B67C49"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五、业绩比较基准</w:t>
      </w:r>
    </w:p>
    <w:p w14:paraId="061CDDDA"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1、业绩比较基准</w:t>
      </w:r>
    </w:p>
    <w:p w14:paraId="1C779CF5"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沪深300指数收益率×70%+中</w:t>
      </w:r>
      <w:proofErr w:type="gramStart"/>
      <w:r>
        <w:rPr>
          <w:rFonts w:asciiTheme="minorEastAsia" w:hAnsiTheme="minorEastAsia" w:cs="Times New Roman" w:hint="eastAsia"/>
          <w:bCs/>
          <w:sz w:val="24"/>
          <w:szCs w:val="24"/>
        </w:rPr>
        <w:t>债综合</w:t>
      </w:r>
      <w:proofErr w:type="gramEnd"/>
      <w:r>
        <w:rPr>
          <w:rFonts w:asciiTheme="minorEastAsia" w:hAnsiTheme="minorEastAsia" w:cs="Times New Roman" w:hint="eastAsia"/>
          <w:bCs/>
          <w:sz w:val="24"/>
          <w:szCs w:val="24"/>
        </w:rPr>
        <w:t>指数收益率×30%</w:t>
      </w:r>
    </w:p>
    <w:p w14:paraId="33CD35A7"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2、选择业绩比较基准的理由</w:t>
      </w:r>
    </w:p>
    <w:p w14:paraId="6290088E"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沪深300指数是由中证指数有限公司开发的中国 A 股市场指数，由上海和深圳证券市场中市值大、流动性好的300只股票组成，综合反映中国A股市场上市股票价格的整体表现。</w:t>
      </w:r>
    </w:p>
    <w:p w14:paraId="4AA514F7"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中</w:t>
      </w:r>
      <w:proofErr w:type="gramStart"/>
      <w:r>
        <w:rPr>
          <w:rFonts w:asciiTheme="minorEastAsia" w:hAnsiTheme="minorEastAsia" w:cs="Times New Roman" w:hint="eastAsia"/>
          <w:bCs/>
          <w:sz w:val="24"/>
          <w:szCs w:val="24"/>
        </w:rPr>
        <w:t>债综合</w:t>
      </w:r>
      <w:proofErr w:type="gramEnd"/>
      <w:r>
        <w:rPr>
          <w:rFonts w:asciiTheme="minorEastAsia" w:hAnsiTheme="minorEastAsia" w:cs="Times New Roman" w:hint="eastAsia"/>
          <w:bCs/>
          <w:sz w:val="24"/>
          <w:szCs w:val="24"/>
        </w:rPr>
        <w:t>指数是由中央国债登记结算有限责任公司编制的中国全市场债券指数，是目前市场上专业、权威和稳定的，且能够较好地反映债券市场整体状况的债券指数。</w:t>
      </w:r>
    </w:p>
    <w:p w14:paraId="3A22185B"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如果今后法律法规发生变化，</w:t>
      </w:r>
      <w:r>
        <w:rPr>
          <w:rFonts w:hint="eastAsia"/>
          <w:bCs/>
          <w:sz w:val="24"/>
        </w:rPr>
        <w:t>或指数编制单位停止编制该指数或更改指数名称，</w:t>
      </w:r>
      <w:r>
        <w:rPr>
          <w:rFonts w:asciiTheme="minorEastAsia" w:hAnsiTheme="minorEastAsia" w:cs="Times New Roman" w:hint="eastAsia"/>
          <w:bCs/>
          <w:sz w:val="24"/>
          <w:szCs w:val="24"/>
        </w:rPr>
        <w:t>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变更业绩比较基准并及时公告，而无需召开基金份额持有人大会。</w:t>
      </w:r>
    </w:p>
    <w:p w14:paraId="490D1F9E" w14:textId="77777777" w:rsidR="00B67C49"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六、风险收益特征</w:t>
      </w:r>
    </w:p>
    <w:p w14:paraId="1782D1F5"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本基金为混合型证券投资基金，其预期风险收益水平高于债券型基金及货币市场基金，低于股票型基金。</w:t>
      </w:r>
    </w:p>
    <w:p w14:paraId="10BD6A84" w14:textId="77777777" w:rsidR="00B67C49"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七、基金管理人代表基金行使股东或债权人权利的处理原则及方法</w:t>
      </w:r>
    </w:p>
    <w:p w14:paraId="4DABFA82"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59B61BAD"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2、不谋求对上市公司的控股； </w:t>
      </w:r>
    </w:p>
    <w:p w14:paraId="3A509C81"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3、有利于基金财产的安全与增值； </w:t>
      </w:r>
    </w:p>
    <w:p w14:paraId="4190E6D7"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4、不通过关联交易为自身、雇员、授权代理人或任何存在利害关系的第三人牟取任何不当利益。</w:t>
      </w:r>
    </w:p>
    <w:p w14:paraId="6EF4A81C" w14:textId="77777777" w:rsidR="00B67C49"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八、</w:t>
      </w:r>
      <w:proofErr w:type="gramStart"/>
      <w:r>
        <w:rPr>
          <w:rFonts w:asciiTheme="minorEastAsia" w:hAnsiTheme="minorEastAsia" w:cs="Times New Roman" w:hint="eastAsia"/>
          <w:b/>
          <w:bCs/>
          <w:sz w:val="24"/>
          <w:szCs w:val="24"/>
        </w:rPr>
        <w:t>侧袋机制</w:t>
      </w:r>
      <w:proofErr w:type="gramEnd"/>
      <w:r>
        <w:rPr>
          <w:rFonts w:asciiTheme="minorEastAsia" w:hAnsiTheme="minorEastAsia" w:cs="Times New Roman" w:hint="eastAsia"/>
          <w:b/>
          <w:bCs/>
          <w:sz w:val="24"/>
          <w:szCs w:val="24"/>
        </w:rPr>
        <w:t>的实施和投资运作安排</w:t>
      </w:r>
    </w:p>
    <w:p w14:paraId="3AE22A7D" w14:textId="77777777" w:rsidR="00B67C49"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Theme="minorEastAsia" w:hAnsiTheme="minorEastAsia" w:cs="Times New Roman" w:hint="eastAsia"/>
          <w:bCs/>
          <w:sz w:val="24"/>
          <w:szCs w:val="24"/>
        </w:rPr>
        <w:t>启用侧袋机制</w:t>
      </w:r>
      <w:proofErr w:type="gramEnd"/>
      <w:r>
        <w:rPr>
          <w:rFonts w:asciiTheme="minorEastAsia" w:hAnsiTheme="minorEastAsia" w:cs="Times New Roman" w:hint="eastAsia"/>
          <w:bCs/>
          <w:sz w:val="24"/>
          <w:szCs w:val="24"/>
        </w:rPr>
        <w:t>，无需召开基金份额持有人大会审议。</w:t>
      </w:r>
    </w:p>
    <w:p w14:paraId="1184E20B" w14:textId="77777777" w:rsidR="00B67C49" w:rsidRDefault="00000000">
      <w:pPr>
        <w:spacing w:line="360" w:lineRule="auto"/>
        <w:ind w:firstLineChars="200" w:firstLine="480"/>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实施期间，本部分约定的投资组合比例、投资策略、组合限制、业绩</w:t>
      </w:r>
      <w:r>
        <w:rPr>
          <w:rFonts w:asciiTheme="minorEastAsia" w:hAnsiTheme="minorEastAsia" w:cs="Times New Roman" w:hint="eastAsia"/>
          <w:bCs/>
          <w:sz w:val="24"/>
          <w:szCs w:val="24"/>
        </w:rPr>
        <w:lastRenderedPageBreak/>
        <w:t>比较基准、风险收益特征等约定仅</w:t>
      </w:r>
      <w:proofErr w:type="gramStart"/>
      <w:r>
        <w:rPr>
          <w:rFonts w:asciiTheme="minorEastAsia" w:hAnsiTheme="minorEastAsia" w:cs="Times New Roman" w:hint="eastAsia"/>
          <w:bCs/>
          <w:sz w:val="24"/>
          <w:szCs w:val="24"/>
        </w:rPr>
        <w:t>适用于主袋账户</w:t>
      </w:r>
      <w:proofErr w:type="gramEnd"/>
      <w:r>
        <w:rPr>
          <w:rFonts w:asciiTheme="minorEastAsia" w:hAnsiTheme="minorEastAsia" w:cs="Times New Roman" w:hint="eastAsia"/>
          <w:bCs/>
          <w:sz w:val="24"/>
          <w:szCs w:val="24"/>
        </w:rPr>
        <w:t>。</w:t>
      </w:r>
    </w:p>
    <w:p w14:paraId="31E0714D" w14:textId="77777777" w:rsidR="00B67C49" w:rsidRDefault="00000000">
      <w:pPr>
        <w:spacing w:line="360" w:lineRule="auto"/>
        <w:ind w:firstLineChars="200" w:firstLine="480"/>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侧袋账户</w:t>
      </w:r>
      <w:proofErr w:type="gramEnd"/>
      <w:r>
        <w:rPr>
          <w:rFonts w:asciiTheme="minorEastAsia" w:hAnsiTheme="minorEastAsia" w:cs="Times New Roman" w:hint="eastAsia"/>
          <w:bCs/>
          <w:sz w:val="24"/>
          <w:szCs w:val="24"/>
        </w:rPr>
        <w:t>的实施条件、实施程序、运作安排、投资安排、特定资产的处置变现和支付等对投资者权益有重大影响的事项详见招募说明书“侧袋机制”部分的规定。</w:t>
      </w:r>
    </w:p>
    <w:p w14:paraId="0A675E62" w14:textId="77777777" w:rsidR="00B67C49"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九、基金投资组合报告</w:t>
      </w:r>
    </w:p>
    <w:p w14:paraId="3A9C8D0D" w14:textId="77777777" w:rsidR="00B67C49" w:rsidRDefault="00000000">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的董事会及董事保证本报告所载资料不存在虚假记载、误导性陈述或重大遗漏，并对其内容的真实性、准确性和完整性承担个别及连带责任。基金托管人国泰君安证券股份有限公司根据本基金合同规定，已复核了本报告中的财务指标、净值表现和投资组合报告等内容，保证复核内容不存在虚假记载、误导性陈述或者重大遗漏。</w:t>
      </w:r>
    </w:p>
    <w:p w14:paraId="22DBEF16" w14:textId="77777777" w:rsidR="00B67C49" w:rsidRDefault="00000000">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本投资组合报告所载数据截至</w:t>
      </w: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9月30日</w:t>
      </w:r>
      <w:r>
        <w:rPr>
          <w:rFonts w:asciiTheme="minorEastAsia" w:hAnsiTheme="minorEastAsia" w:cs="Times New Roman"/>
          <w:bCs/>
          <w:sz w:val="24"/>
          <w:szCs w:val="24"/>
        </w:rPr>
        <w:t>，本报告中所列财务数据未经审计。</w:t>
      </w:r>
    </w:p>
    <w:p w14:paraId="6A6FDDC8" w14:textId="77777777" w:rsidR="00B67C49" w:rsidRDefault="00000000">
      <w:pPr>
        <w:pStyle w:val="zhangjiep"/>
        <w:numPr>
          <w:ilvl w:val="0"/>
          <w:numId w:val="3"/>
        </w:numPr>
        <w:rPr>
          <w:rFonts w:asciiTheme="minorEastAsia" w:eastAsiaTheme="minorEastAsia" w:hAnsiTheme="minorEastAsia" w:cs="Times New Roman"/>
          <w:bCs/>
          <w:kern w:val="2"/>
        </w:rPr>
      </w:pPr>
      <w:bookmarkStart w:id="214" w:name="_Toc117173479"/>
      <w:r>
        <w:rPr>
          <w:rFonts w:asciiTheme="minorEastAsia" w:eastAsiaTheme="minorEastAsia" w:hAnsiTheme="minorEastAsia" w:cs="Times New Roman" w:hint="eastAsia"/>
          <w:bCs/>
          <w:kern w:val="2"/>
        </w:rPr>
        <w:t>报告期末基金资产组合情况</w:t>
      </w:r>
      <w:bookmarkEnd w:id="214"/>
    </w:p>
    <w:tbl>
      <w:tblPr>
        <w:tblW w:w="0" w:type="auto"/>
        <w:tblInd w:w="108" w:type="dxa"/>
        <w:tblLook w:val="04A0" w:firstRow="1" w:lastRow="0" w:firstColumn="1" w:lastColumn="0" w:noHBand="0" w:noVBand="1"/>
      </w:tblPr>
      <w:tblGrid>
        <w:gridCol w:w="777"/>
        <w:gridCol w:w="2815"/>
        <w:gridCol w:w="2495"/>
        <w:gridCol w:w="2572"/>
      </w:tblGrid>
      <w:tr w:rsidR="00B67C49" w14:paraId="3F5364F9" w14:textId="77777777">
        <w:tc>
          <w:tcPr>
            <w:tcW w:w="777" w:type="dxa"/>
            <w:tcBorders>
              <w:top w:val="single" w:sz="8" w:space="0" w:color="000000"/>
              <w:left w:val="single" w:sz="8" w:space="0" w:color="000000"/>
              <w:bottom w:val="single" w:sz="6" w:space="0" w:color="000000"/>
              <w:right w:val="single" w:sz="8" w:space="0" w:color="000000"/>
            </w:tcBorders>
            <w:vAlign w:val="center"/>
          </w:tcPr>
          <w:p w14:paraId="609C23BC"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序号</w:t>
            </w:r>
          </w:p>
        </w:tc>
        <w:tc>
          <w:tcPr>
            <w:tcW w:w="2815" w:type="dxa"/>
            <w:tcBorders>
              <w:top w:val="single" w:sz="8" w:space="0" w:color="000000"/>
              <w:left w:val="single" w:sz="8" w:space="0" w:color="000000"/>
              <w:bottom w:val="single" w:sz="6" w:space="0" w:color="000000"/>
              <w:right w:val="single" w:sz="8" w:space="0" w:color="000000"/>
            </w:tcBorders>
            <w:vAlign w:val="center"/>
          </w:tcPr>
          <w:p w14:paraId="6113DA95"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项目</w:t>
            </w:r>
          </w:p>
        </w:tc>
        <w:tc>
          <w:tcPr>
            <w:tcW w:w="2495" w:type="dxa"/>
            <w:tcBorders>
              <w:top w:val="single" w:sz="8" w:space="0" w:color="000000"/>
              <w:left w:val="single" w:sz="8" w:space="0" w:color="000000"/>
              <w:bottom w:val="single" w:sz="6" w:space="0" w:color="000000"/>
              <w:right w:val="single" w:sz="8" w:space="0" w:color="000000"/>
            </w:tcBorders>
            <w:vAlign w:val="center"/>
          </w:tcPr>
          <w:p w14:paraId="51B56690"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金额</w:t>
            </w:r>
            <w:r>
              <w:rPr>
                <w:rFonts w:asciiTheme="minorEastAsia" w:eastAsiaTheme="minorEastAsia" w:hAnsiTheme="minorEastAsia" w:cs="Times New Roman"/>
                <w:bCs/>
                <w:kern w:val="2"/>
              </w:rPr>
              <w:t>(元)</w:t>
            </w:r>
          </w:p>
        </w:tc>
        <w:tc>
          <w:tcPr>
            <w:tcW w:w="2572" w:type="dxa"/>
            <w:tcBorders>
              <w:top w:val="single" w:sz="8" w:space="0" w:color="000000"/>
              <w:left w:val="single" w:sz="8" w:space="0" w:color="000000"/>
              <w:bottom w:val="single" w:sz="6" w:space="0" w:color="000000"/>
              <w:right w:val="single" w:sz="8" w:space="0" w:color="000000"/>
            </w:tcBorders>
            <w:vAlign w:val="center"/>
          </w:tcPr>
          <w:p w14:paraId="372C7363"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占基金总资产的比例（</w:t>
            </w:r>
            <w:r>
              <w:rPr>
                <w:rFonts w:asciiTheme="minorEastAsia" w:eastAsiaTheme="minorEastAsia" w:hAnsiTheme="minorEastAsia" w:cs="Times New Roman"/>
                <w:bCs/>
                <w:kern w:val="2"/>
              </w:rPr>
              <w:t>%）</w:t>
            </w:r>
          </w:p>
        </w:tc>
      </w:tr>
      <w:tr w:rsidR="00B67C49" w14:paraId="76186FDF"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D556D49"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w:t>
            </w:r>
          </w:p>
        </w:tc>
        <w:tc>
          <w:tcPr>
            <w:tcW w:w="2815" w:type="dxa"/>
            <w:tcBorders>
              <w:top w:val="single" w:sz="8" w:space="0" w:color="000000"/>
              <w:left w:val="single" w:sz="8" w:space="0" w:color="000000"/>
              <w:bottom w:val="single" w:sz="6" w:space="0" w:color="000000"/>
              <w:right w:val="single" w:sz="8" w:space="0" w:color="000000"/>
            </w:tcBorders>
            <w:vAlign w:val="center"/>
          </w:tcPr>
          <w:p w14:paraId="514E78A3"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权益投资</w:t>
            </w:r>
          </w:p>
        </w:tc>
        <w:tc>
          <w:tcPr>
            <w:tcW w:w="2495" w:type="dxa"/>
            <w:tcBorders>
              <w:top w:val="single" w:sz="8" w:space="0" w:color="000000"/>
              <w:left w:val="single" w:sz="8" w:space="0" w:color="000000"/>
              <w:bottom w:val="single" w:sz="6" w:space="0" w:color="000000"/>
              <w:right w:val="single" w:sz="8" w:space="0" w:color="000000"/>
            </w:tcBorders>
            <w:vAlign w:val="center"/>
          </w:tcPr>
          <w:p w14:paraId="4A76ED71" w14:textId="77777777" w:rsidR="00B67C49" w:rsidRDefault="00000000">
            <w:pPr>
              <w:pStyle w:val="biaogeright"/>
              <w:wordWrap w:val="0"/>
              <w:rPr>
                <w:rFonts w:asciiTheme="minorEastAsia" w:eastAsiaTheme="minorEastAsia" w:hAnsiTheme="minorEastAsia" w:cs="Times New Roman"/>
                <w:bCs/>
                <w:kern w:val="2"/>
              </w:rPr>
            </w:pPr>
            <w:r>
              <w:t>84,685,728.80</w:t>
            </w:r>
          </w:p>
        </w:tc>
        <w:tc>
          <w:tcPr>
            <w:tcW w:w="2572" w:type="dxa"/>
            <w:tcBorders>
              <w:top w:val="single" w:sz="8" w:space="0" w:color="000000"/>
              <w:left w:val="single" w:sz="8" w:space="0" w:color="000000"/>
              <w:bottom w:val="single" w:sz="6" w:space="0" w:color="000000"/>
              <w:right w:val="single" w:sz="8" w:space="0" w:color="000000"/>
            </w:tcBorders>
            <w:vAlign w:val="center"/>
          </w:tcPr>
          <w:p w14:paraId="4F7FD4ED" w14:textId="77777777" w:rsidR="00B67C49" w:rsidRDefault="00000000">
            <w:pPr>
              <w:pStyle w:val="biaogeright"/>
              <w:wordWrap w:val="0"/>
              <w:rPr>
                <w:rFonts w:asciiTheme="minorEastAsia" w:eastAsiaTheme="minorEastAsia" w:hAnsiTheme="minorEastAsia" w:cs="Times New Roman"/>
                <w:bCs/>
                <w:kern w:val="2"/>
              </w:rPr>
            </w:pPr>
            <w:r>
              <w:t>69.55</w:t>
            </w:r>
          </w:p>
        </w:tc>
      </w:tr>
      <w:tr w:rsidR="00B67C49" w14:paraId="354D3C88"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288ADCF" w14:textId="77777777" w:rsidR="00B67C49" w:rsidRDefault="00B67C49">
            <w:pPr>
              <w:rPr>
                <w:rFonts w:asciiTheme="minorEastAsia" w:hAnsiTheme="minorEastAsia" w:cs="Times New Roman"/>
                <w:bCs/>
                <w:sz w:val="24"/>
                <w:szCs w:val="24"/>
              </w:rPr>
            </w:pPr>
          </w:p>
        </w:tc>
        <w:tc>
          <w:tcPr>
            <w:tcW w:w="2815" w:type="dxa"/>
            <w:tcBorders>
              <w:top w:val="single" w:sz="8" w:space="0" w:color="000000"/>
              <w:left w:val="single" w:sz="8" w:space="0" w:color="000000"/>
              <w:bottom w:val="single" w:sz="6" w:space="0" w:color="000000"/>
              <w:right w:val="single" w:sz="8" w:space="0" w:color="000000"/>
            </w:tcBorders>
            <w:vAlign w:val="center"/>
          </w:tcPr>
          <w:p w14:paraId="708091F9"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其中：股票</w:t>
            </w:r>
          </w:p>
        </w:tc>
        <w:tc>
          <w:tcPr>
            <w:tcW w:w="2495" w:type="dxa"/>
            <w:tcBorders>
              <w:top w:val="single" w:sz="8" w:space="0" w:color="000000"/>
              <w:left w:val="single" w:sz="8" w:space="0" w:color="000000"/>
              <w:bottom w:val="single" w:sz="6" w:space="0" w:color="000000"/>
              <w:right w:val="single" w:sz="8" w:space="0" w:color="000000"/>
            </w:tcBorders>
            <w:vAlign w:val="center"/>
          </w:tcPr>
          <w:p w14:paraId="0F6CEB01" w14:textId="77777777" w:rsidR="00B67C49" w:rsidRDefault="00000000">
            <w:pPr>
              <w:pStyle w:val="biaogeright"/>
              <w:wordWrap w:val="0"/>
              <w:rPr>
                <w:rFonts w:asciiTheme="minorEastAsia" w:eastAsiaTheme="minorEastAsia" w:hAnsiTheme="minorEastAsia" w:cs="Times New Roman"/>
                <w:bCs/>
                <w:kern w:val="2"/>
              </w:rPr>
            </w:pPr>
            <w:r>
              <w:t>84,685,728.80</w:t>
            </w:r>
          </w:p>
        </w:tc>
        <w:tc>
          <w:tcPr>
            <w:tcW w:w="2572" w:type="dxa"/>
            <w:tcBorders>
              <w:top w:val="single" w:sz="8" w:space="0" w:color="000000"/>
              <w:left w:val="single" w:sz="8" w:space="0" w:color="000000"/>
              <w:bottom w:val="single" w:sz="6" w:space="0" w:color="000000"/>
              <w:right w:val="single" w:sz="8" w:space="0" w:color="000000"/>
            </w:tcBorders>
            <w:vAlign w:val="center"/>
          </w:tcPr>
          <w:p w14:paraId="60804E6B" w14:textId="77777777" w:rsidR="00B67C49" w:rsidRDefault="00000000">
            <w:pPr>
              <w:pStyle w:val="biaogeright"/>
              <w:wordWrap w:val="0"/>
              <w:rPr>
                <w:rFonts w:asciiTheme="minorEastAsia" w:eastAsiaTheme="minorEastAsia" w:hAnsiTheme="minorEastAsia" w:cs="Times New Roman"/>
                <w:bCs/>
                <w:kern w:val="2"/>
              </w:rPr>
            </w:pPr>
            <w:r>
              <w:t>69.55</w:t>
            </w:r>
          </w:p>
        </w:tc>
      </w:tr>
      <w:tr w:rsidR="00B67C49" w14:paraId="199271BA"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F180931"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w:t>
            </w:r>
          </w:p>
        </w:tc>
        <w:tc>
          <w:tcPr>
            <w:tcW w:w="2815" w:type="dxa"/>
            <w:tcBorders>
              <w:top w:val="single" w:sz="8" w:space="0" w:color="000000"/>
              <w:left w:val="single" w:sz="8" w:space="0" w:color="000000"/>
              <w:bottom w:val="single" w:sz="6" w:space="0" w:color="000000"/>
              <w:right w:val="single" w:sz="8" w:space="0" w:color="000000"/>
            </w:tcBorders>
            <w:vAlign w:val="center"/>
          </w:tcPr>
          <w:p w14:paraId="08258A33"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基金投资</w:t>
            </w:r>
          </w:p>
        </w:tc>
        <w:tc>
          <w:tcPr>
            <w:tcW w:w="2495" w:type="dxa"/>
            <w:tcBorders>
              <w:top w:val="single" w:sz="8" w:space="0" w:color="000000"/>
              <w:left w:val="single" w:sz="8" w:space="0" w:color="000000"/>
              <w:bottom w:val="single" w:sz="6" w:space="0" w:color="000000"/>
              <w:right w:val="single" w:sz="8" w:space="0" w:color="000000"/>
            </w:tcBorders>
            <w:vAlign w:val="center"/>
          </w:tcPr>
          <w:p w14:paraId="2333817F" w14:textId="77777777" w:rsidR="00B67C49" w:rsidRDefault="00000000">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09FBBD1B"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1B6F21CE"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221B9E6"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w:t>
            </w:r>
          </w:p>
        </w:tc>
        <w:tc>
          <w:tcPr>
            <w:tcW w:w="2815" w:type="dxa"/>
            <w:tcBorders>
              <w:top w:val="single" w:sz="8" w:space="0" w:color="000000"/>
              <w:left w:val="single" w:sz="8" w:space="0" w:color="000000"/>
              <w:bottom w:val="single" w:sz="6" w:space="0" w:color="000000"/>
              <w:right w:val="single" w:sz="8" w:space="0" w:color="000000"/>
            </w:tcBorders>
            <w:vAlign w:val="center"/>
          </w:tcPr>
          <w:p w14:paraId="02E5716B"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固定收益投资</w:t>
            </w:r>
          </w:p>
        </w:tc>
        <w:tc>
          <w:tcPr>
            <w:tcW w:w="2495" w:type="dxa"/>
            <w:tcBorders>
              <w:top w:val="single" w:sz="8" w:space="0" w:color="000000"/>
              <w:left w:val="single" w:sz="8" w:space="0" w:color="000000"/>
              <w:bottom w:val="single" w:sz="6" w:space="0" w:color="000000"/>
              <w:right w:val="single" w:sz="8" w:space="0" w:color="000000"/>
            </w:tcBorders>
            <w:vAlign w:val="center"/>
          </w:tcPr>
          <w:p w14:paraId="373CC693" w14:textId="77777777" w:rsidR="00B67C49" w:rsidRDefault="00000000">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319AD1CB"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0AED66D5"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11709323" w14:textId="77777777" w:rsidR="00B67C49" w:rsidRDefault="00B67C49">
            <w:pPr>
              <w:rPr>
                <w:rFonts w:asciiTheme="minorEastAsia" w:hAnsiTheme="minorEastAsia" w:cs="Times New Roman"/>
                <w:bCs/>
                <w:sz w:val="24"/>
                <w:szCs w:val="24"/>
              </w:rPr>
            </w:pPr>
          </w:p>
        </w:tc>
        <w:tc>
          <w:tcPr>
            <w:tcW w:w="2815" w:type="dxa"/>
            <w:tcBorders>
              <w:top w:val="single" w:sz="8" w:space="0" w:color="000000"/>
              <w:left w:val="single" w:sz="8" w:space="0" w:color="000000"/>
              <w:bottom w:val="single" w:sz="6" w:space="0" w:color="000000"/>
              <w:right w:val="single" w:sz="8" w:space="0" w:color="000000"/>
            </w:tcBorders>
            <w:vAlign w:val="center"/>
          </w:tcPr>
          <w:p w14:paraId="26C95B24"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其中：债券</w:t>
            </w:r>
          </w:p>
        </w:tc>
        <w:tc>
          <w:tcPr>
            <w:tcW w:w="2495" w:type="dxa"/>
            <w:tcBorders>
              <w:top w:val="single" w:sz="8" w:space="0" w:color="000000"/>
              <w:left w:val="single" w:sz="8" w:space="0" w:color="000000"/>
              <w:bottom w:val="single" w:sz="6" w:space="0" w:color="000000"/>
              <w:right w:val="single" w:sz="8" w:space="0" w:color="000000"/>
            </w:tcBorders>
            <w:vAlign w:val="center"/>
          </w:tcPr>
          <w:p w14:paraId="15BA3B1D" w14:textId="77777777" w:rsidR="00B67C49" w:rsidRDefault="00000000">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247A8281"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20658B2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08EB64C" w14:textId="77777777" w:rsidR="00B67C49" w:rsidRDefault="00B67C49">
            <w:pPr>
              <w:rPr>
                <w:rFonts w:asciiTheme="minorEastAsia" w:hAnsiTheme="minorEastAsia" w:cs="Times New Roman"/>
                <w:bCs/>
                <w:sz w:val="24"/>
                <w:szCs w:val="24"/>
              </w:rPr>
            </w:pPr>
          </w:p>
        </w:tc>
        <w:tc>
          <w:tcPr>
            <w:tcW w:w="2815" w:type="dxa"/>
            <w:tcBorders>
              <w:top w:val="single" w:sz="8" w:space="0" w:color="000000"/>
              <w:left w:val="single" w:sz="8" w:space="0" w:color="000000"/>
              <w:bottom w:val="single" w:sz="6" w:space="0" w:color="000000"/>
              <w:right w:val="single" w:sz="8" w:space="0" w:color="000000"/>
            </w:tcBorders>
            <w:vAlign w:val="center"/>
          </w:tcPr>
          <w:p w14:paraId="0DF44EF0" w14:textId="77777777" w:rsidR="00B67C49" w:rsidRDefault="00000000">
            <w:pPr>
              <w:pStyle w:val="biaogeleft"/>
              <w:wordWrap w:val="0"/>
              <w:ind w:left="75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资产支持证券</w:t>
            </w:r>
          </w:p>
        </w:tc>
        <w:tc>
          <w:tcPr>
            <w:tcW w:w="2495" w:type="dxa"/>
            <w:tcBorders>
              <w:top w:val="single" w:sz="8" w:space="0" w:color="000000"/>
              <w:left w:val="single" w:sz="8" w:space="0" w:color="000000"/>
              <w:bottom w:val="single" w:sz="6" w:space="0" w:color="000000"/>
              <w:right w:val="single" w:sz="8" w:space="0" w:color="000000"/>
            </w:tcBorders>
            <w:vAlign w:val="center"/>
          </w:tcPr>
          <w:p w14:paraId="7085120B" w14:textId="77777777" w:rsidR="00B67C49" w:rsidRDefault="00000000">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3C122D6D"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34555737"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2977DB3"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w:t>
            </w:r>
          </w:p>
        </w:tc>
        <w:tc>
          <w:tcPr>
            <w:tcW w:w="0" w:type="auto"/>
            <w:tcBorders>
              <w:top w:val="single" w:sz="8" w:space="0" w:color="000000"/>
              <w:left w:val="single" w:sz="8" w:space="0" w:color="000000"/>
              <w:bottom w:val="single" w:sz="6" w:space="0" w:color="000000"/>
              <w:right w:val="single" w:sz="8" w:space="0" w:color="000000"/>
            </w:tcBorders>
            <w:vAlign w:val="center"/>
          </w:tcPr>
          <w:p w14:paraId="38BE40E0"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贵金属投资</w:t>
            </w:r>
          </w:p>
        </w:tc>
        <w:tc>
          <w:tcPr>
            <w:tcW w:w="2495" w:type="dxa"/>
            <w:tcBorders>
              <w:top w:val="single" w:sz="8" w:space="0" w:color="000000"/>
              <w:left w:val="single" w:sz="8" w:space="0" w:color="000000"/>
              <w:bottom w:val="single" w:sz="6" w:space="0" w:color="000000"/>
              <w:right w:val="single" w:sz="8" w:space="0" w:color="000000"/>
            </w:tcBorders>
            <w:vAlign w:val="center"/>
          </w:tcPr>
          <w:p w14:paraId="75CBAD29" w14:textId="77777777" w:rsidR="00B67C49" w:rsidRDefault="00000000">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21BEEB4B"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6792C1EB"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8FFB0F2"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w:t>
            </w:r>
          </w:p>
        </w:tc>
        <w:tc>
          <w:tcPr>
            <w:tcW w:w="2815" w:type="dxa"/>
            <w:tcBorders>
              <w:top w:val="single" w:sz="8" w:space="0" w:color="000000"/>
              <w:left w:val="single" w:sz="8" w:space="0" w:color="000000"/>
              <w:bottom w:val="single" w:sz="6" w:space="0" w:color="000000"/>
              <w:right w:val="single" w:sz="8" w:space="0" w:color="000000"/>
            </w:tcBorders>
            <w:vAlign w:val="center"/>
          </w:tcPr>
          <w:p w14:paraId="14341732"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金融衍生</w:t>
            </w:r>
            <w:proofErr w:type="gramStart"/>
            <w:r>
              <w:rPr>
                <w:rFonts w:asciiTheme="minorEastAsia" w:eastAsiaTheme="minorEastAsia" w:hAnsiTheme="minorEastAsia" w:cs="Times New Roman" w:hint="eastAsia"/>
                <w:bCs/>
                <w:kern w:val="2"/>
              </w:rPr>
              <w:t>品投资</w:t>
            </w:r>
            <w:proofErr w:type="gramEnd"/>
          </w:p>
        </w:tc>
        <w:tc>
          <w:tcPr>
            <w:tcW w:w="2495" w:type="dxa"/>
            <w:tcBorders>
              <w:top w:val="single" w:sz="8" w:space="0" w:color="000000"/>
              <w:left w:val="single" w:sz="8" w:space="0" w:color="000000"/>
              <w:bottom w:val="single" w:sz="6" w:space="0" w:color="000000"/>
              <w:right w:val="single" w:sz="8" w:space="0" w:color="000000"/>
            </w:tcBorders>
            <w:vAlign w:val="center"/>
          </w:tcPr>
          <w:p w14:paraId="2D6AA67E" w14:textId="77777777" w:rsidR="00B67C49" w:rsidRDefault="00000000">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6F81F4A1"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40760C11"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42630E9"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w:t>
            </w:r>
          </w:p>
        </w:tc>
        <w:tc>
          <w:tcPr>
            <w:tcW w:w="2815" w:type="dxa"/>
            <w:tcBorders>
              <w:top w:val="single" w:sz="8" w:space="0" w:color="000000"/>
              <w:left w:val="single" w:sz="8" w:space="0" w:color="000000"/>
              <w:bottom w:val="single" w:sz="6" w:space="0" w:color="000000"/>
              <w:right w:val="single" w:sz="8" w:space="0" w:color="000000"/>
            </w:tcBorders>
            <w:vAlign w:val="center"/>
          </w:tcPr>
          <w:p w14:paraId="482F1AA2"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买入返售金融资产</w:t>
            </w:r>
          </w:p>
        </w:tc>
        <w:tc>
          <w:tcPr>
            <w:tcW w:w="2495" w:type="dxa"/>
            <w:tcBorders>
              <w:top w:val="single" w:sz="8" w:space="0" w:color="000000"/>
              <w:left w:val="single" w:sz="8" w:space="0" w:color="000000"/>
              <w:bottom w:val="single" w:sz="6" w:space="0" w:color="000000"/>
              <w:right w:val="single" w:sz="8" w:space="0" w:color="000000"/>
            </w:tcBorders>
            <w:vAlign w:val="center"/>
          </w:tcPr>
          <w:p w14:paraId="521D9756" w14:textId="77777777" w:rsidR="00B67C49" w:rsidRDefault="00000000">
            <w:pPr>
              <w:pStyle w:val="biaogeright"/>
              <w:wordWrap w:val="0"/>
              <w:rPr>
                <w:rFonts w:asciiTheme="minorEastAsia" w:eastAsiaTheme="minorEastAsia" w:hAnsiTheme="minorEastAsia" w:cs="Times New Roman"/>
                <w:bCs/>
                <w:kern w:val="2"/>
              </w:rPr>
            </w:pPr>
            <w:r>
              <w:t>17,001,473.38</w:t>
            </w:r>
          </w:p>
        </w:tc>
        <w:tc>
          <w:tcPr>
            <w:tcW w:w="2572" w:type="dxa"/>
            <w:tcBorders>
              <w:top w:val="single" w:sz="8" w:space="0" w:color="000000"/>
              <w:left w:val="single" w:sz="8" w:space="0" w:color="000000"/>
              <w:bottom w:val="single" w:sz="6" w:space="0" w:color="000000"/>
              <w:right w:val="single" w:sz="8" w:space="0" w:color="000000"/>
            </w:tcBorders>
            <w:vAlign w:val="center"/>
          </w:tcPr>
          <w:p w14:paraId="544399F4" w14:textId="77777777" w:rsidR="00B67C49" w:rsidRDefault="00000000">
            <w:pPr>
              <w:pStyle w:val="biaogeright"/>
              <w:wordWrap w:val="0"/>
              <w:rPr>
                <w:rFonts w:asciiTheme="minorEastAsia" w:eastAsiaTheme="minorEastAsia" w:hAnsiTheme="minorEastAsia" w:cs="Times New Roman"/>
                <w:bCs/>
                <w:kern w:val="2"/>
              </w:rPr>
            </w:pPr>
            <w:r>
              <w:t>13.96</w:t>
            </w:r>
          </w:p>
        </w:tc>
      </w:tr>
      <w:tr w:rsidR="00B67C49" w14:paraId="15EDB629"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BB9CDA2" w14:textId="77777777" w:rsidR="00B67C49" w:rsidRDefault="00B67C49">
            <w:pPr>
              <w:rPr>
                <w:rFonts w:asciiTheme="minorEastAsia" w:hAnsiTheme="minorEastAsia" w:cs="Times New Roman"/>
                <w:bCs/>
                <w:sz w:val="24"/>
                <w:szCs w:val="24"/>
              </w:rPr>
            </w:pPr>
          </w:p>
        </w:tc>
        <w:tc>
          <w:tcPr>
            <w:tcW w:w="2815" w:type="dxa"/>
            <w:tcBorders>
              <w:top w:val="single" w:sz="8" w:space="0" w:color="000000"/>
              <w:left w:val="single" w:sz="8" w:space="0" w:color="000000"/>
              <w:bottom w:val="single" w:sz="6" w:space="0" w:color="000000"/>
              <w:right w:val="single" w:sz="8" w:space="0" w:color="000000"/>
            </w:tcBorders>
            <w:vAlign w:val="center"/>
          </w:tcPr>
          <w:p w14:paraId="72127114"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其中：买断式回购的买入返售金融资产</w:t>
            </w:r>
          </w:p>
        </w:tc>
        <w:tc>
          <w:tcPr>
            <w:tcW w:w="2495" w:type="dxa"/>
            <w:tcBorders>
              <w:top w:val="single" w:sz="8" w:space="0" w:color="000000"/>
              <w:left w:val="single" w:sz="8" w:space="0" w:color="000000"/>
              <w:bottom w:val="single" w:sz="6" w:space="0" w:color="000000"/>
              <w:right w:val="single" w:sz="8" w:space="0" w:color="000000"/>
            </w:tcBorders>
            <w:vAlign w:val="center"/>
          </w:tcPr>
          <w:p w14:paraId="4888F311" w14:textId="77777777" w:rsidR="00B67C49" w:rsidRDefault="00000000">
            <w:pPr>
              <w:pStyle w:val="biaogeright"/>
              <w:wordWrap w:val="0"/>
              <w:rPr>
                <w:rFonts w:asciiTheme="minorEastAsia" w:eastAsiaTheme="minorEastAsia" w:hAnsiTheme="minorEastAsia" w:cs="Times New Roman"/>
                <w:bCs/>
                <w:kern w:val="2"/>
              </w:rPr>
            </w:pPr>
            <w:r>
              <w:t>-</w:t>
            </w:r>
          </w:p>
        </w:tc>
        <w:tc>
          <w:tcPr>
            <w:tcW w:w="2572" w:type="dxa"/>
            <w:tcBorders>
              <w:top w:val="single" w:sz="8" w:space="0" w:color="000000"/>
              <w:left w:val="single" w:sz="8" w:space="0" w:color="000000"/>
              <w:bottom w:val="single" w:sz="6" w:space="0" w:color="000000"/>
              <w:right w:val="single" w:sz="8" w:space="0" w:color="000000"/>
            </w:tcBorders>
            <w:vAlign w:val="center"/>
          </w:tcPr>
          <w:p w14:paraId="48E1B51B"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26453E52"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B720534"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7</w:t>
            </w:r>
          </w:p>
        </w:tc>
        <w:tc>
          <w:tcPr>
            <w:tcW w:w="2815" w:type="dxa"/>
            <w:tcBorders>
              <w:top w:val="single" w:sz="8" w:space="0" w:color="000000"/>
              <w:left w:val="single" w:sz="8" w:space="0" w:color="000000"/>
              <w:bottom w:val="single" w:sz="6" w:space="0" w:color="000000"/>
              <w:right w:val="single" w:sz="8" w:space="0" w:color="000000"/>
            </w:tcBorders>
            <w:vAlign w:val="center"/>
          </w:tcPr>
          <w:p w14:paraId="403E9294"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银行存款和结算备付金合计</w:t>
            </w:r>
          </w:p>
        </w:tc>
        <w:tc>
          <w:tcPr>
            <w:tcW w:w="2495" w:type="dxa"/>
            <w:tcBorders>
              <w:top w:val="single" w:sz="8" w:space="0" w:color="000000"/>
              <w:left w:val="single" w:sz="8" w:space="0" w:color="000000"/>
              <w:bottom w:val="single" w:sz="6" w:space="0" w:color="000000"/>
              <w:right w:val="single" w:sz="8" w:space="0" w:color="000000"/>
            </w:tcBorders>
            <w:vAlign w:val="center"/>
          </w:tcPr>
          <w:p w14:paraId="3B8A06D1" w14:textId="77777777" w:rsidR="00B67C49" w:rsidRDefault="00000000">
            <w:pPr>
              <w:pStyle w:val="biaogeright"/>
              <w:wordWrap w:val="0"/>
              <w:rPr>
                <w:rFonts w:asciiTheme="minorEastAsia" w:eastAsiaTheme="minorEastAsia" w:hAnsiTheme="minorEastAsia" w:cs="Times New Roman"/>
                <w:bCs/>
                <w:kern w:val="2"/>
              </w:rPr>
            </w:pPr>
            <w:r>
              <w:t>17,146,890.83</w:t>
            </w:r>
          </w:p>
        </w:tc>
        <w:tc>
          <w:tcPr>
            <w:tcW w:w="2572" w:type="dxa"/>
            <w:tcBorders>
              <w:top w:val="single" w:sz="8" w:space="0" w:color="000000"/>
              <w:left w:val="single" w:sz="8" w:space="0" w:color="000000"/>
              <w:bottom w:val="single" w:sz="6" w:space="0" w:color="000000"/>
              <w:right w:val="single" w:sz="8" w:space="0" w:color="000000"/>
            </w:tcBorders>
            <w:vAlign w:val="center"/>
          </w:tcPr>
          <w:p w14:paraId="39344B9B" w14:textId="77777777" w:rsidR="00B67C49" w:rsidRDefault="00000000">
            <w:pPr>
              <w:pStyle w:val="biaogeright"/>
              <w:wordWrap w:val="0"/>
              <w:rPr>
                <w:rFonts w:asciiTheme="minorEastAsia" w:eastAsiaTheme="minorEastAsia" w:hAnsiTheme="minorEastAsia" w:cs="Times New Roman"/>
                <w:bCs/>
                <w:kern w:val="2"/>
              </w:rPr>
            </w:pPr>
            <w:r>
              <w:t>14.08</w:t>
            </w:r>
          </w:p>
        </w:tc>
      </w:tr>
      <w:tr w:rsidR="00B67C49" w14:paraId="3F612F45"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9748E6E"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w:t>
            </w:r>
          </w:p>
        </w:tc>
        <w:tc>
          <w:tcPr>
            <w:tcW w:w="2815" w:type="dxa"/>
            <w:tcBorders>
              <w:top w:val="single" w:sz="8" w:space="0" w:color="000000"/>
              <w:left w:val="single" w:sz="8" w:space="0" w:color="000000"/>
              <w:bottom w:val="single" w:sz="6" w:space="0" w:color="000000"/>
              <w:right w:val="single" w:sz="8" w:space="0" w:color="000000"/>
            </w:tcBorders>
            <w:vAlign w:val="center"/>
          </w:tcPr>
          <w:p w14:paraId="1788E61C"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其他资产</w:t>
            </w:r>
          </w:p>
        </w:tc>
        <w:tc>
          <w:tcPr>
            <w:tcW w:w="2495" w:type="dxa"/>
            <w:tcBorders>
              <w:top w:val="single" w:sz="8" w:space="0" w:color="000000"/>
              <w:left w:val="single" w:sz="8" w:space="0" w:color="000000"/>
              <w:bottom w:val="single" w:sz="6" w:space="0" w:color="000000"/>
              <w:right w:val="single" w:sz="8" w:space="0" w:color="000000"/>
            </w:tcBorders>
            <w:vAlign w:val="center"/>
          </w:tcPr>
          <w:p w14:paraId="79F072F8" w14:textId="77777777" w:rsidR="00B67C49" w:rsidRDefault="00000000">
            <w:pPr>
              <w:pStyle w:val="biaogeright"/>
              <w:wordWrap w:val="0"/>
              <w:rPr>
                <w:rFonts w:asciiTheme="minorEastAsia" w:eastAsiaTheme="minorEastAsia" w:hAnsiTheme="minorEastAsia" w:cs="Times New Roman"/>
                <w:bCs/>
                <w:kern w:val="2"/>
              </w:rPr>
            </w:pPr>
            <w:r>
              <w:t>2,921,574.71</w:t>
            </w:r>
          </w:p>
        </w:tc>
        <w:tc>
          <w:tcPr>
            <w:tcW w:w="2572" w:type="dxa"/>
            <w:tcBorders>
              <w:top w:val="single" w:sz="8" w:space="0" w:color="000000"/>
              <w:left w:val="single" w:sz="8" w:space="0" w:color="000000"/>
              <w:bottom w:val="single" w:sz="6" w:space="0" w:color="000000"/>
              <w:right w:val="single" w:sz="8" w:space="0" w:color="000000"/>
            </w:tcBorders>
            <w:vAlign w:val="center"/>
          </w:tcPr>
          <w:p w14:paraId="18779A25" w14:textId="77777777" w:rsidR="00B67C49" w:rsidRDefault="00000000">
            <w:pPr>
              <w:pStyle w:val="biaogeright"/>
              <w:wordWrap w:val="0"/>
              <w:rPr>
                <w:rFonts w:asciiTheme="minorEastAsia" w:eastAsiaTheme="minorEastAsia" w:hAnsiTheme="minorEastAsia" w:cs="Times New Roman"/>
                <w:bCs/>
                <w:kern w:val="2"/>
              </w:rPr>
            </w:pPr>
            <w:r>
              <w:t>2.40</w:t>
            </w:r>
          </w:p>
        </w:tc>
      </w:tr>
      <w:tr w:rsidR="00B67C49" w14:paraId="1C38D25E"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E5F3BE4"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9</w:t>
            </w:r>
          </w:p>
        </w:tc>
        <w:tc>
          <w:tcPr>
            <w:tcW w:w="2815" w:type="dxa"/>
            <w:tcBorders>
              <w:top w:val="single" w:sz="8" w:space="0" w:color="000000"/>
              <w:left w:val="single" w:sz="8" w:space="0" w:color="000000"/>
              <w:bottom w:val="single" w:sz="6" w:space="0" w:color="000000"/>
              <w:right w:val="single" w:sz="8" w:space="0" w:color="000000"/>
            </w:tcBorders>
            <w:vAlign w:val="center"/>
          </w:tcPr>
          <w:p w14:paraId="76895ACA"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合计</w:t>
            </w:r>
          </w:p>
        </w:tc>
        <w:tc>
          <w:tcPr>
            <w:tcW w:w="2495" w:type="dxa"/>
            <w:tcBorders>
              <w:top w:val="single" w:sz="8" w:space="0" w:color="000000"/>
              <w:left w:val="single" w:sz="8" w:space="0" w:color="000000"/>
              <w:bottom w:val="single" w:sz="6" w:space="0" w:color="000000"/>
              <w:right w:val="single" w:sz="8" w:space="0" w:color="000000"/>
            </w:tcBorders>
            <w:vAlign w:val="center"/>
          </w:tcPr>
          <w:p w14:paraId="0E6CE3BC" w14:textId="77777777" w:rsidR="00B67C49" w:rsidRDefault="00000000">
            <w:pPr>
              <w:pStyle w:val="biaogeright"/>
              <w:wordWrap w:val="0"/>
              <w:rPr>
                <w:rFonts w:asciiTheme="minorEastAsia" w:eastAsiaTheme="minorEastAsia" w:hAnsiTheme="minorEastAsia" w:cs="Times New Roman"/>
                <w:bCs/>
                <w:kern w:val="2"/>
              </w:rPr>
            </w:pPr>
            <w:r>
              <w:t>121,755,667.72</w:t>
            </w:r>
          </w:p>
        </w:tc>
        <w:tc>
          <w:tcPr>
            <w:tcW w:w="2572" w:type="dxa"/>
            <w:tcBorders>
              <w:top w:val="single" w:sz="8" w:space="0" w:color="000000"/>
              <w:left w:val="single" w:sz="8" w:space="0" w:color="000000"/>
              <w:bottom w:val="single" w:sz="6" w:space="0" w:color="000000"/>
              <w:right w:val="single" w:sz="8" w:space="0" w:color="000000"/>
            </w:tcBorders>
            <w:vAlign w:val="center"/>
          </w:tcPr>
          <w:p w14:paraId="02694997" w14:textId="77777777" w:rsidR="00B67C49" w:rsidRDefault="00000000">
            <w:pPr>
              <w:pStyle w:val="biaogeright"/>
              <w:wordWrap w:val="0"/>
              <w:rPr>
                <w:rFonts w:asciiTheme="minorEastAsia" w:eastAsiaTheme="minorEastAsia" w:hAnsiTheme="minorEastAsia" w:cs="Times New Roman"/>
                <w:bCs/>
                <w:kern w:val="2"/>
              </w:rPr>
            </w:pPr>
            <w:r>
              <w:t>100.00</w:t>
            </w:r>
          </w:p>
        </w:tc>
      </w:tr>
    </w:tbl>
    <w:p w14:paraId="4AEB0F94" w14:textId="77777777" w:rsidR="00B67C49" w:rsidRDefault="00000000">
      <w:pPr>
        <w:pStyle w:val="zhangjiep"/>
        <w:ind w:left="0"/>
        <w:rPr>
          <w:rFonts w:asciiTheme="minorEastAsia" w:eastAsiaTheme="minorEastAsia" w:hAnsiTheme="minorEastAsia" w:cs="Times New Roman"/>
          <w:bCs/>
          <w:kern w:val="2"/>
        </w:rPr>
      </w:pPr>
      <w:bookmarkStart w:id="215" w:name="_Toc117173480"/>
      <w:r>
        <w:rPr>
          <w:rFonts w:asciiTheme="minorEastAsia" w:eastAsiaTheme="minorEastAsia" w:hAnsiTheme="minorEastAsia" w:cs="Times New Roman"/>
          <w:bCs/>
          <w:kern w:val="2"/>
        </w:rPr>
        <w:t>2</w:t>
      </w:r>
      <w:r>
        <w:rPr>
          <w:rFonts w:asciiTheme="minorEastAsia" w:eastAsiaTheme="minorEastAsia" w:hAnsiTheme="minorEastAsia" w:cs="Times New Roman" w:hint="eastAsia"/>
          <w:bCs/>
          <w:kern w:val="2"/>
        </w:rPr>
        <w:t>、报告期末按行业分类的股票投资组合</w:t>
      </w:r>
      <w:bookmarkEnd w:id="215"/>
    </w:p>
    <w:tbl>
      <w:tblPr>
        <w:tblW w:w="0" w:type="auto"/>
        <w:tblInd w:w="108" w:type="dxa"/>
        <w:tblLook w:val="04A0" w:firstRow="1" w:lastRow="0" w:firstColumn="1" w:lastColumn="0" w:noHBand="0" w:noVBand="1"/>
      </w:tblPr>
      <w:tblGrid>
        <w:gridCol w:w="795"/>
        <w:gridCol w:w="2596"/>
        <w:gridCol w:w="2596"/>
        <w:gridCol w:w="2672"/>
      </w:tblGrid>
      <w:tr w:rsidR="00B67C49" w14:paraId="7F76C976" w14:textId="77777777">
        <w:tc>
          <w:tcPr>
            <w:tcW w:w="795" w:type="dxa"/>
            <w:tcBorders>
              <w:top w:val="single" w:sz="8" w:space="0" w:color="000000"/>
              <w:left w:val="single" w:sz="8" w:space="0" w:color="000000"/>
              <w:bottom w:val="single" w:sz="6" w:space="0" w:color="000000"/>
              <w:right w:val="single" w:sz="8" w:space="0" w:color="000000"/>
            </w:tcBorders>
            <w:vAlign w:val="center"/>
          </w:tcPr>
          <w:p w14:paraId="36C190C9"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代码</w:t>
            </w:r>
          </w:p>
        </w:tc>
        <w:tc>
          <w:tcPr>
            <w:tcW w:w="2596" w:type="dxa"/>
            <w:tcBorders>
              <w:top w:val="single" w:sz="8" w:space="0" w:color="000000"/>
              <w:left w:val="single" w:sz="8" w:space="0" w:color="000000"/>
              <w:bottom w:val="single" w:sz="6" w:space="0" w:color="000000"/>
              <w:right w:val="single" w:sz="8" w:space="0" w:color="000000"/>
            </w:tcBorders>
            <w:vAlign w:val="center"/>
          </w:tcPr>
          <w:p w14:paraId="3ADC37B3"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行业类别</w:t>
            </w:r>
          </w:p>
        </w:tc>
        <w:tc>
          <w:tcPr>
            <w:tcW w:w="2596" w:type="dxa"/>
            <w:tcBorders>
              <w:top w:val="single" w:sz="8" w:space="0" w:color="000000"/>
              <w:left w:val="single" w:sz="8" w:space="0" w:color="000000"/>
              <w:bottom w:val="single" w:sz="6" w:space="0" w:color="000000"/>
              <w:right w:val="single" w:sz="8" w:space="0" w:color="000000"/>
            </w:tcBorders>
            <w:vAlign w:val="center"/>
          </w:tcPr>
          <w:p w14:paraId="2D51AF36"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公允价值</w:t>
            </w:r>
            <w:r>
              <w:rPr>
                <w:rFonts w:asciiTheme="minorEastAsia" w:eastAsiaTheme="minorEastAsia" w:hAnsiTheme="minorEastAsia" w:cs="Times New Roman"/>
                <w:bCs/>
                <w:kern w:val="2"/>
              </w:rPr>
              <w:t>(元)</w:t>
            </w:r>
          </w:p>
        </w:tc>
        <w:tc>
          <w:tcPr>
            <w:tcW w:w="2672" w:type="dxa"/>
            <w:tcBorders>
              <w:top w:val="single" w:sz="8" w:space="0" w:color="000000"/>
              <w:left w:val="single" w:sz="8" w:space="0" w:color="000000"/>
              <w:bottom w:val="single" w:sz="6" w:space="0" w:color="000000"/>
              <w:right w:val="single" w:sz="8" w:space="0" w:color="000000"/>
            </w:tcBorders>
            <w:vAlign w:val="center"/>
          </w:tcPr>
          <w:p w14:paraId="31BB74A6"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占基金资产净值比例（</w:t>
            </w:r>
            <w:r>
              <w:rPr>
                <w:rFonts w:asciiTheme="minorEastAsia" w:eastAsiaTheme="minorEastAsia" w:hAnsiTheme="minorEastAsia" w:cs="Times New Roman"/>
                <w:bCs/>
                <w:kern w:val="2"/>
              </w:rPr>
              <w:t>%）</w:t>
            </w:r>
          </w:p>
        </w:tc>
      </w:tr>
      <w:tr w:rsidR="00B67C49" w14:paraId="04094791"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B1BA6D0"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lastRenderedPageBreak/>
              <w:t>A</w:t>
            </w:r>
          </w:p>
        </w:tc>
        <w:tc>
          <w:tcPr>
            <w:tcW w:w="2596" w:type="dxa"/>
            <w:tcBorders>
              <w:top w:val="single" w:sz="8" w:space="0" w:color="000000"/>
              <w:left w:val="single" w:sz="8" w:space="0" w:color="000000"/>
              <w:bottom w:val="single" w:sz="6" w:space="0" w:color="000000"/>
              <w:right w:val="single" w:sz="8" w:space="0" w:color="000000"/>
            </w:tcBorders>
            <w:vAlign w:val="center"/>
          </w:tcPr>
          <w:p w14:paraId="3EDB1F40"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农、林、牧、渔业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774AC219" w14:textId="77777777" w:rsidR="00B67C49"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0A052FD9"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764409B5"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30B2DD6"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B</w:t>
            </w:r>
          </w:p>
        </w:tc>
        <w:tc>
          <w:tcPr>
            <w:tcW w:w="2596" w:type="dxa"/>
            <w:tcBorders>
              <w:top w:val="single" w:sz="8" w:space="0" w:color="000000"/>
              <w:left w:val="single" w:sz="8" w:space="0" w:color="000000"/>
              <w:bottom w:val="single" w:sz="6" w:space="0" w:color="000000"/>
              <w:right w:val="single" w:sz="8" w:space="0" w:color="000000"/>
            </w:tcBorders>
            <w:vAlign w:val="center"/>
          </w:tcPr>
          <w:p w14:paraId="0EEA525F"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采矿业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4E66C214" w14:textId="77777777" w:rsidR="00B67C49"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5730629D"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29DF75DB"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B355B71"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C</w:t>
            </w:r>
          </w:p>
        </w:tc>
        <w:tc>
          <w:tcPr>
            <w:tcW w:w="2596" w:type="dxa"/>
            <w:tcBorders>
              <w:top w:val="single" w:sz="8" w:space="0" w:color="000000"/>
              <w:left w:val="single" w:sz="8" w:space="0" w:color="000000"/>
              <w:bottom w:val="single" w:sz="6" w:space="0" w:color="000000"/>
              <w:right w:val="single" w:sz="8" w:space="0" w:color="000000"/>
            </w:tcBorders>
            <w:vAlign w:val="center"/>
          </w:tcPr>
          <w:p w14:paraId="3901CD1A"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制造业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15262A20" w14:textId="77777777" w:rsidR="00B67C49" w:rsidRDefault="00000000">
            <w:pPr>
              <w:pStyle w:val="biaogeright"/>
              <w:wordWrap w:val="0"/>
              <w:rPr>
                <w:rFonts w:asciiTheme="minorEastAsia" w:eastAsiaTheme="minorEastAsia" w:hAnsiTheme="minorEastAsia" w:cs="Times New Roman"/>
                <w:bCs/>
                <w:kern w:val="2"/>
              </w:rPr>
            </w:pPr>
            <w:r>
              <w:t>64,431,174.49</w:t>
            </w:r>
          </w:p>
        </w:tc>
        <w:tc>
          <w:tcPr>
            <w:tcW w:w="2672" w:type="dxa"/>
            <w:tcBorders>
              <w:top w:val="single" w:sz="8" w:space="0" w:color="000000"/>
              <w:left w:val="single" w:sz="8" w:space="0" w:color="000000"/>
              <w:bottom w:val="single" w:sz="6" w:space="0" w:color="000000"/>
              <w:right w:val="single" w:sz="8" w:space="0" w:color="000000"/>
            </w:tcBorders>
            <w:vAlign w:val="center"/>
          </w:tcPr>
          <w:p w14:paraId="742AD2A2" w14:textId="77777777" w:rsidR="00B67C49" w:rsidRDefault="00000000">
            <w:pPr>
              <w:pStyle w:val="biaogeright"/>
              <w:wordWrap w:val="0"/>
              <w:rPr>
                <w:rFonts w:asciiTheme="minorEastAsia" w:eastAsiaTheme="minorEastAsia" w:hAnsiTheme="minorEastAsia" w:cs="Times New Roman"/>
                <w:bCs/>
                <w:kern w:val="2"/>
              </w:rPr>
            </w:pPr>
            <w:r>
              <w:t>53.03</w:t>
            </w:r>
          </w:p>
        </w:tc>
      </w:tr>
      <w:tr w:rsidR="00B67C49" w14:paraId="28EB7BB6"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CB926B3"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D</w:t>
            </w:r>
          </w:p>
        </w:tc>
        <w:tc>
          <w:tcPr>
            <w:tcW w:w="2596" w:type="dxa"/>
            <w:tcBorders>
              <w:top w:val="single" w:sz="8" w:space="0" w:color="000000"/>
              <w:left w:val="single" w:sz="8" w:space="0" w:color="000000"/>
              <w:bottom w:val="single" w:sz="6" w:space="0" w:color="000000"/>
              <w:right w:val="single" w:sz="8" w:space="0" w:color="000000"/>
            </w:tcBorders>
            <w:vAlign w:val="center"/>
          </w:tcPr>
          <w:p w14:paraId="660EA08E"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电力、热力、燃气及水生产和供应业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5A32476B" w14:textId="77777777" w:rsidR="00B67C49" w:rsidRDefault="00000000">
            <w:pPr>
              <w:pStyle w:val="biaogeright"/>
              <w:wordWrap w:val="0"/>
              <w:rPr>
                <w:rFonts w:asciiTheme="minorEastAsia" w:eastAsiaTheme="minorEastAsia" w:hAnsiTheme="minorEastAsia" w:cs="Times New Roman"/>
                <w:bCs/>
                <w:kern w:val="2"/>
              </w:rPr>
            </w:pPr>
            <w:r>
              <w:t>1,177,000.00</w:t>
            </w:r>
          </w:p>
        </w:tc>
        <w:tc>
          <w:tcPr>
            <w:tcW w:w="2672" w:type="dxa"/>
            <w:tcBorders>
              <w:top w:val="single" w:sz="8" w:space="0" w:color="000000"/>
              <w:left w:val="single" w:sz="8" w:space="0" w:color="000000"/>
              <w:bottom w:val="single" w:sz="6" w:space="0" w:color="000000"/>
              <w:right w:val="single" w:sz="8" w:space="0" w:color="000000"/>
            </w:tcBorders>
            <w:vAlign w:val="center"/>
          </w:tcPr>
          <w:p w14:paraId="55EAB9EC" w14:textId="77777777" w:rsidR="00B67C49" w:rsidRDefault="00000000">
            <w:pPr>
              <w:pStyle w:val="biaogeright"/>
              <w:wordWrap w:val="0"/>
              <w:rPr>
                <w:rFonts w:asciiTheme="minorEastAsia" w:eastAsiaTheme="minorEastAsia" w:hAnsiTheme="minorEastAsia" w:cs="Times New Roman"/>
                <w:bCs/>
                <w:kern w:val="2"/>
              </w:rPr>
            </w:pPr>
            <w:r>
              <w:t>0.97</w:t>
            </w:r>
          </w:p>
        </w:tc>
      </w:tr>
      <w:tr w:rsidR="00B67C49" w14:paraId="50ECA216"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CF5BAF3"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E</w:t>
            </w:r>
          </w:p>
        </w:tc>
        <w:tc>
          <w:tcPr>
            <w:tcW w:w="2596" w:type="dxa"/>
            <w:tcBorders>
              <w:top w:val="single" w:sz="8" w:space="0" w:color="000000"/>
              <w:left w:val="single" w:sz="8" w:space="0" w:color="000000"/>
              <w:bottom w:val="single" w:sz="6" w:space="0" w:color="000000"/>
              <w:right w:val="single" w:sz="8" w:space="0" w:color="000000"/>
            </w:tcBorders>
            <w:vAlign w:val="center"/>
          </w:tcPr>
          <w:p w14:paraId="2A11E135"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建筑业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AF97B82" w14:textId="77777777" w:rsidR="00B67C49" w:rsidRDefault="00000000">
            <w:pPr>
              <w:pStyle w:val="biaogeright"/>
              <w:wordWrap w:val="0"/>
              <w:rPr>
                <w:rFonts w:asciiTheme="minorEastAsia" w:eastAsiaTheme="minorEastAsia" w:hAnsiTheme="minorEastAsia" w:cs="Times New Roman"/>
                <w:bCs/>
                <w:kern w:val="2"/>
              </w:rPr>
            </w:pPr>
            <w:r>
              <w:t>2,697.99</w:t>
            </w:r>
          </w:p>
        </w:tc>
        <w:tc>
          <w:tcPr>
            <w:tcW w:w="2672" w:type="dxa"/>
            <w:tcBorders>
              <w:top w:val="single" w:sz="8" w:space="0" w:color="000000"/>
              <w:left w:val="single" w:sz="8" w:space="0" w:color="000000"/>
              <w:bottom w:val="single" w:sz="6" w:space="0" w:color="000000"/>
              <w:right w:val="single" w:sz="8" w:space="0" w:color="000000"/>
            </w:tcBorders>
            <w:vAlign w:val="center"/>
          </w:tcPr>
          <w:p w14:paraId="2003E81F" w14:textId="77777777" w:rsidR="00B67C49" w:rsidRDefault="00000000">
            <w:pPr>
              <w:pStyle w:val="biaogeright"/>
              <w:wordWrap w:val="0"/>
              <w:rPr>
                <w:rFonts w:asciiTheme="minorEastAsia" w:eastAsiaTheme="minorEastAsia" w:hAnsiTheme="minorEastAsia" w:cs="Times New Roman"/>
                <w:bCs/>
                <w:kern w:val="2"/>
              </w:rPr>
            </w:pPr>
            <w:r>
              <w:t>0.00</w:t>
            </w:r>
          </w:p>
        </w:tc>
      </w:tr>
      <w:tr w:rsidR="00B67C49" w14:paraId="63240408"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1130202"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F</w:t>
            </w:r>
          </w:p>
        </w:tc>
        <w:tc>
          <w:tcPr>
            <w:tcW w:w="2596" w:type="dxa"/>
            <w:tcBorders>
              <w:top w:val="single" w:sz="8" w:space="0" w:color="000000"/>
              <w:left w:val="single" w:sz="8" w:space="0" w:color="000000"/>
              <w:bottom w:val="single" w:sz="6" w:space="0" w:color="000000"/>
              <w:right w:val="single" w:sz="8" w:space="0" w:color="000000"/>
            </w:tcBorders>
            <w:vAlign w:val="center"/>
          </w:tcPr>
          <w:p w14:paraId="7140BC4C"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批发和零售业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5B84AAF1" w14:textId="77777777" w:rsidR="00B67C49"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0B9EB8CB"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6D4541A5"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7BBA143"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G</w:t>
            </w:r>
          </w:p>
        </w:tc>
        <w:tc>
          <w:tcPr>
            <w:tcW w:w="2596" w:type="dxa"/>
            <w:tcBorders>
              <w:top w:val="single" w:sz="8" w:space="0" w:color="000000"/>
              <w:left w:val="single" w:sz="8" w:space="0" w:color="000000"/>
              <w:bottom w:val="single" w:sz="6" w:space="0" w:color="000000"/>
              <w:right w:val="single" w:sz="8" w:space="0" w:color="000000"/>
            </w:tcBorders>
            <w:vAlign w:val="center"/>
          </w:tcPr>
          <w:p w14:paraId="742678EE"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交通运输、仓储和邮政业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2FA2A64" w14:textId="77777777" w:rsidR="00B67C49"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5238EF68"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50300671"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14F4581F"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H</w:t>
            </w:r>
          </w:p>
        </w:tc>
        <w:tc>
          <w:tcPr>
            <w:tcW w:w="2596" w:type="dxa"/>
            <w:tcBorders>
              <w:top w:val="single" w:sz="8" w:space="0" w:color="000000"/>
              <w:left w:val="single" w:sz="8" w:space="0" w:color="000000"/>
              <w:bottom w:val="single" w:sz="6" w:space="0" w:color="000000"/>
              <w:right w:val="single" w:sz="8" w:space="0" w:color="000000"/>
            </w:tcBorders>
            <w:vAlign w:val="center"/>
          </w:tcPr>
          <w:p w14:paraId="7CE5566E"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住宿和餐饮业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531AA82" w14:textId="77777777" w:rsidR="00B67C49"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5D66EA1B"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1CD4BC3C"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D7407D2"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I</w:t>
            </w:r>
          </w:p>
        </w:tc>
        <w:tc>
          <w:tcPr>
            <w:tcW w:w="2596" w:type="dxa"/>
            <w:tcBorders>
              <w:top w:val="single" w:sz="8" w:space="0" w:color="000000"/>
              <w:left w:val="single" w:sz="8" w:space="0" w:color="000000"/>
              <w:bottom w:val="single" w:sz="6" w:space="0" w:color="000000"/>
              <w:right w:val="single" w:sz="8" w:space="0" w:color="000000"/>
            </w:tcBorders>
            <w:vAlign w:val="center"/>
          </w:tcPr>
          <w:p w14:paraId="475CFD46"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信息传输、软件和信息技术服务业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556D352E" w14:textId="77777777" w:rsidR="00B67C49" w:rsidRDefault="00000000">
            <w:pPr>
              <w:pStyle w:val="biaogeright"/>
              <w:wordWrap w:val="0"/>
              <w:rPr>
                <w:rFonts w:asciiTheme="minorEastAsia" w:eastAsiaTheme="minorEastAsia" w:hAnsiTheme="minorEastAsia" w:cs="Times New Roman"/>
                <w:bCs/>
                <w:kern w:val="2"/>
              </w:rPr>
            </w:pPr>
            <w:r>
              <w:t>5,891,882.24</w:t>
            </w:r>
          </w:p>
        </w:tc>
        <w:tc>
          <w:tcPr>
            <w:tcW w:w="2672" w:type="dxa"/>
            <w:tcBorders>
              <w:top w:val="single" w:sz="8" w:space="0" w:color="000000"/>
              <w:left w:val="single" w:sz="8" w:space="0" w:color="000000"/>
              <w:bottom w:val="single" w:sz="6" w:space="0" w:color="000000"/>
              <w:right w:val="single" w:sz="8" w:space="0" w:color="000000"/>
            </w:tcBorders>
            <w:vAlign w:val="center"/>
          </w:tcPr>
          <w:p w14:paraId="599DFBE1" w14:textId="77777777" w:rsidR="00B67C49" w:rsidRDefault="00000000">
            <w:pPr>
              <w:pStyle w:val="biaogeright"/>
              <w:wordWrap w:val="0"/>
              <w:rPr>
                <w:rFonts w:asciiTheme="minorEastAsia" w:eastAsiaTheme="minorEastAsia" w:hAnsiTheme="minorEastAsia" w:cs="Times New Roman"/>
                <w:bCs/>
                <w:kern w:val="2"/>
              </w:rPr>
            </w:pPr>
            <w:r>
              <w:t>4.85</w:t>
            </w:r>
          </w:p>
        </w:tc>
      </w:tr>
      <w:tr w:rsidR="00B67C49" w14:paraId="5D2BC572"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84606F1"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J</w:t>
            </w:r>
          </w:p>
        </w:tc>
        <w:tc>
          <w:tcPr>
            <w:tcW w:w="2596" w:type="dxa"/>
            <w:tcBorders>
              <w:top w:val="single" w:sz="8" w:space="0" w:color="000000"/>
              <w:left w:val="single" w:sz="8" w:space="0" w:color="000000"/>
              <w:bottom w:val="single" w:sz="6" w:space="0" w:color="000000"/>
              <w:right w:val="single" w:sz="8" w:space="0" w:color="000000"/>
            </w:tcBorders>
            <w:vAlign w:val="center"/>
          </w:tcPr>
          <w:p w14:paraId="2185076C"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金融业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077A72BC" w14:textId="77777777" w:rsidR="00B67C49" w:rsidRDefault="00000000">
            <w:pPr>
              <w:pStyle w:val="biaogeright"/>
              <w:wordWrap w:val="0"/>
              <w:rPr>
                <w:rFonts w:asciiTheme="minorEastAsia" w:eastAsiaTheme="minorEastAsia" w:hAnsiTheme="minorEastAsia" w:cs="Times New Roman"/>
                <w:bCs/>
                <w:kern w:val="2"/>
              </w:rPr>
            </w:pPr>
            <w:r>
              <w:t>9,356,778.00</w:t>
            </w:r>
          </w:p>
        </w:tc>
        <w:tc>
          <w:tcPr>
            <w:tcW w:w="2672" w:type="dxa"/>
            <w:tcBorders>
              <w:top w:val="single" w:sz="8" w:space="0" w:color="000000"/>
              <w:left w:val="single" w:sz="8" w:space="0" w:color="000000"/>
              <w:bottom w:val="single" w:sz="6" w:space="0" w:color="000000"/>
              <w:right w:val="single" w:sz="8" w:space="0" w:color="000000"/>
            </w:tcBorders>
            <w:vAlign w:val="center"/>
          </w:tcPr>
          <w:p w14:paraId="7F90481F" w14:textId="77777777" w:rsidR="00B67C49" w:rsidRDefault="00000000">
            <w:pPr>
              <w:pStyle w:val="biaogeright"/>
              <w:wordWrap w:val="0"/>
              <w:rPr>
                <w:rFonts w:asciiTheme="minorEastAsia" w:eastAsiaTheme="minorEastAsia" w:hAnsiTheme="minorEastAsia" w:cs="Times New Roman"/>
                <w:bCs/>
                <w:kern w:val="2"/>
              </w:rPr>
            </w:pPr>
            <w:r>
              <w:t>7.70</w:t>
            </w:r>
          </w:p>
        </w:tc>
      </w:tr>
      <w:tr w:rsidR="00B67C49" w14:paraId="417D6D1D"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3428DBD"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K</w:t>
            </w:r>
          </w:p>
        </w:tc>
        <w:tc>
          <w:tcPr>
            <w:tcW w:w="2596" w:type="dxa"/>
            <w:tcBorders>
              <w:top w:val="single" w:sz="8" w:space="0" w:color="000000"/>
              <w:left w:val="single" w:sz="8" w:space="0" w:color="000000"/>
              <w:bottom w:val="single" w:sz="6" w:space="0" w:color="000000"/>
              <w:right w:val="single" w:sz="8" w:space="0" w:color="000000"/>
            </w:tcBorders>
            <w:vAlign w:val="center"/>
          </w:tcPr>
          <w:p w14:paraId="5B447801"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房地产业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6CBCB160" w14:textId="77777777" w:rsidR="00B67C49" w:rsidRDefault="00000000">
            <w:pPr>
              <w:pStyle w:val="biaogeright"/>
              <w:wordWrap w:val="0"/>
              <w:rPr>
                <w:rFonts w:asciiTheme="minorEastAsia" w:eastAsiaTheme="minorEastAsia" w:hAnsiTheme="minorEastAsia" w:cs="Times New Roman"/>
                <w:bCs/>
                <w:kern w:val="2"/>
              </w:rPr>
            </w:pPr>
            <w:r>
              <w:t>3,822,000.00</w:t>
            </w:r>
          </w:p>
        </w:tc>
        <w:tc>
          <w:tcPr>
            <w:tcW w:w="2672" w:type="dxa"/>
            <w:tcBorders>
              <w:top w:val="single" w:sz="8" w:space="0" w:color="000000"/>
              <w:left w:val="single" w:sz="8" w:space="0" w:color="000000"/>
              <w:bottom w:val="single" w:sz="6" w:space="0" w:color="000000"/>
              <w:right w:val="single" w:sz="8" w:space="0" w:color="000000"/>
            </w:tcBorders>
            <w:vAlign w:val="center"/>
          </w:tcPr>
          <w:p w14:paraId="1DEDA91D" w14:textId="77777777" w:rsidR="00B67C49" w:rsidRDefault="00000000">
            <w:pPr>
              <w:pStyle w:val="biaogeright"/>
              <w:wordWrap w:val="0"/>
              <w:rPr>
                <w:rFonts w:asciiTheme="minorEastAsia" w:eastAsiaTheme="minorEastAsia" w:hAnsiTheme="minorEastAsia" w:cs="Times New Roman"/>
                <w:bCs/>
                <w:kern w:val="2"/>
              </w:rPr>
            </w:pPr>
            <w:r>
              <w:t>3.15</w:t>
            </w:r>
          </w:p>
        </w:tc>
      </w:tr>
      <w:tr w:rsidR="00B67C49" w14:paraId="7BC031A5"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3CFD87E"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L</w:t>
            </w:r>
          </w:p>
        </w:tc>
        <w:tc>
          <w:tcPr>
            <w:tcW w:w="2596" w:type="dxa"/>
            <w:tcBorders>
              <w:top w:val="single" w:sz="8" w:space="0" w:color="000000"/>
              <w:left w:val="single" w:sz="8" w:space="0" w:color="000000"/>
              <w:bottom w:val="single" w:sz="6" w:space="0" w:color="000000"/>
              <w:right w:val="single" w:sz="8" w:space="0" w:color="000000"/>
            </w:tcBorders>
            <w:vAlign w:val="center"/>
          </w:tcPr>
          <w:p w14:paraId="57B0FCEA"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租赁和商务服务业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3BE37E1E" w14:textId="77777777" w:rsidR="00B67C49"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216A07F6"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1702B9F4"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173D7982"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M</w:t>
            </w:r>
          </w:p>
        </w:tc>
        <w:tc>
          <w:tcPr>
            <w:tcW w:w="2596" w:type="dxa"/>
            <w:tcBorders>
              <w:top w:val="single" w:sz="8" w:space="0" w:color="000000"/>
              <w:left w:val="single" w:sz="8" w:space="0" w:color="000000"/>
              <w:bottom w:val="single" w:sz="6" w:space="0" w:color="000000"/>
              <w:right w:val="single" w:sz="8" w:space="0" w:color="000000"/>
            </w:tcBorders>
            <w:vAlign w:val="center"/>
          </w:tcPr>
          <w:p w14:paraId="2C6B3FBA"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科学研究和技术服务业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297891B2" w14:textId="77777777" w:rsidR="00B67C49" w:rsidRDefault="00000000">
            <w:pPr>
              <w:pStyle w:val="biaogeright"/>
              <w:wordWrap w:val="0"/>
              <w:rPr>
                <w:rFonts w:asciiTheme="minorEastAsia" w:eastAsiaTheme="minorEastAsia" w:hAnsiTheme="minorEastAsia" w:cs="Times New Roman"/>
                <w:bCs/>
                <w:kern w:val="2"/>
              </w:rPr>
            </w:pPr>
            <w:r>
              <w:t>4,196.08</w:t>
            </w:r>
          </w:p>
        </w:tc>
        <w:tc>
          <w:tcPr>
            <w:tcW w:w="2672" w:type="dxa"/>
            <w:tcBorders>
              <w:top w:val="single" w:sz="8" w:space="0" w:color="000000"/>
              <w:left w:val="single" w:sz="8" w:space="0" w:color="000000"/>
              <w:bottom w:val="single" w:sz="6" w:space="0" w:color="000000"/>
              <w:right w:val="single" w:sz="8" w:space="0" w:color="000000"/>
            </w:tcBorders>
            <w:vAlign w:val="center"/>
          </w:tcPr>
          <w:p w14:paraId="117A2C50" w14:textId="77777777" w:rsidR="00B67C49" w:rsidRDefault="00000000">
            <w:pPr>
              <w:pStyle w:val="biaogeright"/>
              <w:wordWrap w:val="0"/>
              <w:rPr>
                <w:rFonts w:asciiTheme="minorEastAsia" w:eastAsiaTheme="minorEastAsia" w:hAnsiTheme="minorEastAsia" w:cs="Times New Roman"/>
                <w:bCs/>
                <w:kern w:val="2"/>
              </w:rPr>
            </w:pPr>
            <w:r>
              <w:t>0.00</w:t>
            </w:r>
          </w:p>
        </w:tc>
      </w:tr>
      <w:tr w:rsidR="00B67C49" w14:paraId="10D7D105"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EA484A7"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N</w:t>
            </w:r>
          </w:p>
        </w:tc>
        <w:tc>
          <w:tcPr>
            <w:tcW w:w="2596" w:type="dxa"/>
            <w:tcBorders>
              <w:top w:val="single" w:sz="8" w:space="0" w:color="000000"/>
              <w:left w:val="single" w:sz="8" w:space="0" w:color="000000"/>
              <w:bottom w:val="single" w:sz="6" w:space="0" w:color="000000"/>
              <w:right w:val="single" w:sz="8" w:space="0" w:color="000000"/>
            </w:tcBorders>
            <w:vAlign w:val="center"/>
          </w:tcPr>
          <w:p w14:paraId="6881F1A7"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水利、环境和公共设施管理业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5C207E97" w14:textId="77777777" w:rsidR="00B67C49"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65A54869"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57600947"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27A5D5F"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O</w:t>
            </w:r>
          </w:p>
        </w:tc>
        <w:tc>
          <w:tcPr>
            <w:tcW w:w="2596" w:type="dxa"/>
            <w:tcBorders>
              <w:top w:val="single" w:sz="8" w:space="0" w:color="000000"/>
              <w:left w:val="single" w:sz="8" w:space="0" w:color="000000"/>
              <w:bottom w:val="single" w:sz="6" w:space="0" w:color="000000"/>
              <w:right w:val="single" w:sz="8" w:space="0" w:color="000000"/>
            </w:tcBorders>
            <w:vAlign w:val="center"/>
          </w:tcPr>
          <w:p w14:paraId="6B5CD3F6"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居民服务、修理和其他服务业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633C6506" w14:textId="77777777" w:rsidR="00B67C49"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1EFC7D4F"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5B323B10"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1A50D0DF"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P</w:t>
            </w:r>
          </w:p>
        </w:tc>
        <w:tc>
          <w:tcPr>
            <w:tcW w:w="2596" w:type="dxa"/>
            <w:tcBorders>
              <w:top w:val="single" w:sz="8" w:space="0" w:color="000000"/>
              <w:left w:val="single" w:sz="8" w:space="0" w:color="000000"/>
              <w:bottom w:val="single" w:sz="6" w:space="0" w:color="000000"/>
              <w:right w:val="single" w:sz="8" w:space="0" w:color="000000"/>
            </w:tcBorders>
            <w:vAlign w:val="center"/>
          </w:tcPr>
          <w:p w14:paraId="2969B9F4"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教育</w:t>
            </w:r>
          </w:p>
        </w:tc>
        <w:tc>
          <w:tcPr>
            <w:tcW w:w="2596" w:type="dxa"/>
            <w:tcBorders>
              <w:top w:val="single" w:sz="8" w:space="0" w:color="000000"/>
              <w:left w:val="single" w:sz="8" w:space="0" w:color="000000"/>
              <w:bottom w:val="single" w:sz="6" w:space="0" w:color="000000"/>
              <w:right w:val="single" w:sz="8" w:space="0" w:color="000000"/>
            </w:tcBorders>
            <w:vAlign w:val="center"/>
          </w:tcPr>
          <w:p w14:paraId="580F8F4B" w14:textId="77777777" w:rsidR="00B67C49"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67F91F4A"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00BB0FDA"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110C535"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Q</w:t>
            </w:r>
          </w:p>
        </w:tc>
        <w:tc>
          <w:tcPr>
            <w:tcW w:w="2596" w:type="dxa"/>
            <w:tcBorders>
              <w:top w:val="single" w:sz="8" w:space="0" w:color="000000"/>
              <w:left w:val="single" w:sz="8" w:space="0" w:color="000000"/>
              <w:bottom w:val="single" w:sz="6" w:space="0" w:color="000000"/>
              <w:right w:val="single" w:sz="8" w:space="0" w:color="000000"/>
            </w:tcBorders>
            <w:vAlign w:val="center"/>
          </w:tcPr>
          <w:p w14:paraId="6B6A4769"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卫生和社会工作</w:t>
            </w:r>
          </w:p>
        </w:tc>
        <w:tc>
          <w:tcPr>
            <w:tcW w:w="2596" w:type="dxa"/>
            <w:tcBorders>
              <w:top w:val="single" w:sz="8" w:space="0" w:color="000000"/>
              <w:left w:val="single" w:sz="8" w:space="0" w:color="000000"/>
              <w:bottom w:val="single" w:sz="6" w:space="0" w:color="000000"/>
              <w:right w:val="single" w:sz="8" w:space="0" w:color="000000"/>
            </w:tcBorders>
            <w:vAlign w:val="center"/>
          </w:tcPr>
          <w:p w14:paraId="67427A15" w14:textId="77777777" w:rsidR="00B67C49"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7C526A0B"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0476DC8C"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35BC862"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R</w:t>
            </w:r>
          </w:p>
        </w:tc>
        <w:tc>
          <w:tcPr>
            <w:tcW w:w="2596" w:type="dxa"/>
            <w:tcBorders>
              <w:top w:val="single" w:sz="8" w:space="0" w:color="000000"/>
              <w:left w:val="single" w:sz="8" w:space="0" w:color="000000"/>
              <w:bottom w:val="single" w:sz="6" w:space="0" w:color="000000"/>
              <w:right w:val="single" w:sz="8" w:space="0" w:color="000000"/>
            </w:tcBorders>
            <w:vAlign w:val="center"/>
          </w:tcPr>
          <w:p w14:paraId="13231532"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文化、体育和娱乐业</w:t>
            </w:r>
          </w:p>
        </w:tc>
        <w:tc>
          <w:tcPr>
            <w:tcW w:w="2596" w:type="dxa"/>
            <w:tcBorders>
              <w:top w:val="single" w:sz="8" w:space="0" w:color="000000"/>
              <w:left w:val="single" w:sz="8" w:space="0" w:color="000000"/>
              <w:bottom w:val="single" w:sz="6" w:space="0" w:color="000000"/>
              <w:right w:val="single" w:sz="8" w:space="0" w:color="000000"/>
            </w:tcBorders>
            <w:vAlign w:val="center"/>
          </w:tcPr>
          <w:p w14:paraId="43F0E9FB" w14:textId="77777777" w:rsidR="00B67C49"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0C4D16F8"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4511D8F4"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EF7A007"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S</w:t>
            </w:r>
          </w:p>
        </w:tc>
        <w:tc>
          <w:tcPr>
            <w:tcW w:w="2596" w:type="dxa"/>
            <w:tcBorders>
              <w:top w:val="single" w:sz="8" w:space="0" w:color="000000"/>
              <w:left w:val="single" w:sz="8" w:space="0" w:color="000000"/>
              <w:bottom w:val="single" w:sz="6" w:space="0" w:color="000000"/>
              <w:right w:val="single" w:sz="8" w:space="0" w:color="000000"/>
            </w:tcBorders>
            <w:vAlign w:val="center"/>
          </w:tcPr>
          <w:p w14:paraId="5CC31D15"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综合</w:t>
            </w:r>
          </w:p>
        </w:tc>
        <w:tc>
          <w:tcPr>
            <w:tcW w:w="2596" w:type="dxa"/>
            <w:tcBorders>
              <w:top w:val="single" w:sz="8" w:space="0" w:color="000000"/>
              <w:left w:val="single" w:sz="8" w:space="0" w:color="000000"/>
              <w:bottom w:val="single" w:sz="6" w:space="0" w:color="000000"/>
              <w:right w:val="single" w:sz="8" w:space="0" w:color="000000"/>
            </w:tcBorders>
            <w:vAlign w:val="center"/>
          </w:tcPr>
          <w:p w14:paraId="443FA816" w14:textId="77777777" w:rsidR="00B67C49" w:rsidRDefault="00000000">
            <w:pPr>
              <w:pStyle w:val="biaogeright"/>
              <w:wordWrap w:val="0"/>
              <w:rPr>
                <w:rFonts w:asciiTheme="minorEastAsia" w:eastAsiaTheme="minorEastAsia" w:hAnsiTheme="minorEastAsia" w:cs="Times New Roman"/>
                <w:bCs/>
                <w:kern w:val="2"/>
              </w:rPr>
            </w:pPr>
            <w:r>
              <w:t>-</w:t>
            </w:r>
          </w:p>
        </w:tc>
        <w:tc>
          <w:tcPr>
            <w:tcW w:w="2672" w:type="dxa"/>
            <w:tcBorders>
              <w:top w:val="single" w:sz="8" w:space="0" w:color="000000"/>
              <w:left w:val="single" w:sz="8" w:space="0" w:color="000000"/>
              <w:bottom w:val="single" w:sz="6" w:space="0" w:color="000000"/>
              <w:right w:val="single" w:sz="8" w:space="0" w:color="000000"/>
            </w:tcBorders>
            <w:vAlign w:val="center"/>
          </w:tcPr>
          <w:p w14:paraId="59203EB0"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3E1A74CD"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8BCDB83" w14:textId="77777777" w:rsidR="00B67C49" w:rsidRDefault="00B67C49">
            <w:pPr>
              <w:rPr>
                <w:rFonts w:asciiTheme="minorEastAsia" w:hAnsiTheme="minorEastAsia" w:cs="Times New Roman"/>
                <w:bCs/>
                <w:sz w:val="24"/>
                <w:szCs w:val="24"/>
              </w:rPr>
            </w:pPr>
          </w:p>
        </w:tc>
        <w:tc>
          <w:tcPr>
            <w:tcW w:w="2596" w:type="dxa"/>
            <w:tcBorders>
              <w:top w:val="single" w:sz="8" w:space="0" w:color="000000"/>
              <w:left w:val="single" w:sz="8" w:space="0" w:color="000000"/>
              <w:bottom w:val="single" w:sz="6" w:space="0" w:color="000000"/>
              <w:right w:val="single" w:sz="8" w:space="0" w:color="000000"/>
            </w:tcBorders>
            <w:vAlign w:val="center"/>
          </w:tcPr>
          <w:p w14:paraId="603E0662"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合计</w:t>
            </w:r>
          </w:p>
        </w:tc>
        <w:tc>
          <w:tcPr>
            <w:tcW w:w="2596" w:type="dxa"/>
            <w:tcBorders>
              <w:top w:val="single" w:sz="8" w:space="0" w:color="000000"/>
              <w:left w:val="single" w:sz="8" w:space="0" w:color="000000"/>
              <w:bottom w:val="single" w:sz="6" w:space="0" w:color="000000"/>
              <w:right w:val="single" w:sz="8" w:space="0" w:color="000000"/>
            </w:tcBorders>
            <w:vAlign w:val="center"/>
          </w:tcPr>
          <w:p w14:paraId="4687B69E" w14:textId="77777777" w:rsidR="00B67C49" w:rsidRDefault="00000000">
            <w:pPr>
              <w:pStyle w:val="biaogeright"/>
              <w:wordWrap w:val="0"/>
              <w:rPr>
                <w:rFonts w:asciiTheme="minorEastAsia" w:eastAsiaTheme="minorEastAsia" w:hAnsiTheme="minorEastAsia" w:cs="Times New Roman"/>
                <w:bCs/>
                <w:kern w:val="2"/>
              </w:rPr>
            </w:pPr>
            <w:r>
              <w:t>84,685,728.80</w:t>
            </w:r>
          </w:p>
        </w:tc>
        <w:tc>
          <w:tcPr>
            <w:tcW w:w="2672" w:type="dxa"/>
            <w:tcBorders>
              <w:top w:val="single" w:sz="8" w:space="0" w:color="000000"/>
              <w:left w:val="single" w:sz="8" w:space="0" w:color="000000"/>
              <w:bottom w:val="single" w:sz="6" w:space="0" w:color="000000"/>
              <w:right w:val="single" w:sz="8" w:space="0" w:color="000000"/>
            </w:tcBorders>
            <w:vAlign w:val="center"/>
          </w:tcPr>
          <w:p w14:paraId="5F759D25" w14:textId="77777777" w:rsidR="00B67C49" w:rsidRDefault="00000000">
            <w:pPr>
              <w:pStyle w:val="biaogeright"/>
              <w:wordWrap w:val="0"/>
              <w:rPr>
                <w:rFonts w:asciiTheme="minorEastAsia" w:eastAsiaTheme="minorEastAsia" w:hAnsiTheme="minorEastAsia" w:cs="Times New Roman"/>
                <w:bCs/>
                <w:kern w:val="2"/>
              </w:rPr>
            </w:pPr>
            <w:r>
              <w:t>69.70</w:t>
            </w:r>
          </w:p>
        </w:tc>
      </w:tr>
    </w:tbl>
    <w:p w14:paraId="17FFA694" w14:textId="77777777" w:rsidR="00B67C49" w:rsidRDefault="00B67C49">
      <w:pPr>
        <w:widowControl/>
        <w:jc w:val="left"/>
        <w:rPr>
          <w:rFonts w:asciiTheme="minorEastAsia" w:hAnsiTheme="minorEastAsia" w:cs="Times New Roman"/>
          <w:bCs/>
          <w:sz w:val="24"/>
          <w:szCs w:val="24"/>
        </w:rPr>
      </w:pPr>
    </w:p>
    <w:p w14:paraId="45A647E5" w14:textId="77777777" w:rsidR="00B67C49" w:rsidRDefault="00000000">
      <w:pPr>
        <w:pStyle w:val="zhangjiep"/>
        <w:rPr>
          <w:rFonts w:asciiTheme="minorEastAsia" w:eastAsiaTheme="minorEastAsia" w:hAnsiTheme="minorEastAsia" w:cs="Times New Roman"/>
          <w:bCs/>
          <w:kern w:val="2"/>
        </w:rPr>
      </w:pPr>
      <w:bookmarkStart w:id="216" w:name="_Toc117173481"/>
      <w:r>
        <w:rPr>
          <w:rFonts w:asciiTheme="minorEastAsia" w:eastAsiaTheme="minorEastAsia" w:hAnsiTheme="minorEastAsia" w:cs="Times New Roman"/>
          <w:bCs/>
          <w:kern w:val="2"/>
        </w:rPr>
        <w:t>3、 报告期末按公允价值占基金资产净值比例大小排序的前十名股票投资明细</w:t>
      </w:r>
      <w:bookmarkEnd w:id="216"/>
    </w:p>
    <w:tbl>
      <w:tblPr>
        <w:tblW w:w="8789" w:type="dxa"/>
        <w:tblInd w:w="108" w:type="dxa"/>
        <w:tblLook w:val="04A0" w:firstRow="1" w:lastRow="0" w:firstColumn="1" w:lastColumn="0" w:noHBand="0" w:noVBand="1"/>
      </w:tblPr>
      <w:tblGrid>
        <w:gridCol w:w="472"/>
        <w:gridCol w:w="1402"/>
        <w:gridCol w:w="1674"/>
        <w:gridCol w:w="1696"/>
        <w:gridCol w:w="1844"/>
        <w:gridCol w:w="1701"/>
      </w:tblGrid>
      <w:tr w:rsidR="00B67C49" w14:paraId="5D4B6B31"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1720E4A6"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序号</w:t>
            </w:r>
          </w:p>
        </w:tc>
        <w:tc>
          <w:tcPr>
            <w:tcW w:w="1402" w:type="dxa"/>
            <w:tcBorders>
              <w:top w:val="single" w:sz="8" w:space="0" w:color="000000"/>
              <w:left w:val="single" w:sz="8" w:space="0" w:color="000000"/>
              <w:bottom w:val="single" w:sz="6" w:space="0" w:color="000000"/>
              <w:right w:val="single" w:sz="8" w:space="0" w:color="000000"/>
            </w:tcBorders>
            <w:vAlign w:val="center"/>
          </w:tcPr>
          <w:p w14:paraId="63F08094"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股票代码</w:t>
            </w:r>
          </w:p>
        </w:tc>
        <w:tc>
          <w:tcPr>
            <w:tcW w:w="1674" w:type="dxa"/>
            <w:tcBorders>
              <w:top w:val="single" w:sz="8" w:space="0" w:color="000000"/>
              <w:left w:val="single" w:sz="8" w:space="0" w:color="000000"/>
              <w:bottom w:val="single" w:sz="6" w:space="0" w:color="000000"/>
              <w:right w:val="single" w:sz="8" w:space="0" w:color="000000"/>
            </w:tcBorders>
            <w:vAlign w:val="center"/>
          </w:tcPr>
          <w:p w14:paraId="1C81AA86"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股票名称</w:t>
            </w:r>
          </w:p>
        </w:tc>
        <w:tc>
          <w:tcPr>
            <w:tcW w:w="1696" w:type="dxa"/>
            <w:tcBorders>
              <w:top w:val="single" w:sz="8" w:space="0" w:color="000000"/>
              <w:left w:val="single" w:sz="8" w:space="0" w:color="000000"/>
              <w:bottom w:val="single" w:sz="6" w:space="0" w:color="000000"/>
              <w:right w:val="single" w:sz="8" w:space="0" w:color="000000"/>
            </w:tcBorders>
            <w:vAlign w:val="center"/>
          </w:tcPr>
          <w:p w14:paraId="35779AB7"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数量</w:t>
            </w:r>
            <w:r>
              <w:rPr>
                <w:rFonts w:asciiTheme="minorEastAsia" w:eastAsiaTheme="minorEastAsia" w:hAnsiTheme="minorEastAsia" w:cs="Times New Roman"/>
                <w:bCs/>
                <w:kern w:val="2"/>
              </w:rPr>
              <w:t>(股)</w:t>
            </w:r>
          </w:p>
        </w:tc>
        <w:tc>
          <w:tcPr>
            <w:tcW w:w="1844" w:type="dxa"/>
            <w:tcBorders>
              <w:top w:val="single" w:sz="8" w:space="0" w:color="000000"/>
              <w:left w:val="single" w:sz="8" w:space="0" w:color="000000"/>
              <w:bottom w:val="single" w:sz="6" w:space="0" w:color="000000"/>
              <w:right w:val="single" w:sz="8" w:space="0" w:color="000000"/>
            </w:tcBorders>
            <w:vAlign w:val="center"/>
          </w:tcPr>
          <w:p w14:paraId="4877359F"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公允价值</w:t>
            </w:r>
            <w:r>
              <w:rPr>
                <w:rFonts w:asciiTheme="minorEastAsia" w:eastAsiaTheme="minorEastAsia" w:hAnsiTheme="minorEastAsia" w:cs="Times New Roman"/>
                <w:bCs/>
                <w:kern w:val="2"/>
              </w:rPr>
              <w:t>(元)</w:t>
            </w:r>
          </w:p>
        </w:tc>
        <w:tc>
          <w:tcPr>
            <w:tcW w:w="1701" w:type="dxa"/>
            <w:tcBorders>
              <w:top w:val="single" w:sz="8" w:space="0" w:color="000000"/>
              <w:left w:val="single" w:sz="8" w:space="0" w:color="000000"/>
              <w:bottom w:val="single" w:sz="6" w:space="0" w:color="000000"/>
              <w:right w:val="single" w:sz="8" w:space="0" w:color="000000"/>
            </w:tcBorders>
            <w:vAlign w:val="center"/>
          </w:tcPr>
          <w:p w14:paraId="2050F81E"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占基金资产净值比例（％）</w:t>
            </w:r>
          </w:p>
        </w:tc>
      </w:tr>
      <w:tr w:rsidR="00B67C49" w14:paraId="28292D7E"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315C1DE7"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w:t>
            </w:r>
          </w:p>
        </w:tc>
        <w:tc>
          <w:tcPr>
            <w:tcW w:w="1402" w:type="dxa"/>
            <w:tcBorders>
              <w:top w:val="single" w:sz="8" w:space="0" w:color="000000"/>
              <w:left w:val="single" w:sz="8" w:space="0" w:color="000000"/>
              <w:bottom w:val="single" w:sz="6" w:space="0" w:color="000000"/>
              <w:right w:val="single" w:sz="8" w:space="0" w:color="000000"/>
            </w:tcBorders>
            <w:vAlign w:val="center"/>
          </w:tcPr>
          <w:p w14:paraId="35F3FE5C"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600519</w:t>
            </w:r>
          </w:p>
        </w:tc>
        <w:tc>
          <w:tcPr>
            <w:tcW w:w="1674" w:type="dxa"/>
            <w:tcBorders>
              <w:top w:val="single" w:sz="8" w:space="0" w:color="000000"/>
              <w:left w:val="single" w:sz="8" w:space="0" w:color="000000"/>
              <w:bottom w:val="single" w:sz="6" w:space="0" w:color="000000"/>
              <w:right w:val="single" w:sz="8" w:space="0" w:color="000000"/>
            </w:tcBorders>
            <w:vAlign w:val="center"/>
          </w:tcPr>
          <w:p w14:paraId="6C71E849"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贵州茅台</w:t>
            </w:r>
          </w:p>
        </w:tc>
        <w:tc>
          <w:tcPr>
            <w:tcW w:w="1696" w:type="dxa"/>
            <w:tcBorders>
              <w:top w:val="single" w:sz="8" w:space="0" w:color="000000"/>
              <w:left w:val="single" w:sz="8" w:space="0" w:color="000000"/>
              <w:bottom w:val="single" w:sz="6" w:space="0" w:color="000000"/>
              <w:right w:val="single" w:sz="8" w:space="0" w:color="000000"/>
            </w:tcBorders>
            <w:vAlign w:val="center"/>
          </w:tcPr>
          <w:p w14:paraId="68E922B1"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5,800</w:t>
            </w:r>
          </w:p>
        </w:tc>
        <w:tc>
          <w:tcPr>
            <w:tcW w:w="1844" w:type="dxa"/>
            <w:tcBorders>
              <w:top w:val="single" w:sz="8" w:space="0" w:color="000000"/>
              <w:left w:val="single" w:sz="8" w:space="0" w:color="000000"/>
              <w:bottom w:val="single" w:sz="6" w:space="0" w:color="000000"/>
              <w:right w:val="single" w:sz="8" w:space="0" w:color="000000"/>
            </w:tcBorders>
            <w:vAlign w:val="center"/>
          </w:tcPr>
          <w:p w14:paraId="52E4C8FA"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10,431,590.00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2DFEEF25"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8.59</w:t>
            </w:r>
          </w:p>
        </w:tc>
      </w:tr>
      <w:tr w:rsidR="00B67C49" w14:paraId="50DEBE62"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4EC30673"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w:t>
            </w:r>
          </w:p>
        </w:tc>
        <w:tc>
          <w:tcPr>
            <w:tcW w:w="1402" w:type="dxa"/>
            <w:tcBorders>
              <w:top w:val="single" w:sz="8" w:space="0" w:color="000000"/>
              <w:left w:val="single" w:sz="8" w:space="0" w:color="000000"/>
              <w:bottom w:val="single" w:sz="6" w:space="0" w:color="000000"/>
              <w:right w:val="single" w:sz="8" w:space="0" w:color="000000"/>
            </w:tcBorders>
            <w:vAlign w:val="center"/>
          </w:tcPr>
          <w:p w14:paraId="2ADB5527"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600309</w:t>
            </w:r>
          </w:p>
        </w:tc>
        <w:tc>
          <w:tcPr>
            <w:tcW w:w="1674" w:type="dxa"/>
            <w:tcBorders>
              <w:top w:val="single" w:sz="8" w:space="0" w:color="000000"/>
              <w:left w:val="single" w:sz="8" w:space="0" w:color="000000"/>
              <w:bottom w:val="single" w:sz="6" w:space="0" w:color="000000"/>
              <w:right w:val="single" w:sz="8" w:space="0" w:color="000000"/>
            </w:tcBorders>
            <w:vAlign w:val="center"/>
          </w:tcPr>
          <w:p w14:paraId="3B5E77CF"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万华化学</w:t>
            </w:r>
          </w:p>
        </w:tc>
        <w:tc>
          <w:tcPr>
            <w:tcW w:w="1696" w:type="dxa"/>
            <w:tcBorders>
              <w:top w:val="single" w:sz="8" w:space="0" w:color="000000"/>
              <w:left w:val="single" w:sz="8" w:space="0" w:color="000000"/>
              <w:bottom w:val="single" w:sz="6" w:space="0" w:color="000000"/>
              <w:right w:val="single" w:sz="8" w:space="0" w:color="000000"/>
            </w:tcBorders>
            <w:vAlign w:val="center"/>
          </w:tcPr>
          <w:p w14:paraId="32271458"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92,000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20444D23"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8,125,440.00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774FF108"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6.69</w:t>
            </w:r>
          </w:p>
        </w:tc>
      </w:tr>
      <w:tr w:rsidR="00B67C49" w14:paraId="05160AA0"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0C3AA6D2"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w:t>
            </w:r>
          </w:p>
        </w:tc>
        <w:tc>
          <w:tcPr>
            <w:tcW w:w="1402" w:type="dxa"/>
            <w:tcBorders>
              <w:top w:val="single" w:sz="8" w:space="0" w:color="000000"/>
              <w:left w:val="single" w:sz="8" w:space="0" w:color="000000"/>
              <w:bottom w:val="single" w:sz="6" w:space="0" w:color="000000"/>
              <w:right w:val="single" w:sz="8" w:space="0" w:color="000000"/>
            </w:tcBorders>
            <w:vAlign w:val="center"/>
          </w:tcPr>
          <w:p w14:paraId="411E8B60"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000858</w:t>
            </w:r>
          </w:p>
        </w:tc>
        <w:tc>
          <w:tcPr>
            <w:tcW w:w="1674" w:type="dxa"/>
            <w:tcBorders>
              <w:top w:val="single" w:sz="8" w:space="0" w:color="000000"/>
              <w:left w:val="single" w:sz="8" w:space="0" w:color="000000"/>
              <w:bottom w:val="single" w:sz="6" w:space="0" w:color="000000"/>
              <w:right w:val="single" w:sz="8" w:space="0" w:color="000000"/>
            </w:tcBorders>
            <w:vAlign w:val="center"/>
          </w:tcPr>
          <w:p w14:paraId="4BD5A77C"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五 粮 液</w:t>
            </w:r>
          </w:p>
        </w:tc>
        <w:tc>
          <w:tcPr>
            <w:tcW w:w="1696" w:type="dxa"/>
            <w:tcBorders>
              <w:top w:val="single" w:sz="8" w:space="0" w:color="000000"/>
              <w:left w:val="single" w:sz="8" w:space="0" w:color="000000"/>
              <w:bottom w:val="single" w:sz="6" w:space="0" w:color="000000"/>
              <w:right w:val="single" w:sz="8" w:space="0" w:color="000000"/>
            </w:tcBorders>
            <w:vAlign w:val="center"/>
          </w:tcPr>
          <w:p w14:paraId="5E871012"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50,000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7E805C13"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7,805,000.00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1D59476E"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6.42</w:t>
            </w:r>
          </w:p>
        </w:tc>
      </w:tr>
      <w:tr w:rsidR="00B67C49" w14:paraId="0A403010"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39A2506D"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w:t>
            </w:r>
          </w:p>
        </w:tc>
        <w:tc>
          <w:tcPr>
            <w:tcW w:w="1402" w:type="dxa"/>
            <w:tcBorders>
              <w:top w:val="single" w:sz="8" w:space="0" w:color="000000"/>
              <w:left w:val="single" w:sz="8" w:space="0" w:color="000000"/>
              <w:bottom w:val="single" w:sz="6" w:space="0" w:color="000000"/>
              <w:right w:val="single" w:sz="8" w:space="0" w:color="000000"/>
            </w:tcBorders>
            <w:vAlign w:val="center"/>
          </w:tcPr>
          <w:p w14:paraId="22F43732"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000568</w:t>
            </w:r>
          </w:p>
        </w:tc>
        <w:tc>
          <w:tcPr>
            <w:tcW w:w="1674" w:type="dxa"/>
            <w:tcBorders>
              <w:top w:val="single" w:sz="8" w:space="0" w:color="000000"/>
              <w:left w:val="single" w:sz="8" w:space="0" w:color="000000"/>
              <w:bottom w:val="single" w:sz="6" w:space="0" w:color="000000"/>
              <w:right w:val="single" w:sz="8" w:space="0" w:color="000000"/>
            </w:tcBorders>
            <w:vAlign w:val="center"/>
          </w:tcPr>
          <w:p w14:paraId="0DF64B97"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泸州老窖</w:t>
            </w:r>
          </w:p>
        </w:tc>
        <w:tc>
          <w:tcPr>
            <w:tcW w:w="1696" w:type="dxa"/>
            <w:tcBorders>
              <w:top w:val="single" w:sz="8" w:space="0" w:color="000000"/>
              <w:left w:val="single" w:sz="8" w:space="0" w:color="000000"/>
              <w:bottom w:val="single" w:sz="6" w:space="0" w:color="000000"/>
              <w:right w:val="single" w:sz="8" w:space="0" w:color="000000"/>
            </w:tcBorders>
            <w:vAlign w:val="center"/>
          </w:tcPr>
          <w:p w14:paraId="3CBE8BD7"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33,000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7507827B"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7,149,450.00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3C259E8C"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5.88</w:t>
            </w:r>
          </w:p>
        </w:tc>
      </w:tr>
      <w:tr w:rsidR="00B67C49" w14:paraId="6BB8F069"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5B808910"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lastRenderedPageBreak/>
              <w:t>5</w:t>
            </w:r>
          </w:p>
        </w:tc>
        <w:tc>
          <w:tcPr>
            <w:tcW w:w="1402" w:type="dxa"/>
            <w:tcBorders>
              <w:top w:val="single" w:sz="8" w:space="0" w:color="000000"/>
              <w:left w:val="single" w:sz="8" w:space="0" w:color="000000"/>
              <w:bottom w:val="single" w:sz="6" w:space="0" w:color="000000"/>
              <w:right w:val="single" w:sz="8" w:space="0" w:color="000000"/>
            </w:tcBorders>
            <w:vAlign w:val="center"/>
          </w:tcPr>
          <w:p w14:paraId="6D170DF1"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600887</w:t>
            </w:r>
          </w:p>
        </w:tc>
        <w:tc>
          <w:tcPr>
            <w:tcW w:w="1674" w:type="dxa"/>
            <w:tcBorders>
              <w:top w:val="single" w:sz="8" w:space="0" w:color="000000"/>
              <w:left w:val="single" w:sz="8" w:space="0" w:color="000000"/>
              <w:bottom w:val="single" w:sz="6" w:space="0" w:color="000000"/>
              <w:right w:val="single" w:sz="8" w:space="0" w:color="000000"/>
            </w:tcBorders>
            <w:vAlign w:val="center"/>
          </w:tcPr>
          <w:p w14:paraId="287EBC4E"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伊利股份</w:t>
            </w:r>
          </w:p>
        </w:tc>
        <w:tc>
          <w:tcPr>
            <w:tcW w:w="1696" w:type="dxa"/>
            <w:tcBorders>
              <w:top w:val="single" w:sz="8" w:space="0" w:color="000000"/>
              <w:left w:val="single" w:sz="8" w:space="0" w:color="000000"/>
              <w:bottom w:val="single" w:sz="6" w:space="0" w:color="000000"/>
              <w:right w:val="single" w:sz="8" w:space="0" w:color="000000"/>
            </w:tcBorders>
            <w:vAlign w:val="center"/>
          </w:tcPr>
          <w:p w14:paraId="210AC997"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220,000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35E463BF"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5,836,600.00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15D37194"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4.80</w:t>
            </w:r>
          </w:p>
        </w:tc>
      </w:tr>
      <w:tr w:rsidR="00B67C49" w14:paraId="17CDB42C"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30EBEE72"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w:t>
            </w:r>
          </w:p>
        </w:tc>
        <w:tc>
          <w:tcPr>
            <w:tcW w:w="1402" w:type="dxa"/>
            <w:tcBorders>
              <w:top w:val="single" w:sz="8" w:space="0" w:color="000000"/>
              <w:left w:val="single" w:sz="8" w:space="0" w:color="000000"/>
              <w:bottom w:val="single" w:sz="6" w:space="0" w:color="000000"/>
              <w:right w:val="single" w:sz="8" w:space="0" w:color="000000"/>
            </w:tcBorders>
            <w:vAlign w:val="center"/>
          </w:tcPr>
          <w:p w14:paraId="66276075"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600941</w:t>
            </w:r>
          </w:p>
        </w:tc>
        <w:tc>
          <w:tcPr>
            <w:tcW w:w="1674" w:type="dxa"/>
            <w:tcBorders>
              <w:top w:val="single" w:sz="8" w:space="0" w:color="000000"/>
              <w:left w:val="single" w:sz="8" w:space="0" w:color="000000"/>
              <w:bottom w:val="single" w:sz="6" w:space="0" w:color="000000"/>
              <w:right w:val="single" w:sz="8" w:space="0" w:color="000000"/>
            </w:tcBorders>
            <w:vAlign w:val="center"/>
          </w:tcPr>
          <w:p w14:paraId="0FAC4891"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中国移动</w:t>
            </w:r>
          </w:p>
        </w:tc>
        <w:tc>
          <w:tcPr>
            <w:tcW w:w="1696" w:type="dxa"/>
            <w:tcBorders>
              <w:top w:val="single" w:sz="8" w:space="0" w:color="000000"/>
              <w:left w:val="single" w:sz="8" w:space="0" w:color="000000"/>
              <w:bottom w:val="single" w:sz="6" w:space="0" w:color="000000"/>
              <w:right w:val="single" w:sz="8" w:space="0" w:color="000000"/>
            </w:tcBorders>
            <w:vAlign w:val="center"/>
          </w:tcPr>
          <w:p w14:paraId="5F6890E8"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60,000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498BF0E4"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5,809,200.00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18A54827"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4.78</w:t>
            </w:r>
          </w:p>
        </w:tc>
      </w:tr>
      <w:tr w:rsidR="00B67C49" w14:paraId="152D8F68"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4985B1B5"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7</w:t>
            </w:r>
          </w:p>
        </w:tc>
        <w:tc>
          <w:tcPr>
            <w:tcW w:w="1402" w:type="dxa"/>
            <w:tcBorders>
              <w:top w:val="single" w:sz="8" w:space="0" w:color="000000"/>
              <w:left w:val="single" w:sz="8" w:space="0" w:color="000000"/>
              <w:bottom w:val="single" w:sz="6" w:space="0" w:color="000000"/>
              <w:right w:val="single" w:sz="8" w:space="0" w:color="000000"/>
            </w:tcBorders>
            <w:vAlign w:val="center"/>
          </w:tcPr>
          <w:p w14:paraId="28FF4FA9"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600809</w:t>
            </w:r>
          </w:p>
        </w:tc>
        <w:tc>
          <w:tcPr>
            <w:tcW w:w="1674" w:type="dxa"/>
            <w:tcBorders>
              <w:top w:val="single" w:sz="8" w:space="0" w:color="000000"/>
              <w:left w:val="single" w:sz="8" w:space="0" w:color="000000"/>
              <w:bottom w:val="single" w:sz="6" w:space="0" w:color="000000"/>
              <w:right w:val="single" w:sz="8" w:space="0" w:color="000000"/>
            </w:tcBorders>
            <w:vAlign w:val="center"/>
          </w:tcPr>
          <w:p w14:paraId="659FD73D"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山西汾酒</w:t>
            </w:r>
          </w:p>
        </w:tc>
        <w:tc>
          <w:tcPr>
            <w:tcW w:w="1696" w:type="dxa"/>
            <w:tcBorders>
              <w:top w:val="single" w:sz="8" w:space="0" w:color="000000"/>
              <w:left w:val="single" w:sz="8" w:space="0" w:color="000000"/>
              <w:bottom w:val="single" w:sz="6" w:space="0" w:color="000000"/>
              <w:right w:val="single" w:sz="8" w:space="0" w:color="000000"/>
            </w:tcBorders>
            <w:vAlign w:val="center"/>
          </w:tcPr>
          <w:p w14:paraId="40113EFD"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24,000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70AA451A"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5,748,000.00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4F29E470"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4.73</w:t>
            </w:r>
          </w:p>
        </w:tc>
      </w:tr>
      <w:tr w:rsidR="00B67C49" w14:paraId="5912D1F3"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0FE33FC8"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w:t>
            </w:r>
          </w:p>
        </w:tc>
        <w:tc>
          <w:tcPr>
            <w:tcW w:w="1402" w:type="dxa"/>
            <w:tcBorders>
              <w:top w:val="single" w:sz="8" w:space="0" w:color="000000"/>
              <w:left w:val="single" w:sz="8" w:space="0" w:color="000000"/>
              <w:bottom w:val="single" w:sz="6" w:space="0" w:color="000000"/>
              <w:right w:val="single" w:sz="8" w:space="0" w:color="000000"/>
            </w:tcBorders>
            <w:vAlign w:val="center"/>
          </w:tcPr>
          <w:p w14:paraId="1C129B93"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600585</w:t>
            </w:r>
          </w:p>
        </w:tc>
        <w:tc>
          <w:tcPr>
            <w:tcW w:w="1674" w:type="dxa"/>
            <w:tcBorders>
              <w:top w:val="single" w:sz="8" w:space="0" w:color="000000"/>
              <w:left w:val="single" w:sz="8" w:space="0" w:color="000000"/>
              <w:bottom w:val="single" w:sz="6" w:space="0" w:color="000000"/>
              <w:right w:val="single" w:sz="8" w:space="0" w:color="000000"/>
            </w:tcBorders>
            <w:vAlign w:val="center"/>
          </w:tcPr>
          <w:p w14:paraId="10E7078F"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海螺水泥</w:t>
            </w:r>
          </w:p>
        </w:tc>
        <w:tc>
          <w:tcPr>
            <w:tcW w:w="1696" w:type="dxa"/>
            <w:tcBorders>
              <w:top w:val="single" w:sz="8" w:space="0" w:color="000000"/>
              <w:left w:val="single" w:sz="8" w:space="0" w:color="000000"/>
              <w:bottom w:val="single" w:sz="6" w:space="0" w:color="000000"/>
              <w:right w:val="single" w:sz="8" w:space="0" w:color="000000"/>
            </w:tcBorders>
            <w:vAlign w:val="center"/>
          </w:tcPr>
          <w:p w14:paraId="0A19B26C"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220,000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16DE98ED"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5,726,600.00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749D7EB5"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4.71</w:t>
            </w:r>
          </w:p>
        </w:tc>
      </w:tr>
      <w:tr w:rsidR="00B67C49" w14:paraId="6B9A4B08"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420D3C35"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9</w:t>
            </w:r>
          </w:p>
        </w:tc>
        <w:tc>
          <w:tcPr>
            <w:tcW w:w="1402" w:type="dxa"/>
            <w:tcBorders>
              <w:top w:val="single" w:sz="8" w:space="0" w:color="000000"/>
              <w:left w:val="single" w:sz="8" w:space="0" w:color="000000"/>
              <w:bottom w:val="single" w:sz="6" w:space="0" w:color="000000"/>
              <w:right w:val="single" w:sz="8" w:space="0" w:color="000000"/>
            </w:tcBorders>
            <w:vAlign w:val="center"/>
          </w:tcPr>
          <w:p w14:paraId="10CB8A6F"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601318</w:t>
            </w:r>
          </w:p>
        </w:tc>
        <w:tc>
          <w:tcPr>
            <w:tcW w:w="1674" w:type="dxa"/>
            <w:tcBorders>
              <w:top w:val="single" w:sz="8" w:space="0" w:color="000000"/>
              <w:left w:val="single" w:sz="8" w:space="0" w:color="000000"/>
              <w:bottom w:val="single" w:sz="6" w:space="0" w:color="000000"/>
              <w:right w:val="single" w:sz="8" w:space="0" w:color="000000"/>
            </w:tcBorders>
            <w:vAlign w:val="center"/>
          </w:tcPr>
          <w:p w14:paraId="6B8A7B3F"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中国平安</w:t>
            </w:r>
          </w:p>
        </w:tc>
        <w:tc>
          <w:tcPr>
            <w:tcW w:w="1696" w:type="dxa"/>
            <w:tcBorders>
              <w:top w:val="single" w:sz="8" w:space="0" w:color="000000"/>
              <w:left w:val="single" w:sz="8" w:space="0" w:color="000000"/>
              <w:bottom w:val="single" w:sz="6" w:space="0" w:color="000000"/>
              <w:right w:val="single" w:sz="8" w:space="0" w:color="000000"/>
            </w:tcBorders>
            <w:vAlign w:val="center"/>
          </w:tcPr>
          <w:p w14:paraId="3AA6FF32"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104,000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3398FCCD"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5,023,200.00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0F2723EF"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4.13</w:t>
            </w:r>
          </w:p>
        </w:tc>
      </w:tr>
      <w:tr w:rsidR="00B67C49" w14:paraId="543FA7A6"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193D6F7D"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10</w:t>
            </w:r>
          </w:p>
        </w:tc>
        <w:tc>
          <w:tcPr>
            <w:tcW w:w="1402" w:type="dxa"/>
            <w:tcBorders>
              <w:top w:val="single" w:sz="8" w:space="0" w:color="000000"/>
              <w:left w:val="single" w:sz="8" w:space="0" w:color="000000"/>
              <w:bottom w:val="single" w:sz="6" w:space="0" w:color="000000"/>
              <w:right w:val="single" w:sz="8" w:space="0" w:color="000000"/>
            </w:tcBorders>
            <w:vAlign w:val="center"/>
          </w:tcPr>
          <w:p w14:paraId="64EAD25E"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600276</w:t>
            </w:r>
          </w:p>
        </w:tc>
        <w:tc>
          <w:tcPr>
            <w:tcW w:w="1674" w:type="dxa"/>
            <w:tcBorders>
              <w:top w:val="single" w:sz="8" w:space="0" w:color="000000"/>
              <w:left w:val="single" w:sz="8" w:space="0" w:color="000000"/>
              <w:bottom w:val="single" w:sz="6" w:space="0" w:color="000000"/>
              <w:right w:val="single" w:sz="8" w:space="0" w:color="000000"/>
            </w:tcBorders>
            <w:vAlign w:val="center"/>
          </w:tcPr>
          <w:p w14:paraId="1F9556B0" w14:textId="77777777" w:rsidR="00B67C49" w:rsidRDefault="00000000">
            <w:pPr>
              <w:pStyle w:val="biaogeleft"/>
              <w:wordWrap w:val="0"/>
              <w:rPr>
                <w:rFonts w:asciiTheme="minorEastAsia" w:eastAsiaTheme="minorEastAsia" w:hAnsiTheme="minorEastAsia" w:cs="Times New Roman"/>
                <w:bCs/>
                <w:kern w:val="2"/>
              </w:rPr>
            </w:pPr>
            <w:r>
              <w:rPr>
                <w:rFonts w:hAnsi="等线"/>
                <w:color w:val="000000"/>
              </w:rPr>
              <w:t>恒瑞医药</w:t>
            </w:r>
          </w:p>
        </w:tc>
        <w:tc>
          <w:tcPr>
            <w:tcW w:w="1696" w:type="dxa"/>
            <w:tcBorders>
              <w:top w:val="single" w:sz="8" w:space="0" w:color="000000"/>
              <w:left w:val="single" w:sz="8" w:space="0" w:color="000000"/>
              <w:bottom w:val="single" w:sz="6" w:space="0" w:color="000000"/>
              <w:right w:val="single" w:sz="8" w:space="0" w:color="000000"/>
            </w:tcBorders>
            <w:vAlign w:val="center"/>
          </w:tcPr>
          <w:p w14:paraId="3F2B5F0D"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110,000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7DEA49A4"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4,943,400.00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20180334" w14:textId="77777777" w:rsidR="00B67C49" w:rsidRDefault="00000000">
            <w:pPr>
              <w:pStyle w:val="biaogeright"/>
              <w:wordWrap w:val="0"/>
              <w:rPr>
                <w:rFonts w:asciiTheme="minorEastAsia" w:eastAsiaTheme="minorEastAsia" w:hAnsiTheme="minorEastAsia" w:cs="Times New Roman"/>
                <w:bCs/>
                <w:kern w:val="2"/>
              </w:rPr>
            </w:pPr>
            <w:r>
              <w:rPr>
                <w:rFonts w:hAnsi="等线"/>
                <w:color w:val="000000"/>
              </w:rPr>
              <w:t>4.07</w:t>
            </w:r>
          </w:p>
        </w:tc>
      </w:tr>
    </w:tbl>
    <w:p w14:paraId="290F6944" w14:textId="77777777" w:rsidR="00B67C49" w:rsidRDefault="00B67C49">
      <w:pPr>
        <w:widowControl/>
        <w:jc w:val="left"/>
        <w:rPr>
          <w:rFonts w:asciiTheme="minorEastAsia" w:hAnsiTheme="minorEastAsia" w:cs="Times New Roman"/>
          <w:bCs/>
          <w:sz w:val="24"/>
          <w:szCs w:val="24"/>
        </w:rPr>
      </w:pPr>
    </w:p>
    <w:p w14:paraId="4F462700" w14:textId="77777777" w:rsidR="00B67C49" w:rsidRDefault="00000000">
      <w:pPr>
        <w:pStyle w:val="zhangjiep"/>
        <w:rPr>
          <w:rFonts w:asciiTheme="minorEastAsia" w:eastAsiaTheme="minorEastAsia" w:hAnsiTheme="minorEastAsia" w:cs="Times New Roman"/>
          <w:bCs/>
          <w:kern w:val="2"/>
        </w:rPr>
      </w:pPr>
      <w:bookmarkStart w:id="217" w:name="_Toc117173482"/>
      <w:r>
        <w:rPr>
          <w:rFonts w:asciiTheme="minorEastAsia" w:eastAsiaTheme="minorEastAsia" w:hAnsiTheme="minorEastAsia" w:cs="Times New Roman"/>
          <w:bCs/>
          <w:kern w:val="2"/>
        </w:rPr>
        <w:t>4、 报告期末按债券品种分类的债券投资组合</w:t>
      </w:r>
      <w:bookmarkEnd w:id="217"/>
    </w:p>
    <w:p w14:paraId="515307E9" w14:textId="77777777" w:rsidR="00B67C49"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本基金本报告期末未持有债券。</w:t>
      </w:r>
    </w:p>
    <w:p w14:paraId="79635879" w14:textId="77777777" w:rsidR="00B67C49" w:rsidRDefault="00B67C49">
      <w:pPr>
        <w:widowControl/>
        <w:jc w:val="left"/>
        <w:rPr>
          <w:rFonts w:asciiTheme="minorEastAsia" w:hAnsiTheme="minorEastAsia" w:cs="Times New Roman"/>
          <w:bCs/>
          <w:sz w:val="24"/>
          <w:szCs w:val="24"/>
        </w:rPr>
      </w:pPr>
    </w:p>
    <w:p w14:paraId="73460A32" w14:textId="77777777" w:rsidR="00B67C49" w:rsidRDefault="00000000">
      <w:pPr>
        <w:pStyle w:val="zhangjiep"/>
        <w:rPr>
          <w:rFonts w:asciiTheme="minorEastAsia" w:eastAsiaTheme="minorEastAsia" w:hAnsiTheme="minorEastAsia" w:cs="Times New Roman"/>
          <w:bCs/>
          <w:kern w:val="2"/>
        </w:rPr>
      </w:pPr>
      <w:bookmarkStart w:id="218" w:name="_Toc117173483"/>
      <w:r>
        <w:rPr>
          <w:rFonts w:asciiTheme="minorEastAsia" w:eastAsiaTheme="minorEastAsia" w:hAnsiTheme="minorEastAsia" w:cs="Times New Roman"/>
          <w:bCs/>
          <w:kern w:val="2"/>
        </w:rPr>
        <w:t>5、 报告期末按公允价值占基金资产净值比例大小排序的前五名债券投资明细</w:t>
      </w:r>
      <w:bookmarkEnd w:id="218"/>
    </w:p>
    <w:p w14:paraId="61022443" w14:textId="77777777" w:rsidR="00B67C49"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本基金本报告期末未持有债券。</w:t>
      </w:r>
    </w:p>
    <w:p w14:paraId="2A36012C" w14:textId="77777777" w:rsidR="00B67C49" w:rsidRDefault="00B67C49">
      <w:pPr>
        <w:widowControl/>
        <w:jc w:val="left"/>
        <w:rPr>
          <w:rFonts w:asciiTheme="minorEastAsia" w:hAnsiTheme="minorEastAsia" w:cs="Times New Roman"/>
          <w:bCs/>
          <w:sz w:val="24"/>
          <w:szCs w:val="24"/>
        </w:rPr>
      </w:pPr>
    </w:p>
    <w:p w14:paraId="74D7BEDC" w14:textId="77777777" w:rsidR="00B67C49" w:rsidRDefault="00000000">
      <w:pPr>
        <w:pStyle w:val="zhangjiep"/>
        <w:rPr>
          <w:rFonts w:asciiTheme="minorEastAsia" w:eastAsiaTheme="minorEastAsia" w:hAnsiTheme="minorEastAsia" w:cs="Times New Roman"/>
          <w:bCs/>
          <w:kern w:val="2"/>
        </w:rPr>
      </w:pPr>
      <w:bookmarkStart w:id="219" w:name="_Toc117173484"/>
      <w:r>
        <w:rPr>
          <w:rFonts w:asciiTheme="minorEastAsia" w:eastAsiaTheme="minorEastAsia" w:hAnsiTheme="minorEastAsia" w:cs="Times New Roman"/>
          <w:bCs/>
          <w:kern w:val="2"/>
        </w:rPr>
        <w:t>6、 报告期末按公允价值占基金资产净值比例大小排序的前十名资产支持证券投资明细</w:t>
      </w:r>
      <w:bookmarkEnd w:id="219"/>
    </w:p>
    <w:p w14:paraId="13C201E0" w14:textId="77777777" w:rsidR="00B67C49"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本基金本报告期末未持有资产支持证券。</w:t>
      </w:r>
    </w:p>
    <w:p w14:paraId="14CE9CE9" w14:textId="77777777" w:rsidR="00B67C49" w:rsidRDefault="00B67C49">
      <w:pPr>
        <w:widowControl/>
        <w:jc w:val="left"/>
        <w:rPr>
          <w:rFonts w:asciiTheme="minorEastAsia" w:hAnsiTheme="minorEastAsia" w:cs="Times New Roman"/>
          <w:bCs/>
          <w:sz w:val="24"/>
          <w:szCs w:val="24"/>
        </w:rPr>
      </w:pPr>
    </w:p>
    <w:p w14:paraId="55664267" w14:textId="77777777" w:rsidR="00B67C49" w:rsidRDefault="00000000">
      <w:pPr>
        <w:pStyle w:val="zhangjiep"/>
        <w:rPr>
          <w:rFonts w:asciiTheme="minorEastAsia" w:eastAsiaTheme="minorEastAsia" w:hAnsiTheme="minorEastAsia" w:cs="Times New Roman"/>
          <w:bCs/>
          <w:kern w:val="2"/>
        </w:rPr>
      </w:pPr>
      <w:bookmarkStart w:id="220" w:name="_Toc117173485"/>
      <w:r>
        <w:rPr>
          <w:rFonts w:asciiTheme="minorEastAsia" w:eastAsiaTheme="minorEastAsia" w:hAnsiTheme="minorEastAsia" w:cs="Times New Roman"/>
          <w:bCs/>
          <w:kern w:val="2"/>
        </w:rPr>
        <w:t>7、 报告期末按公允价值占基金资产净值比例大小排序的前五名贵金属投资明细</w:t>
      </w:r>
      <w:bookmarkEnd w:id="220"/>
    </w:p>
    <w:p w14:paraId="4F0E4641" w14:textId="77777777" w:rsidR="00B67C49"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本基金本报告期末未持有贵金属。</w:t>
      </w:r>
    </w:p>
    <w:p w14:paraId="71AA0779" w14:textId="77777777" w:rsidR="00B67C49" w:rsidRDefault="00B67C49">
      <w:pPr>
        <w:widowControl/>
        <w:jc w:val="left"/>
        <w:rPr>
          <w:rFonts w:asciiTheme="minorEastAsia" w:hAnsiTheme="minorEastAsia" w:cs="Times New Roman"/>
          <w:bCs/>
          <w:sz w:val="24"/>
          <w:szCs w:val="24"/>
        </w:rPr>
      </w:pPr>
    </w:p>
    <w:p w14:paraId="22EDA153" w14:textId="77777777" w:rsidR="00B67C49" w:rsidRDefault="00000000">
      <w:pPr>
        <w:pStyle w:val="zhangjiep"/>
        <w:rPr>
          <w:rFonts w:asciiTheme="minorEastAsia" w:eastAsiaTheme="minorEastAsia" w:hAnsiTheme="minorEastAsia" w:cs="Times New Roman"/>
          <w:bCs/>
          <w:kern w:val="2"/>
        </w:rPr>
      </w:pPr>
      <w:bookmarkStart w:id="221" w:name="_Toc117173486"/>
      <w:r>
        <w:rPr>
          <w:rFonts w:asciiTheme="minorEastAsia" w:eastAsiaTheme="minorEastAsia" w:hAnsiTheme="minorEastAsia" w:cs="Times New Roman"/>
          <w:bCs/>
          <w:kern w:val="2"/>
        </w:rPr>
        <w:t>8、 报告期末按公允价值占基金资产净值比例大小排序的前五名权证投资明细</w:t>
      </w:r>
      <w:bookmarkEnd w:id="221"/>
    </w:p>
    <w:p w14:paraId="1152A414" w14:textId="77777777" w:rsidR="00B67C49"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本基金本报告期末未持有权证。</w:t>
      </w:r>
    </w:p>
    <w:p w14:paraId="2A6D4C36" w14:textId="77777777" w:rsidR="00B67C49" w:rsidRDefault="00B67C49">
      <w:pPr>
        <w:widowControl/>
        <w:jc w:val="left"/>
        <w:rPr>
          <w:rFonts w:asciiTheme="minorEastAsia" w:hAnsiTheme="minorEastAsia" w:cs="Times New Roman"/>
          <w:bCs/>
          <w:sz w:val="24"/>
          <w:szCs w:val="24"/>
        </w:rPr>
      </w:pPr>
    </w:p>
    <w:p w14:paraId="3E118F41" w14:textId="77777777" w:rsidR="00B67C49" w:rsidRDefault="00000000">
      <w:pPr>
        <w:pStyle w:val="zhangjiep"/>
        <w:rPr>
          <w:rFonts w:asciiTheme="minorEastAsia" w:eastAsiaTheme="minorEastAsia" w:hAnsiTheme="minorEastAsia" w:cs="Times New Roman"/>
          <w:bCs/>
          <w:kern w:val="2"/>
        </w:rPr>
      </w:pPr>
      <w:bookmarkStart w:id="222" w:name="_Toc117173487"/>
      <w:r>
        <w:rPr>
          <w:rFonts w:asciiTheme="minorEastAsia" w:eastAsiaTheme="minorEastAsia" w:hAnsiTheme="minorEastAsia" w:cs="Times New Roman"/>
          <w:bCs/>
          <w:kern w:val="2"/>
        </w:rPr>
        <w:t>9</w:t>
      </w: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 xml:space="preserve"> 报告期末本基金投资的股指期货交易情况说明</w:t>
      </w:r>
      <w:bookmarkEnd w:id="222"/>
    </w:p>
    <w:p w14:paraId="42B19012" w14:textId="77777777" w:rsidR="00B67C49"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1） 报告期末本基金投资的股指期货持仓和损益明细</w:t>
      </w:r>
    </w:p>
    <w:p w14:paraId="30F0EC1D" w14:textId="77777777" w:rsidR="00B67C49"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本基金本报告期末未投资股指期货。</w:t>
      </w:r>
    </w:p>
    <w:p w14:paraId="259EEBC1" w14:textId="77777777" w:rsidR="00B67C49" w:rsidRDefault="00B67C49">
      <w:pPr>
        <w:widowControl/>
        <w:jc w:val="left"/>
        <w:rPr>
          <w:rFonts w:asciiTheme="minorEastAsia" w:hAnsiTheme="minorEastAsia" w:cs="Times New Roman"/>
          <w:bCs/>
          <w:sz w:val="24"/>
          <w:szCs w:val="24"/>
        </w:rPr>
      </w:pPr>
    </w:p>
    <w:p w14:paraId="5CC70F12" w14:textId="77777777" w:rsidR="00B67C49"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2） 本基金投资股指期货的投资政策</w:t>
      </w:r>
    </w:p>
    <w:p w14:paraId="5B9A1C13" w14:textId="77777777" w:rsidR="00B67C49" w:rsidRDefault="00000000">
      <w:pPr>
        <w:pStyle w:val="neirong"/>
        <w:spacing w:before="0"/>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本基金本报告期末未投资股指期货。</w:t>
      </w:r>
    </w:p>
    <w:p w14:paraId="4233EC61" w14:textId="77777777" w:rsidR="00B67C49" w:rsidRDefault="00B67C49">
      <w:pPr>
        <w:widowControl/>
        <w:jc w:val="left"/>
        <w:rPr>
          <w:rFonts w:asciiTheme="minorEastAsia" w:hAnsiTheme="minorEastAsia" w:cs="Times New Roman"/>
          <w:bCs/>
          <w:sz w:val="24"/>
          <w:szCs w:val="24"/>
        </w:rPr>
      </w:pPr>
    </w:p>
    <w:p w14:paraId="5D001928" w14:textId="77777777" w:rsidR="00B67C49" w:rsidRDefault="00000000">
      <w:pPr>
        <w:pStyle w:val="zhangjiep"/>
        <w:rPr>
          <w:rFonts w:asciiTheme="minorEastAsia" w:eastAsiaTheme="minorEastAsia" w:hAnsiTheme="minorEastAsia" w:cs="Times New Roman"/>
          <w:bCs/>
          <w:kern w:val="2"/>
        </w:rPr>
      </w:pPr>
      <w:bookmarkStart w:id="223" w:name="_Toc117173488"/>
      <w:r>
        <w:rPr>
          <w:rFonts w:asciiTheme="minorEastAsia" w:eastAsiaTheme="minorEastAsia" w:hAnsiTheme="minorEastAsia" w:cs="Times New Roman"/>
          <w:bCs/>
          <w:kern w:val="2"/>
        </w:rPr>
        <w:t>10、 报告期末本基金投资的国债期货交易情况说明</w:t>
      </w:r>
      <w:bookmarkEnd w:id="223"/>
    </w:p>
    <w:p w14:paraId="67D1FE27" w14:textId="77777777" w:rsidR="00B67C49"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1） 本期国债期货投资政策</w:t>
      </w:r>
    </w:p>
    <w:p w14:paraId="7E100A36" w14:textId="77777777" w:rsidR="00B67C49" w:rsidRDefault="00000000">
      <w:pPr>
        <w:pStyle w:val="neirong"/>
        <w:spacing w:before="0"/>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本基金本报告期末未投资国债期货。</w:t>
      </w:r>
    </w:p>
    <w:p w14:paraId="4864B6F9" w14:textId="77777777" w:rsidR="00B67C49" w:rsidRDefault="00B67C49">
      <w:pPr>
        <w:widowControl/>
        <w:jc w:val="left"/>
        <w:rPr>
          <w:rFonts w:asciiTheme="minorEastAsia" w:hAnsiTheme="minorEastAsia" w:cs="Times New Roman"/>
          <w:bCs/>
          <w:sz w:val="24"/>
          <w:szCs w:val="24"/>
        </w:rPr>
      </w:pPr>
    </w:p>
    <w:p w14:paraId="5ACC43F3" w14:textId="77777777" w:rsidR="00B67C49"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2） 报告期末本基金投资的国债期货持仓和损益明细</w:t>
      </w:r>
    </w:p>
    <w:p w14:paraId="6957A4C8" w14:textId="77777777" w:rsidR="00B67C49"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本基金本报告期末未投资国债期货。</w:t>
      </w:r>
    </w:p>
    <w:p w14:paraId="62596EE3" w14:textId="77777777" w:rsidR="00B67C49"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w:t>
      </w:r>
      <w:r>
        <w:rPr>
          <w:rFonts w:asciiTheme="minorEastAsia" w:eastAsiaTheme="minorEastAsia" w:hAnsiTheme="minorEastAsia" w:cs="Times New Roman"/>
          <w:bCs/>
          <w:kern w:val="2"/>
        </w:rPr>
        <w:t>3） 本期国债期货投资评价</w:t>
      </w:r>
    </w:p>
    <w:p w14:paraId="1BFFD954" w14:textId="77777777" w:rsidR="00B67C49" w:rsidRDefault="00000000">
      <w:pPr>
        <w:pStyle w:val="neirong"/>
        <w:spacing w:before="0"/>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本基金本报告期末未投资国债期货。</w:t>
      </w:r>
    </w:p>
    <w:p w14:paraId="41411D58" w14:textId="77777777" w:rsidR="00B67C49" w:rsidRDefault="00B67C49">
      <w:pPr>
        <w:widowControl/>
        <w:jc w:val="left"/>
        <w:rPr>
          <w:rFonts w:asciiTheme="minorEastAsia" w:hAnsiTheme="minorEastAsia" w:cs="Times New Roman"/>
          <w:bCs/>
          <w:sz w:val="24"/>
          <w:szCs w:val="24"/>
        </w:rPr>
      </w:pPr>
    </w:p>
    <w:p w14:paraId="7A0F8ACA" w14:textId="77777777" w:rsidR="00B67C49" w:rsidRDefault="00000000">
      <w:pPr>
        <w:pStyle w:val="zhangjiep"/>
        <w:rPr>
          <w:rFonts w:asciiTheme="minorEastAsia" w:eastAsiaTheme="minorEastAsia" w:hAnsiTheme="minorEastAsia" w:cs="Times New Roman"/>
          <w:bCs/>
          <w:kern w:val="2"/>
        </w:rPr>
      </w:pPr>
      <w:bookmarkStart w:id="224" w:name="_Toc117173489"/>
      <w:r>
        <w:rPr>
          <w:rFonts w:asciiTheme="minorEastAsia" w:eastAsiaTheme="minorEastAsia" w:hAnsiTheme="minorEastAsia" w:cs="Times New Roman"/>
          <w:bCs/>
          <w:kern w:val="2"/>
        </w:rPr>
        <w:t>11、 投资组合报告附注</w:t>
      </w:r>
      <w:bookmarkEnd w:id="224"/>
      <w:r>
        <w:rPr>
          <w:rFonts w:asciiTheme="minorEastAsia" w:eastAsiaTheme="minorEastAsia" w:hAnsiTheme="minorEastAsia" w:cs="Times New Roman"/>
          <w:bCs/>
          <w:kern w:val="2"/>
        </w:rPr>
        <w:t xml:space="preserve"> </w:t>
      </w:r>
    </w:p>
    <w:p w14:paraId="414C4EB6" w14:textId="77777777" w:rsidR="00B67C49"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 xml:space="preserve">1） </w:t>
      </w:r>
      <w:r>
        <w:rPr>
          <w:rFonts w:asciiTheme="minorEastAsia" w:eastAsiaTheme="minorEastAsia" w:hAnsiTheme="minorEastAsia" w:cs="Times New Roman" w:hint="eastAsia"/>
          <w:bCs/>
          <w:kern w:val="2"/>
        </w:rPr>
        <w:t>本基金本报告期投资的前十名证券的发行主体，本报告期没有出现被监管部门立案调查的情形，也没有出现在报告编制日前一年内受到公开谴责、处罚的情形。</w:t>
      </w:r>
    </w:p>
    <w:p w14:paraId="2774622D" w14:textId="77777777" w:rsidR="00B67C49" w:rsidRDefault="00B67C49">
      <w:pPr>
        <w:widowControl/>
        <w:jc w:val="left"/>
        <w:rPr>
          <w:rFonts w:asciiTheme="minorEastAsia" w:hAnsiTheme="minorEastAsia" w:cs="Times New Roman"/>
          <w:bCs/>
          <w:sz w:val="24"/>
          <w:szCs w:val="24"/>
        </w:rPr>
      </w:pPr>
    </w:p>
    <w:p w14:paraId="36E72BD2" w14:textId="77777777" w:rsidR="00B67C49"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2） 本基金投资的前十名股票没有超出基金合同规定的备选股票库。</w:t>
      </w:r>
    </w:p>
    <w:p w14:paraId="5D88D81A" w14:textId="77777777" w:rsidR="00B67C49" w:rsidRDefault="00B67C49">
      <w:pPr>
        <w:widowControl/>
        <w:jc w:val="left"/>
        <w:rPr>
          <w:rFonts w:asciiTheme="minorEastAsia" w:hAnsiTheme="minorEastAsia" w:cs="Times New Roman"/>
          <w:bCs/>
          <w:sz w:val="24"/>
          <w:szCs w:val="24"/>
        </w:rPr>
      </w:pPr>
    </w:p>
    <w:p w14:paraId="65D73BDA" w14:textId="77777777" w:rsidR="00B67C49"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3</w:t>
      </w: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 xml:space="preserve"> 其他资产构成</w:t>
      </w:r>
    </w:p>
    <w:tbl>
      <w:tblPr>
        <w:tblW w:w="9045" w:type="dxa"/>
        <w:tblInd w:w="108" w:type="dxa"/>
        <w:tblLook w:val="04A0" w:firstRow="1" w:lastRow="0" w:firstColumn="1" w:lastColumn="0" w:noHBand="0" w:noVBand="1"/>
      </w:tblPr>
      <w:tblGrid>
        <w:gridCol w:w="1276"/>
        <w:gridCol w:w="3709"/>
        <w:gridCol w:w="4060"/>
      </w:tblGrid>
      <w:tr w:rsidR="00B67C49" w14:paraId="563A21CE"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0D20154E"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序号</w:t>
            </w:r>
          </w:p>
        </w:tc>
        <w:tc>
          <w:tcPr>
            <w:tcW w:w="3709" w:type="dxa"/>
            <w:tcBorders>
              <w:top w:val="single" w:sz="8" w:space="0" w:color="000000"/>
              <w:left w:val="single" w:sz="8" w:space="0" w:color="000000"/>
              <w:bottom w:val="single" w:sz="6" w:space="0" w:color="000000"/>
              <w:right w:val="single" w:sz="8" w:space="0" w:color="000000"/>
            </w:tcBorders>
            <w:vAlign w:val="center"/>
          </w:tcPr>
          <w:p w14:paraId="22DE1586"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名称</w:t>
            </w:r>
          </w:p>
        </w:tc>
        <w:tc>
          <w:tcPr>
            <w:tcW w:w="4060" w:type="dxa"/>
            <w:tcBorders>
              <w:top w:val="single" w:sz="8" w:space="0" w:color="000000"/>
              <w:left w:val="single" w:sz="8" w:space="0" w:color="000000"/>
              <w:bottom w:val="single" w:sz="6" w:space="0" w:color="000000"/>
              <w:right w:val="single" w:sz="8" w:space="0" w:color="000000"/>
            </w:tcBorders>
            <w:vAlign w:val="center"/>
          </w:tcPr>
          <w:p w14:paraId="3CEC7465"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金额</w:t>
            </w:r>
            <w:r>
              <w:rPr>
                <w:rFonts w:asciiTheme="minorEastAsia" w:eastAsiaTheme="minorEastAsia" w:hAnsiTheme="minorEastAsia" w:cs="Times New Roman"/>
                <w:bCs/>
                <w:kern w:val="2"/>
              </w:rPr>
              <w:t>(元)</w:t>
            </w:r>
          </w:p>
        </w:tc>
      </w:tr>
      <w:tr w:rsidR="00B67C49" w14:paraId="6E8DE300"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0F2FB0E2"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w:t>
            </w:r>
          </w:p>
        </w:tc>
        <w:tc>
          <w:tcPr>
            <w:tcW w:w="3709" w:type="dxa"/>
            <w:tcBorders>
              <w:top w:val="single" w:sz="8" w:space="0" w:color="000000"/>
              <w:left w:val="single" w:sz="8" w:space="0" w:color="000000"/>
              <w:bottom w:val="single" w:sz="6" w:space="0" w:color="000000"/>
              <w:right w:val="single" w:sz="8" w:space="0" w:color="000000"/>
            </w:tcBorders>
            <w:vAlign w:val="center"/>
          </w:tcPr>
          <w:p w14:paraId="33A187CC"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存出保证金</w:t>
            </w:r>
          </w:p>
        </w:tc>
        <w:tc>
          <w:tcPr>
            <w:tcW w:w="4060" w:type="dxa"/>
            <w:tcBorders>
              <w:top w:val="single" w:sz="8" w:space="0" w:color="000000"/>
              <w:left w:val="single" w:sz="8" w:space="0" w:color="000000"/>
              <w:bottom w:val="single" w:sz="6" w:space="0" w:color="000000"/>
              <w:right w:val="single" w:sz="8" w:space="0" w:color="000000"/>
            </w:tcBorders>
            <w:vAlign w:val="center"/>
          </w:tcPr>
          <w:p w14:paraId="56E371B4" w14:textId="77777777" w:rsidR="00B67C49" w:rsidRDefault="00000000">
            <w:pPr>
              <w:pStyle w:val="biaogeright"/>
              <w:wordWrap w:val="0"/>
              <w:rPr>
                <w:rFonts w:asciiTheme="minorEastAsia" w:eastAsiaTheme="minorEastAsia" w:hAnsiTheme="minorEastAsia" w:cs="Times New Roman"/>
                <w:bCs/>
                <w:kern w:val="2"/>
              </w:rPr>
            </w:pPr>
            <w:r>
              <w:t>2,921,559.71</w:t>
            </w:r>
          </w:p>
        </w:tc>
      </w:tr>
      <w:tr w:rsidR="00B67C49" w14:paraId="07C5A66A"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544A6452"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w:t>
            </w:r>
          </w:p>
        </w:tc>
        <w:tc>
          <w:tcPr>
            <w:tcW w:w="3709" w:type="dxa"/>
            <w:tcBorders>
              <w:top w:val="single" w:sz="8" w:space="0" w:color="000000"/>
              <w:left w:val="single" w:sz="8" w:space="0" w:color="000000"/>
              <w:bottom w:val="single" w:sz="6" w:space="0" w:color="000000"/>
              <w:right w:val="single" w:sz="8" w:space="0" w:color="000000"/>
            </w:tcBorders>
            <w:vAlign w:val="center"/>
          </w:tcPr>
          <w:p w14:paraId="44F7783A"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应收证券清算款</w:t>
            </w:r>
          </w:p>
        </w:tc>
        <w:tc>
          <w:tcPr>
            <w:tcW w:w="4060" w:type="dxa"/>
            <w:tcBorders>
              <w:top w:val="single" w:sz="8" w:space="0" w:color="000000"/>
              <w:left w:val="single" w:sz="8" w:space="0" w:color="000000"/>
              <w:bottom w:val="single" w:sz="6" w:space="0" w:color="000000"/>
              <w:right w:val="single" w:sz="8" w:space="0" w:color="000000"/>
            </w:tcBorders>
            <w:vAlign w:val="center"/>
          </w:tcPr>
          <w:p w14:paraId="64CC2C20"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447B8834"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448DDB5E"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w:t>
            </w:r>
          </w:p>
        </w:tc>
        <w:tc>
          <w:tcPr>
            <w:tcW w:w="3709" w:type="dxa"/>
            <w:tcBorders>
              <w:top w:val="single" w:sz="8" w:space="0" w:color="000000"/>
              <w:left w:val="single" w:sz="8" w:space="0" w:color="000000"/>
              <w:bottom w:val="single" w:sz="6" w:space="0" w:color="000000"/>
              <w:right w:val="single" w:sz="8" w:space="0" w:color="000000"/>
            </w:tcBorders>
            <w:vAlign w:val="center"/>
          </w:tcPr>
          <w:p w14:paraId="11257B18"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应收股利</w:t>
            </w:r>
          </w:p>
        </w:tc>
        <w:tc>
          <w:tcPr>
            <w:tcW w:w="4060" w:type="dxa"/>
            <w:tcBorders>
              <w:top w:val="single" w:sz="8" w:space="0" w:color="000000"/>
              <w:left w:val="single" w:sz="8" w:space="0" w:color="000000"/>
              <w:bottom w:val="single" w:sz="6" w:space="0" w:color="000000"/>
              <w:right w:val="single" w:sz="8" w:space="0" w:color="000000"/>
            </w:tcBorders>
            <w:vAlign w:val="center"/>
          </w:tcPr>
          <w:p w14:paraId="65F0084E"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64E3F712"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522513FF"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w:t>
            </w:r>
          </w:p>
        </w:tc>
        <w:tc>
          <w:tcPr>
            <w:tcW w:w="3709" w:type="dxa"/>
            <w:tcBorders>
              <w:top w:val="single" w:sz="8" w:space="0" w:color="000000"/>
              <w:left w:val="single" w:sz="8" w:space="0" w:color="000000"/>
              <w:bottom w:val="single" w:sz="6" w:space="0" w:color="000000"/>
              <w:right w:val="single" w:sz="8" w:space="0" w:color="000000"/>
            </w:tcBorders>
            <w:vAlign w:val="center"/>
          </w:tcPr>
          <w:p w14:paraId="737D070F"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应收利息</w:t>
            </w:r>
          </w:p>
        </w:tc>
        <w:tc>
          <w:tcPr>
            <w:tcW w:w="4060" w:type="dxa"/>
            <w:tcBorders>
              <w:top w:val="single" w:sz="8" w:space="0" w:color="000000"/>
              <w:left w:val="single" w:sz="8" w:space="0" w:color="000000"/>
              <w:bottom w:val="single" w:sz="6" w:space="0" w:color="000000"/>
              <w:right w:val="single" w:sz="8" w:space="0" w:color="000000"/>
            </w:tcBorders>
            <w:vAlign w:val="center"/>
          </w:tcPr>
          <w:p w14:paraId="1E84BA18"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549A2206"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188A4AE7"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w:t>
            </w:r>
          </w:p>
        </w:tc>
        <w:tc>
          <w:tcPr>
            <w:tcW w:w="3709" w:type="dxa"/>
            <w:tcBorders>
              <w:top w:val="single" w:sz="8" w:space="0" w:color="000000"/>
              <w:left w:val="single" w:sz="8" w:space="0" w:color="000000"/>
              <w:bottom w:val="single" w:sz="6" w:space="0" w:color="000000"/>
              <w:right w:val="single" w:sz="8" w:space="0" w:color="000000"/>
            </w:tcBorders>
            <w:vAlign w:val="center"/>
          </w:tcPr>
          <w:p w14:paraId="0C683FD6"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应收申购款</w:t>
            </w:r>
          </w:p>
        </w:tc>
        <w:tc>
          <w:tcPr>
            <w:tcW w:w="4060" w:type="dxa"/>
            <w:tcBorders>
              <w:top w:val="single" w:sz="8" w:space="0" w:color="000000"/>
              <w:left w:val="single" w:sz="8" w:space="0" w:color="000000"/>
              <w:bottom w:val="single" w:sz="6" w:space="0" w:color="000000"/>
              <w:right w:val="single" w:sz="8" w:space="0" w:color="000000"/>
            </w:tcBorders>
            <w:vAlign w:val="center"/>
          </w:tcPr>
          <w:p w14:paraId="1665A5E6" w14:textId="77777777" w:rsidR="00B67C49" w:rsidRDefault="00000000">
            <w:pPr>
              <w:pStyle w:val="biaogeright"/>
              <w:wordWrap w:val="0"/>
              <w:rPr>
                <w:rFonts w:asciiTheme="minorEastAsia" w:eastAsiaTheme="minorEastAsia" w:hAnsiTheme="minorEastAsia" w:cs="Times New Roman"/>
                <w:bCs/>
                <w:kern w:val="2"/>
              </w:rPr>
            </w:pPr>
            <w:r>
              <w:t>15.00</w:t>
            </w:r>
          </w:p>
        </w:tc>
      </w:tr>
      <w:tr w:rsidR="00B67C49" w14:paraId="0AAFB6C1"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3818263C"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w:t>
            </w:r>
          </w:p>
        </w:tc>
        <w:tc>
          <w:tcPr>
            <w:tcW w:w="3709" w:type="dxa"/>
            <w:tcBorders>
              <w:top w:val="single" w:sz="8" w:space="0" w:color="000000"/>
              <w:left w:val="single" w:sz="8" w:space="0" w:color="000000"/>
              <w:bottom w:val="single" w:sz="6" w:space="0" w:color="000000"/>
              <w:right w:val="single" w:sz="8" w:space="0" w:color="000000"/>
            </w:tcBorders>
            <w:vAlign w:val="center"/>
          </w:tcPr>
          <w:p w14:paraId="117F8E69"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其他应收款</w:t>
            </w:r>
          </w:p>
        </w:tc>
        <w:tc>
          <w:tcPr>
            <w:tcW w:w="4060" w:type="dxa"/>
            <w:tcBorders>
              <w:top w:val="single" w:sz="8" w:space="0" w:color="000000"/>
              <w:left w:val="single" w:sz="8" w:space="0" w:color="000000"/>
              <w:bottom w:val="single" w:sz="6" w:space="0" w:color="000000"/>
              <w:right w:val="single" w:sz="8" w:space="0" w:color="000000"/>
            </w:tcBorders>
            <w:vAlign w:val="center"/>
          </w:tcPr>
          <w:p w14:paraId="658717FA"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7E6CF547"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1202B0EE"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7</w:t>
            </w:r>
          </w:p>
        </w:tc>
        <w:tc>
          <w:tcPr>
            <w:tcW w:w="3709" w:type="dxa"/>
            <w:tcBorders>
              <w:top w:val="single" w:sz="8" w:space="0" w:color="000000"/>
              <w:left w:val="single" w:sz="8" w:space="0" w:color="000000"/>
              <w:bottom w:val="single" w:sz="6" w:space="0" w:color="000000"/>
              <w:right w:val="single" w:sz="8" w:space="0" w:color="000000"/>
            </w:tcBorders>
            <w:vAlign w:val="center"/>
          </w:tcPr>
          <w:p w14:paraId="0C4A5163"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其他</w:t>
            </w:r>
          </w:p>
        </w:tc>
        <w:tc>
          <w:tcPr>
            <w:tcW w:w="4060" w:type="dxa"/>
            <w:tcBorders>
              <w:top w:val="single" w:sz="8" w:space="0" w:color="000000"/>
              <w:left w:val="single" w:sz="8" w:space="0" w:color="000000"/>
              <w:bottom w:val="single" w:sz="6" w:space="0" w:color="000000"/>
              <w:right w:val="single" w:sz="8" w:space="0" w:color="000000"/>
            </w:tcBorders>
            <w:vAlign w:val="center"/>
          </w:tcPr>
          <w:p w14:paraId="1A20FBEA" w14:textId="77777777" w:rsidR="00B67C49" w:rsidRDefault="00000000">
            <w:pPr>
              <w:pStyle w:val="biaogeright"/>
              <w:wordWrap w:val="0"/>
              <w:rPr>
                <w:rFonts w:asciiTheme="minorEastAsia" w:eastAsiaTheme="minorEastAsia" w:hAnsiTheme="minorEastAsia" w:cs="Times New Roman"/>
                <w:bCs/>
                <w:kern w:val="2"/>
              </w:rPr>
            </w:pPr>
            <w:r>
              <w:t>-</w:t>
            </w:r>
          </w:p>
        </w:tc>
      </w:tr>
      <w:tr w:rsidR="00B67C49" w14:paraId="765EFFB7" w14:textId="77777777">
        <w:tc>
          <w:tcPr>
            <w:tcW w:w="1276" w:type="dxa"/>
            <w:tcBorders>
              <w:top w:val="single" w:sz="8" w:space="0" w:color="000000"/>
              <w:left w:val="single" w:sz="8" w:space="0" w:color="000000"/>
              <w:bottom w:val="single" w:sz="6" w:space="0" w:color="000000"/>
              <w:right w:val="single" w:sz="8" w:space="0" w:color="000000"/>
            </w:tcBorders>
            <w:vAlign w:val="center"/>
          </w:tcPr>
          <w:p w14:paraId="350AAA9E"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w:t>
            </w:r>
          </w:p>
        </w:tc>
        <w:tc>
          <w:tcPr>
            <w:tcW w:w="3709" w:type="dxa"/>
            <w:tcBorders>
              <w:top w:val="single" w:sz="8" w:space="0" w:color="000000"/>
              <w:left w:val="single" w:sz="8" w:space="0" w:color="000000"/>
              <w:bottom w:val="single" w:sz="6" w:space="0" w:color="000000"/>
              <w:right w:val="single" w:sz="8" w:space="0" w:color="000000"/>
            </w:tcBorders>
            <w:vAlign w:val="center"/>
          </w:tcPr>
          <w:p w14:paraId="754032C2"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合计</w:t>
            </w:r>
          </w:p>
        </w:tc>
        <w:tc>
          <w:tcPr>
            <w:tcW w:w="4060" w:type="dxa"/>
            <w:tcBorders>
              <w:top w:val="single" w:sz="8" w:space="0" w:color="000000"/>
              <w:left w:val="single" w:sz="8" w:space="0" w:color="000000"/>
              <w:bottom w:val="single" w:sz="6" w:space="0" w:color="000000"/>
              <w:right w:val="single" w:sz="8" w:space="0" w:color="000000"/>
            </w:tcBorders>
            <w:vAlign w:val="center"/>
          </w:tcPr>
          <w:p w14:paraId="3AE821A1" w14:textId="77777777" w:rsidR="00B67C49" w:rsidRDefault="00000000">
            <w:pPr>
              <w:pStyle w:val="biaogeright"/>
              <w:wordWrap w:val="0"/>
              <w:rPr>
                <w:rFonts w:asciiTheme="minorEastAsia" w:eastAsiaTheme="minorEastAsia" w:hAnsiTheme="minorEastAsia" w:cs="Times New Roman"/>
                <w:bCs/>
                <w:kern w:val="2"/>
              </w:rPr>
            </w:pPr>
            <w:r>
              <w:t>2,921,574.71</w:t>
            </w:r>
          </w:p>
        </w:tc>
      </w:tr>
    </w:tbl>
    <w:p w14:paraId="358514B4" w14:textId="77777777" w:rsidR="00B67C49" w:rsidRDefault="00B67C49">
      <w:pPr>
        <w:widowControl/>
        <w:jc w:val="left"/>
        <w:rPr>
          <w:rFonts w:asciiTheme="minorEastAsia" w:hAnsiTheme="minorEastAsia" w:cs="Times New Roman"/>
          <w:bCs/>
          <w:sz w:val="24"/>
          <w:szCs w:val="24"/>
        </w:rPr>
      </w:pPr>
    </w:p>
    <w:p w14:paraId="4D7815BB" w14:textId="77777777" w:rsidR="00B67C49"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4） 报告期末持有的处于转股期的可转换债券明细</w:t>
      </w:r>
    </w:p>
    <w:p w14:paraId="12E686B2" w14:textId="77777777" w:rsidR="00B67C49"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本基金本报告期末未持有处于转股期的可转换债券。</w:t>
      </w:r>
    </w:p>
    <w:p w14:paraId="30CA1363" w14:textId="77777777" w:rsidR="00B67C49" w:rsidRDefault="00B67C49">
      <w:pPr>
        <w:widowControl/>
        <w:jc w:val="left"/>
        <w:rPr>
          <w:rFonts w:asciiTheme="minorEastAsia" w:hAnsiTheme="minorEastAsia" w:cs="Times New Roman"/>
          <w:bCs/>
          <w:sz w:val="24"/>
          <w:szCs w:val="24"/>
        </w:rPr>
      </w:pPr>
    </w:p>
    <w:p w14:paraId="535683B2" w14:textId="77777777" w:rsidR="00B67C49"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5） 报告</w:t>
      </w:r>
      <w:proofErr w:type="gramStart"/>
      <w:r>
        <w:rPr>
          <w:rFonts w:asciiTheme="minorEastAsia" w:eastAsiaTheme="minorEastAsia" w:hAnsiTheme="minorEastAsia" w:cs="Times New Roman" w:hint="eastAsia"/>
          <w:bCs/>
          <w:kern w:val="2"/>
        </w:rPr>
        <w:t>期末前</w:t>
      </w:r>
      <w:proofErr w:type="gramEnd"/>
      <w:r>
        <w:rPr>
          <w:rFonts w:asciiTheme="minorEastAsia" w:eastAsiaTheme="minorEastAsia" w:hAnsiTheme="minorEastAsia" w:cs="Times New Roman" w:hint="eastAsia"/>
          <w:bCs/>
          <w:kern w:val="2"/>
        </w:rPr>
        <w:t>十名股票中存在流通受限情况的说明</w:t>
      </w:r>
    </w:p>
    <w:p w14:paraId="39072F7D" w14:textId="77777777" w:rsidR="00B67C49"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w:t>
      </w:r>
      <w:proofErr w:type="gramStart"/>
      <w:r>
        <w:rPr>
          <w:rFonts w:asciiTheme="minorEastAsia" w:eastAsiaTheme="minorEastAsia" w:hAnsiTheme="minorEastAsia" w:cs="Times New Roman" w:hint="eastAsia"/>
          <w:bCs/>
          <w:kern w:val="2"/>
        </w:rPr>
        <w:t>期末前</w:t>
      </w:r>
      <w:proofErr w:type="gramEnd"/>
      <w:r>
        <w:rPr>
          <w:rFonts w:asciiTheme="minorEastAsia" w:eastAsiaTheme="minorEastAsia" w:hAnsiTheme="minorEastAsia" w:cs="Times New Roman" w:hint="eastAsia"/>
          <w:bCs/>
          <w:kern w:val="2"/>
        </w:rPr>
        <w:t>十名股票中不存在流通受限股票。</w:t>
      </w:r>
    </w:p>
    <w:p w14:paraId="63B5907F" w14:textId="77777777" w:rsidR="00B67C49" w:rsidRDefault="00B67C49">
      <w:pPr>
        <w:widowControl/>
        <w:jc w:val="left"/>
        <w:rPr>
          <w:rFonts w:asciiTheme="minorEastAsia" w:hAnsiTheme="minorEastAsia" w:cs="Times New Roman"/>
          <w:bCs/>
          <w:sz w:val="24"/>
          <w:szCs w:val="24"/>
        </w:rPr>
      </w:pPr>
    </w:p>
    <w:p w14:paraId="477539EB" w14:textId="77777777" w:rsidR="00B67C49"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6） 投资组合报告附注的其他文字描述部分</w:t>
      </w:r>
    </w:p>
    <w:p w14:paraId="773BC7C8" w14:textId="77777777" w:rsidR="00B67C49" w:rsidRDefault="00000000">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由于四舍五入原因，分项之和与合计可能有尾差。</w:t>
      </w:r>
    </w:p>
    <w:p w14:paraId="4B6C3493" w14:textId="77777777" w:rsidR="00B67C49" w:rsidRDefault="00000000">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十、基金净值表现</w:t>
      </w:r>
    </w:p>
    <w:p w14:paraId="1129BB0E" w14:textId="77777777" w:rsidR="00B67C49" w:rsidRDefault="00000000">
      <w:pPr>
        <w:pStyle w:val="zhangjiep2"/>
        <w:rPr>
          <w:rFonts w:asciiTheme="minorEastAsia" w:hAnsiTheme="minorEastAsia" w:cs="Times New Roman"/>
          <w:bCs/>
        </w:rPr>
      </w:pPr>
      <w:r>
        <w:rPr>
          <w:rFonts w:asciiTheme="minorEastAsia" w:eastAsiaTheme="minorEastAsia" w:hAnsiTheme="minorEastAsia" w:cs="Times New Roman" w:hint="eastAsia"/>
          <w:bCs/>
          <w:kern w:val="2"/>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08F9BECA" w14:textId="77777777" w:rsidR="00B67C49" w:rsidRDefault="00B67C49">
      <w:pPr>
        <w:pStyle w:val="zhangjiep2"/>
        <w:ind w:firstLine="420"/>
        <w:rPr>
          <w:rFonts w:asciiTheme="minorEastAsia" w:hAnsiTheme="minorEastAsia" w:cs="Times New Roman"/>
          <w:bCs/>
        </w:rPr>
      </w:pPr>
    </w:p>
    <w:p w14:paraId="7018EF6C" w14:textId="77777777" w:rsidR="00B67C49" w:rsidRDefault="00000000">
      <w:pPr>
        <w:pStyle w:val="zhangjiep2"/>
        <w:ind w:left="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1</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富荣福耀混合</w:t>
      </w:r>
      <w:r>
        <w:rPr>
          <w:rFonts w:asciiTheme="minorEastAsia" w:eastAsiaTheme="minorEastAsia" w:hAnsiTheme="minorEastAsia" w:cs="Times New Roman"/>
          <w:bCs/>
          <w:kern w:val="2"/>
        </w:rPr>
        <w:t>A</w:t>
      </w:r>
      <w:r>
        <w:rPr>
          <w:rFonts w:asciiTheme="minorEastAsia" w:eastAsiaTheme="minorEastAsia" w:hAnsiTheme="minorEastAsia" w:cs="Times New Roman" w:hint="eastAsia"/>
          <w:bCs/>
          <w:kern w:val="2"/>
        </w:rPr>
        <w:t>（基金代码：012876）</w:t>
      </w:r>
      <w:r>
        <w:rPr>
          <w:rFonts w:asciiTheme="minorEastAsia" w:eastAsiaTheme="minorEastAsia" w:hAnsiTheme="minorEastAsia" w:cs="Times New Roman"/>
          <w:bCs/>
          <w:kern w:val="2"/>
        </w:rPr>
        <w:t xml:space="preserve"> </w:t>
      </w:r>
    </w:p>
    <w:tbl>
      <w:tblPr>
        <w:tblW w:w="9260" w:type="dxa"/>
        <w:jc w:val="center"/>
        <w:tblLook w:val="04A0" w:firstRow="1" w:lastRow="0" w:firstColumn="1" w:lastColumn="0" w:noHBand="0" w:noVBand="1"/>
      </w:tblPr>
      <w:tblGrid>
        <w:gridCol w:w="1631"/>
        <w:gridCol w:w="1243"/>
        <w:gridCol w:w="1278"/>
        <w:gridCol w:w="1278"/>
        <w:gridCol w:w="1278"/>
        <w:gridCol w:w="1278"/>
        <w:gridCol w:w="1274"/>
      </w:tblGrid>
      <w:tr w:rsidR="00B67C49" w14:paraId="1D0BF0AF"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07A5EA3D"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阶段</w:t>
            </w:r>
          </w:p>
        </w:tc>
        <w:tc>
          <w:tcPr>
            <w:tcW w:w="671" w:type="pct"/>
            <w:tcBorders>
              <w:top w:val="single" w:sz="8" w:space="0" w:color="000000"/>
              <w:left w:val="single" w:sz="8" w:space="0" w:color="000000"/>
              <w:bottom w:val="single" w:sz="6" w:space="0" w:color="000000"/>
              <w:right w:val="single" w:sz="8" w:space="0" w:color="000000"/>
            </w:tcBorders>
            <w:vAlign w:val="center"/>
          </w:tcPr>
          <w:p w14:paraId="0317DE23"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净值增长</w:t>
            </w:r>
            <w:r>
              <w:rPr>
                <w:rFonts w:asciiTheme="minorEastAsia" w:eastAsiaTheme="minorEastAsia" w:hAnsiTheme="minorEastAsia" w:cs="Times New Roman" w:hint="eastAsia"/>
                <w:bCs/>
                <w:kern w:val="2"/>
              </w:rPr>
              <w:lastRenderedPageBreak/>
              <w:t>率①</w:t>
            </w:r>
          </w:p>
        </w:tc>
        <w:tc>
          <w:tcPr>
            <w:tcW w:w="690" w:type="pct"/>
            <w:tcBorders>
              <w:top w:val="single" w:sz="8" w:space="0" w:color="000000"/>
              <w:left w:val="single" w:sz="8" w:space="0" w:color="000000"/>
              <w:bottom w:val="single" w:sz="6" w:space="0" w:color="000000"/>
              <w:right w:val="single" w:sz="8" w:space="0" w:color="000000"/>
            </w:tcBorders>
            <w:vAlign w:val="center"/>
          </w:tcPr>
          <w:p w14:paraId="45B18C21"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净值增长</w:t>
            </w:r>
            <w:r>
              <w:rPr>
                <w:rFonts w:asciiTheme="minorEastAsia" w:eastAsiaTheme="minorEastAsia" w:hAnsiTheme="minorEastAsia" w:cs="Times New Roman" w:hint="eastAsia"/>
                <w:bCs/>
                <w:kern w:val="2"/>
              </w:rPr>
              <w:lastRenderedPageBreak/>
              <w:t>率标准差②</w:t>
            </w:r>
          </w:p>
        </w:tc>
        <w:tc>
          <w:tcPr>
            <w:tcW w:w="690" w:type="pct"/>
            <w:tcBorders>
              <w:top w:val="single" w:sz="8" w:space="0" w:color="000000"/>
              <w:left w:val="single" w:sz="8" w:space="0" w:color="000000"/>
              <w:bottom w:val="single" w:sz="6" w:space="0" w:color="000000"/>
              <w:right w:val="single" w:sz="8" w:space="0" w:color="000000"/>
            </w:tcBorders>
            <w:vAlign w:val="center"/>
          </w:tcPr>
          <w:p w14:paraId="4759964C"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业绩比较</w:t>
            </w:r>
            <w:r>
              <w:rPr>
                <w:rFonts w:asciiTheme="minorEastAsia" w:eastAsiaTheme="minorEastAsia" w:hAnsiTheme="minorEastAsia" w:cs="Times New Roman" w:hint="eastAsia"/>
                <w:bCs/>
                <w:kern w:val="2"/>
              </w:rPr>
              <w:lastRenderedPageBreak/>
              <w:t>基准收益率③</w:t>
            </w:r>
          </w:p>
        </w:tc>
        <w:tc>
          <w:tcPr>
            <w:tcW w:w="690" w:type="pct"/>
            <w:tcBorders>
              <w:top w:val="single" w:sz="8" w:space="0" w:color="000000"/>
              <w:left w:val="single" w:sz="8" w:space="0" w:color="000000"/>
              <w:bottom w:val="single" w:sz="6" w:space="0" w:color="000000"/>
              <w:right w:val="single" w:sz="8" w:space="0" w:color="000000"/>
            </w:tcBorders>
            <w:vAlign w:val="center"/>
          </w:tcPr>
          <w:p w14:paraId="52E7B6F4"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业绩比较</w:t>
            </w:r>
            <w:r>
              <w:rPr>
                <w:rFonts w:asciiTheme="minorEastAsia" w:eastAsiaTheme="minorEastAsia" w:hAnsiTheme="minorEastAsia" w:cs="Times New Roman" w:hint="eastAsia"/>
                <w:bCs/>
                <w:kern w:val="2"/>
              </w:rPr>
              <w:lastRenderedPageBreak/>
              <w:t>基准收益率标准差④</w:t>
            </w:r>
          </w:p>
        </w:tc>
        <w:tc>
          <w:tcPr>
            <w:tcW w:w="690" w:type="pct"/>
            <w:tcBorders>
              <w:top w:val="single" w:sz="8" w:space="0" w:color="000000"/>
              <w:left w:val="single" w:sz="8" w:space="0" w:color="000000"/>
              <w:bottom w:val="single" w:sz="6" w:space="0" w:color="000000"/>
              <w:right w:val="single" w:sz="8" w:space="0" w:color="000000"/>
            </w:tcBorders>
            <w:vAlign w:val="center"/>
          </w:tcPr>
          <w:p w14:paraId="1E628436"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①</w:t>
            </w:r>
            <w:r>
              <w:rPr>
                <w:rFonts w:asciiTheme="minorEastAsia" w:eastAsiaTheme="minorEastAsia" w:hAnsiTheme="minorEastAsia" w:cs="Times New Roman"/>
                <w:bCs/>
                <w:kern w:val="2"/>
              </w:rPr>
              <w:t>-③</w:t>
            </w:r>
          </w:p>
        </w:tc>
        <w:tc>
          <w:tcPr>
            <w:tcW w:w="688" w:type="pct"/>
            <w:tcBorders>
              <w:top w:val="single" w:sz="8" w:space="0" w:color="000000"/>
              <w:left w:val="single" w:sz="8" w:space="0" w:color="000000"/>
              <w:bottom w:val="single" w:sz="6" w:space="0" w:color="000000"/>
              <w:right w:val="single" w:sz="8" w:space="0" w:color="000000"/>
            </w:tcBorders>
            <w:vAlign w:val="center"/>
          </w:tcPr>
          <w:p w14:paraId="4476CFBA"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②</w:t>
            </w:r>
            <w:r>
              <w:rPr>
                <w:rFonts w:asciiTheme="minorEastAsia" w:eastAsiaTheme="minorEastAsia" w:hAnsiTheme="minorEastAsia" w:cs="Times New Roman"/>
                <w:bCs/>
                <w:kern w:val="2"/>
              </w:rPr>
              <w:t>-④</w:t>
            </w:r>
          </w:p>
        </w:tc>
      </w:tr>
      <w:tr w:rsidR="00B67C49" w14:paraId="2DA0921E"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6E1D2271"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2021.12.27-2021.12.31</w:t>
            </w:r>
          </w:p>
        </w:tc>
        <w:tc>
          <w:tcPr>
            <w:tcW w:w="671" w:type="pct"/>
            <w:tcBorders>
              <w:top w:val="single" w:sz="8" w:space="0" w:color="000000"/>
              <w:left w:val="single" w:sz="8" w:space="0" w:color="000000"/>
              <w:bottom w:val="single" w:sz="6" w:space="0" w:color="000000"/>
              <w:right w:val="single" w:sz="8" w:space="0" w:color="000000"/>
            </w:tcBorders>
            <w:vAlign w:val="center"/>
          </w:tcPr>
          <w:p w14:paraId="6EBF4415"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0.02</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3AA3BD5C"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0.01</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36A44345"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0.34</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56B58788"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0.6</w:t>
            </w:r>
            <w:r>
              <w:rPr>
                <w:rFonts w:asciiTheme="minorEastAsia" w:eastAsiaTheme="minorEastAsia" w:hAnsiTheme="minorEastAsia" w:cs="Times New Roman" w:hint="eastAsia"/>
                <w:bCs/>
                <w:kern w:val="2"/>
              </w:rPr>
              <w:t>5</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0D1D419A" w14:textId="77777777" w:rsidR="00B67C49" w:rsidRDefault="00000000">
            <w:pPr>
              <w:pStyle w:val="biaogecenter"/>
              <w:wordWrap w:val="0"/>
              <w:rPr>
                <w:rFonts w:asciiTheme="minorEastAsia" w:eastAsiaTheme="minorEastAsia" w:hAnsiTheme="minorEastAsia" w:cs="Times New Roman"/>
                <w:bCs/>
                <w:kern w:val="2"/>
              </w:rPr>
            </w:pPr>
            <w:r>
              <w:rPr>
                <w:rFonts w:hint="eastAsia"/>
                <w:color w:val="000000"/>
                <w:sz w:val="22"/>
                <w:szCs w:val="22"/>
              </w:rPr>
              <w:t>-0.32%</w:t>
            </w:r>
          </w:p>
        </w:tc>
        <w:tc>
          <w:tcPr>
            <w:tcW w:w="688" w:type="pct"/>
            <w:tcBorders>
              <w:top w:val="single" w:sz="8" w:space="0" w:color="000000"/>
              <w:left w:val="single" w:sz="8" w:space="0" w:color="000000"/>
              <w:bottom w:val="single" w:sz="6" w:space="0" w:color="000000"/>
              <w:right w:val="single" w:sz="8" w:space="0" w:color="000000"/>
            </w:tcBorders>
            <w:vAlign w:val="center"/>
          </w:tcPr>
          <w:p w14:paraId="366A7894" w14:textId="77777777" w:rsidR="00B67C49" w:rsidRDefault="00000000">
            <w:pPr>
              <w:pStyle w:val="biaogecenter"/>
              <w:wordWrap w:val="0"/>
              <w:rPr>
                <w:rFonts w:asciiTheme="minorEastAsia" w:eastAsiaTheme="minorEastAsia" w:hAnsiTheme="minorEastAsia" w:cs="Times New Roman"/>
                <w:bCs/>
                <w:kern w:val="2"/>
              </w:rPr>
            </w:pPr>
            <w:r>
              <w:rPr>
                <w:rFonts w:hint="eastAsia"/>
                <w:color w:val="000000"/>
                <w:sz w:val="22"/>
                <w:szCs w:val="22"/>
              </w:rPr>
              <w:t>-0.64%</w:t>
            </w:r>
          </w:p>
        </w:tc>
      </w:tr>
      <w:tr w:rsidR="00B67C49" w14:paraId="474E392B"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04126643"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01</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01</w:t>
            </w: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.12.31</w:t>
            </w:r>
          </w:p>
        </w:tc>
        <w:tc>
          <w:tcPr>
            <w:tcW w:w="671" w:type="pct"/>
            <w:tcBorders>
              <w:top w:val="single" w:sz="8" w:space="0" w:color="000000"/>
              <w:left w:val="single" w:sz="8" w:space="0" w:color="000000"/>
              <w:bottom w:val="single" w:sz="6" w:space="0" w:color="000000"/>
              <w:right w:val="single" w:sz="8" w:space="0" w:color="000000"/>
            </w:tcBorders>
            <w:vAlign w:val="center"/>
          </w:tcPr>
          <w:p w14:paraId="50E9D841" w14:textId="77777777" w:rsidR="00B67C49" w:rsidRDefault="00000000">
            <w:pPr>
              <w:pStyle w:val="biaogecenter"/>
              <w:wordWrap w:val="0"/>
              <w:rPr>
                <w:rFonts w:asciiTheme="minorEastAsia" w:eastAsiaTheme="minorEastAsia" w:hAnsiTheme="minorEastAsia" w:cs="Times New Roman"/>
                <w:bCs/>
                <w:kern w:val="2"/>
              </w:rPr>
            </w:pPr>
            <w:r>
              <w:rPr>
                <w:rFonts w:hAnsi="等线"/>
                <w:color w:val="000000"/>
              </w:rPr>
              <w:t>-12.88%</w:t>
            </w:r>
          </w:p>
        </w:tc>
        <w:tc>
          <w:tcPr>
            <w:tcW w:w="690" w:type="pct"/>
            <w:tcBorders>
              <w:top w:val="single" w:sz="8" w:space="0" w:color="000000"/>
              <w:left w:val="single" w:sz="8" w:space="0" w:color="000000"/>
              <w:bottom w:val="single" w:sz="6" w:space="0" w:color="000000"/>
              <w:right w:val="single" w:sz="8" w:space="0" w:color="000000"/>
            </w:tcBorders>
            <w:vAlign w:val="center"/>
          </w:tcPr>
          <w:p w14:paraId="361A0D21" w14:textId="77777777" w:rsidR="00B67C49" w:rsidRDefault="00000000">
            <w:pPr>
              <w:pStyle w:val="biaogecenter"/>
              <w:wordWrap w:val="0"/>
              <w:rPr>
                <w:rFonts w:asciiTheme="minorEastAsia" w:eastAsiaTheme="minorEastAsia" w:hAnsiTheme="minorEastAsia" w:cs="Times New Roman"/>
                <w:bCs/>
                <w:kern w:val="2"/>
              </w:rPr>
            </w:pPr>
            <w:r>
              <w:rPr>
                <w:rFonts w:hAnsi="等线"/>
                <w:color w:val="000000"/>
              </w:rPr>
              <w:t>0.78%</w:t>
            </w:r>
          </w:p>
        </w:tc>
        <w:tc>
          <w:tcPr>
            <w:tcW w:w="690" w:type="pct"/>
            <w:tcBorders>
              <w:top w:val="single" w:sz="8" w:space="0" w:color="000000"/>
              <w:left w:val="single" w:sz="8" w:space="0" w:color="000000"/>
              <w:bottom w:val="single" w:sz="6" w:space="0" w:color="000000"/>
              <w:right w:val="single" w:sz="8" w:space="0" w:color="000000"/>
            </w:tcBorders>
            <w:vAlign w:val="center"/>
          </w:tcPr>
          <w:p w14:paraId="20768AD3" w14:textId="77777777" w:rsidR="00B67C49" w:rsidRDefault="00000000">
            <w:pPr>
              <w:pStyle w:val="biaogecenter"/>
              <w:wordWrap w:val="0"/>
              <w:rPr>
                <w:rFonts w:asciiTheme="minorEastAsia" w:eastAsiaTheme="minorEastAsia" w:hAnsiTheme="minorEastAsia" w:cs="Times New Roman"/>
                <w:bCs/>
                <w:kern w:val="2"/>
              </w:rPr>
            </w:pPr>
            <w:r>
              <w:rPr>
                <w:rFonts w:hAnsi="等线"/>
                <w:color w:val="000000"/>
              </w:rPr>
              <w:t>-15.20%</w:t>
            </w:r>
          </w:p>
        </w:tc>
        <w:tc>
          <w:tcPr>
            <w:tcW w:w="690" w:type="pct"/>
            <w:tcBorders>
              <w:top w:val="single" w:sz="8" w:space="0" w:color="000000"/>
              <w:left w:val="single" w:sz="8" w:space="0" w:color="000000"/>
              <w:bottom w:val="single" w:sz="6" w:space="0" w:color="000000"/>
              <w:right w:val="single" w:sz="8" w:space="0" w:color="000000"/>
            </w:tcBorders>
            <w:vAlign w:val="center"/>
          </w:tcPr>
          <w:p w14:paraId="7EB88057" w14:textId="77777777" w:rsidR="00B67C49" w:rsidRDefault="00000000">
            <w:pPr>
              <w:pStyle w:val="biaogecenter"/>
              <w:wordWrap w:val="0"/>
              <w:rPr>
                <w:rFonts w:asciiTheme="minorEastAsia" w:eastAsiaTheme="minorEastAsia" w:hAnsiTheme="minorEastAsia" w:cs="Times New Roman"/>
                <w:bCs/>
                <w:kern w:val="2"/>
              </w:rPr>
            </w:pPr>
            <w:r>
              <w:rPr>
                <w:rFonts w:hAnsi="等线"/>
                <w:color w:val="000000"/>
              </w:rPr>
              <w:t>0.90%</w:t>
            </w:r>
          </w:p>
        </w:tc>
        <w:tc>
          <w:tcPr>
            <w:tcW w:w="690" w:type="pct"/>
            <w:tcBorders>
              <w:top w:val="single" w:sz="8" w:space="0" w:color="000000"/>
              <w:left w:val="single" w:sz="8" w:space="0" w:color="000000"/>
              <w:bottom w:val="single" w:sz="6" w:space="0" w:color="000000"/>
              <w:right w:val="single" w:sz="8" w:space="0" w:color="000000"/>
            </w:tcBorders>
            <w:vAlign w:val="center"/>
          </w:tcPr>
          <w:p w14:paraId="07207295" w14:textId="77777777" w:rsidR="00B67C49" w:rsidRDefault="00000000">
            <w:pPr>
              <w:pStyle w:val="biaogecenter"/>
              <w:wordWrap w:val="0"/>
              <w:rPr>
                <w:color w:val="000000"/>
                <w:sz w:val="22"/>
                <w:szCs w:val="22"/>
              </w:rPr>
            </w:pPr>
            <w:r>
              <w:rPr>
                <w:rFonts w:hAnsi="等线"/>
                <w:color w:val="000000"/>
              </w:rPr>
              <w:t>2.32%</w:t>
            </w:r>
          </w:p>
        </w:tc>
        <w:tc>
          <w:tcPr>
            <w:tcW w:w="688" w:type="pct"/>
            <w:tcBorders>
              <w:top w:val="single" w:sz="8" w:space="0" w:color="000000"/>
              <w:left w:val="single" w:sz="8" w:space="0" w:color="000000"/>
              <w:bottom w:val="single" w:sz="6" w:space="0" w:color="000000"/>
              <w:right w:val="single" w:sz="8" w:space="0" w:color="000000"/>
            </w:tcBorders>
            <w:vAlign w:val="center"/>
          </w:tcPr>
          <w:p w14:paraId="02D8840B" w14:textId="77777777" w:rsidR="00B67C49" w:rsidRDefault="00000000">
            <w:pPr>
              <w:pStyle w:val="biaogecenter"/>
              <w:wordWrap w:val="0"/>
              <w:rPr>
                <w:color w:val="000000"/>
                <w:sz w:val="22"/>
                <w:szCs w:val="22"/>
              </w:rPr>
            </w:pPr>
            <w:r>
              <w:rPr>
                <w:rFonts w:hAnsi="等线"/>
                <w:color w:val="000000"/>
              </w:rPr>
              <w:t>-0.12%</w:t>
            </w:r>
          </w:p>
        </w:tc>
      </w:tr>
      <w:tr w:rsidR="00B67C49" w14:paraId="409011EF"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1EF3EFAE"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自基金合同生效日至</w:t>
            </w: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3</w:t>
            </w:r>
            <w:r>
              <w:rPr>
                <w:rFonts w:asciiTheme="minorEastAsia" w:eastAsiaTheme="minorEastAsia" w:hAnsiTheme="minorEastAsia" w:cs="Times New Roman"/>
                <w:bCs/>
                <w:kern w:val="2"/>
              </w:rPr>
              <w:t>.09.30</w:t>
            </w:r>
          </w:p>
        </w:tc>
        <w:tc>
          <w:tcPr>
            <w:tcW w:w="671" w:type="pct"/>
            <w:tcBorders>
              <w:top w:val="single" w:sz="8" w:space="0" w:color="000000"/>
              <w:left w:val="single" w:sz="8" w:space="0" w:color="000000"/>
              <w:bottom w:val="single" w:sz="6" w:space="0" w:color="000000"/>
              <w:right w:val="single" w:sz="8" w:space="0" w:color="000000"/>
            </w:tcBorders>
            <w:vAlign w:val="center"/>
          </w:tcPr>
          <w:p w14:paraId="0F3EB484" w14:textId="77777777" w:rsidR="00B67C49" w:rsidRDefault="00000000">
            <w:pPr>
              <w:pStyle w:val="biaogecenter"/>
              <w:wordWrap w:val="0"/>
              <w:rPr>
                <w:rFonts w:asciiTheme="minorEastAsia" w:eastAsiaTheme="minorEastAsia" w:hAnsiTheme="minorEastAsia" w:cs="Times New Roman"/>
                <w:bCs/>
                <w:kern w:val="2"/>
              </w:rPr>
            </w:pPr>
            <w:r>
              <w:t>-16.29%</w:t>
            </w:r>
          </w:p>
        </w:tc>
        <w:tc>
          <w:tcPr>
            <w:tcW w:w="690" w:type="pct"/>
            <w:tcBorders>
              <w:top w:val="single" w:sz="8" w:space="0" w:color="000000"/>
              <w:left w:val="single" w:sz="8" w:space="0" w:color="000000"/>
              <w:bottom w:val="single" w:sz="6" w:space="0" w:color="000000"/>
              <w:right w:val="single" w:sz="8" w:space="0" w:color="000000"/>
            </w:tcBorders>
            <w:vAlign w:val="center"/>
          </w:tcPr>
          <w:p w14:paraId="739FD84F" w14:textId="77777777" w:rsidR="00B67C49" w:rsidRDefault="00000000">
            <w:pPr>
              <w:pStyle w:val="biaogecenter"/>
              <w:wordWrap w:val="0"/>
              <w:rPr>
                <w:rFonts w:asciiTheme="minorEastAsia" w:eastAsiaTheme="minorEastAsia" w:hAnsiTheme="minorEastAsia" w:cs="Times New Roman"/>
                <w:bCs/>
                <w:kern w:val="2"/>
              </w:rPr>
            </w:pPr>
            <w:r>
              <w:t>0.77%</w:t>
            </w:r>
          </w:p>
        </w:tc>
        <w:tc>
          <w:tcPr>
            <w:tcW w:w="690" w:type="pct"/>
            <w:tcBorders>
              <w:top w:val="single" w:sz="8" w:space="0" w:color="000000"/>
              <w:left w:val="single" w:sz="8" w:space="0" w:color="000000"/>
              <w:bottom w:val="single" w:sz="6" w:space="0" w:color="000000"/>
              <w:right w:val="single" w:sz="8" w:space="0" w:color="000000"/>
            </w:tcBorders>
            <w:vAlign w:val="center"/>
          </w:tcPr>
          <w:p w14:paraId="563A3CEB" w14:textId="77777777" w:rsidR="00B67C49" w:rsidRDefault="00000000">
            <w:pPr>
              <w:pStyle w:val="biaogecenter"/>
              <w:wordWrap w:val="0"/>
              <w:rPr>
                <w:rFonts w:asciiTheme="minorEastAsia" w:eastAsiaTheme="minorEastAsia" w:hAnsiTheme="minorEastAsia" w:cs="Times New Roman"/>
                <w:bCs/>
                <w:kern w:val="2"/>
              </w:rPr>
            </w:pPr>
            <w:r>
              <w:t>-17.30%</w:t>
            </w:r>
          </w:p>
        </w:tc>
        <w:tc>
          <w:tcPr>
            <w:tcW w:w="690" w:type="pct"/>
            <w:tcBorders>
              <w:top w:val="single" w:sz="8" w:space="0" w:color="000000"/>
              <w:left w:val="single" w:sz="8" w:space="0" w:color="000000"/>
              <w:bottom w:val="single" w:sz="6" w:space="0" w:color="000000"/>
              <w:right w:val="single" w:sz="8" w:space="0" w:color="000000"/>
            </w:tcBorders>
            <w:vAlign w:val="center"/>
          </w:tcPr>
          <w:p w14:paraId="133FE4B5" w14:textId="77777777" w:rsidR="00B67C49" w:rsidRDefault="00000000">
            <w:pPr>
              <w:pStyle w:val="biaogecenter"/>
              <w:wordWrap w:val="0"/>
              <w:rPr>
                <w:rFonts w:asciiTheme="minorEastAsia" w:eastAsiaTheme="minorEastAsia" w:hAnsiTheme="minorEastAsia" w:cs="Times New Roman"/>
                <w:bCs/>
                <w:kern w:val="2"/>
              </w:rPr>
            </w:pPr>
            <w:r>
              <w:t>0.78%</w:t>
            </w:r>
          </w:p>
        </w:tc>
        <w:tc>
          <w:tcPr>
            <w:tcW w:w="690" w:type="pct"/>
            <w:tcBorders>
              <w:top w:val="single" w:sz="8" w:space="0" w:color="000000"/>
              <w:left w:val="single" w:sz="8" w:space="0" w:color="000000"/>
              <w:bottom w:val="single" w:sz="6" w:space="0" w:color="000000"/>
              <w:right w:val="single" w:sz="8" w:space="0" w:color="000000"/>
            </w:tcBorders>
            <w:vAlign w:val="center"/>
          </w:tcPr>
          <w:p w14:paraId="1535A55C" w14:textId="77777777" w:rsidR="00B67C49" w:rsidRDefault="00000000">
            <w:pPr>
              <w:pStyle w:val="biaogecenter"/>
              <w:wordWrap w:val="0"/>
              <w:rPr>
                <w:rFonts w:asciiTheme="minorEastAsia" w:eastAsiaTheme="minorEastAsia" w:hAnsiTheme="minorEastAsia" w:cs="Times New Roman"/>
                <w:bCs/>
                <w:kern w:val="2"/>
              </w:rPr>
            </w:pPr>
            <w:r>
              <w:t>1.01%</w:t>
            </w:r>
          </w:p>
        </w:tc>
        <w:tc>
          <w:tcPr>
            <w:tcW w:w="688" w:type="pct"/>
            <w:tcBorders>
              <w:top w:val="single" w:sz="8" w:space="0" w:color="000000"/>
              <w:left w:val="single" w:sz="8" w:space="0" w:color="000000"/>
              <w:bottom w:val="single" w:sz="6" w:space="0" w:color="000000"/>
              <w:right w:val="single" w:sz="8" w:space="0" w:color="000000"/>
            </w:tcBorders>
            <w:vAlign w:val="center"/>
          </w:tcPr>
          <w:p w14:paraId="46157757" w14:textId="77777777" w:rsidR="00B67C49" w:rsidRDefault="00000000">
            <w:pPr>
              <w:pStyle w:val="biaogecenter"/>
              <w:wordWrap w:val="0"/>
              <w:rPr>
                <w:rFonts w:asciiTheme="minorEastAsia" w:eastAsiaTheme="minorEastAsia" w:hAnsiTheme="minorEastAsia" w:cs="Times New Roman"/>
                <w:bCs/>
                <w:kern w:val="2"/>
              </w:rPr>
            </w:pPr>
            <w:r>
              <w:t>-0.01%</w:t>
            </w:r>
          </w:p>
        </w:tc>
      </w:tr>
    </w:tbl>
    <w:p w14:paraId="720CC2AE" w14:textId="77777777" w:rsidR="00B67C49" w:rsidRDefault="00000000">
      <w:pPr>
        <w:pStyle w:val="biaogeleft"/>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富荣福耀混合C（基金代码：012877）</w:t>
      </w:r>
    </w:p>
    <w:tbl>
      <w:tblPr>
        <w:tblW w:w="9261" w:type="dxa"/>
        <w:jc w:val="center"/>
        <w:tblLook w:val="04A0" w:firstRow="1" w:lastRow="0" w:firstColumn="1" w:lastColumn="0" w:noHBand="0" w:noVBand="1"/>
      </w:tblPr>
      <w:tblGrid>
        <w:gridCol w:w="1601"/>
        <w:gridCol w:w="1277"/>
        <w:gridCol w:w="1277"/>
        <w:gridCol w:w="1277"/>
        <w:gridCol w:w="1277"/>
        <w:gridCol w:w="1276"/>
        <w:gridCol w:w="1276"/>
      </w:tblGrid>
      <w:tr w:rsidR="00B67C49" w14:paraId="2DC51988"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6E958AA3"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阶段</w:t>
            </w:r>
          </w:p>
        </w:tc>
        <w:tc>
          <w:tcPr>
            <w:tcW w:w="689" w:type="pct"/>
            <w:tcBorders>
              <w:top w:val="single" w:sz="8" w:space="0" w:color="000000"/>
              <w:left w:val="single" w:sz="8" w:space="0" w:color="000000"/>
              <w:bottom w:val="single" w:sz="6" w:space="0" w:color="000000"/>
              <w:right w:val="single" w:sz="8" w:space="0" w:color="000000"/>
            </w:tcBorders>
            <w:vAlign w:val="center"/>
          </w:tcPr>
          <w:p w14:paraId="79F4921D"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净值增长率①</w:t>
            </w:r>
          </w:p>
        </w:tc>
        <w:tc>
          <w:tcPr>
            <w:tcW w:w="689" w:type="pct"/>
            <w:tcBorders>
              <w:top w:val="single" w:sz="8" w:space="0" w:color="000000"/>
              <w:left w:val="single" w:sz="8" w:space="0" w:color="000000"/>
              <w:bottom w:val="single" w:sz="6" w:space="0" w:color="000000"/>
              <w:right w:val="single" w:sz="8" w:space="0" w:color="000000"/>
            </w:tcBorders>
            <w:vAlign w:val="center"/>
          </w:tcPr>
          <w:p w14:paraId="369648F7"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净值增长率标准差②</w:t>
            </w:r>
          </w:p>
        </w:tc>
        <w:tc>
          <w:tcPr>
            <w:tcW w:w="689" w:type="pct"/>
            <w:tcBorders>
              <w:top w:val="single" w:sz="8" w:space="0" w:color="000000"/>
              <w:left w:val="single" w:sz="8" w:space="0" w:color="000000"/>
              <w:bottom w:val="single" w:sz="6" w:space="0" w:color="000000"/>
              <w:right w:val="single" w:sz="8" w:space="0" w:color="000000"/>
            </w:tcBorders>
            <w:vAlign w:val="center"/>
          </w:tcPr>
          <w:p w14:paraId="3E79EAE5"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业绩比较基准收益率③</w:t>
            </w:r>
          </w:p>
        </w:tc>
        <w:tc>
          <w:tcPr>
            <w:tcW w:w="689" w:type="pct"/>
            <w:tcBorders>
              <w:top w:val="single" w:sz="8" w:space="0" w:color="000000"/>
              <w:left w:val="single" w:sz="8" w:space="0" w:color="000000"/>
              <w:bottom w:val="single" w:sz="6" w:space="0" w:color="000000"/>
              <w:right w:val="single" w:sz="8" w:space="0" w:color="000000"/>
            </w:tcBorders>
            <w:vAlign w:val="center"/>
          </w:tcPr>
          <w:p w14:paraId="663531C0"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业绩比较基准收益率标准差④</w:t>
            </w:r>
          </w:p>
        </w:tc>
        <w:tc>
          <w:tcPr>
            <w:tcW w:w="689" w:type="pct"/>
            <w:tcBorders>
              <w:top w:val="single" w:sz="8" w:space="0" w:color="000000"/>
              <w:left w:val="single" w:sz="8" w:space="0" w:color="000000"/>
              <w:bottom w:val="single" w:sz="6" w:space="0" w:color="000000"/>
              <w:right w:val="single" w:sz="8" w:space="0" w:color="000000"/>
            </w:tcBorders>
            <w:vAlign w:val="center"/>
          </w:tcPr>
          <w:p w14:paraId="21C2756F"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①</w:t>
            </w:r>
            <w:r>
              <w:rPr>
                <w:rFonts w:asciiTheme="minorEastAsia" w:eastAsiaTheme="minorEastAsia" w:hAnsiTheme="minorEastAsia" w:cs="Times New Roman"/>
                <w:bCs/>
                <w:kern w:val="2"/>
              </w:rPr>
              <w:t>-③</w:t>
            </w:r>
          </w:p>
        </w:tc>
        <w:tc>
          <w:tcPr>
            <w:tcW w:w="689" w:type="pct"/>
            <w:tcBorders>
              <w:top w:val="single" w:sz="8" w:space="0" w:color="000000"/>
              <w:left w:val="single" w:sz="8" w:space="0" w:color="000000"/>
              <w:bottom w:val="single" w:sz="6" w:space="0" w:color="000000"/>
              <w:right w:val="single" w:sz="8" w:space="0" w:color="000000"/>
            </w:tcBorders>
            <w:vAlign w:val="center"/>
          </w:tcPr>
          <w:p w14:paraId="3C1FDF44"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②</w:t>
            </w:r>
            <w:r>
              <w:rPr>
                <w:rFonts w:asciiTheme="minorEastAsia" w:eastAsiaTheme="minorEastAsia" w:hAnsiTheme="minorEastAsia" w:cs="Times New Roman"/>
                <w:bCs/>
                <w:kern w:val="2"/>
              </w:rPr>
              <w:t>-④</w:t>
            </w:r>
          </w:p>
        </w:tc>
      </w:tr>
      <w:tr w:rsidR="00B67C49" w14:paraId="111B9B0D"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7D714A79"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2021.12.27-2021.12.31</w:t>
            </w:r>
          </w:p>
        </w:tc>
        <w:tc>
          <w:tcPr>
            <w:tcW w:w="689" w:type="pct"/>
            <w:tcBorders>
              <w:top w:val="single" w:sz="8" w:space="0" w:color="000000"/>
              <w:left w:val="single" w:sz="8" w:space="0" w:color="000000"/>
              <w:bottom w:val="single" w:sz="6" w:space="0" w:color="000000"/>
              <w:right w:val="single" w:sz="8" w:space="0" w:color="000000"/>
            </w:tcBorders>
            <w:vAlign w:val="center"/>
          </w:tcPr>
          <w:p w14:paraId="7E42FC83"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0.02%</w:t>
            </w:r>
          </w:p>
        </w:tc>
        <w:tc>
          <w:tcPr>
            <w:tcW w:w="689" w:type="pct"/>
            <w:tcBorders>
              <w:top w:val="single" w:sz="8" w:space="0" w:color="000000"/>
              <w:left w:val="single" w:sz="8" w:space="0" w:color="000000"/>
              <w:bottom w:val="single" w:sz="6" w:space="0" w:color="000000"/>
              <w:right w:val="single" w:sz="8" w:space="0" w:color="000000"/>
            </w:tcBorders>
            <w:vAlign w:val="center"/>
          </w:tcPr>
          <w:p w14:paraId="6ADE37D5"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0.01%</w:t>
            </w:r>
          </w:p>
        </w:tc>
        <w:tc>
          <w:tcPr>
            <w:tcW w:w="689" w:type="pct"/>
            <w:tcBorders>
              <w:top w:val="single" w:sz="8" w:space="0" w:color="000000"/>
              <w:left w:val="single" w:sz="8" w:space="0" w:color="000000"/>
              <w:bottom w:val="single" w:sz="6" w:space="0" w:color="000000"/>
              <w:right w:val="single" w:sz="8" w:space="0" w:color="000000"/>
            </w:tcBorders>
            <w:vAlign w:val="center"/>
          </w:tcPr>
          <w:p w14:paraId="6A10C529"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0.34%</w:t>
            </w:r>
          </w:p>
        </w:tc>
        <w:tc>
          <w:tcPr>
            <w:tcW w:w="689" w:type="pct"/>
            <w:tcBorders>
              <w:top w:val="single" w:sz="8" w:space="0" w:color="000000"/>
              <w:left w:val="single" w:sz="8" w:space="0" w:color="000000"/>
              <w:bottom w:val="single" w:sz="6" w:space="0" w:color="000000"/>
              <w:right w:val="single" w:sz="8" w:space="0" w:color="000000"/>
            </w:tcBorders>
            <w:vAlign w:val="center"/>
          </w:tcPr>
          <w:p w14:paraId="2068AD8F" w14:textId="77777777" w:rsidR="00B67C49"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0.65%</w:t>
            </w:r>
          </w:p>
        </w:tc>
        <w:tc>
          <w:tcPr>
            <w:tcW w:w="689" w:type="pct"/>
            <w:tcBorders>
              <w:top w:val="single" w:sz="8" w:space="0" w:color="000000"/>
              <w:left w:val="single" w:sz="8" w:space="0" w:color="000000"/>
              <w:bottom w:val="single" w:sz="6" w:space="0" w:color="000000"/>
              <w:right w:val="single" w:sz="8" w:space="0" w:color="000000"/>
            </w:tcBorders>
            <w:vAlign w:val="center"/>
          </w:tcPr>
          <w:p w14:paraId="6AD6FD7F" w14:textId="77777777" w:rsidR="00B67C49" w:rsidRDefault="00000000">
            <w:pPr>
              <w:pStyle w:val="biaogecenter"/>
              <w:wordWrap w:val="0"/>
              <w:rPr>
                <w:rFonts w:asciiTheme="minorEastAsia" w:eastAsiaTheme="minorEastAsia" w:hAnsiTheme="minorEastAsia" w:cs="Times New Roman"/>
                <w:bCs/>
                <w:kern w:val="2"/>
              </w:rPr>
            </w:pPr>
            <w:r>
              <w:rPr>
                <w:rFonts w:hint="eastAsia"/>
                <w:color w:val="000000"/>
                <w:sz w:val="22"/>
                <w:szCs w:val="22"/>
              </w:rPr>
              <w:t>-0.32%</w:t>
            </w:r>
          </w:p>
        </w:tc>
        <w:tc>
          <w:tcPr>
            <w:tcW w:w="689" w:type="pct"/>
            <w:tcBorders>
              <w:top w:val="single" w:sz="8" w:space="0" w:color="000000"/>
              <w:left w:val="single" w:sz="8" w:space="0" w:color="000000"/>
              <w:bottom w:val="single" w:sz="6" w:space="0" w:color="000000"/>
              <w:right w:val="single" w:sz="8" w:space="0" w:color="000000"/>
            </w:tcBorders>
            <w:vAlign w:val="center"/>
          </w:tcPr>
          <w:p w14:paraId="54C7D3F7" w14:textId="77777777" w:rsidR="00B67C49" w:rsidRDefault="00000000">
            <w:pPr>
              <w:pStyle w:val="biaogecenter"/>
              <w:wordWrap w:val="0"/>
              <w:rPr>
                <w:rFonts w:asciiTheme="minorEastAsia" w:eastAsiaTheme="minorEastAsia" w:hAnsiTheme="minorEastAsia" w:cs="Times New Roman"/>
                <w:bCs/>
                <w:kern w:val="2"/>
              </w:rPr>
            </w:pPr>
            <w:r>
              <w:rPr>
                <w:rFonts w:hint="eastAsia"/>
                <w:color w:val="000000"/>
                <w:sz w:val="22"/>
                <w:szCs w:val="22"/>
              </w:rPr>
              <w:t>-0.64%</w:t>
            </w:r>
          </w:p>
        </w:tc>
      </w:tr>
      <w:tr w:rsidR="00B67C49" w14:paraId="70804C63"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6B17FFE9"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01</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01</w:t>
            </w: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.12.31</w:t>
            </w:r>
          </w:p>
        </w:tc>
        <w:tc>
          <w:tcPr>
            <w:tcW w:w="689" w:type="pct"/>
            <w:tcBorders>
              <w:top w:val="single" w:sz="8" w:space="0" w:color="000000"/>
              <w:left w:val="single" w:sz="8" w:space="0" w:color="000000"/>
              <w:bottom w:val="single" w:sz="6" w:space="0" w:color="000000"/>
              <w:right w:val="single" w:sz="8" w:space="0" w:color="000000"/>
            </w:tcBorders>
            <w:vAlign w:val="center"/>
          </w:tcPr>
          <w:p w14:paraId="12C184B5" w14:textId="77777777" w:rsidR="00B67C49" w:rsidRDefault="00000000">
            <w:pPr>
              <w:pStyle w:val="biaogecenter"/>
              <w:wordWrap w:val="0"/>
              <w:rPr>
                <w:rFonts w:asciiTheme="minorEastAsia" w:eastAsiaTheme="minorEastAsia" w:hAnsiTheme="minorEastAsia" w:cs="Times New Roman"/>
                <w:bCs/>
                <w:kern w:val="2"/>
              </w:rPr>
            </w:pPr>
            <w:r>
              <w:rPr>
                <w:rFonts w:hAnsi="等线"/>
                <w:color w:val="000000"/>
              </w:rPr>
              <w:t>-13.23%</w:t>
            </w:r>
          </w:p>
        </w:tc>
        <w:tc>
          <w:tcPr>
            <w:tcW w:w="689" w:type="pct"/>
            <w:tcBorders>
              <w:top w:val="single" w:sz="8" w:space="0" w:color="000000"/>
              <w:left w:val="single" w:sz="8" w:space="0" w:color="000000"/>
              <w:bottom w:val="single" w:sz="6" w:space="0" w:color="000000"/>
              <w:right w:val="single" w:sz="8" w:space="0" w:color="000000"/>
            </w:tcBorders>
            <w:vAlign w:val="center"/>
          </w:tcPr>
          <w:p w14:paraId="250CDF5C" w14:textId="77777777" w:rsidR="00B67C49" w:rsidRDefault="00000000">
            <w:pPr>
              <w:pStyle w:val="biaogecenter"/>
              <w:wordWrap w:val="0"/>
              <w:rPr>
                <w:rFonts w:asciiTheme="minorEastAsia" w:eastAsiaTheme="minorEastAsia" w:hAnsiTheme="minorEastAsia" w:cs="Times New Roman"/>
                <w:bCs/>
                <w:kern w:val="2"/>
              </w:rPr>
            </w:pPr>
            <w:r>
              <w:rPr>
                <w:rFonts w:hAnsi="等线"/>
                <w:color w:val="000000"/>
              </w:rPr>
              <w:t>0.78%</w:t>
            </w:r>
          </w:p>
        </w:tc>
        <w:tc>
          <w:tcPr>
            <w:tcW w:w="689" w:type="pct"/>
            <w:tcBorders>
              <w:top w:val="single" w:sz="8" w:space="0" w:color="000000"/>
              <w:left w:val="single" w:sz="8" w:space="0" w:color="000000"/>
              <w:bottom w:val="single" w:sz="6" w:space="0" w:color="000000"/>
              <w:right w:val="single" w:sz="8" w:space="0" w:color="000000"/>
            </w:tcBorders>
            <w:vAlign w:val="center"/>
          </w:tcPr>
          <w:p w14:paraId="79E18A76" w14:textId="77777777" w:rsidR="00B67C49" w:rsidRDefault="00000000">
            <w:pPr>
              <w:pStyle w:val="biaogecenter"/>
              <w:wordWrap w:val="0"/>
              <w:rPr>
                <w:rFonts w:asciiTheme="minorEastAsia" w:eastAsiaTheme="minorEastAsia" w:hAnsiTheme="minorEastAsia" w:cs="Times New Roman"/>
                <w:bCs/>
                <w:kern w:val="2"/>
              </w:rPr>
            </w:pPr>
            <w:r>
              <w:rPr>
                <w:rFonts w:hAnsi="等线"/>
                <w:color w:val="000000"/>
              </w:rPr>
              <w:t>-15.20%</w:t>
            </w:r>
          </w:p>
        </w:tc>
        <w:tc>
          <w:tcPr>
            <w:tcW w:w="689" w:type="pct"/>
            <w:tcBorders>
              <w:top w:val="single" w:sz="8" w:space="0" w:color="000000"/>
              <w:left w:val="single" w:sz="8" w:space="0" w:color="000000"/>
              <w:bottom w:val="single" w:sz="6" w:space="0" w:color="000000"/>
              <w:right w:val="single" w:sz="8" w:space="0" w:color="000000"/>
            </w:tcBorders>
            <w:vAlign w:val="center"/>
          </w:tcPr>
          <w:p w14:paraId="5C89B9FD" w14:textId="77777777" w:rsidR="00B67C49" w:rsidRDefault="00000000">
            <w:pPr>
              <w:pStyle w:val="biaogecenter"/>
              <w:wordWrap w:val="0"/>
              <w:rPr>
                <w:rFonts w:asciiTheme="minorEastAsia" w:eastAsiaTheme="minorEastAsia" w:hAnsiTheme="minorEastAsia" w:cs="Times New Roman"/>
                <w:bCs/>
                <w:kern w:val="2"/>
              </w:rPr>
            </w:pPr>
            <w:r>
              <w:rPr>
                <w:rFonts w:hAnsi="等线"/>
                <w:color w:val="000000"/>
              </w:rPr>
              <w:t>0.90%</w:t>
            </w:r>
          </w:p>
        </w:tc>
        <w:tc>
          <w:tcPr>
            <w:tcW w:w="689" w:type="pct"/>
            <w:tcBorders>
              <w:top w:val="single" w:sz="8" w:space="0" w:color="000000"/>
              <w:left w:val="single" w:sz="8" w:space="0" w:color="000000"/>
              <w:bottom w:val="single" w:sz="6" w:space="0" w:color="000000"/>
              <w:right w:val="single" w:sz="8" w:space="0" w:color="000000"/>
            </w:tcBorders>
            <w:vAlign w:val="center"/>
          </w:tcPr>
          <w:p w14:paraId="2AB1191F" w14:textId="77777777" w:rsidR="00B67C49" w:rsidRDefault="00000000">
            <w:pPr>
              <w:pStyle w:val="biaogecenter"/>
              <w:wordWrap w:val="0"/>
              <w:rPr>
                <w:color w:val="000000"/>
                <w:sz w:val="22"/>
                <w:szCs w:val="22"/>
              </w:rPr>
            </w:pPr>
            <w:r>
              <w:rPr>
                <w:rFonts w:hAnsi="等线"/>
                <w:color w:val="000000"/>
              </w:rPr>
              <w:t>1.97%</w:t>
            </w:r>
          </w:p>
        </w:tc>
        <w:tc>
          <w:tcPr>
            <w:tcW w:w="689" w:type="pct"/>
            <w:tcBorders>
              <w:top w:val="single" w:sz="8" w:space="0" w:color="000000"/>
              <w:left w:val="single" w:sz="8" w:space="0" w:color="000000"/>
              <w:bottom w:val="single" w:sz="6" w:space="0" w:color="000000"/>
              <w:right w:val="single" w:sz="8" w:space="0" w:color="000000"/>
            </w:tcBorders>
            <w:vAlign w:val="center"/>
          </w:tcPr>
          <w:p w14:paraId="671D778D" w14:textId="77777777" w:rsidR="00B67C49" w:rsidRDefault="00000000">
            <w:pPr>
              <w:pStyle w:val="biaogecenter"/>
              <w:wordWrap w:val="0"/>
              <w:rPr>
                <w:color w:val="000000"/>
                <w:sz w:val="22"/>
                <w:szCs w:val="22"/>
              </w:rPr>
            </w:pPr>
            <w:r>
              <w:rPr>
                <w:rFonts w:hAnsi="等线"/>
                <w:color w:val="000000"/>
              </w:rPr>
              <w:t>-0.12%</w:t>
            </w:r>
          </w:p>
        </w:tc>
      </w:tr>
      <w:tr w:rsidR="00B67C49" w14:paraId="73FDC463"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04FF6EF3" w14:textId="77777777" w:rsidR="00B67C49"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自基金合同生效日至</w:t>
            </w:r>
            <w:r>
              <w:rPr>
                <w:rFonts w:asciiTheme="minorEastAsia" w:eastAsiaTheme="minorEastAsia" w:hAnsiTheme="minorEastAsia" w:cs="Times New Roman"/>
                <w:bCs/>
                <w:kern w:val="2"/>
              </w:rPr>
              <w:t>202</w:t>
            </w:r>
            <w:r>
              <w:rPr>
                <w:rFonts w:asciiTheme="minorEastAsia" w:eastAsiaTheme="minorEastAsia" w:hAnsiTheme="minorEastAsia" w:cs="Times New Roman" w:hint="eastAsia"/>
                <w:bCs/>
                <w:kern w:val="2"/>
              </w:rPr>
              <w:t>3</w:t>
            </w:r>
            <w:r>
              <w:rPr>
                <w:rFonts w:asciiTheme="minorEastAsia" w:eastAsiaTheme="minorEastAsia" w:hAnsiTheme="minorEastAsia" w:cs="Times New Roman"/>
                <w:bCs/>
                <w:kern w:val="2"/>
              </w:rPr>
              <w:t>.09.30</w:t>
            </w:r>
          </w:p>
        </w:tc>
        <w:tc>
          <w:tcPr>
            <w:tcW w:w="689" w:type="pct"/>
            <w:tcBorders>
              <w:top w:val="single" w:sz="8" w:space="0" w:color="000000"/>
              <w:left w:val="single" w:sz="8" w:space="0" w:color="000000"/>
              <w:bottom w:val="single" w:sz="6" w:space="0" w:color="000000"/>
              <w:right w:val="single" w:sz="8" w:space="0" w:color="000000"/>
            </w:tcBorders>
            <w:vAlign w:val="center"/>
          </w:tcPr>
          <w:p w14:paraId="565012DA" w14:textId="77777777" w:rsidR="00B67C49" w:rsidRDefault="00000000">
            <w:pPr>
              <w:pStyle w:val="biaogecenter"/>
              <w:wordWrap w:val="0"/>
              <w:rPr>
                <w:rFonts w:asciiTheme="minorEastAsia" w:eastAsiaTheme="minorEastAsia" w:hAnsiTheme="minorEastAsia" w:cs="Times New Roman"/>
                <w:bCs/>
                <w:kern w:val="2"/>
              </w:rPr>
            </w:pPr>
            <w:r>
              <w:t>-16.90%</w:t>
            </w:r>
          </w:p>
        </w:tc>
        <w:tc>
          <w:tcPr>
            <w:tcW w:w="689" w:type="pct"/>
            <w:tcBorders>
              <w:top w:val="single" w:sz="8" w:space="0" w:color="000000"/>
              <w:left w:val="single" w:sz="8" w:space="0" w:color="000000"/>
              <w:bottom w:val="single" w:sz="6" w:space="0" w:color="000000"/>
              <w:right w:val="single" w:sz="8" w:space="0" w:color="000000"/>
            </w:tcBorders>
            <w:vAlign w:val="center"/>
          </w:tcPr>
          <w:p w14:paraId="58F02656" w14:textId="77777777" w:rsidR="00B67C49" w:rsidRDefault="00000000">
            <w:pPr>
              <w:pStyle w:val="biaogecenter"/>
              <w:wordWrap w:val="0"/>
              <w:rPr>
                <w:rFonts w:asciiTheme="minorEastAsia" w:eastAsiaTheme="minorEastAsia" w:hAnsiTheme="minorEastAsia" w:cs="Times New Roman"/>
                <w:bCs/>
                <w:kern w:val="2"/>
              </w:rPr>
            </w:pPr>
            <w:r>
              <w:t>0.77%</w:t>
            </w:r>
          </w:p>
        </w:tc>
        <w:tc>
          <w:tcPr>
            <w:tcW w:w="689" w:type="pct"/>
            <w:tcBorders>
              <w:top w:val="single" w:sz="8" w:space="0" w:color="000000"/>
              <w:left w:val="single" w:sz="8" w:space="0" w:color="000000"/>
              <w:bottom w:val="single" w:sz="6" w:space="0" w:color="000000"/>
              <w:right w:val="single" w:sz="8" w:space="0" w:color="000000"/>
            </w:tcBorders>
            <w:vAlign w:val="center"/>
          </w:tcPr>
          <w:p w14:paraId="0FFB95B9" w14:textId="77777777" w:rsidR="00B67C49" w:rsidRDefault="00000000">
            <w:pPr>
              <w:pStyle w:val="biaogecenter"/>
              <w:wordWrap w:val="0"/>
              <w:rPr>
                <w:rFonts w:asciiTheme="minorEastAsia" w:eastAsiaTheme="minorEastAsia" w:hAnsiTheme="minorEastAsia" w:cs="Times New Roman"/>
                <w:bCs/>
                <w:kern w:val="2"/>
              </w:rPr>
            </w:pPr>
            <w:r>
              <w:t>-17.30%</w:t>
            </w:r>
          </w:p>
        </w:tc>
        <w:tc>
          <w:tcPr>
            <w:tcW w:w="689" w:type="pct"/>
            <w:tcBorders>
              <w:top w:val="single" w:sz="8" w:space="0" w:color="000000"/>
              <w:left w:val="single" w:sz="8" w:space="0" w:color="000000"/>
              <w:bottom w:val="single" w:sz="6" w:space="0" w:color="000000"/>
              <w:right w:val="single" w:sz="8" w:space="0" w:color="000000"/>
            </w:tcBorders>
            <w:vAlign w:val="center"/>
          </w:tcPr>
          <w:p w14:paraId="41ABA3F0" w14:textId="77777777" w:rsidR="00B67C49" w:rsidRDefault="00000000">
            <w:pPr>
              <w:pStyle w:val="biaogecenter"/>
              <w:wordWrap w:val="0"/>
              <w:rPr>
                <w:rFonts w:asciiTheme="minorEastAsia" w:eastAsiaTheme="minorEastAsia" w:hAnsiTheme="minorEastAsia" w:cs="Times New Roman"/>
                <w:bCs/>
                <w:kern w:val="2"/>
              </w:rPr>
            </w:pPr>
            <w:r>
              <w:t>0.78%</w:t>
            </w:r>
          </w:p>
        </w:tc>
        <w:tc>
          <w:tcPr>
            <w:tcW w:w="689" w:type="pct"/>
            <w:tcBorders>
              <w:top w:val="single" w:sz="8" w:space="0" w:color="000000"/>
              <w:left w:val="single" w:sz="8" w:space="0" w:color="000000"/>
              <w:bottom w:val="single" w:sz="6" w:space="0" w:color="000000"/>
              <w:right w:val="single" w:sz="8" w:space="0" w:color="000000"/>
            </w:tcBorders>
            <w:vAlign w:val="center"/>
          </w:tcPr>
          <w:p w14:paraId="70BCFDD5" w14:textId="77777777" w:rsidR="00B67C49" w:rsidRDefault="00000000">
            <w:pPr>
              <w:pStyle w:val="biaogecenter"/>
              <w:wordWrap w:val="0"/>
              <w:rPr>
                <w:rFonts w:asciiTheme="minorEastAsia" w:eastAsiaTheme="minorEastAsia" w:hAnsiTheme="minorEastAsia" w:cs="Times New Roman"/>
                <w:bCs/>
                <w:kern w:val="2"/>
              </w:rPr>
            </w:pPr>
            <w:r>
              <w:t>0.40%</w:t>
            </w:r>
          </w:p>
        </w:tc>
        <w:tc>
          <w:tcPr>
            <w:tcW w:w="689" w:type="pct"/>
            <w:tcBorders>
              <w:top w:val="single" w:sz="8" w:space="0" w:color="000000"/>
              <w:left w:val="single" w:sz="8" w:space="0" w:color="000000"/>
              <w:bottom w:val="single" w:sz="6" w:space="0" w:color="000000"/>
              <w:right w:val="single" w:sz="8" w:space="0" w:color="000000"/>
            </w:tcBorders>
            <w:vAlign w:val="center"/>
          </w:tcPr>
          <w:p w14:paraId="1D62D7CE" w14:textId="77777777" w:rsidR="00B67C49" w:rsidRDefault="00000000">
            <w:pPr>
              <w:pStyle w:val="biaogecenter"/>
              <w:wordWrap w:val="0"/>
              <w:rPr>
                <w:rFonts w:asciiTheme="minorEastAsia" w:eastAsiaTheme="minorEastAsia" w:hAnsiTheme="minorEastAsia" w:cs="Times New Roman"/>
                <w:bCs/>
                <w:kern w:val="2"/>
              </w:rPr>
            </w:pPr>
            <w:r>
              <w:t>-0.01%</w:t>
            </w:r>
          </w:p>
        </w:tc>
      </w:tr>
    </w:tbl>
    <w:p w14:paraId="6963FFE6" w14:textId="77777777" w:rsidR="00B67C49" w:rsidRDefault="00000000">
      <w:pPr>
        <w:widowControl/>
        <w:spacing w:after="240"/>
        <w:jc w:val="left"/>
        <w:rPr>
          <w:rFonts w:asciiTheme="minorEastAsia" w:hAnsiTheme="minorEastAsia" w:cs="Times New Roman"/>
          <w:bCs/>
          <w:sz w:val="24"/>
          <w:szCs w:val="24"/>
        </w:rPr>
      </w:pPr>
      <w:r>
        <w:rPr>
          <w:rFonts w:asciiTheme="minorEastAsia" w:hAnsiTheme="minorEastAsia" w:cs="Times New Roman" w:hint="eastAsia"/>
          <w:bCs/>
          <w:sz w:val="24"/>
          <w:szCs w:val="24"/>
        </w:rPr>
        <w:t>注：本基金的业绩比较基准为：沪深</w:t>
      </w:r>
      <w:r>
        <w:rPr>
          <w:rFonts w:asciiTheme="minorEastAsia" w:hAnsiTheme="minorEastAsia" w:cs="Times New Roman"/>
          <w:bCs/>
          <w:sz w:val="24"/>
          <w:szCs w:val="24"/>
        </w:rPr>
        <w:t>300指数收益率×70%+中</w:t>
      </w:r>
      <w:proofErr w:type="gramStart"/>
      <w:r>
        <w:rPr>
          <w:rFonts w:asciiTheme="minorEastAsia" w:hAnsiTheme="minorEastAsia" w:cs="Times New Roman" w:hint="eastAsia"/>
          <w:bCs/>
          <w:sz w:val="24"/>
          <w:szCs w:val="24"/>
        </w:rPr>
        <w:t>债综合</w:t>
      </w:r>
      <w:proofErr w:type="gramEnd"/>
      <w:r>
        <w:rPr>
          <w:rFonts w:asciiTheme="minorEastAsia" w:hAnsiTheme="minorEastAsia" w:cs="Times New Roman" w:hint="eastAsia"/>
          <w:bCs/>
          <w:sz w:val="24"/>
          <w:szCs w:val="24"/>
        </w:rPr>
        <w:t>指数收益率×</w:t>
      </w:r>
      <w:r>
        <w:rPr>
          <w:rFonts w:asciiTheme="minorEastAsia" w:hAnsiTheme="minorEastAsia" w:cs="Times New Roman"/>
          <w:bCs/>
          <w:sz w:val="24"/>
          <w:szCs w:val="24"/>
        </w:rPr>
        <w:t>30% </w:t>
      </w:r>
    </w:p>
    <w:p w14:paraId="3C5D1729" w14:textId="77777777" w:rsidR="00B67C49"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bCs/>
          <w:kern w:val="2"/>
        </w:rPr>
        <w:t xml:space="preserve">2、 </w:t>
      </w:r>
      <w:r>
        <w:rPr>
          <w:rFonts w:asciiTheme="minorEastAsia" w:eastAsiaTheme="minorEastAsia" w:hAnsiTheme="minorEastAsia" w:cs="Times New Roman" w:hint="eastAsia"/>
          <w:bCs/>
          <w:kern w:val="2"/>
        </w:rPr>
        <w:t>自基金合同生效以来基金累计净值增长率变动及其与同期业绩比较基准收益率变动的比较</w:t>
      </w:r>
    </w:p>
    <w:p w14:paraId="5A4E5C5B" w14:textId="77777777" w:rsidR="00B67C49" w:rsidRDefault="00000000">
      <w:pPr>
        <w:pStyle w:val="biaogeleft"/>
      </w:pPr>
      <w:r>
        <w:rPr>
          <w:rFonts w:hAnsi="等线"/>
          <w:noProof/>
          <w:color w:val="000000"/>
        </w:rPr>
        <w:lastRenderedPageBreak/>
        <w:drawing>
          <wp:inline distT="0" distB="0" distL="0" distR="0" wp14:anchorId="0ED378C2" wp14:editId="61CC68BE">
            <wp:extent cx="5429885" cy="35274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a:xfrm>
                      <a:off x="0" y="0"/>
                      <a:ext cx="5429885" cy="3527425"/>
                    </a:xfrm>
                    <a:prstGeom prst="rect">
                      <a:avLst/>
                    </a:prstGeom>
                    <a:noFill/>
                    <a:ln>
                      <a:noFill/>
                    </a:ln>
                  </pic:spPr>
                </pic:pic>
              </a:graphicData>
            </a:graphic>
          </wp:inline>
        </w:drawing>
      </w:r>
    </w:p>
    <w:p w14:paraId="0B39EE72" w14:textId="77777777" w:rsidR="00B67C49" w:rsidRDefault="00000000">
      <w:pPr>
        <w:pStyle w:val="biaogeleft"/>
      </w:pPr>
      <w:r>
        <w:rPr>
          <w:rFonts w:hAnsi="等线"/>
          <w:noProof/>
          <w:color w:val="000000"/>
        </w:rPr>
        <w:drawing>
          <wp:inline distT="0" distB="0" distL="0" distR="0" wp14:anchorId="79DB18B0" wp14:editId="654F05B5">
            <wp:extent cx="5429885" cy="35274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a:xfrm>
                      <a:off x="0" y="0"/>
                      <a:ext cx="5429885" cy="3527425"/>
                    </a:xfrm>
                    <a:prstGeom prst="rect">
                      <a:avLst/>
                    </a:prstGeom>
                    <a:noFill/>
                    <a:ln>
                      <a:noFill/>
                    </a:ln>
                  </pic:spPr>
                </pic:pic>
              </a:graphicData>
            </a:graphic>
          </wp:inline>
        </w:drawing>
      </w:r>
    </w:p>
    <w:p w14:paraId="487D47A8" w14:textId="77777777" w:rsidR="00B67C49" w:rsidRDefault="00000000">
      <w:pPr>
        <w:spacing w:line="360" w:lineRule="auto"/>
        <w:rPr>
          <w:rFonts w:asciiTheme="minorEastAsia" w:hAnsiTheme="minorEastAsia" w:cs="Times New Roman"/>
          <w:bCs/>
          <w:sz w:val="24"/>
          <w:szCs w:val="24"/>
        </w:rPr>
      </w:pPr>
      <w:r>
        <w:rPr>
          <w:rFonts w:asciiTheme="minorEastAsia" w:hAnsiTheme="minorEastAsia" w:cs="Times New Roman" w:hint="eastAsia"/>
          <w:bCs/>
          <w:sz w:val="24"/>
          <w:szCs w:val="24"/>
        </w:rPr>
        <w:t>注：本基金的建仓期为</w:t>
      </w:r>
      <w:r>
        <w:rPr>
          <w:rFonts w:asciiTheme="minorEastAsia" w:hAnsiTheme="minorEastAsia" w:cs="Times New Roman"/>
          <w:bCs/>
          <w:sz w:val="24"/>
          <w:szCs w:val="24"/>
        </w:rPr>
        <w:t>6个月，建仓期结束时各项资产配置比例符合合同约定。</w:t>
      </w:r>
    </w:p>
    <w:p w14:paraId="0932D35F" w14:textId="77777777" w:rsidR="00B67C49" w:rsidRDefault="00000000">
      <w:pPr>
        <w:pStyle w:val="1"/>
        <w:jc w:val="center"/>
        <w:rPr>
          <w:sz w:val="30"/>
          <w:szCs w:val="30"/>
        </w:rPr>
      </w:pPr>
      <w:bookmarkStart w:id="225" w:name="_Toc416264546"/>
      <w:bookmarkStart w:id="226" w:name="_Toc119568466"/>
      <w:bookmarkStart w:id="227" w:name="_Toc68266297"/>
      <w:bookmarkStart w:id="228" w:name="_Toc2255"/>
      <w:bookmarkStart w:id="229" w:name="_Toc26383"/>
      <w:bookmarkStart w:id="230" w:name="_Toc123102458"/>
      <w:bookmarkStart w:id="231" w:name="_Toc22674"/>
      <w:bookmarkStart w:id="232" w:name="_Toc352229757"/>
      <w:bookmarkStart w:id="233" w:name="_Toc14725"/>
      <w:bookmarkStart w:id="234" w:name="_Toc141703891"/>
      <w:bookmarkStart w:id="235" w:name="_Toc21886"/>
      <w:bookmarkStart w:id="236" w:name="_Toc123112239"/>
      <w:bookmarkStart w:id="237" w:name="_Toc31469"/>
      <w:bookmarkStart w:id="238" w:name="_Toc16789"/>
      <w:bookmarkStart w:id="239" w:name="_Toc19520"/>
      <w:bookmarkStart w:id="240" w:name="_Toc48649710"/>
      <w:bookmarkStart w:id="241" w:name="_Toc26084"/>
      <w:bookmarkStart w:id="242" w:name="_Toc123051457"/>
      <w:bookmarkStart w:id="243" w:name="_Toc79392624"/>
      <w:bookmarkStart w:id="244" w:name="_Toc26152"/>
      <w:bookmarkStart w:id="245" w:name="_Toc3244"/>
      <w:bookmarkStart w:id="246" w:name="_Toc139991741"/>
      <w:bookmarkStart w:id="247" w:name="_Toc98560357"/>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Fonts w:hint="eastAsia"/>
          <w:sz w:val="30"/>
          <w:szCs w:val="30"/>
        </w:rPr>
        <w:t>第十部分</w:t>
      </w:r>
      <w:r>
        <w:rPr>
          <w:sz w:val="30"/>
          <w:szCs w:val="30"/>
        </w:rPr>
        <w:t xml:space="preserve">  </w:t>
      </w:r>
      <w:r>
        <w:rPr>
          <w:rFonts w:hint="eastAsia"/>
          <w:sz w:val="30"/>
          <w:szCs w:val="30"/>
        </w:rPr>
        <w:t>基金的财产</w:t>
      </w:r>
      <w:bookmarkEnd w:id="225"/>
      <w:bookmarkEnd w:id="226"/>
      <w:bookmarkEnd w:id="227"/>
    </w:p>
    <w:p w14:paraId="7DE3A718" w14:textId="77777777" w:rsidR="00B67C49" w:rsidRDefault="00000000">
      <w:pPr>
        <w:autoSpaceDE w:val="0"/>
        <w:autoSpaceDN w:val="0"/>
        <w:spacing w:line="360" w:lineRule="auto"/>
        <w:ind w:firstLineChars="200" w:firstLine="480"/>
        <w:textAlignment w:val="bottom"/>
        <w:rPr>
          <w:bCs/>
          <w:sz w:val="24"/>
        </w:rPr>
      </w:pPr>
      <w:bookmarkStart w:id="248" w:name="_Toc214873600"/>
      <w:bookmarkStart w:id="249" w:name="_Toc263092319"/>
      <w:bookmarkStart w:id="250" w:name="_Toc416264547"/>
      <w:bookmarkStart w:id="251" w:name="_Toc3872"/>
      <w:bookmarkStart w:id="252" w:name="_Toc16437"/>
      <w:bookmarkStart w:id="253" w:name="_Toc578"/>
      <w:bookmarkStart w:id="254" w:name="_Toc352229758"/>
      <w:bookmarkStart w:id="255" w:name="_Toc801"/>
      <w:bookmarkStart w:id="256" w:name="_Toc21917"/>
      <w:bookmarkStart w:id="257" w:name="_Toc13343"/>
      <w:bookmarkStart w:id="258" w:name="_Toc11395"/>
      <w:bookmarkStart w:id="259" w:name="_Toc2981"/>
      <w:bookmarkStart w:id="260" w:name="_Toc11351"/>
      <w:bookmarkStart w:id="261" w:name="_Toc22538"/>
      <w:bookmarkStart w:id="262" w:name="_Toc547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hint="eastAsia"/>
          <w:bCs/>
          <w:sz w:val="24"/>
        </w:rPr>
        <w:t>一、基金资产总值</w:t>
      </w:r>
    </w:p>
    <w:p w14:paraId="218E3DC7"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基金资产总值是指基金拥有的各类有价证券、银行存款本息、基金应收款项及其他资产的价值总和。</w:t>
      </w:r>
    </w:p>
    <w:p w14:paraId="68E4D115" w14:textId="77777777" w:rsidR="00B67C49" w:rsidRDefault="00000000">
      <w:pPr>
        <w:autoSpaceDE w:val="0"/>
        <w:autoSpaceDN w:val="0"/>
        <w:spacing w:line="360" w:lineRule="auto"/>
        <w:ind w:firstLineChars="200" w:firstLine="480"/>
        <w:textAlignment w:val="bottom"/>
        <w:rPr>
          <w:bCs/>
          <w:sz w:val="24"/>
        </w:rPr>
      </w:pPr>
      <w:r>
        <w:rPr>
          <w:rFonts w:hint="eastAsia"/>
          <w:bCs/>
          <w:sz w:val="24"/>
        </w:rPr>
        <w:lastRenderedPageBreak/>
        <w:t>二、基金资产净值</w:t>
      </w:r>
    </w:p>
    <w:p w14:paraId="2D361202"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基金资产净值是指基金资产总值减去基金负债后的价值。</w:t>
      </w:r>
    </w:p>
    <w:p w14:paraId="0E5DA87A"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三、基金财产的账户</w:t>
      </w:r>
    </w:p>
    <w:p w14:paraId="3A150A51"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54398F87"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四、基金财产的保管和处分</w:t>
      </w:r>
    </w:p>
    <w:p w14:paraId="3F442089"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w:t>
      </w:r>
      <w:proofErr w:type="gramStart"/>
      <w:r>
        <w:rPr>
          <w:rFonts w:hint="eastAsia"/>
          <w:bCs/>
          <w:sz w:val="24"/>
        </w:rPr>
        <w:t>律法规</w:t>
      </w:r>
      <w:proofErr w:type="gramEnd"/>
      <w:r>
        <w:rPr>
          <w:rFonts w:hint="eastAsia"/>
          <w:bCs/>
          <w:sz w:val="24"/>
        </w:rPr>
        <w:t>和《基金合同》的规定处分外，基金财产不得被处分。</w:t>
      </w:r>
    </w:p>
    <w:p w14:paraId="33A0F03A"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hint="eastAsia"/>
          <w:bCs/>
          <w:sz w:val="24"/>
        </w:rPr>
        <w:t>抵销</w:t>
      </w:r>
      <w:proofErr w:type="gramEnd"/>
      <w:r>
        <w:rPr>
          <w:rFonts w:hint="eastAsia"/>
          <w:bCs/>
          <w:sz w:val="24"/>
        </w:rPr>
        <w:t>；基金管理人管理运作不同基金的基金财产所产生的债权债务不得相互</w:t>
      </w:r>
      <w:proofErr w:type="gramStart"/>
      <w:r>
        <w:rPr>
          <w:rFonts w:hint="eastAsia"/>
          <w:bCs/>
          <w:sz w:val="24"/>
        </w:rPr>
        <w:t>抵销</w:t>
      </w:r>
      <w:proofErr w:type="gramEnd"/>
      <w:r>
        <w:rPr>
          <w:rFonts w:hint="eastAsia"/>
          <w:bCs/>
          <w:sz w:val="24"/>
        </w:rPr>
        <w:t>。非因基金财产本身承担的债务，不得对基金财产强制执行。</w:t>
      </w:r>
    </w:p>
    <w:p w14:paraId="402CAD59" w14:textId="77777777" w:rsidR="00B67C49" w:rsidRDefault="00000000">
      <w:pPr>
        <w:widowControl/>
        <w:jc w:val="left"/>
        <w:rPr>
          <w:bCs/>
          <w:sz w:val="24"/>
        </w:rPr>
      </w:pPr>
      <w:r>
        <w:rPr>
          <w:bCs/>
          <w:sz w:val="24"/>
        </w:rPr>
        <w:br w:type="page"/>
      </w:r>
    </w:p>
    <w:p w14:paraId="0D0305BA" w14:textId="77777777" w:rsidR="00B67C49" w:rsidRDefault="00000000">
      <w:pPr>
        <w:pStyle w:val="1"/>
        <w:jc w:val="center"/>
        <w:rPr>
          <w:sz w:val="30"/>
          <w:szCs w:val="30"/>
        </w:rPr>
      </w:pPr>
      <w:bookmarkStart w:id="263" w:name="_Toc68266298"/>
      <w:bookmarkStart w:id="264" w:name="_Toc119568467"/>
      <w:r>
        <w:rPr>
          <w:rFonts w:hint="eastAsia"/>
          <w:sz w:val="30"/>
          <w:szCs w:val="30"/>
        </w:rPr>
        <w:lastRenderedPageBreak/>
        <w:t>第十一部分</w:t>
      </w:r>
      <w:r>
        <w:rPr>
          <w:sz w:val="30"/>
          <w:szCs w:val="30"/>
        </w:rPr>
        <w:t xml:space="preserve">  </w:t>
      </w:r>
      <w:r>
        <w:rPr>
          <w:rFonts w:hint="eastAsia"/>
          <w:sz w:val="30"/>
          <w:szCs w:val="30"/>
        </w:rPr>
        <w:t>基金资产的估值</w:t>
      </w:r>
      <w:bookmarkEnd w:id="248"/>
      <w:bookmarkEnd w:id="249"/>
      <w:bookmarkEnd w:id="250"/>
      <w:bookmarkEnd w:id="263"/>
      <w:bookmarkEnd w:id="264"/>
    </w:p>
    <w:p w14:paraId="47FF749B" w14:textId="77777777" w:rsidR="00B67C49" w:rsidRDefault="00000000">
      <w:pPr>
        <w:autoSpaceDE w:val="0"/>
        <w:autoSpaceDN w:val="0"/>
        <w:spacing w:line="360" w:lineRule="auto"/>
        <w:ind w:firstLineChars="200" w:firstLine="482"/>
        <w:textAlignment w:val="bottom"/>
        <w:rPr>
          <w:b/>
          <w:bCs/>
          <w:sz w:val="24"/>
        </w:rPr>
      </w:pPr>
      <w:r>
        <w:rPr>
          <w:rFonts w:hint="eastAsia"/>
          <w:b/>
          <w:bCs/>
          <w:sz w:val="24"/>
        </w:rPr>
        <w:t>一、估值日</w:t>
      </w:r>
    </w:p>
    <w:p w14:paraId="2E29357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本基金的估值日为本基金相关的证券、期货交易场所的交易日以及国家法律法规规定需要对外披露基金净值的</w:t>
      </w:r>
      <w:proofErr w:type="gramStart"/>
      <w:r>
        <w:rPr>
          <w:rFonts w:hint="eastAsia"/>
          <w:bCs/>
          <w:sz w:val="24"/>
        </w:rPr>
        <w:t>非交易</w:t>
      </w:r>
      <w:proofErr w:type="gramEnd"/>
      <w:r>
        <w:rPr>
          <w:rFonts w:hint="eastAsia"/>
          <w:bCs/>
          <w:sz w:val="24"/>
        </w:rPr>
        <w:t>日。</w:t>
      </w:r>
    </w:p>
    <w:p w14:paraId="7DF46021" w14:textId="77777777" w:rsidR="00B67C49" w:rsidRDefault="00000000">
      <w:pPr>
        <w:autoSpaceDE w:val="0"/>
        <w:autoSpaceDN w:val="0"/>
        <w:spacing w:line="360" w:lineRule="auto"/>
        <w:ind w:firstLineChars="200" w:firstLine="482"/>
        <w:textAlignment w:val="bottom"/>
        <w:rPr>
          <w:b/>
          <w:bCs/>
          <w:sz w:val="24"/>
        </w:rPr>
      </w:pPr>
      <w:r>
        <w:rPr>
          <w:rFonts w:hint="eastAsia"/>
          <w:b/>
          <w:bCs/>
          <w:sz w:val="24"/>
        </w:rPr>
        <w:t>二、估值对象</w:t>
      </w:r>
    </w:p>
    <w:p w14:paraId="2318CCA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基金所拥有的股票、存托凭证、股指期货合约、国债期货合约、债券和银行存款本息、资产支持证券、应收款项、其它投资、股票期权合约等资产及负债。</w:t>
      </w:r>
    </w:p>
    <w:p w14:paraId="096FBD1F" w14:textId="77777777" w:rsidR="00B67C49" w:rsidRDefault="00000000">
      <w:pPr>
        <w:autoSpaceDE w:val="0"/>
        <w:autoSpaceDN w:val="0"/>
        <w:spacing w:line="360" w:lineRule="auto"/>
        <w:ind w:firstLineChars="200" w:firstLine="482"/>
        <w:textAlignment w:val="bottom"/>
        <w:rPr>
          <w:b/>
          <w:bCs/>
          <w:sz w:val="24"/>
        </w:rPr>
      </w:pPr>
      <w:r>
        <w:rPr>
          <w:rFonts w:hint="eastAsia"/>
          <w:b/>
          <w:bCs/>
          <w:sz w:val="24"/>
        </w:rPr>
        <w:t>三、估值原则</w:t>
      </w:r>
    </w:p>
    <w:p w14:paraId="1EB7064F"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基金管理人在确定相关金融资产和金融负债的公允价值时，应符合《企业会计准则》、监管部门有关规定。</w:t>
      </w:r>
    </w:p>
    <w:p w14:paraId="6E79D971"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397AE99"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D1208CF"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7E8D64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7A702233" w14:textId="77777777" w:rsidR="00B67C49" w:rsidRDefault="00000000">
      <w:pPr>
        <w:autoSpaceDE w:val="0"/>
        <w:autoSpaceDN w:val="0"/>
        <w:spacing w:line="360" w:lineRule="auto"/>
        <w:ind w:firstLineChars="200" w:firstLine="482"/>
        <w:textAlignment w:val="bottom"/>
        <w:rPr>
          <w:b/>
          <w:bCs/>
          <w:sz w:val="24"/>
        </w:rPr>
      </w:pPr>
      <w:r>
        <w:rPr>
          <w:rFonts w:hint="eastAsia"/>
          <w:b/>
          <w:bCs/>
          <w:sz w:val="24"/>
        </w:rPr>
        <w:t>四、估值方法</w:t>
      </w:r>
    </w:p>
    <w:p w14:paraId="3ADCED4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、证券交易所上市的有价证券的估值</w:t>
      </w:r>
    </w:p>
    <w:p w14:paraId="48875BE3" w14:textId="77777777" w:rsidR="00B67C49" w:rsidRDefault="00000000">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BDCFBEB"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37B921CA"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54521DCB"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）交易所上市交易的可转换债券以每日收盘价作为估值全价；</w:t>
      </w:r>
    </w:p>
    <w:p w14:paraId="6D4DE5A9"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r>
        <w:rPr>
          <w:bCs/>
          <w:sz w:val="24"/>
        </w:rPr>
        <w:t>；</w:t>
      </w:r>
    </w:p>
    <w:p w14:paraId="60707A5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611E51F"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、处于未上市期间的有价证券应区分如下情况处理：</w:t>
      </w:r>
    </w:p>
    <w:p w14:paraId="078FB2BA"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2EC84298"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）首次公开发行未上市的股票、债券，采用估值技术确定公允价值，在估值技术难以可靠计量公允价值的情况下，按成本估值；</w:t>
      </w:r>
    </w:p>
    <w:p w14:paraId="53AF7D76" w14:textId="77777777" w:rsidR="00B67C49" w:rsidRDefault="00000000">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3</w:t>
      </w:r>
      <w:r>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0E6CF33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、全国银行间债券市场交易的债券、资产支持证券等固定收益品种，以第三方估值机构提供的价格数据估值。</w:t>
      </w:r>
    </w:p>
    <w:p w14:paraId="04BAFBD8" w14:textId="77777777" w:rsidR="00B67C49"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、同一证券同时在两个或两个以上市场交易的，按证券所处的市场分别估值。</w:t>
      </w:r>
    </w:p>
    <w:p w14:paraId="145C3AC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、本基金投资国债期货合约、股指期货合约、股票期权合约，一般以估值当日结算价进行估值，估值当日无结算价的，且最近交易日后经济环境未发生重大变化的，采用最近交易日结算价估值。</w:t>
      </w:r>
    </w:p>
    <w:p w14:paraId="3148A031" w14:textId="77777777" w:rsidR="00B67C49" w:rsidRDefault="00000000">
      <w:pPr>
        <w:autoSpaceDE w:val="0"/>
        <w:autoSpaceDN w:val="0"/>
        <w:spacing w:line="360" w:lineRule="auto"/>
        <w:ind w:firstLineChars="200" w:firstLine="480"/>
        <w:textAlignment w:val="bottom"/>
        <w:rPr>
          <w:bCs/>
          <w:sz w:val="24"/>
        </w:rPr>
      </w:pPr>
      <w:r>
        <w:rPr>
          <w:bCs/>
          <w:sz w:val="24"/>
        </w:rPr>
        <w:t>6</w:t>
      </w:r>
      <w:r>
        <w:rPr>
          <w:rFonts w:hint="eastAsia"/>
          <w:bCs/>
          <w:sz w:val="24"/>
        </w:rPr>
        <w:t>、本基金投资存托凭证的估值核算，依照境内上市交易的股票执行。</w:t>
      </w:r>
    </w:p>
    <w:p w14:paraId="4A3649D9" w14:textId="77777777" w:rsidR="00B67C49" w:rsidRDefault="00000000">
      <w:pPr>
        <w:autoSpaceDE w:val="0"/>
        <w:autoSpaceDN w:val="0"/>
        <w:spacing w:line="360" w:lineRule="auto"/>
        <w:ind w:firstLineChars="200" w:firstLine="480"/>
        <w:textAlignment w:val="bottom"/>
        <w:rPr>
          <w:bCs/>
          <w:sz w:val="24"/>
        </w:rPr>
      </w:pPr>
      <w:r>
        <w:rPr>
          <w:bCs/>
          <w:sz w:val="24"/>
        </w:rPr>
        <w:t>7</w:t>
      </w:r>
      <w:r>
        <w:rPr>
          <w:rFonts w:hint="eastAsia"/>
          <w:bCs/>
          <w:sz w:val="24"/>
        </w:rPr>
        <w:t>、其他资产按法律法规或监管机构有关规定进行估值。</w:t>
      </w:r>
    </w:p>
    <w:p w14:paraId="1FBBDFB4" w14:textId="77777777" w:rsidR="00B67C49" w:rsidRDefault="00000000">
      <w:pPr>
        <w:autoSpaceDE w:val="0"/>
        <w:autoSpaceDN w:val="0"/>
        <w:spacing w:line="360" w:lineRule="auto"/>
        <w:ind w:firstLineChars="200" w:firstLine="480"/>
        <w:textAlignment w:val="bottom"/>
        <w:rPr>
          <w:bCs/>
          <w:sz w:val="24"/>
        </w:rPr>
      </w:pPr>
      <w:r>
        <w:rPr>
          <w:bCs/>
          <w:sz w:val="24"/>
        </w:rPr>
        <w:t>8</w:t>
      </w:r>
      <w:r>
        <w:rPr>
          <w:rFonts w:hint="eastAsia"/>
          <w:bCs/>
          <w:sz w:val="24"/>
        </w:rPr>
        <w:t>、如有确凿证据表明按上述方法进行估值不能客观反映其公允价值的，基金管理人可根据具体情况与基金托管人商定后，按最能反映公允价值的方法估值。</w:t>
      </w:r>
    </w:p>
    <w:p w14:paraId="0581B604" w14:textId="77777777" w:rsidR="00B67C49" w:rsidRDefault="00000000">
      <w:pPr>
        <w:autoSpaceDE w:val="0"/>
        <w:autoSpaceDN w:val="0"/>
        <w:spacing w:line="360" w:lineRule="auto"/>
        <w:ind w:firstLineChars="200" w:firstLine="480"/>
        <w:textAlignment w:val="bottom"/>
        <w:rPr>
          <w:bCs/>
          <w:sz w:val="24"/>
        </w:rPr>
      </w:pPr>
      <w:r>
        <w:rPr>
          <w:bCs/>
          <w:sz w:val="24"/>
        </w:rPr>
        <w:t>9</w:t>
      </w:r>
      <w:r>
        <w:rPr>
          <w:rFonts w:hint="eastAsia"/>
          <w:bCs/>
          <w:sz w:val="24"/>
        </w:rPr>
        <w:t>、当本基金发生大额申购或赎回情形时，基金管理人可以对本基金采用摆动定价机制，以确保基金估值的公平性。</w:t>
      </w:r>
    </w:p>
    <w:p w14:paraId="5C305EB7" w14:textId="77777777" w:rsidR="00B67C49" w:rsidRDefault="00000000">
      <w:pPr>
        <w:autoSpaceDE w:val="0"/>
        <w:autoSpaceDN w:val="0"/>
        <w:spacing w:line="360" w:lineRule="auto"/>
        <w:ind w:firstLineChars="200" w:firstLine="480"/>
        <w:textAlignment w:val="bottom"/>
        <w:rPr>
          <w:bCs/>
          <w:sz w:val="24"/>
        </w:rPr>
      </w:pPr>
      <w:r>
        <w:rPr>
          <w:bCs/>
          <w:sz w:val="24"/>
        </w:rPr>
        <w:t>10</w:t>
      </w:r>
      <w:r>
        <w:rPr>
          <w:rFonts w:hint="eastAsia"/>
          <w:bCs/>
          <w:sz w:val="24"/>
        </w:rPr>
        <w:t>、相关法律法规以及监管部门有强制规定的，从其规定。如有新增事项，按国家最新规定估值。</w:t>
      </w:r>
    </w:p>
    <w:p w14:paraId="46AE733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D86CB9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根据有关法律法规，基金资产净值计算和基金会计核算的义务由基金管理人承担，基金托管人承担复核责任。本基金的基金会计</w:t>
      </w:r>
      <w:proofErr w:type="gramStart"/>
      <w:r>
        <w:rPr>
          <w:rFonts w:hint="eastAsia"/>
          <w:bCs/>
          <w:sz w:val="24"/>
        </w:rPr>
        <w:t>主责任</w:t>
      </w:r>
      <w:proofErr w:type="gramEnd"/>
      <w:r>
        <w:rPr>
          <w:rFonts w:hint="eastAsia"/>
          <w:bCs/>
          <w:sz w:val="24"/>
        </w:rPr>
        <w:t>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14:paraId="273C3133" w14:textId="77777777" w:rsidR="00B67C49" w:rsidRDefault="00000000">
      <w:pPr>
        <w:autoSpaceDE w:val="0"/>
        <w:autoSpaceDN w:val="0"/>
        <w:spacing w:line="360" w:lineRule="auto"/>
        <w:ind w:firstLineChars="200" w:firstLine="482"/>
        <w:textAlignment w:val="bottom"/>
        <w:rPr>
          <w:b/>
          <w:bCs/>
          <w:sz w:val="24"/>
        </w:rPr>
      </w:pPr>
      <w:r>
        <w:rPr>
          <w:rFonts w:hint="eastAsia"/>
          <w:b/>
          <w:bCs/>
          <w:sz w:val="24"/>
        </w:rPr>
        <w:t>五、估值程序</w:t>
      </w:r>
    </w:p>
    <w:p w14:paraId="4B383BDB"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、各类基金份额净值是按照每个工作日闭市后，该类基金资产净值除以当日</w:t>
      </w:r>
      <w:r>
        <w:rPr>
          <w:rFonts w:hint="eastAsia"/>
          <w:bCs/>
          <w:sz w:val="24"/>
        </w:rPr>
        <w:lastRenderedPageBreak/>
        <w:t>该类基金份额的余额数量计算，精确到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位四舍五入，由此产生的收益或损失由基金财产承担。基金管理人可以设立大额赎回情形下的净值精度应急调整机制。国家另有规定的，从其规定。</w:t>
      </w:r>
    </w:p>
    <w:p w14:paraId="475D2197"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基金管理人每个工作日计算基金资产净值及各类基金份额净值，经基金托管人复核，并按规定公告。</w:t>
      </w:r>
    </w:p>
    <w:p w14:paraId="5ADE804F"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14:paraId="24ED4A77" w14:textId="77777777" w:rsidR="00B67C49" w:rsidRDefault="00000000">
      <w:pPr>
        <w:autoSpaceDE w:val="0"/>
        <w:autoSpaceDN w:val="0"/>
        <w:spacing w:line="360" w:lineRule="auto"/>
        <w:ind w:firstLineChars="200" w:firstLine="482"/>
        <w:textAlignment w:val="bottom"/>
        <w:rPr>
          <w:b/>
          <w:bCs/>
          <w:sz w:val="24"/>
        </w:rPr>
      </w:pPr>
      <w:r>
        <w:rPr>
          <w:rFonts w:hint="eastAsia"/>
          <w:b/>
          <w:bCs/>
          <w:sz w:val="24"/>
        </w:rPr>
        <w:t>六、估值错误的处理</w:t>
      </w:r>
    </w:p>
    <w:p w14:paraId="3E4E830F"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基金管理人和基金托管人将采取必要、适当、合理的措施确保基金资产估值的准确性、及时性。当任一类基金份额净值小数点后</w:t>
      </w:r>
      <w:r>
        <w:rPr>
          <w:rFonts w:hint="eastAsia"/>
          <w:bCs/>
          <w:sz w:val="24"/>
        </w:rPr>
        <w:t>4</w:t>
      </w:r>
      <w:r>
        <w:rPr>
          <w:rFonts w:hint="eastAsia"/>
          <w:bCs/>
          <w:sz w:val="24"/>
        </w:rPr>
        <w:t>位以内</w:t>
      </w:r>
      <w:r>
        <w:rPr>
          <w:rFonts w:hint="eastAsia"/>
          <w:bCs/>
          <w:sz w:val="24"/>
        </w:rPr>
        <w:t>(</w:t>
      </w:r>
      <w:r>
        <w:rPr>
          <w:rFonts w:hint="eastAsia"/>
          <w:bCs/>
          <w:sz w:val="24"/>
        </w:rPr>
        <w:t>含第</w:t>
      </w:r>
      <w:r>
        <w:rPr>
          <w:rFonts w:hint="eastAsia"/>
          <w:bCs/>
          <w:sz w:val="24"/>
        </w:rPr>
        <w:t>4</w:t>
      </w:r>
      <w:r>
        <w:rPr>
          <w:rFonts w:hint="eastAsia"/>
          <w:bCs/>
          <w:sz w:val="24"/>
        </w:rPr>
        <w:t>位</w:t>
      </w:r>
      <w:r>
        <w:rPr>
          <w:rFonts w:hint="eastAsia"/>
          <w:bCs/>
          <w:sz w:val="24"/>
        </w:rPr>
        <w:t>)</w:t>
      </w:r>
      <w:r>
        <w:rPr>
          <w:rFonts w:hint="eastAsia"/>
          <w:bCs/>
          <w:sz w:val="24"/>
        </w:rPr>
        <w:t>发生估值错误时，视为该类基金份额净值错误。</w:t>
      </w:r>
    </w:p>
    <w:p w14:paraId="6506A96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基金合同的当事人应按照以下约定处理：</w:t>
      </w:r>
    </w:p>
    <w:p w14:paraId="4B9D647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、估值错误类型</w:t>
      </w:r>
    </w:p>
    <w:p w14:paraId="70238B08"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本基金运作过程中，如果由于基金管理人或基金托管人、或登记机构、或证券经纪机构、或销售机构、或投资人自身的过错造成估值错误，导致其他当事人遭受损失的，过错的责任人应当对由于该估值错误遭受损失当事人</w:t>
      </w:r>
      <w:r>
        <w:rPr>
          <w:rFonts w:hint="eastAsia"/>
          <w:bCs/>
          <w:sz w:val="24"/>
        </w:rPr>
        <w:t>(</w:t>
      </w:r>
      <w:r>
        <w:rPr>
          <w:rFonts w:hint="eastAsia"/>
          <w:bCs/>
          <w:sz w:val="24"/>
        </w:rPr>
        <w:t>“受损方”</w:t>
      </w:r>
      <w:r>
        <w:rPr>
          <w:rFonts w:hint="eastAsia"/>
          <w:bCs/>
          <w:sz w:val="24"/>
        </w:rPr>
        <w:t>)</w:t>
      </w:r>
      <w:r>
        <w:rPr>
          <w:rFonts w:hint="eastAsia"/>
          <w:bCs/>
          <w:sz w:val="24"/>
        </w:rPr>
        <w:t>的直接损失按下述“估值错误处理原则”给予赔偿，承担赔偿责任。</w:t>
      </w:r>
    </w:p>
    <w:p w14:paraId="1E99AA6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上述估值错误的主要类型包括但不限于：资料申报差错、数据传输差错、数据计算差错、系统故障差错、下达指令差错等。</w:t>
      </w:r>
    </w:p>
    <w:p w14:paraId="082A9B2B"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、估值错误处理原则</w:t>
      </w:r>
    </w:p>
    <w:p w14:paraId="658F761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BB35143"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）估值错误的责任方对有关当事人的直接损失负责，不对间接损失负责，</w:t>
      </w:r>
      <w:r>
        <w:rPr>
          <w:rFonts w:hint="eastAsia"/>
          <w:bCs/>
          <w:sz w:val="24"/>
        </w:rPr>
        <w:lastRenderedPageBreak/>
        <w:t>并且仅对估值错误的有关直接当事人负责，不对第三方负责。</w:t>
      </w:r>
    </w:p>
    <w:p w14:paraId="3941548D"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返还或不全部返还不当得利造成其他当事人的利益损失</w:t>
      </w:r>
      <w:r>
        <w:rPr>
          <w:rFonts w:hint="eastAsia"/>
          <w:bCs/>
          <w:sz w:val="24"/>
        </w:rPr>
        <w:t>(</w:t>
      </w:r>
      <w:r>
        <w:rPr>
          <w:rFonts w:hint="eastAsia"/>
          <w:bCs/>
          <w:sz w:val="24"/>
        </w:rPr>
        <w:t>“受损方”</w:t>
      </w:r>
      <w:r>
        <w:rPr>
          <w:rFonts w:hint="eastAsia"/>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A557D91"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）估值错误调整采用尽量恢复至假设未发生估值错误的正确情形的方式。</w:t>
      </w:r>
    </w:p>
    <w:p w14:paraId="5CBEDD12" w14:textId="77777777" w:rsidR="00B67C49"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、估值错误处理程序</w:t>
      </w:r>
    </w:p>
    <w:p w14:paraId="2133DAA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估值错误被发现后，有关的当事人应当及时进行处理，处理的程序如下：</w:t>
      </w:r>
    </w:p>
    <w:p w14:paraId="5D56F2DB"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）查明估值错误发生的原因，列明所有的当事人，并根据估值错误发生的原因确定估值错误的责任方；</w:t>
      </w:r>
    </w:p>
    <w:p w14:paraId="6BAFA761"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）根据估值错误处理原则或当事人协商的方法对因估值错误造成的损失进行评估；</w:t>
      </w:r>
    </w:p>
    <w:p w14:paraId="4CB51CB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）根据估值错误处理原则或当事人协商的方法由估值错误的责任方进行更正和赔偿损失；</w:t>
      </w:r>
    </w:p>
    <w:p w14:paraId="5B1A6DD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）根据估值错误处理的方法，需要修改基金份额登记机构交易数据的，由基金份额登记机构进行更正，并就估值错误的更正向有关当事人进行确认。</w:t>
      </w:r>
    </w:p>
    <w:p w14:paraId="1FF5C70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、基金份额净值估值错误处理的方法如下：</w:t>
      </w:r>
    </w:p>
    <w:p w14:paraId="32E00D5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）基金份额净值计算出现错误时，基金管理人应当立即予以纠正，通报基金托管人，并采取合理的措施防止损失进一步扩大。</w:t>
      </w:r>
    </w:p>
    <w:p w14:paraId="586B8662"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）错误偏差达到某类基金份额净值的</w:t>
      </w:r>
      <w:r>
        <w:rPr>
          <w:rFonts w:hint="eastAsia"/>
          <w:bCs/>
          <w:sz w:val="24"/>
        </w:rPr>
        <w:t>0.25%</w:t>
      </w:r>
      <w:r>
        <w:rPr>
          <w:rFonts w:hint="eastAsia"/>
          <w:bCs/>
          <w:sz w:val="24"/>
        </w:rPr>
        <w:t>时，基金管理人应当通报基金托管人并报中国证监会备案；错误偏差达到某类基金份额净值的</w:t>
      </w:r>
      <w:r>
        <w:rPr>
          <w:rFonts w:hint="eastAsia"/>
          <w:bCs/>
          <w:sz w:val="24"/>
        </w:rPr>
        <w:t>0.5%</w:t>
      </w:r>
      <w:r>
        <w:rPr>
          <w:rFonts w:hint="eastAsia"/>
          <w:bCs/>
          <w:sz w:val="24"/>
        </w:rPr>
        <w:t>时，基金管理人应当公告，并报中国证监会备案。</w:t>
      </w:r>
    </w:p>
    <w:p w14:paraId="300F530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）前述内容如法律法规或监管机关另有规定的，从其规定处理。</w:t>
      </w:r>
    </w:p>
    <w:p w14:paraId="56F08C21" w14:textId="77777777" w:rsidR="00B67C49" w:rsidRDefault="00000000">
      <w:pPr>
        <w:autoSpaceDE w:val="0"/>
        <w:autoSpaceDN w:val="0"/>
        <w:spacing w:line="360" w:lineRule="auto"/>
        <w:ind w:firstLineChars="200" w:firstLine="482"/>
        <w:textAlignment w:val="bottom"/>
        <w:rPr>
          <w:b/>
          <w:bCs/>
          <w:sz w:val="24"/>
        </w:rPr>
      </w:pPr>
      <w:r>
        <w:rPr>
          <w:rFonts w:hint="eastAsia"/>
          <w:b/>
          <w:bCs/>
          <w:sz w:val="24"/>
        </w:rPr>
        <w:t>七、暂停估值的情形</w:t>
      </w:r>
    </w:p>
    <w:p w14:paraId="653CB95C"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、基金投资所涉及的证券、期货交易市场遇法定节假日或因其他原因暂停营业时；</w:t>
      </w:r>
    </w:p>
    <w:p w14:paraId="659FE36C" w14:textId="77777777" w:rsidR="00B67C49" w:rsidRDefault="00000000">
      <w:pPr>
        <w:autoSpaceDE w:val="0"/>
        <w:autoSpaceDN w:val="0"/>
        <w:spacing w:line="360" w:lineRule="auto"/>
        <w:ind w:firstLineChars="200" w:firstLine="480"/>
        <w:textAlignment w:val="bottom"/>
        <w:rPr>
          <w:bCs/>
          <w:sz w:val="24"/>
        </w:rPr>
      </w:pPr>
      <w:r>
        <w:rPr>
          <w:rFonts w:hint="eastAsia"/>
          <w:bCs/>
          <w:sz w:val="24"/>
        </w:rPr>
        <w:lastRenderedPageBreak/>
        <w:t>2</w:t>
      </w:r>
      <w:r>
        <w:rPr>
          <w:rFonts w:hint="eastAsia"/>
          <w:bCs/>
          <w:sz w:val="24"/>
        </w:rPr>
        <w:t>、因不可抗力或其他情形致使基金管理人、基金托管人无法准确评估基金资产价值时；</w:t>
      </w:r>
    </w:p>
    <w:p w14:paraId="41E4A0B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以上的，经与基金托管人协商确认后，基金管理人应当暂停基金估值；</w:t>
      </w:r>
    </w:p>
    <w:p w14:paraId="7AF7722F" w14:textId="77777777" w:rsidR="00B67C49"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、法律法规、中国证监会和基金合同认定的其它情形。</w:t>
      </w:r>
    </w:p>
    <w:p w14:paraId="01E47B20" w14:textId="77777777" w:rsidR="00B67C49" w:rsidRDefault="00000000">
      <w:pPr>
        <w:autoSpaceDE w:val="0"/>
        <w:autoSpaceDN w:val="0"/>
        <w:spacing w:line="360" w:lineRule="auto"/>
        <w:ind w:firstLineChars="200" w:firstLine="482"/>
        <w:textAlignment w:val="bottom"/>
        <w:rPr>
          <w:b/>
          <w:bCs/>
          <w:sz w:val="24"/>
        </w:rPr>
      </w:pPr>
      <w:r>
        <w:rPr>
          <w:rFonts w:hint="eastAsia"/>
          <w:b/>
          <w:bCs/>
          <w:sz w:val="24"/>
        </w:rPr>
        <w:t>八、基金净值的确认</w:t>
      </w:r>
    </w:p>
    <w:p w14:paraId="35542C7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793A2FF6" w14:textId="77777777" w:rsidR="00B67C49" w:rsidRDefault="00000000">
      <w:pPr>
        <w:autoSpaceDE w:val="0"/>
        <w:autoSpaceDN w:val="0"/>
        <w:spacing w:line="360" w:lineRule="auto"/>
        <w:ind w:firstLineChars="200" w:firstLine="482"/>
        <w:textAlignment w:val="bottom"/>
        <w:rPr>
          <w:b/>
          <w:bCs/>
          <w:sz w:val="24"/>
        </w:rPr>
      </w:pPr>
      <w:r>
        <w:rPr>
          <w:rFonts w:hint="eastAsia"/>
          <w:b/>
          <w:bCs/>
          <w:sz w:val="24"/>
        </w:rPr>
        <w:t>九、特殊情形的处理</w:t>
      </w:r>
    </w:p>
    <w:p w14:paraId="484EEEB2"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、基金管理人、基金托管人按估值方法的第</w:t>
      </w:r>
      <w:r>
        <w:rPr>
          <w:bCs/>
          <w:sz w:val="24"/>
        </w:rPr>
        <w:t>8</w:t>
      </w:r>
      <w:r>
        <w:rPr>
          <w:rFonts w:hint="eastAsia"/>
          <w:bCs/>
          <w:sz w:val="24"/>
        </w:rPr>
        <w:t>项进行估值时，所造成的误差不作为基金资产估值错误处理。</w:t>
      </w:r>
    </w:p>
    <w:p w14:paraId="17280619"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由于不可抗力原因，或由于证券、期货交易所、证券经纪机构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757EA1FA" w14:textId="77777777" w:rsidR="00B67C49" w:rsidRDefault="00000000">
      <w:pPr>
        <w:autoSpaceDE w:val="0"/>
        <w:autoSpaceDN w:val="0"/>
        <w:spacing w:line="360" w:lineRule="auto"/>
        <w:ind w:firstLineChars="200" w:firstLine="482"/>
        <w:textAlignment w:val="bottom"/>
        <w:rPr>
          <w:b/>
          <w:bCs/>
          <w:sz w:val="24"/>
        </w:rPr>
      </w:pPr>
      <w:r>
        <w:rPr>
          <w:rFonts w:hint="eastAsia"/>
          <w:b/>
          <w:bCs/>
          <w:sz w:val="24"/>
        </w:rPr>
        <w:t>十、实施</w:t>
      </w:r>
      <w:proofErr w:type="gramStart"/>
      <w:r>
        <w:rPr>
          <w:rFonts w:hint="eastAsia"/>
          <w:b/>
          <w:bCs/>
          <w:sz w:val="24"/>
        </w:rPr>
        <w:t>侧袋机制</w:t>
      </w:r>
      <w:proofErr w:type="gramEnd"/>
      <w:r>
        <w:rPr>
          <w:rFonts w:hint="eastAsia"/>
          <w:b/>
          <w:bCs/>
          <w:sz w:val="24"/>
        </w:rPr>
        <w:t>期间的基金资产估值</w:t>
      </w:r>
    </w:p>
    <w:p w14:paraId="1618FD2B"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披露主袋账户</w:t>
      </w:r>
      <w:proofErr w:type="gramEnd"/>
      <w:r>
        <w:rPr>
          <w:rFonts w:hint="eastAsia"/>
          <w:bCs/>
          <w:sz w:val="24"/>
        </w:rPr>
        <w:t>的基金净值信息，暂停</w:t>
      </w:r>
      <w:proofErr w:type="gramStart"/>
      <w:r>
        <w:rPr>
          <w:rFonts w:hint="eastAsia"/>
          <w:bCs/>
          <w:sz w:val="24"/>
        </w:rPr>
        <w:t>披露侧袋账户</w:t>
      </w:r>
      <w:proofErr w:type="gramEnd"/>
      <w:r>
        <w:rPr>
          <w:rFonts w:hint="eastAsia"/>
          <w:bCs/>
          <w:sz w:val="24"/>
        </w:rPr>
        <w:t>的基金净值信息。</w:t>
      </w:r>
    </w:p>
    <w:p w14:paraId="57B50C26" w14:textId="77777777" w:rsidR="00B67C49" w:rsidRDefault="00000000">
      <w:pPr>
        <w:widowControl/>
        <w:jc w:val="left"/>
        <w:rPr>
          <w:bCs/>
          <w:sz w:val="24"/>
        </w:rPr>
      </w:pPr>
      <w:r>
        <w:rPr>
          <w:bCs/>
          <w:sz w:val="24"/>
        </w:rPr>
        <w:br w:type="page"/>
      </w:r>
    </w:p>
    <w:p w14:paraId="579FEA1D" w14:textId="77777777" w:rsidR="00B67C49" w:rsidRDefault="00000000">
      <w:pPr>
        <w:pStyle w:val="1"/>
        <w:jc w:val="center"/>
        <w:rPr>
          <w:sz w:val="30"/>
          <w:szCs w:val="30"/>
        </w:rPr>
      </w:pPr>
      <w:bookmarkStart w:id="265" w:name="_Toc416264548"/>
      <w:bookmarkStart w:id="266" w:name="_Toc68266299"/>
      <w:bookmarkStart w:id="267" w:name="_Toc263092320"/>
      <w:bookmarkStart w:id="268" w:name="_Toc119568468"/>
      <w:bookmarkEnd w:id="251"/>
      <w:bookmarkEnd w:id="252"/>
      <w:bookmarkEnd w:id="253"/>
      <w:bookmarkEnd w:id="254"/>
      <w:bookmarkEnd w:id="255"/>
      <w:bookmarkEnd w:id="256"/>
      <w:bookmarkEnd w:id="257"/>
      <w:bookmarkEnd w:id="258"/>
      <w:bookmarkEnd w:id="259"/>
      <w:bookmarkEnd w:id="260"/>
      <w:bookmarkEnd w:id="261"/>
      <w:bookmarkEnd w:id="262"/>
      <w:r>
        <w:rPr>
          <w:rFonts w:hint="eastAsia"/>
          <w:sz w:val="30"/>
          <w:szCs w:val="30"/>
        </w:rPr>
        <w:lastRenderedPageBreak/>
        <w:t>第十二部分</w:t>
      </w:r>
      <w:r>
        <w:rPr>
          <w:sz w:val="30"/>
          <w:szCs w:val="30"/>
        </w:rPr>
        <w:t xml:space="preserve">  </w:t>
      </w:r>
      <w:r>
        <w:rPr>
          <w:rFonts w:hint="eastAsia"/>
          <w:sz w:val="30"/>
          <w:szCs w:val="30"/>
        </w:rPr>
        <w:t>基金的收益分配</w:t>
      </w:r>
      <w:bookmarkEnd w:id="265"/>
      <w:bookmarkEnd w:id="266"/>
      <w:bookmarkEnd w:id="267"/>
      <w:bookmarkEnd w:id="268"/>
    </w:p>
    <w:p w14:paraId="2CE55259" w14:textId="77777777" w:rsidR="00B67C49" w:rsidRDefault="00000000">
      <w:pPr>
        <w:autoSpaceDE w:val="0"/>
        <w:autoSpaceDN w:val="0"/>
        <w:spacing w:line="360" w:lineRule="auto"/>
        <w:ind w:firstLineChars="200" w:firstLine="480"/>
        <w:textAlignment w:val="bottom"/>
        <w:rPr>
          <w:bCs/>
          <w:sz w:val="24"/>
        </w:rPr>
      </w:pPr>
      <w:bookmarkStart w:id="269" w:name="_Toc416264549"/>
      <w:bookmarkStart w:id="270" w:name="_Toc147463128"/>
      <w:bookmarkStart w:id="271" w:name="_Toc12357181"/>
      <w:bookmarkStart w:id="272" w:name="_Toc21073401"/>
      <w:bookmarkStart w:id="273" w:name="_Toc263092321"/>
      <w:bookmarkStart w:id="274" w:name="_Toc214873602"/>
      <w:bookmarkStart w:id="275" w:name="_Toc17782"/>
      <w:bookmarkStart w:id="276" w:name="_Toc27832"/>
      <w:bookmarkStart w:id="277" w:name="_Toc871"/>
      <w:bookmarkStart w:id="278" w:name="_Toc352229760"/>
      <w:bookmarkStart w:id="279" w:name="_Toc141703894"/>
      <w:bookmarkStart w:id="280" w:name="_Toc2623"/>
      <w:bookmarkStart w:id="281" w:name="_Toc19714"/>
      <w:bookmarkStart w:id="282" w:name="_Toc31917"/>
      <w:bookmarkStart w:id="283" w:name="_Toc7802"/>
      <w:bookmarkStart w:id="284" w:name="_Toc139991744"/>
      <w:r>
        <w:rPr>
          <w:rFonts w:hint="eastAsia"/>
          <w:bCs/>
          <w:sz w:val="24"/>
        </w:rPr>
        <w:t>一、基金利润的构成</w:t>
      </w:r>
    </w:p>
    <w:p w14:paraId="7494E4D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14:paraId="0F1B008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二、基金可供分配利润</w:t>
      </w:r>
    </w:p>
    <w:p w14:paraId="19EF92A9"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基金可供分配利润指截至收益分配基准日基金未分配利润与未分配利润中已实现收益的孰低数。</w:t>
      </w:r>
    </w:p>
    <w:p w14:paraId="16DA148B"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三、基金收益分配原则</w:t>
      </w:r>
    </w:p>
    <w:p w14:paraId="4752E659"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525BB39B"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Pr>
          <w:rFonts w:hint="eastAsia"/>
          <w:bCs/>
          <w:sz w:val="24"/>
        </w:rPr>
        <w:t xml:space="preserve">A </w:t>
      </w:r>
      <w:r>
        <w:rPr>
          <w:rFonts w:hint="eastAsia"/>
          <w:bCs/>
          <w:sz w:val="24"/>
        </w:rPr>
        <w:t>类和</w:t>
      </w:r>
      <w:r>
        <w:rPr>
          <w:rFonts w:hint="eastAsia"/>
          <w:bCs/>
          <w:sz w:val="24"/>
        </w:rPr>
        <w:t>C</w:t>
      </w:r>
      <w:r>
        <w:rPr>
          <w:rFonts w:hint="eastAsia"/>
          <w:bCs/>
          <w:sz w:val="24"/>
        </w:rPr>
        <w:t>类基金份额分别选择不同的分红方式；同一投资人持有的同一类别的基金份额只能选择一种分红方式，如投资人在不同销售机构选择的分红方式不同，</w:t>
      </w:r>
      <w:proofErr w:type="gramStart"/>
      <w:r>
        <w:rPr>
          <w:rFonts w:hint="eastAsia"/>
          <w:bCs/>
          <w:sz w:val="24"/>
        </w:rPr>
        <w:t>则基金</w:t>
      </w:r>
      <w:proofErr w:type="gramEnd"/>
      <w:r>
        <w:rPr>
          <w:rFonts w:hint="eastAsia"/>
          <w:bCs/>
          <w:sz w:val="24"/>
        </w:rPr>
        <w:t>份额登记机构将以投资人最后一次选择的分红方式为准；</w:t>
      </w:r>
    </w:p>
    <w:p w14:paraId="230621E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、基金收益分配后各类基金份额净值不能低于面值，即基金收益分配基准日的各类基金份额净值减去每单位该类别基金份额收益分配金额后不能低于面值；</w:t>
      </w:r>
    </w:p>
    <w:p w14:paraId="3D4F06D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、由于本基金</w:t>
      </w:r>
      <w:r>
        <w:rPr>
          <w:rFonts w:hint="eastAsia"/>
          <w:bCs/>
          <w:sz w:val="24"/>
        </w:rPr>
        <w:t xml:space="preserve">A </w:t>
      </w:r>
      <w:r>
        <w:rPr>
          <w:rFonts w:hint="eastAsia"/>
          <w:bCs/>
          <w:sz w:val="24"/>
        </w:rPr>
        <w:t>类基金份额不收取销售服务费，</w:t>
      </w:r>
      <w:r>
        <w:rPr>
          <w:rFonts w:hint="eastAsia"/>
          <w:bCs/>
          <w:sz w:val="24"/>
        </w:rPr>
        <w:t xml:space="preserve">C </w:t>
      </w:r>
      <w:r>
        <w:rPr>
          <w:rFonts w:hint="eastAsia"/>
          <w:bCs/>
          <w:sz w:val="24"/>
        </w:rPr>
        <w:t>类基金份额收取销售服务费，各基金份额类别对应的可分配收益将有所不同，本基金同一基金份额类别内的每一基金份额享有同等分配权；</w:t>
      </w:r>
    </w:p>
    <w:p w14:paraId="1BC625DF" w14:textId="77777777" w:rsidR="00B67C49"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1BA7A598" w14:textId="77777777" w:rsidR="00B67C49" w:rsidRDefault="00000000">
      <w:pPr>
        <w:spacing w:line="360" w:lineRule="auto"/>
        <w:ind w:firstLineChars="225" w:firstLine="540"/>
        <w:rPr>
          <w:bCs/>
          <w:sz w:val="24"/>
        </w:rPr>
      </w:pPr>
      <w:r>
        <w:rPr>
          <w:rFonts w:hint="eastAsia"/>
          <w:bCs/>
          <w:sz w:val="24"/>
        </w:rPr>
        <w:t>在法律法规、基金合同的约定的范围内以及对基金份额持有人利益无实质不利影响的前提下，基金管理人可对基金收益分配原则进行调整，不需召开基金份额持有人大会。</w:t>
      </w:r>
    </w:p>
    <w:p w14:paraId="098879EF"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四、收益分配方案</w:t>
      </w:r>
    </w:p>
    <w:p w14:paraId="53BA84C3"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基金收益分配方案中应载明截止收益分配基准日的可供分配利润、基金收益分配对象、分配时间、分配数额及比例、分配方式等内容。</w:t>
      </w:r>
    </w:p>
    <w:p w14:paraId="35841CDC" w14:textId="77777777" w:rsidR="00B67C49" w:rsidRDefault="00000000">
      <w:pPr>
        <w:autoSpaceDE w:val="0"/>
        <w:autoSpaceDN w:val="0"/>
        <w:spacing w:line="360" w:lineRule="auto"/>
        <w:ind w:firstLineChars="200" w:firstLine="480"/>
        <w:textAlignment w:val="bottom"/>
        <w:rPr>
          <w:bCs/>
          <w:sz w:val="24"/>
        </w:rPr>
      </w:pPr>
      <w:r>
        <w:rPr>
          <w:rFonts w:hint="eastAsia"/>
          <w:bCs/>
          <w:sz w:val="24"/>
        </w:rPr>
        <w:lastRenderedPageBreak/>
        <w:t>五、收益分配方案的确定、公告与实施</w:t>
      </w:r>
    </w:p>
    <w:p w14:paraId="2853EC9B"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本基金收益分配方案由基金管理人拟定，并由基金托管人复核，依照《信息披露办法》的有关规定在规定媒介公告。</w:t>
      </w:r>
    </w:p>
    <w:p w14:paraId="36A8B121"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六、基金收益分配中发生的费用</w:t>
      </w:r>
    </w:p>
    <w:p w14:paraId="00A0090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该类别基金份额。红利再投资的计算方法，依照《业务规则》执行。</w:t>
      </w:r>
    </w:p>
    <w:p w14:paraId="1686C9FA"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七、实施</w:t>
      </w:r>
      <w:proofErr w:type="gramStart"/>
      <w:r>
        <w:rPr>
          <w:rFonts w:cs="Arial" w:hint="eastAsia"/>
          <w:color w:val="000000"/>
          <w:sz w:val="24"/>
        </w:rPr>
        <w:t>侧袋机制</w:t>
      </w:r>
      <w:proofErr w:type="gramEnd"/>
      <w:r>
        <w:rPr>
          <w:rFonts w:cs="Arial" w:hint="eastAsia"/>
          <w:color w:val="000000"/>
          <w:sz w:val="24"/>
        </w:rPr>
        <w:t>期间的收益分配</w:t>
      </w:r>
    </w:p>
    <w:p w14:paraId="4BFF4866"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本基金实施</w:t>
      </w:r>
      <w:proofErr w:type="gramStart"/>
      <w:r>
        <w:rPr>
          <w:rFonts w:cs="Arial" w:hint="eastAsia"/>
          <w:color w:val="000000"/>
          <w:sz w:val="24"/>
        </w:rPr>
        <w:t>侧袋机制</w:t>
      </w:r>
      <w:proofErr w:type="gramEnd"/>
      <w:r>
        <w:rPr>
          <w:rFonts w:cs="Arial" w:hint="eastAsia"/>
          <w:color w:val="000000"/>
          <w:sz w:val="24"/>
        </w:rPr>
        <w:t>的，</w:t>
      </w:r>
      <w:proofErr w:type="gramStart"/>
      <w:r>
        <w:rPr>
          <w:rFonts w:cs="Arial" w:hint="eastAsia"/>
          <w:color w:val="000000"/>
          <w:sz w:val="24"/>
        </w:rPr>
        <w:t>侧袋账户</w:t>
      </w:r>
      <w:proofErr w:type="gramEnd"/>
      <w:r>
        <w:rPr>
          <w:rFonts w:cs="Arial" w:hint="eastAsia"/>
          <w:color w:val="000000"/>
          <w:sz w:val="24"/>
        </w:rPr>
        <w:t>不进行收益分配。</w:t>
      </w:r>
    </w:p>
    <w:p w14:paraId="1B894876" w14:textId="77777777" w:rsidR="00B67C49" w:rsidRDefault="00B67C49">
      <w:pPr>
        <w:autoSpaceDE w:val="0"/>
        <w:autoSpaceDN w:val="0"/>
        <w:spacing w:line="360" w:lineRule="auto"/>
        <w:ind w:firstLineChars="200" w:firstLine="480"/>
        <w:textAlignment w:val="bottom"/>
        <w:rPr>
          <w:bCs/>
          <w:sz w:val="24"/>
        </w:rPr>
      </w:pPr>
    </w:p>
    <w:p w14:paraId="7CAD991A" w14:textId="77777777" w:rsidR="00B67C49" w:rsidRDefault="00000000">
      <w:pPr>
        <w:widowControl/>
        <w:jc w:val="left"/>
        <w:rPr>
          <w:bCs/>
          <w:sz w:val="24"/>
        </w:rPr>
      </w:pPr>
      <w:r>
        <w:rPr>
          <w:bCs/>
          <w:sz w:val="24"/>
        </w:rPr>
        <w:br w:type="page"/>
      </w:r>
    </w:p>
    <w:p w14:paraId="2AD76A2A" w14:textId="77777777" w:rsidR="00B67C49" w:rsidRDefault="00000000">
      <w:pPr>
        <w:pStyle w:val="1"/>
        <w:jc w:val="center"/>
        <w:rPr>
          <w:sz w:val="30"/>
          <w:szCs w:val="30"/>
        </w:rPr>
      </w:pPr>
      <w:bookmarkStart w:id="285" w:name="_Toc68266300"/>
      <w:bookmarkStart w:id="286" w:name="_Toc119568469"/>
      <w:r>
        <w:rPr>
          <w:rFonts w:hint="eastAsia"/>
          <w:sz w:val="30"/>
          <w:szCs w:val="30"/>
        </w:rPr>
        <w:lastRenderedPageBreak/>
        <w:t>第十三部分</w:t>
      </w:r>
      <w:r>
        <w:rPr>
          <w:sz w:val="30"/>
          <w:szCs w:val="30"/>
        </w:rPr>
        <w:t xml:space="preserve">  </w:t>
      </w:r>
      <w:r>
        <w:rPr>
          <w:rFonts w:hint="eastAsia"/>
          <w:sz w:val="30"/>
          <w:szCs w:val="30"/>
        </w:rPr>
        <w:t>基金费用与税收</w:t>
      </w:r>
      <w:bookmarkEnd w:id="269"/>
      <w:bookmarkEnd w:id="270"/>
      <w:bookmarkEnd w:id="271"/>
      <w:bookmarkEnd w:id="272"/>
      <w:bookmarkEnd w:id="273"/>
      <w:bookmarkEnd w:id="274"/>
      <w:bookmarkEnd w:id="285"/>
      <w:bookmarkEnd w:id="286"/>
    </w:p>
    <w:p w14:paraId="2510A081" w14:textId="77777777" w:rsidR="00B67C49" w:rsidRDefault="00000000">
      <w:pPr>
        <w:autoSpaceDE w:val="0"/>
        <w:autoSpaceDN w:val="0"/>
        <w:spacing w:line="360" w:lineRule="auto"/>
        <w:ind w:firstLineChars="200" w:firstLine="480"/>
        <w:textAlignment w:val="bottom"/>
        <w:rPr>
          <w:bCs/>
          <w:sz w:val="24"/>
        </w:rPr>
      </w:pPr>
      <w:bookmarkStart w:id="287" w:name="_Toc416264550"/>
      <w:bookmarkStart w:id="288" w:name="_Toc214873603"/>
      <w:bookmarkStart w:id="289" w:name="_Toc263092322"/>
      <w:bookmarkStart w:id="290" w:name="_Toc19752"/>
      <w:bookmarkStart w:id="291" w:name="_Toc6493"/>
      <w:bookmarkStart w:id="292" w:name="_Toc32046"/>
      <w:bookmarkStart w:id="293" w:name="_Toc139991745"/>
      <w:bookmarkStart w:id="294" w:name="_Toc32041"/>
      <w:bookmarkStart w:id="295" w:name="_Toc13987"/>
      <w:bookmarkStart w:id="296" w:name="_Toc3365"/>
      <w:bookmarkStart w:id="297" w:name="_Toc19706"/>
      <w:bookmarkStart w:id="298" w:name="_Toc141703895"/>
      <w:bookmarkStart w:id="299" w:name="_Toc32227"/>
      <w:bookmarkStart w:id="300" w:name="_Toc15779"/>
      <w:bookmarkStart w:id="301" w:name="_Toc12105"/>
      <w:bookmarkStart w:id="302" w:name="_Toc352229761"/>
      <w:bookmarkStart w:id="303" w:name="_Toc24601"/>
      <w:bookmarkEnd w:id="275"/>
      <w:bookmarkEnd w:id="276"/>
      <w:bookmarkEnd w:id="277"/>
      <w:bookmarkEnd w:id="278"/>
      <w:bookmarkEnd w:id="279"/>
      <w:bookmarkEnd w:id="280"/>
      <w:bookmarkEnd w:id="281"/>
      <w:bookmarkEnd w:id="282"/>
      <w:bookmarkEnd w:id="283"/>
      <w:bookmarkEnd w:id="284"/>
      <w:r>
        <w:rPr>
          <w:rFonts w:hint="eastAsia"/>
          <w:bCs/>
          <w:sz w:val="24"/>
        </w:rPr>
        <w:t>一、基金费用的种类</w:t>
      </w:r>
    </w:p>
    <w:p w14:paraId="09EA4723"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、基金管理人的管理费；</w:t>
      </w:r>
    </w:p>
    <w:p w14:paraId="7BB7CE1F"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、基金托管人的托管费；</w:t>
      </w:r>
    </w:p>
    <w:p w14:paraId="556B753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167DC0A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、除法律法规、中国证监会另有规定外，《基金合同》生效后与基金相关的信息披露费用；</w:t>
      </w:r>
    </w:p>
    <w:p w14:paraId="71540361" w14:textId="77777777" w:rsidR="00B67C49"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、《基金合同》生效后与基金相关的会计师费、律师费、诉讼费和仲裁费；</w:t>
      </w:r>
    </w:p>
    <w:p w14:paraId="3F129C18" w14:textId="77777777" w:rsidR="00B67C49" w:rsidRDefault="00000000">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、基金份额持有人大会费用；</w:t>
      </w:r>
    </w:p>
    <w:p w14:paraId="47FB284C" w14:textId="77777777" w:rsidR="00B67C49" w:rsidRDefault="00000000">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、基金的证券、期货、期权交易费用；</w:t>
      </w:r>
    </w:p>
    <w:p w14:paraId="0945D4D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、基金的银行汇划费用；</w:t>
      </w:r>
    </w:p>
    <w:p w14:paraId="5701E3F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、基金的相关账户的开户及维护费用；</w:t>
      </w:r>
    </w:p>
    <w:p w14:paraId="7E9246C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bCs/>
          <w:sz w:val="24"/>
        </w:rPr>
        <w:t>0</w:t>
      </w:r>
      <w:r>
        <w:rPr>
          <w:rFonts w:hint="eastAsia"/>
          <w:bCs/>
          <w:sz w:val="24"/>
        </w:rPr>
        <w:t>、按照国家有关规定和《基金合同》约定，可以在基金财产中列支的其他费用。</w:t>
      </w:r>
    </w:p>
    <w:p w14:paraId="4CB1286A"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二、基金费用计提方法、计提标准和支付方式</w:t>
      </w:r>
    </w:p>
    <w:p w14:paraId="43683D4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、基金管理人的管理费</w:t>
      </w:r>
      <w:r>
        <w:rPr>
          <w:rFonts w:hint="eastAsia"/>
          <w:bCs/>
          <w:sz w:val="24"/>
        </w:rPr>
        <w:t xml:space="preserve"> </w:t>
      </w:r>
    </w:p>
    <w:p w14:paraId="1104A82A"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本基金的管理费按前一日基金资产净值的</w:t>
      </w:r>
      <w:r>
        <w:rPr>
          <w:rFonts w:hint="eastAsia"/>
          <w:bCs/>
          <w:sz w:val="24"/>
        </w:rPr>
        <w:t>0.6%</w:t>
      </w:r>
      <w:r>
        <w:rPr>
          <w:rFonts w:hint="eastAsia"/>
          <w:bCs/>
          <w:sz w:val="24"/>
        </w:rPr>
        <w:t>的年费率计提。管理费的计算方法如下：</w:t>
      </w:r>
    </w:p>
    <w:p w14:paraId="7AB40A07" w14:textId="77777777" w:rsidR="00B67C49"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0.6%</w:t>
      </w:r>
      <w:r>
        <w:rPr>
          <w:rFonts w:hint="eastAsia"/>
          <w:bCs/>
          <w:sz w:val="24"/>
        </w:rPr>
        <w:t>÷当年天数</w:t>
      </w:r>
    </w:p>
    <w:p w14:paraId="67F1A647" w14:textId="77777777" w:rsidR="00B67C49"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为每日应计提的基金管理费</w:t>
      </w:r>
    </w:p>
    <w:p w14:paraId="3C84D5D3" w14:textId="77777777" w:rsidR="00B67C49" w:rsidRDefault="00000000">
      <w:pPr>
        <w:autoSpaceDE w:val="0"/>
        <w:autoSpaceDN w:val="0"/>
        <w:spacing w:line="360" w:lineRule="auto"/>
        <w:ind w:firstLineChars="200" w:firstLine="480"/>
        <w:textAlignment w:val="bottom"/>
        <w:rPr>
          <w:bCs/>
          <w:sz w:val="24"/>
        </w:rPr>
      </w:pPr>
      <w:r>
        <w:rPr>
          <w:rFonts w:hint="eastAsia"/>
          <w:bCs/>
          <w:sz w:val="24"/>
        </w:rPr>
        <w:t>E</w:t>
      </w:r>
      <w:r>
        <w:rPr>
          <w:rFonts w:hint="eastAsia"/>
          <w:bCs/>
          <w:sz w:val="24"/>
        </w:rPr>
        <w:t>为前一日的基金资产净值</w:t>
      </w:r>
    </w:p>
    <w:p w14:paraId="4F0BC5EF"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基金管理费每日计提，逐日累计至每月月末，按月支付。由基金管理人授权基金托管人于次月第</w:t>
      </w:r>
      <w:r>
        <w:rPr>
          <w:rFonts w:hint="eastAsia"/>
          <w:bCs/>
          <w:sz w:val="24"/>
        </w:rPr>
        <w:t>5</w:t>
      </w:r>
      <w:r>
        <w:rPr>
          <w:rFonts w:hint="eastAsia"/>
          <w:bCs/>
          <w:sz w:val="24"/>
        </w:rPr>
        <w:t>个工作日自动从基金资产中一次性支付给基金管理人。若遇法定节假日、休息日或不可抗力致使无法按时支付的，</w:t>
      </w:r>
      <w:r>
        <w:rPr>
          <w:rFonts w:ascii="宋体" w:hAnsi="宋体" w:hint="eastAsia"/>
          <w:color w:val="000000"/>
          <w:kern w:val="0"/>
          <w:sz w:val="24"/>
        </w:rPr>
        <w:t>顺延至最近可支付日支付</w:t>
      </w:r>
      <w:r>
        <w:rPr>
          <w:rFonts w:ascii="宋体" w:hAnsi="宋体" w:hint="eastAsia"/>
          <w:kern w:val="0"/>
          <w:sz w:val="24"/>
        </w:rPr>
        <w:t>。</w:t>
      </w:r>
    </w:p>
    <w:p w14:paraId="11B54A3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、基金托管人的托管费</w:t>
      </w:r>
    </w:p>
    <w:p w14:paraId="72EC615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本基金的托管费按前一日基金资产净值的</w:t>
      </w:r>
      <w:r>
        <w:rPr>
          <w:rFonts w:hint="eastAsia"/>
          <w:bCs/>
          <w:sz w:val="24"/>
        </w:rPr>
        <w:t>0.20%</w:t>
      </w:r>
      <w:r>
        <w:rPr>
          <w:rFonts w:hint="eastAsia"/>
          <w:bCs/>
          <w:sz w:val="24"/>
        </w:rPr>
        <w:t>的年费率计提。托管费的计算方法如下：</w:t>
      </w:r>
    </w:p>
    <w:p w14:paraId="715F2623" w14:textId="77777777" w:rsidR="00B67C49"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0.20%</w:t>
      </w:r>
      <w:r>
        <w:rPr>
          <w:rFonts w:hint="eastAsia"/>
          <w:bCs/>
          <w:sz w:val="24"/>
        </w:rPr>
        <w:t>÷当年天数</w:t>
      </w:r>
    </w:p>
    <w:p w14:paraId="6A46FD5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为每日应计提的基金托管费</w:t>
      </w:r>
    </w:p>
    <w:p w14:paraId="40718005" w14:textId="77777777" w:rsidR="00B67C49" w:rsidRDefault="00000000">
      <w:pPr>
        <w:autoSpaceDE w:val="0"/>
        <w:autoSpaceDN w:val="0"/>
        <w:spacing w:line="360" w:lineRule="auto"/>
        <w:ind w:firstLineChars="200" w:firstLine="480"/>
        <w:textAlignment w:val="bottom"/>
        <w:rPr>
          <w:bCs/>
          <w:sz w:val="24"/>
        </w:rPr>
      </w:pPr>
      <w:r>
        <w:rPr>
          <w:rFonts w:hint="eastAsia"/>
          <w:bCs/>
          <w:sz w:val="24"/>
        </w:rPr>
        <w:lastRenderedPageBreak/>
        <w:t>E</w:t>
      </w:r>
      <w:r>
        <w:rPr>
          <w:rFonts w:hint="eastAsia"/>
          <w:bCs/>
          <w:sz w:val="24"/>
        </w:rPr>
        <w:t>为前一日的基金资产净值</w:t>
      </w:r>
    </w:p>
    <w:p w14:paraId="5D4906FF"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基金托管费每日计提，逐日累计至每月月末，按月支付。由基金管理人授权基金托管人于次月第</w:t>
      </w:r>
      <w:r>
        <w:rPr>
          <w:rFonts w:hint="eastAsia"/>
          <w:bCs/>
          <w:sz w:val="24"/>
        </w:rPr>
        <w:t>5</w:t>
      </w:r>
      <w:r>
        <w:rPr>
          <w:rFonts w:hint="eastAsia"/>
          <w:bCs/>
          <w:sz w:val="24"/>
        </w:rPr>
        <w:t>个工作日自动从基金资产中一次性支付给基金托管人。若遇法定节假日、休息日或不可抗力致使无法按时支付的，</w:t>
      </w:r>
      <w:r>
        <w:rPr>
          <w:rFonts w:ascii="宋体" w:hAnsi="宋体" w:hint="eastAsia"/>
          <w:color w:val="000000"/>
          <w:kern w:val="0"/>
          <w:sz w:val="24"/>
        </w:rPr>
        <w:t>顺延至最近可支付日支付</w:t>
      </w:r>
      <w:r>
        <w:rPr>
          <w:rFonts w:ascii="宋体" w:hAnsi="宋体" w:hint="eastAsia"/>
          <w:kern w:val="0"/>
          <w:sz w:val="24"/>
        </w:rPr>
        <w:t>。</w:t>
      </w:r>
    </w:p>
    <w:p w14:paraId="559E53E7" w14:textId="77777777" w:rsidR="00B67C49"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3605BB02"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 xml:space="preserve">0.40% </w:t>
      </w:r>
      <w:r>
        <w:rPr>
          <w:rFonts w:hint="eastAsia"/>
          <w:bCs/>
          <w:sz w:val="24"/>
        </w:rPr>
        <w:t>。销售服务费的计算方法如下：</w:t>
      </w:r>
    </w:p>
    <w:p w14:paraId="14E3F96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 xml:space="preserve">0.40% </w:t>
      </w:r>
      <w:r>
        <w:rPr>
          <w:rFonts w:hint="eastAsia"/>
          <w:bCs/>
          <w:sz w:val="24"/>
        </w:rPr>
        <w:t>÷当年天数</w:t>
      </w:r>
    </w:p>
    <w:p w14:paraId="08E35DFA" w14:textId="77777777" w:rsidR="00B67C49"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159901D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E</w:t>
      </w:r>
      <w:r>
        <w:rPr>
          <w:rFonts w:hint="eastAsia"/>
          <w:bCs/>
          <w:sz w:val="24"/>
        </w:rPr>
        <w:t>为前一日</w:t>
      </w:r>
      <w:r>
        <w:rPr>
          <w:rFonts w:hint="eastAsia"/>
          <w:bCs/>
          <w:sz w:val="24"/>
        </w:rPr>
        <w:t>C</w:t>
      </w:r>
      <w:r>
        <w:rPr>
          <w:rFonts w:hint="eastAsia"/>
          <w:bCs/>
          <w:sz w:val="24"/>
        </w:rPr>
        <w:t>类基金份额的基金资产净值</w:t>
      </w:r>
    </w:p>
    <w:p w14:paraId="29E82332" w14:textId="77777777" w:rsidR="00B67C49" w:rsidRDefault="00000000">
      <w:pPr>
        <w:autoSpaceDE w:val="0"/>
        <w:autoSpaceDN w:val="0"/>
        <w:spacing w:line="360" w:lineRule="auto"/>
        <w:ind w:firstLineChars="200" w:firstLine="480"/>
        <w:textAlignment w:val="bottom"/>
        <w:rPr>
          <w:bCs/>
          <w:sz w:val="24"/>
        </w:rPr>
      </w:pPr>
      <w:r>
        <w:rPr>
          <w:rFonts w:hint="eastAsia"/>
          <w:bCs/>
          <w:sz w:val="24"/>
        </w:rPr>
        <w:t>C</w:t>
      </w:r>
      <w:r>
        <w:rPr>
          <w:rFonts w:hint="eastAsia"/>
          <w:bCs/>
          <w:sz w:val="24"/>
        </w:rPr>
        <w:t>类基金份额的销售服务费每日计提，逐日累计至每月月末，按月支付。由基金管理人授权基金托管人于次月第</w:t>
      </w:r>
      <w:r>
        <w:rPr>
          <w:rFonts w:hint="eastAsia"/>
          <w:bCs/>
          <w:sz w:val="24"/>
        </w:rPr>
        <w:t>5</w:t>
      </w:r>
      <w:r>
        <w:rPr>
          <w:rFonts w:hint="eastAsia"/>
          <w:bCs/>
          <w:sz w:val="24"/>
        </w:rPr>
        <w:t>个工作日自动从基金资产中一次性支付给登记机构，由登记机构分别支付给销售机构。若遇法定节假日、休息日或不可抗力致使无法按时支付的，支付日期顺延。</w:t>
      </w:r>
    </w:p>
    <w:p w14:paraId="499AEE5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上述“一、基金费用的种类”中第</w:t>
      </w:r>
      <w:r>
        <w:rPr>
          <w:rFonts w:hint="eastAsia"/>
          <w:bCs/>
          <w:sz w:val="24"/>
        </w:rPr>
        <w:t>4</w:t>
      </w:r>
      <w:r>
        <w:rPr>
          <w:rFonts w:hint="eastAsia"/>
          <w:bCs/>
          <w:sz w:val="24"/>
        </w:rPr>
        <w:t>－</w:t>
      </w:r>
      <w:r>
        <w:rPr>
          <w:rFonts w:hint="eastAsia"/>
          <w:bCs/>
          <w:sz w:val="24"/>
        </w:rPr>
        <w:t>1</w:t>
      </w:r>
      <w:r>
        <w:rPr>
          <w:bCs/>
          <w:sz w:val="24"/>
        </w:rPr>
        <w:t>0</w:t>
      </w:r>
      <w:r>
        <w:rPr>
          <w:rFonts w:hint="eastAsia"/>
          <w:bCs/>
          <w:sz w:val="24"/>
        </w:rPr>
        <w:t>项费用，根据有关法规及相应协议规定，按费用实际支出金额列入当期费用，由基金托管人根据基金管理人指令并参照行业惯例从基金财产中支付。</w:t>
      </w:r>
    </w:p>
    <w:p w14:paraId="57B6236C"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三、不列入基金费用的项目</w:t>
      </w:r>
    </w:p>
    <w:p w14:paraId="0179B95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下列费用不列入基金费用：</w:t>
      </w:r>
    </w:p>
    <w:p w14:paraId="35C7B637"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、基金管理人和基金托管人因未履行或未完全履行义务导致的费用支出或基金财产的损失；</w:t>
      </w:r>
    </w:p>
    <w:p w14:paraId="49A628A2"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、基金管理人和基金托管人处理与基金运作无关的事项发生的费用；</w:t>
      </w:r>
    </w:p>
    <w:p w14:paraId="0671AD31" w14:textId="77777777" w:rsidR="00B67C49"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、《基金合同》生效前的相关费用；</w:t>
      </w:r>
    </w:p>
    <w:p w14:paraId="520DD83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、其他根据相关法律法规及中国证监会的有关规定不得列入基金费用的项目。</w:t>
      </w:r>
    </w:p>
    <w:p w14:paraId="782C7E48" w14:textId="77777777" w:rsidR="00B67C49" w:rsidRDefault="00000000">
      <w:pPr>
        <w:spacing w:line="360" w:lineRule="auto"/>
        <w:ind w:firstLineChars="200" w:firstLine="480"/>
        <w:rPr>
          <w:bCs/>
          <w:sz w:val="24"/>
        </w:rPr>
      </w:pPr>
      <w:r>
        <w:rPr>
          <w:rFonts w:hint="eastAsia"/>
          <w:bCs/>
          <w:sz w:val="24"/>
        </w:rPr>
        <w:t>四、实施</w:t>
      </w:r>
      <w:proofErr w:type="gramStart"/>
      <w:r>
        <w:rPr>
          <w:rFonts w:hint="eastAsia"/>
          <w:bCs/>
          <w:sz w:val="24"/>
        </w:rPr>
        <w:t>侧袋机制</w:t>
      </w:r>
      <w:proofErr w:type="gramEnd"/>
      <w:r>
        <w:rPr>
          <w:rFonts w:hint="eastAsia"/>
          <w:bCs/>
          <w:sz w:val="24"/>
        </w:rPr>
        <w:t>期间的基金费用</w:t>
      </w:r>
    </w:p>
    <w:p w14:paraId="5DF59B39" w14:textId="77777777" w:rsidR="00B67C49" w:rsidRDefault="00000000">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账户资产变现后方可列支，有关费用可酌情收取或减免，但不得收取管理费，其他费用详见招募说明书“侧袋机制”部分或相关公告的规定。</w:t>
      </w:r>
    </w:p>
    <w:p w14:paraId="3250B858"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五、基金税收</w:t>
      </w:r>
    </w:p>
    <w:p w14:paraId="5DBCCB41" w14:textId="77777777" w:rsidR="00B67C49" w:rsidRDefault="00000000">
      <w:pPr>
        <w:autoSpaceDE w:val="0"/>
        <w:autoSpaceDN w:val="0"/>
        <w:spacing w:line="360" w:lineRule="auto"/>
        <w:ind w:firstLineChars="200" w:firstLine="480"/>
        <w:textAlignment w:val="bottom"/>
        <w:rPr>
          <w:bCs/>
          <w:sz w:val="24"/>
        </w:rPr>
      </w:pPr>
      <w:r>
        <w:rPr>
          <w:rFonts w:hint="eastAsia"/>
          <w:bCs/>
          <w:sz w:val="24"/>
        </w:rPr>
        <w:lastRenderedPageBreak/>
        <w:t>本基金运作过程中涉及的各纳税主体，其纳税义务按国家税收法律、法规执行。</w:t>
      </w:r>
    </w:p>
    <w:p w14:paraId="2ECE5ACD"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基金财产投资的相关税收，由基金份额持有人承担，基金管理人或者其他扣缴义务人按照国家有关税收征收的规定代扣代缴。</w:t>
      </w:r>
    </w:p>
    <w:p w14:paraId="3D7E2A50" w14:textId="77777777" w:rsidR="00B67C49" w:rsidRDefault="00B67C49">
      <w:pPr>
        <w:autoSpaceDE w:val="0"/>
        <w:autoSpaceDN w:val="0"/>
        <w:spacing w:line="360" w:lineRule="auto"/>
        <w:ind w:firstLineChars="200" w:firstLine="480"/>
        <w:textAlignment w:val="bottom"/>
        <w:rPr>
          <w:bCs/>
          <w:sz w:val="24"/>
        </w:rPr>
      </w:pPr>
    </w:p>
    <w:p w14:paraId="2C2A0F9D" w14:textId="77777777" w:rsidR="00B67C49" w:rsidRDefault="00000000">
      <w:pPr>
        <w:widowControl/>
        <w:jc w:val="left"/>
        <w:rPr>
          <w:bCs/>
          <w:sz w:val="24"/>
        </w:rPr>
      </w:pPr>
      <w:r>
        <w:rPr>
          <w:bCs/>
          <w:sz w:val="24"/>
        </w:rPr>
        <w:br w:type="page"/>
      </w:r>
    </w:p>
    <w:p w14:paraId="64A5B7A0" w14:textId="77777777" w:rsidR="00B67C49" w:rsidRDefault="00000000">
      <w:pPr>
        <w:pStyle w:val="1"/>
        <w:jc w:val="center"/>
        <w:rPr>
          <w:sz w:val="30"/>
          <w:szCs w:val="30"/>
        </w:rPr>
      </w:pPr>
      <w:bookmarkStart w:id="304" w:name="_Toc68266301"/>
      <w:bookmarkStart w:id="305" w:name="_Toc119568470"/>
      <w:r>
        <w:rPr>
          <w:rFonts w:hint="eastAsia"/>
          <w:sz w:val="30"/>
          <w:szCs w:val="30"/>
        </w:rPr>
        <w:lastRenderedPageBreak/>
        <w:t>第十四部分</w:t>
      </w:r>
      <w:r>
        <w:rPr>
          <w:sz w:val="30"/>
          <w:szCs w:val="30"/>
        </w:rPr>
        <w:t xml:space="preserve">  </w:t>
      </w:r>
      <w:r>
        <w:rPr>
          <w:rFonts w:hint="eastAsia"/>
          <w:sz w:val="30"/>
          <w:szCs w:val="30"/>
        </w:rPr>
        <w:t>基金的会计与审计</w:t>
      </w:r>
      <w:bookmarkEnd w:id="287"/>
      <w:bookmarkEnd w:id="288"/>
      <w:bookmarkEnd w:id="289"/>
      <w:bookmarkEnd w:id="304"/>
      <w:bookmarkEnd w:id="305"/>
    </w:p>
    <w:p w14:paraId="44825AC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一、基金会计政策</w:t>
      </w:r>
    </w:p>
    <w:p w14:paraId="57E256F8"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、基金管理人为本基金的基金会计责任方；</w:t>
      </w:r>
    </w:p>
    <w:p w14:paraId="212F4289"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、基金的会计年度为公历年度的</w:t>
      </w:r>
      <w:r>
        <w:rPr>
          <w:rFonts w:hint="eastAsia"/>
          <w:bCs/>
          <w:sz w:val="24"/>
        </w:rPr>
        <w:t>1</w:t>
      </w:r>
      <w:r>
        <w:rPr>
          <w:rFonts w:hint="eastAsia"/>
          <w:bCs/>
          <w:sz w:val="24"/>
        </w:rPr>
        <w:t>月</w:t>
      </w:r>
      <w:r>
        <w:rPr>
          <w:rFonts w:hint="eastAsia"/>
          <w:bCs/>
          <w:sz w:val="24"/>
        </w:rPr>
        <w:t>1</w:t>
      </w:r>
      <w:r>
        <w:rPr>
          <w:rFonts w:hint="eastAsia"/>
          <w:bCs/>
          <w:sz w:val="24"/>
        </w:rPr>
        <w:t>日至</w:t>
      </w:r>
      <w:r>
        <w:rPr>
          <w:rFonts w:hint="eastAsia"/>
          <w:bCs/>
          <w:sz w:val="24"/>
        </w:rPr>
        <w:t>12</w:t>
      </w:r>
      <w:r>
        <w:rPr>
          <w:rFonts w:hint="eastAsia"/>
          <w:bCs/>
          <w:sz w:val="24"/>
        </w:rPr>
        <w:t>月</w:t>
      </w:r>
      <w:r>
        <w:rPr>
          <w:rFonts w:hint="eastAsia"/>
          <w:bCs/>
          <w:sz w:val="24"/>
        </w:rPr>
        <w:t>31</w:t>
      </w:r>
      <w:r>
        <w:rPr>
          <w:rFonts w:hint="eastAsia"/>
          <w:bCs/>
          <w:sz w:val="24"/>
        </w:rPr>
        <w:t>日；基金首次募集的会计年度按如下原则：如果《基金合同》生效少于</w:t>
      </w:r>
      <w:r>
        <w:rPr>
          <w:rFonts w:hint="eastAsia"/>
          <w:bCs/>
          <w:sz w:val="24"/>
        </w:rPr>
        <w:t>2</w:t>
      </w:r>
      <w:r>
        <w:rPr>
          <w:rFonts w:hint="eastAsia"/>
          <w:bCs/>
          <w:sz w:val="24"/>
        </w:rPr>
        <w:t>个月，可以并入下一个会计年度披露；</w:t>
      </w:r>
    </w:p>
    <w:p w14:paraId="2D183E77" w14:textId="77777777" w:rsidR="00B67C49"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、基金核算以人民币为记账本位币，以人民币元为记账单位；</w:t>
      </w:r>
    </w:p>
    <w:p w14:paraId="162113A8" w14:textId="77777777" w:rsidR="00B67C49"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、会计制度执行国家有关会计制度；</w:t>
      </w:r>
    </w:p>
    <w:p w14:paraId="0DFBBEE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、本基金独立建账、独立核算；</w:t>
      </w:r>
    </w:p>
    <w:p w14:paraId="0DD706C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、基金管理人及基金托管人各自保留完整的会计账目、凭证并进行日常的会计核算，按照有关规定编制基金会计报表；</w:t>
      </w:r>
    </w:p>
    <w:p w14:paraId="0D2B9A8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、基金托管人每月与基金管理人就基金的会计核算、报表编制等进行核对并以书面方式确认。</w:t>
      </w:r>
    </w:p>
    <w:p w14:paraId="5CD3A9D2"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二、基金的年度审计</w:t>
      </w:r>
    </w:p>
    <w:p w14:paraId="3F26BE6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、基金管理人聘请与基金管理人、基金托管人相互独立的符合《中华人民共和国证券法》规定的会计师事务所及其注册会计师对本基金的年度财务报表进行审计。</w:t>
      </w:r>
    </w:p>
    <w:p w14:paraId="4C63121D"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、会计师事务所更换经办注册会计师，应事先征得基金管理人同意。</w:t>
      </w:r>
    </w:p>
    <w:p w14:paraId="0FBAD22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、基金管理人认为有充足理由更换会计师事务所，须通报基金托管人。更换会计师事务所需依照《信息披露办法》的有关规定在规定媒介公告。</w:t>
      </w:r>
    </w:p>
    <w:p w14:paraId="0D1DFAEB" w14:textId="77777777" w:rsidR="00B67C49" w:rsidRDefault="00000000">
      <w:pPr>
        <w:widowControl/>
        <w:jc w:val="left"/>
        <w:rPr>
          <w:bCs/>
          <w:sz w:val="24"/>
        </w:rPr>
      </w:pPr>
      <w:r>
        <w:rPr>
          <w:bCs/>
          <w:sz w:val="24"/>
        </w:rPr>
        <w:br w:type="page"/>
      </w:r>
    </w:p>
    <w:p w14:paraId="522FB26E" w14:textId="77777777" w:rsidR="00B67C49" w:rsidRDefault="00000000">
      <w:pPr>
        <w:pStyle w:val="1"/>
        <w:jc w:val="center"/>
        <w:rPr>
          <w:sz w:val="30"/>
          <w:szCs w:val="30"/>
        </w:rPr>
      </w:pPr>
      <w:bookmarkStart w:id="306" w:name="_Toc416264551"/>
      <w:bookmarkStart w:id="307" w:name="_Toc263092323"/>
      <w:bookmarkStart w:id="308" w:name="_Toc119568471"/>
      <w:bookmarkStart w:id="309" w:name="_Toc68266302"/>
      <w:bookmarkStart w:id="310" w:name="_Toc79978642"/>
      <w:bookmarkStart w:id="311" w:name="_Toc214873604"/>
      <w:bookmarkStart w:id="312" w:name="_Toc93226149"/>
      <w:bookmarkStart w:id="313" w:name="_Toc21829"/>
      <w:bookmarkStart w:id="314" w:name="_Toc19558"/>
      <w:bookmarkStart w:id="315" w:name="_Toc139991746"/>
      <w:bookmarkStart w:id="316" w:name="_Toc15351"/>
      <w:bookmarkStart w:id="317" w:name="_Toc352229762"/>
      <w:bookmarkStart w:id="318" w:name="_Toc3656"/>
      <w:bookmarkStart w:id="319" w:name="_Toc12761"/>
      <w:bookmarkStart w:id="320" w:name="_Toc25883"/>
      <w:bookmarkStart w:id="321" w:name="_Toc15525"/>
      <w:bookmarkStart w:id="322" w:name="_Toc178"/>
      <w:bookmarkStart w:id="323" w:name="_Toc20052"/>
      <w:bookmarkStart w:id="324" w:name="_Toc22552"/>
      <w:bookmarkStart w:id="325" w:name="_Toc92662707"/>
      <w:bookmarkStart w:id="326" w:name="_Toc141703896"/>
      <w:bookmarkStart w:id="327" w:name="_Toc128310499"/>
      <w:bookmarkStart w:id="328" w:name="_Toc161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hint="eastAsia"/>
          <w:sz w:val="30"/>
          <w:szCs w:val="30"/>
        </w:rPr>
        <w:lastRenderedPageBreak/>
        <w:t>第十五部分</w:t>
      </w:r>
      <w:r>
        <w:rPr>
          <w:sz w:val="30"/>
          <w:szCs w:val="30"/>
        </w:rPr>
        <w:t xml:space="preserve">  </w:t>
      </w:r>
      <w:r>
        <w:rPr>
          <w:rFonts w:hint="eastAsia"/>
          <w:sz w:val="30"/>
          <w:szCs w:val="30"/>
        </w:rPr>
        <w:t>基金的信息披露</w:t>
      </w:r>
      <w:bookmarkEnd w:id="306"/>
      <w:bookmarkEnd w:id="307"/>
      <w:bookmarkEnd w:id="308"/>
      <w:bookmarkEnd w:id="309"/>
      <w:bookmarkEnd w:id="310"/>
      <w:bookmarkEnd w:id="311"/>
    </w:p>
    <w:p w14:paraId="0ADD147C"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一、本基金的信息披露应符合《基金法》、《运作办法》、《流动性风险管理规定》、《信息披露办法》、《基金合同》及其他有关规定。相关法律法规关于信息披露的规定发生变化时，本基金从其最新规定。</w:t>
      </w:r>
    </w:p>
    <w:p w14:paraId="5E678973"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二、信息披露义务人</w:t>
      </w:r>
    </w:p>
    <w:p w14:paraId="4510E7A7"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本基金信息披露义务人包括基金管理人、基金托管人、召集基金份额持有人大会的基金份额持有人等法律、行政法规和中国证监会规定的自然人、法人和非法人组织。</w:t>
      </w:r>
    </w:p>
    <w:p w14:paraId="3493DA92"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2734D1E8"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本基金信息披露义务人应当在中国证监会规定时间内，将应予披露的基金信息通过中国证监会规定媒介披露，并保证基金投资者能够按照《基金合同》约定的时间和方式查阅或者复制公开披露的信息资料。</w:t>
      </w:r>
    </w:p>
    <w:p w14:paraId="306573F8"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三、本基金信息披露义务人承诺公开披露的基金信息，不得有下列行为：</w:t>
      </w:r>
    </w:p>
    <w:p w14:paraId="3F1EBDE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、虚假记载、误导性陈述或者重大遗漏；</w:t>
      </w:r>
    </w:p>
    <w:p w14:paraId="1967DB0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、对证券投资业绩进行预测；</w:t>
      </w:r>
    </w:p>
    <w:p w14:paraId="40495C8D" w14:textId="77777777" w:rsidR="00B67C49"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、违规承诺收益或者承担损失；</w:t>
      </w:r>
    </w:p>
    <w:p w14:paraId="597066FC" w14:textId="77777777" w:rsidR="00B67C49"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、诋毁其他基金管理人、基金托管人或者基金销售机构；</w:t>
      </w:r>
    </w:p>
    <w:p w14:paraId="482BC29D" w14:textId="77777777" w:rsidR="00B67C49"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、登载任何自然人、法人和非法人组织的祝贺性、恭维性或推荐性的文字；</w:t>
      </w:r>
    </w:p>
    <w:p w14:paraId="51D5DE8B" w14:textId="77777777" w:rsidR="00B67C49" w:rsidRDefault="00000000">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、中国证监会禁止的其他行为。</w:t>
      </w:r>
    </w:p>
    <w:p w14:paraId="14C76EB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四、本基金公开披露的信息应采用中文文本。同时采用外文文本的，基金信息披露义务人应保证不同文本的内容一致。不同文本之间发生歧义的，以中文文本为准。</w:t>
      </w:r>
    </w:p>
    <w:p w14:paraId="41EF0B6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本基金公开披露的信息采用阿拉伯数字；除特别说明外，货币单位为人民币元。</w:t>
      </w:r>
    </w:p>
    <w:p w14:paraId="0A94DBEA"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五、公开披露的基金信息</w:t>
      </w:r>
    </w:p>
    <w:p w14:paraId="0BC558A8"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公开披露的基金信息包括：</w:t>
      </w:r>
    </w:p>
    <w:p w14:paraId="2CE6E4CC"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（一）基金招募说明书、《基金合同》、基金托管协议、基金产品资料概要</w:t>
      </w:r>
    </w:p>
    <w:p w14:paraId="30E42FB1"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、《基金合同》是界定《基金合同》当事人的各项权利、义务关系，明确基金</w:t>
      </w:r>
      <w:r>
        <w:rPr>
          <w:rFonts w:hint="eastAsia"/>
          <w:bCs/>
          <w:sz w:val="24"/>
        </w:rPr>
        <w:lastRenderedPageBreak/>
        <w:t>份额持有人大会召开的规则及具体程序，说明基金产品的特性等涉及基金投资者重大利益的事项的法律文件。</w:t>
      </w:r>
    </w:p>
    <w:p w14:paraId="3D065B03"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37DE676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、基金托管协议是界定基金托管人和基金管理人在基金财产保管及基金运作监督等活动中的权利、义务关系的法律文件。</w:t>
      </w:r>
    </w:p>
    <w:p w14:paraId="6A315758" w14:textId="77777777" w:rsidR="00B67C49"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01F0BA0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募集申请经中国证监会注册后，基金管理人在基金份额发售的三日前，将基金份额发售公告、基金招募说明书提示性公告、《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0B1CE647"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（二）基金份额发售公告</w:t>
      </w:r>
    </w:p>
    <w:p w14:paraId="6EBAD57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基金管理人应当就基金份额发售的具体事宜编制基金份额发售公告，并在披露招募说明书的当日登载于规定媒介上。</w:t>
      </w:r>
    </w:p>
    <w:p w14:paraId="109BEC0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（三）《基金合同》生效公告</w:t>
      </w:r>
    </w:p>
    <w:p w14:paraId="48BA568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基金管理人应当在收到中国证监会确认文件的次日在规定媒介上登载《基金合同》生效公告。</w:t>
      </w:r>
    </w:p>
    <w:p w14:paraId="2F975E27"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（四）基金净值信息</w:t>
      </w:r>
    </w:p>
    <w:p w14:paraId="5D03CC77"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《基金合同》生效后，在开始办理基金份额申购或者赎回前，基金管理人应当</w:t>
      </w:r>
      <w:r>
        <w:rPr>
          <w:rFonts w:hint="eastAsia"/>
          <w:bCs/>
          <w:sz w:val="24"/>
        </w:rPr>
        <w:lastRenderedPageBreak/>
        <w:t>至少每周在规定网站披露一次各类基金份额净值和各类基金份额累计净值。</w:t>
      </w:r>
    </w:p>
    <w:p w14:paraId="75C7EA5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在开始办理基金份额申购或者赎回后，基金管理人应当在不晚于每个开放日的次日，通过规定网站、基金销售机构网站或营业网点披露开放日的各类基金份额净值和各类基金份额累计净值。</w:t>
      </w:r>
    </w:p>
    <w:p w14:paraId="1174ED49"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基金管理人应在不晚于半年度和年度最后一日的次日，在规定网站披露半年度和年度最后一日的各类基金份额净值和各类基金份额累计净值。</w:t>
      </w:r>
    </w:p>
    <w:p w14:paraId="4DBFC47D"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（五）基金份额申购、赎回价格</w:t>
      </w:r>
    </w:p>
    <w:p w14:paraId="50E1C76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基金管理人应当在《基金合同》、招募说明书等信息披露文件上载</w:t>
      </w:r>
      <w:proofErr w:type="gramStart"/>
      <w:r>
        <w:rPr>
          <w:rFonts w:hint="eastAsia"/>
          <w:bCs/>
          <w:sz w:val="24"/>
        </w:rPr>
        <w:t>明基金</w:t>
      </w:r>
      <w:proofErr w:type="gramEnd"/>
      <w:r>
        <w:rPr>
          <w:rFonts w:hint="eastAsia"/>
          <w:bCs/>
          <w:sz w:val="24"/>
        </w:rPr>
        <w:t>份额申购、赎回价格的计算方式及有关申购、赎回费率，并保证投资者能够在基金销售机构网站或营业网点查阅或者复制前述信息资料。</w:t>
      </w:r>
    </w:p>
    <w:p w14:paraId="00AA9129"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（六）基金定期报告，包括基金年度报告、基金中期报告和基金季度报告</w:t>
      </w:r>
    </w:p>
    <w:p w14:paraId="2A8F78DC"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5D1C54C8"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基金管理人应当在上半年结束之日起两个月内，编制完成基金中期报告，将中期报告登载在规定网站上，并将中期报告提示性公告登载在规定报刊上。</w:t>
      </w:r>
    </w:p>
    <w:p w14:paraId="22ED5F3A"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基金管理人应当在每个季度结束之日起</w:t>
      </w:r>
      <w:r>
        <w:rPr>
          <w:rFonts w:hint="eastAsia"/>
          <w:bCs/>
          <w:sz w:val="24"/>
        </w:rPr>
        <w:t>15</w:t>
      </w:r>
      <w:r>
        <w:rPr>
          <w:rFonts w:hint="eastAsia"/>
          <w:bCs/>
          <w:sz w:val="24"/>
        </w:rPr>
        <w:t>个工作日内，编制完成基金季度报告，将季度报告登载在规定网站上，并将季度报告提示性公告登载在规定报刊上。</w:t>
      </w:r>
    </w:p>
    <w:p w14:paraId="076AF8B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2DD3F9EB"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38276EC2"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基金管理人应当在基金年度报告和中期报告中披露基金组合资产情况及其流动性风险分析等。</w:t>
      </w:r>
    </w:p>
    <w:p w14:paraId="5BD0DFC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（七）临时报告</w:t>
      </w:r>
    </w:p>
    <w:p w14:paraId="7725537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本基金发生重大事件，有关信息披露义务人应当依照《信息披露办法》的有关</w:t>
      </w:r>
      <w:r>
        <w:rPr>
          <w:rFonts w:hint="eastAsia"/>
          <w:bCs/>
          <w:sz w:val="24"/>
        </w:rPr>
        <w:lastRenderedPageBreak/>
        <w:t>规定编制临时报告书，并登载在规定报刊和规定网站上。</w:t>
      </w:r>
    </w:p>
    <w:p w14:paraId="6E00FB3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前款所称重大事件，是指可能对基金份额持有人权益或者基金份额的价格产生重大影响的下列事件：</w:t>
      </w:r>
    </w:p>
    <w:p w14:paraId="36B1485D"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、基金份额持有人大会的召开及决定的事项；</w:t>
      </w:r>
    </w:p>
    <w:p w14:paraId="4A31EF3A"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、基金合同终止、基金清算；</w:t>
      </w:r>
    </w:p>
    <w:p w14:paraId="78B35CEF" w14:textId="77777777" w:rsidR="00B67C49"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、转换基金运作方式、基金合并；</w:t>
      </w:r>
    </w:p>
    <w:p w14:paraId="1401270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、更换基金管理人、基金托管人、基金份额登记机构，基金改聘会计师事务所；</w:t>
      </w:r>
    </w:p>
    <w:p w14:paraId="0B41ED51" w14:textId="77777777" w:rsidR="00B67C49"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7B39E662" w14:textId="77777777" w:rsidR="00B67C49" w:rsidRDefault="00000000">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、基金管理人、基金托管人的法定名称、住所发生变更；</w:t>
      </w:r>
    </w:p>
    <w:p w14:paraId="77483303" w14:textId="77777777" w:rsidR="00B67C49" w:rsidRDefault="00000000">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、基金管理人变更持有百分之五以上股权的股东、基金管理人的实际控制人变更；</w:t>
      </w:r>
    </w:p>
    <w:p w14:paraId="27D9EC3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、基金募集期延长或提前结束募集；</w:t>
      </w:r>
    </w:p>
    <w:p w14:paraId="6E47794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、基金管理人高级管理人员、基金经理和基金托管人专门基金托管部门负责人发生变动；</w:t>
      </w:r>
    </w:p>
    <w:p w14:paraId="47058D3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3B063AFC"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、涉及基金财产、基金管理业务、基金托管业务的诉讼或仲裁；</w:t>
      </w:r>
    </w:p>
    <w:p w14:paraId="7911B98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806492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4322FEB"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14</w:t>
      </w:r>
      <w:r>
        <w:rPr>
          <w:rFonts w:hint="eastAsia"/>
          <w:bCs/>
          <w:sz w:val="24"/>
        </w:rPr>
        <w:t>、基金收益分配事项；</w:t>
      </w:r>
    </w:p>
    <w:p w14:paraId="74652BC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15</w:t>
      </w:r>
      <w:r>
        <w:rPr>
          <w:rFonts w:hint="eastAsia"/>
          <w:bCs/>
          <w:sz w:val="24"/>
        </w:rPr>
        <w:t>、管理费、托管费、销售服务费、申购费、赎回费等费用计提标准、计提方式和费率发生变更；</w:t>
      </w:r>
    </w:p>
    <w:p w14:paraId="684D503A"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16</w:t>
      </w:r>
      <w:r>
        <w:rPr>
          <w:rFonts w:hint="eastAsia"/>
          <w:bCs/>
          <w:sz w:val="24"/>
        </w:rPr>
        <w:t>、某一类基金份额净值计价错误达该类基金份额净值百分之零点五；</w:t>
      </w:r>
    </w:p>
    <w:p w14:paraId="790BA04D" w14:textId="77777777" w:rsidR="00B67C49" w:rsidRDefault="00000000">
      <w:pPr>
        <w:autoSpaceDE w:val="0"/>
        <w:autoSpaceDN w:val="0"/>
        <w:spacing w:line="360" w:lineRule="auto"/>
        <w:ind w:firstLineChars="200" w:firstLine="480"/>
        <w:textAlignment w:val="bottom"/>
        <w:rPr>
          <w:bCs/>
          <w:sz w:val="24"/>
        </w:rPr>
      </w:pPr>
      <w:r>
        <w:rPr>
          <w:rFonts w:hint="eastAsia"/>
          <w:bCs/>
          <w:sz w:val="24"/>
        </w:rPr>
        <w:lastRenderedPageBreak/>
        <w:t>17</w:t>
      </w:r>
      <w:r>
        <w:rPr>
          <w:rFonts w:hint="eastAsia"/>
          <w:bCs/>
          <w:sz w:val="24"/>
        </w:rPr>
        <w:t>、本基金开始办理申购、赎回；</w:t>
      </w:r>
    </w:p>
    <w:p w14:paraId="4E11A501"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18</w:t>
      </w:r>
      <w:r>
        <w:rPr>
          <w:rFonts w:hint="eastAsia"/>
          <w:bCs/>
          <w:sz w:val="24"/>
        </w:rPr>
        <w:t>、本基金发生巨额赎回并延期办理；</w:t>
      </w:r>
    </w:p>
    <w:p w14:paraId="15F3FB19"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19</w:t>
      </w:r>
      <w:r>
        <w:rPr>
          <w:rFonts w:hint="eastAsia"/>
          <w:bCs/>
          <w:sz w:val="24"/>
        </w:rPr>
        <w:t>、本基金连续发生巨额赎回并暂停接受赎回申请或延缓支付赎回款项；</w:t>
      </w:r>
    </w:p>
    <w:p w14:paraId="4BF4987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20</w:t>
      </w:r>
      <w:r>
        <w:rPr>
          <w:rFonts w:hint="eastAsia"/>
          <w:bCs/>
          <w:sz w:val="24"/>
        </w:rPr>
        <w:t>、本基金暂停接受申购、赎回申请或重新接受申购、赎回申请；</w:t>
      </w:r>
    </w:p>
    <w:p w14:paraId="018AEC4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21</w:t>
      </w:r>
      <w:r>
        <w:rPr>
          <w:rFonts w:hint="eastAsia"/>
          <w:bCs/>
          <w:sz w:val="24"/>
        </w:rPr>
        <w:t>、在发生涉及基金申购、赎回事项调整或潜在影响投资者赎回等重大事项时；</w:t>
      </w:r>
    </w:p>
    <w:p w14:paraId="4996EC61"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22</w:t>
      </w:r>
      <w:r>
        <w:rPr>
          <w:rFonts w:hint="eastAsia"/>
          <w:bCs/>
          <w:sz w:val="24"/>
        </w:rPr>
        <w:t>、基金管理人采用摆动定价机制进行估值；</w:t>
      </w:r>
    </w:p>
    <w:p w14:paraId="3DF732DC"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23</w:t>
      </w:r>
      <w:r>
        <w:rPr>
          <w:rFonts w:hint="eastAsia"/>
          <w:bCs/>
          <w:sz w:val="24"/>
        </w:rPr>
        <w:t>、调整基金份额类别设置；</w:t>
      </w:r>
    </w:p>
    <w:p w14:paraId="4F66FD42" w14:textId="77777777" w:rsidR="00B67C49" w:rsidRDefault="00000000">
      <w:pPr>
        <w:autoSpaceDE w:val="0"/>
        <w:autoSpaceDN w:val="0"/>
        <w:spacing w:line="360" w:lineRule="auto"/>
        <w:ind w:firstLineChars="200" w:firstLine="480"/>
        <w:textAlignment w:val="bottom"/>
        <w:rPr>
          <w:bCs/>
          <w:sz w:val="24"/>
        </w:rPr>
      </w:pPr>
      <w:r>
        <w:rPr>
          <w:rFonts w:hint="eastAsia"/>
          <w:bCs/>
          <w:sz w:val="24"/>
        </w:rPr>
        <w:t>2</w:t>
      </w:r>
      <w:r>
        <w:rPr>
          <w:bCs/>
          <w:sz w:val="24"/>
        </w:rPr>
        <w:t>4</w:t>
      </w:r>
      <w:r>
        <w:rPr>
          <w:rFonts w:hint="eastAsia"/>
          <w:bCs/>
          <w:sz w:val="24"/>
        </w:rPr>
        <w:t>、基金信息披露义务人认为可能对基金份额持有人权益或者基金份额的价格产生重大影响的其他事项或中国证监会规定的其他事项。</w:t>
      </w:r>
    </w:p>
    <w:p w14:paraId="3D0EB6ED"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（八）澄清公告</w:t>
      </w:r>
    </w:p>
    <w:p w14:paraId="788C75CA"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3F8FC277"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（九）基金份额持有人大会决议</w:t>
      </w:r>
    </w:p>
    <w:p w14:paraId="09242148"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基金份额持有人大会决定的事项，应当依法报中国证监会备案，并予以公告。</w:t>
      </w:r>
    </w:p>
    <w:p w14:paraId="4A1D76A9"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（十）清算报告</w:t>
      </w:r>
    </w:p>
    <w:p w14:paraId="675E116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基金终止运作的，基金管理人应当依法组织基金财产清算小组对基金财产进行清算并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1ECD83D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（十一）实施</w:t>
      </w:r>
      <w:proofErr w:type="gramStart"/>
      <w:r>
        <w:rPr>
          <w:rFonts w:hint="eastAsia"/>
          <w:bCs/>
          <w:sz w:val="24"/>
        </w:rPr>
        <w:t>侧袋机制</w:t>
      </w:r>
      <w:proofErr w:type="gramEnd"/>
      <w:r>
        <w:rPr>
          <w:rFonts w:hint="eastAsia"/>
          <w:bCs/>
          <w:sz w:val="24"/>
        </w:rPr>
        <w:t>期间的信息披露</w:t>
      </w:r>
    </w:p>
    <w:p w14:paraId="4D48960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的，相关信息披露义务人应当根据法律法规、基金合同和招募说明书的规定进行信息披露，详见招募说明书的规定。</w:t>
      </w:r>
    </w:p>
    <w:p w14:paraId="74B0046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（十二）中国证监会规定的其他信息。</w:t>
      </w:r>
    </w:p>
    <w:p w14:paraId="1FA59AF1"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2F35D9F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基金管理人应当在季度报告、中期报告、年度报告等定期报告和招募说明书（更新）等文件中披露国债期货交易情况，包括投资政策、持仓情况、损益情况、风险</w:t>
      </w:r>
      <w:r>
        <w:rPr>
          <w:rFonts w:hint="eastAsia"/>
          <w:bCs/>
          <w:sz w:val="24"/>
        </w:rPr>
        <w:lastRenderedPageBreak/>
        <w:t>指标等，并充分揭示国债期货交易对本基金总体风险的影响以及是否符合既定的投资政策和投资目标。</w:t>
      </w:r>
    </w:p>
    <w:p w14:paraId="3FF74DA4" w14:textId="77777777" w:rsidR="00B67C49" w:rsidRDefault="00000000">
      <w:pPr>
        <w:spacing w:line="360" w:lineRule="auto"/>
        <w:ind w:firstLineChars="200" w:firstLine="480"/>
        <w:rPr>
          <w:bCs/>
          <w:sz w:val="24"/>
        </w:rPr>
      </w:pPr>
      <w:r>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0D6A6AEB"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469460C9"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基金管理人在本基金投资非公开发行股票后两个交易日内，在中国证监会规定媒介披露所投资非公开发行股票的名称、数量、总成本、账面价值，以及总成本和账面价值占基金资产净值的比例、锁定期等信息。</w:t>
      </w:r>
    </w:p>
    <w:p w14:paraId="4551C753"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六、信息披露事务管理</w:t>
      </w:r>
    </w:p>
    <w:p w14:paraId="6D589FDB"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基金管理人、基金托管人应当建立健全信息披露管理制度，指定专门部门及高级管理人员负责管理信息披露事务。</w:t>
      </w:r>
    </w:p>
    <w:p w14:paraId="7BF97331"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基金信息披露义务人公开披露基金信息，应当符合中国证监会相关基金信息披露内容与格式准则等法规的规定。</w:t>
      </w:r>
    </w:p>
    <w:p w14:paraId="2BC50887"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托管人应当按照相关法律法规、行政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40E4E1E8"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27BB6A5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5BEB0BAE" w14:textId="77777777" w:rsidR="00B67C49" w:rsidRDefault="00000000">
      <w:pPr>
        <w:autoSpaceDE w:val="0"/>
        <w:autoSpaceDN w:val="0"/>
        <w:spacing w:line="360" w:lineRule="auto"/>
        <w:ind w:firstLineChars="200" w:firstLine="480"/>
        <w:textAlignment w:val="bottom"/>
        <w:rPr>
          <w:bCs/>
          <w:sz w:val="24"/>
        </w:rPr>
      </w:pPr>
      <w:r>
        <w:rPr>
          <w:rFonts w:hint="eastAsia"/>
          <w:bCs/>
          <w:sz w:val="24"/>
        </w:rPr>
        <w:lastRenderedPageBreak/>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632BF30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14:paraId="2816D45E"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七、信息披露文件的存放与查阅</w:t>
      </w:r>
    </w:p>
    <w:p w14:paraId="0EDDF3EA"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依法必须披露的信息发布后，基金管理人、基金托管人应当按照相关法律法规规定将信息置备于公司住所，供社会公众查阅、复制。</w:t>
      </w:r>
    </w:p>
    <w:p w14:paraId="73E322B5" w14:textId="77777777" w:rsidR="00B67C49" w:rsidRDefault="00000000">
      <w:pPr>
        <w:autoSpaceDE w:val="0"/>
        <w:autoSpaceDN w:val="0"/>
        <w:spacing w:line="360" w:lineRule="auto"/>
        <w:ind w:firstLineChars="200" w:firstLine="480"/>
        <w:textAlignment w:val="bottom"/>
        <w:rPr>
          <w:bCs/>
          <w:sz w:val="24"/>
        </w:rPr>
      </w:pPr>
      <w:r>
        <w:rPr>
          <w:rFonts w:hint="eastAsia"/>
          <w:bCs/>
          <w:sz w:val="24"/>
        </w:rPr>
        <w:t>八、暂停或延迟信息披露的情形</w:t>
      </w:r>
    </w:p>
    <w:p w14:paraId="6BB77DA0" w14:textId="77777777" w:rsidR="00B67C49"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、不可抗力；</w:t>
      </w:r>
    </w:p>
    <w:p w14:paraId="795B5756" w14:textId="77777777" w:rsidR="00B67C49" w:rsidRDefault="00000000">
      <w:pPr>
        <w:spacing w:line="360" w:lineRule="auto"/>
        <w:ind w:firstLineChars="200" w:firstLine="480"/>
        <w:rPr>
          <w:bCs/>
          <w:sz w:val="24"/>
        </w:rPr>
      </w:pPr>
      <w:r>
        <w:rPr>
          <w:bCs/>
          <w:sz w:val="24"/>
        </w:rPr>
        <w:t>2</w:t>
      </w:r>
      <w:r>
        <w:rPr>
          <w:bCs/>
          <w:sz w:val="24"/>
        </w:rPr>
        <w:t>、</w:t>
      </w:r>
      <w:r>
        <w:rPr>
          <w:rFonts w:hint="eastAsia"/>
          <w:bCs/>
          <w:sz w:val="24"/>
        </w:rPr>
        <w:t>发生暂停估值的情形；</w:t>
      </w:r>
    </w:p>
    <w:p w14:paraId="403273F4" w14:textId="77777777" w:rsidR="00B67C49" w:rsidRDefault="00000000">
      <w:pPr>
        <w:autoSpaceDE w:val="0"/>
        <w:autoSpaceDN w:val="0"/>
        <w:spacing w:line="360" w:lineRule="auto"/>
        <w:ind w:firstLineChars="200" w:firstLine="480"/>
        <w:textAlignment w:val="bottom"/>
        <w:rPr>
          <w:bCs/>
          <w:sz w:val="24"/>
        </w:rPr>
      </w:pPr>
      <w:r>
        <w:rPr>
          <w:bCs/>
          <w:sz w:val="24"/>
        </w:rPr>
        <w:t>3</w:t>
      </w:r>
      <w:r>
        <w:rPr>
          <w:rFonts w:hint="eastAsia"/>
          <w:bCs/>
          <w:sz w:val="24"/>
        </w:rPr>
        <w:t>、法律法规、中国证监会规定或基金合同认定的其他情形。</w:t>
      </w:r>
    </w:p>
    <w:p w14:paraId="6A973F44" w14:textId="77777777" w:rsidR="00B67C49" w:rsidRDefault="00000000">
      <w:pPr>
        <w:autoSpaceDE w:val="0"/>
        <w:autoSpaceDN w:val="0"/>
        <w:spacing w:line="360" w:lineRule="auto"/>
        <w:ind w:firstLineChars="200" w:firstLine="480"/>
        <w:textAlignment w:val="bottom"/>
        <w:rPr>
          <w:bCs/>
          <w:sz w:val="24"/>
        </w:rPr>
      </w:pPr>
      <w:r>
        <w:rPr>
          <w:rFonts w:hint="eastAsia"/>
          <w:bCs/>
          <w:sz w:val="24"/>
        </w:rPr>
        <w:t>九、本基金信息披露事项以法律法规规定及本章节约定的内容为准。</w:t>
      </w:r>
    </w:p>
    <w:p w14:paraId="4762F58F" w14:textId="77777777" w:rsidR="00B67C49" w:rsidRDefault="00B67C49">
      <w:pPr>
        <w:autoSpaceDE w:val="0"/>
        <w:autoSpaceDN w:val="0"/>
        <w:spacing w:line="360" w:lineRule="auto"/>
        <w:ind w:firstLineChars="200" w:firstLine="480"/>
        <w:textAlignment w:val="bottom"/>
        <w:rPr>
          <w:bCs/>
          <w:sz w:val="24"/>
        </w:rPr>
      </w:pPr>
    </w:p>
    <w:p w14:paraId="3A735155" w14:textId="77777777" w:rsidR="00B67C49" w:rsidRDefault="00000000">
      <w:pPr>
        <w:pStyle w:val="1"/>
        <w:spacing w:before="240" w:after="240"/>
        <w:jc w:val="center"/>
        <w:rPr>
          <w:rFonts w:cs="Arial"/>
          <w:b w:val="0"/>
          <w:sz w:val="30"/>
          <w:szCs w:val="30"/>
        </w:rPr>
      </w:pPr>
      <w:r>
        <w:rPr>
          <w:bCs/>
        </w:rPr>
        <w:br w:type="page"/>
      </w:r>
      <w:bookmarkStart w:id="329" w:name="_Toc119568472"/>
      <w:bookmarkStart w:id="330" w:name="_Toc16224"/>
      <w:bookmarkStart w:id="331" w:name="_Toc49433828"/>
      <w:bookmarkStart w:id="332" w:name="_Toc63866832"/>
      <w:bookmarkStart w:id="333" w:name="_Toc68266303"/>
      <w:r>
        <w:rPr>
          <w:rFonts w:cs="Arial" w:hint="eastAsia"/>
          <w:sz w:val="30"/>
          <w:szCs w:val="30"/>
        </w:rPr>
        <w:lastRenderedPageBreak/>
        <w:t xml:space="preserve">第十六部分 </w:t>
      </w:r>
      <w:proofErr w:type="gramStart"/>
      <w:r>
        <w:rPr>
          <w:rFonts w:cs="Arial" w:hint="eastAsia"/>
          <w:sz w:val="30"/>
          <w:szCs w:val="30"/>
        </w:rPr>
        <w:t>侧袋机制</w:t>
      </w:r>
      <w:bookmarkEnd w:id="329"/>
      <w:bookmarkEnd w:id="330"/>
      <w:bookmarkEnd w:id="331"/>
      <w:bookmarkEnd w:id="332"/>
      <w:bookmarkEnd w:id="333"/>
      <w:proofErr w:type="gramEnd"/>
    </w:p>
    <w:p w14:paraId="7503F04F"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一、</w:t>
      </w:r>
      <w:proofErr w:type="gramStart"/>
      <w:r>
        <w:rPr>
          <w:rFonts w:cs="Arial" w:hint="eastAsia"/>
          <w:color w:val="000000"/>
          <w:sz w:val="24"/>
        </w:rPr>
        <w:t>侧袋机制</w:t>
      </w:r>
      <w:proofErr w:type="gramEnd"/>
      <w:r>
        <w:rPr>
          <w:rFonts w:cs="Arial" w:hint="eastAsia"/>
          <w:color w:val="000000"/>
          <w:sz w:val="24"/>
        </w:rPr>
        <w:t>的实施条件</w:t>
      </w:r>
    </w:p>
    <w:p w14:paraId="3326FD03"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cs="Arial" w:hint="eastAsia"/>
          <w:color w:val="000000"/>
          <w:sz w:val="24"/>
        </w:rPr>
        <w:t>启用侧袋机制</w:t>
      </w:r>
      <w:proofErr w:type="gramEnd"/>
      <w:r>
        <w:rPr>
          <w:rFonts w:cs="Arial" w:hint="eastAsia"/>
          <w:color w:val="000000"/>
          <w:sz w:val="24"/>
        </w:rPr>
        <w:t>，无需召开基金份额持有人大会审议。</w:t>
      </w:r>
    </w:p>
    <w:p w14:paraId="79C52EBC"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基金管理人应当在启用</w:t>
      </w:r>
      <w:proofErr w:type="gramStart"/>
      <w:r>
        <w:rPr>
          <w:rFonts w:cs="Arial" w:hint="eastAsia"/>
          <w:color w:val="000000"/>
          <w:sz w:val="24"/>
        </w:rPr>
        <w:t>侧袋机制</w:t>
      </w:r>
      <w:proofErr w:type="gramEnd"/>
      <w:r>
        <w:rPr>
          <w:rFonts w:cs="Arial" w:hint="eastAsia"/>
          <w:color w:val="000000"/>
          <w:sz w:val="24"/>
        </w:rPr>
        <w:t>后及时发布临时公告，并及时聘请</w:t>
      </w:r>
      <w:proofErr w:type="gramStart"/>
      <w:r>
        <w:rPr>
          <w:rFonts w:cs="Arial" w:hint="eastAsia"/>
          <w:color w:val="000000"/>
          <w:sz w:val="24"/>
        </w:rPr>
        <w:t>侧袋机制</w:t>
      </w:r>
      <w:proofErr w:type="gramEnd"/>
      <w:r>
        <w:rPr>
          <w:rFonts w:cs="Arial" w:hint="eastAsia"/>
          <w:color w:val="000000"/>
          <w:sz w:val="24"/>
        </w:rPr>
        <w:t>启用日发表意见且符合《中华人民共和国证券法》规定的会计师事务所进行审计并披露专项审计意见。</w:t>
      </w:r>
    </w:p>
    <w:p w14:paraId="1C9EC98D"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二、实施</w:t>
      </w:r>
      <w:proofErr w:type="gramStart"/>
      <w:r>
        <w:rPr>
          <w:rFonts w:cs="Arial" w:hint="eastAsia"/>
          <w:color w:val="000000"/>
          <w:sz w:val="24"/>
        </w:rPr>
        <w:t>侧袋机制</w:t>
      </w:r>
      <w:proofErr w:type="gramEnd"/>
      <w:r>
        <w:rPr>
          <w:rFonts w:cs="Arial" w:hint="eastAsia"/>
          <w:color w:val="000000"/>
          <w:sz w:val="24"/>
        </w:rPr>
        <w:t>期间基金份额的申购与赎回</w:t>
      </w:r>
    </w:p>
    <w:p w14:paraId="12A6E564"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1</w:t>
      </w:r>
      <w:r>
        <w:rPr>
          <w:rFonts w:cs="Arial" w:hint="eastAsia"/>
          <w:color w:val="000000"/>
          <w:sz w:val="24"/>
        </w:rPr>
        <w:t>、启用</w:t>
      </w:r>
      <w:proofErr w:type="gramStart"/>
      <w:r>
        <w:rPr>
          <w:rFonts w:cs="Arial" w:hint="eastAsia"/>
          <w:color w:val="000000"/>
          <w:sz w:val="24"/>
        </w:rPr>
        <w:t>侧袋机制</w:t>
      </w:r>
      <w:proofErr w:type="gramEnd"/>
      <w:r>
        <w:rPr>
          <w:rFonts w:cs="Arial" w:hint="eastAsia"/>
          <w:color w:val="000000"/>
          <w:sz w:val="24"/>
        </w:rPr>
        <w:t>当日，基金登记机构以基金份额持有人的原有账户份额为基础，确认</w:t>
      </w:r>
      <w:proofErr w:type="gramStart"/>
      <w:r>
        <w:rPr>
          <w:rFonts w:cs="Arial" w:hint="eastAsia"/>
          <w:color w:val="000000"/>
          <w:sz w:val="24"/>
        </w:rPr>
        <w:t>相应侧袋账户</w:t>
      </w:r>
      <w:proofErr w:type="gramEnd"/>
      <w:r>
        <w:rPr>
          <w:rFonts w:cs="Arial" w:hint="eastAsia"/>
          <w:color w:val="000000"/>
          <w:sz w:val="24"/>
        </w:rPr>
        <w:t>基金份额持有人名册和份额；当日收到的申购申请，按照启用</w:t>
      </w:r>
      <w:proofErr w:type="gramStart"/>
      <w:r>
        <w:rPr>
          <w:rFonts w:cs="Arial" w:hint="eastAsia"/>
          <w:color w:val="000000"/>
          <w:sz w:val="24"/>
        </w:rPr>
        <w:t>侧袋机制</w:t>
      </w:r>
      <w:proofErr w:type="gramEnd"/>
      <w:r>
        <w:rPr>
          <w:rFonts w:cs="Arial" w:hint="eastAsia"/>
          <w:color w:val="000000"/>
          <w:sz w:val="24"/>
        </w:rPr>
        <w:t>后</w:t>
      </w:r>
      <w:proofErr w:type="gramStart"/>
      <w:r>
        <w:rPr>
          <w:rFonts w:cs="Arial" w:hint="eastAsia"/>
          <w:color w:val="000000"/>
          <w:sz w:val="24"/>
        </w:rPr>
        <w:t>的主袋账户</w:t>
      </w:r>
      <w:proofErr w:type="gramEnd"/>
      <w:r>
        <w:rPr>
          <w:rFonts w:cs="Arial" w:hint="eastAsia"/>
          <w:color w:val="000000"/>
          <w:sz w:val="24"/>
        </w:rPr>
        <w:t>份额办理；当日收到的赎回申请，仅</w:t>
      </w:r>
      <w:proofErr w:type="gramStart"/>
      <w:r>
        <w:rPr>
          <w:rFonts w:cs="Arial" w:hint="eastAsia"/>
          <w:color w:val="000000"/>
          <w:sz w:val="24"/>
        </w:rPr>
        <w:t>办理主袋账户</w:t>
      </w:r>
      <w:proofErr w:type="gramEnd"/>
      <w:r>
        <w:rPr>
          <w:rFonts w:cs="Arial" w:hint="eastAsia"/>
          <w:color w:val="000000"/>
          <w:sz w:val="24"/>
        </w:rPr>
        <w:t>的赎回申请并支付赎回款项。</w:t>
      </w:r>
    </w:p>
    <w:p w14:paraId="27BAE587"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2</w:t>
      </w:r>
      <w:r>
        <w:rPr>
          <w:rFonts w:cs="Arial" w:hint="eastAsia"/>
          <w:color w:val="000000"/>
          <w:sz w:val="24"/>
        </w:rPr>
        <w:t>、实施</w:t>
      </w:r>
      <w:proofErr w:type="gramStart"/>
      <w:r>
        <w:rPr>
          <w:rFonts w:cs="Arial" w:hint="eastAsia"/>
          <w:color w:val="000000"/>
          <w:sz w:val="24"/>
        </w:rPr>
        <w:t>侧袋机制</w:t>
      </w:r>
      <w:proofErr w:type="gramEnd"/>
      <w:r>
        <w:rPr>
          <w:rFonts w:cs="Arial" w:hint="eastAsia"/>
          <w:color w:val="000000"/>
          <w:sz w:val="24"/>
        </w:rPr>
        <w:t>期间，基金管理人</w:t>
      </w:r>
      <w:proofErr w:type="gramStart"/>
      <w:r>
        <w:rPr>
          <w:rFonts w:cs="Arial" w:hint="eastAsia"/>
          <w:color w:val="000000"/>
          <w:sz w:val="24"/>
        </w:rPr>
        <w:t>应对侧袋账户</w:t>
      </w:r>
      <w:proofErr w:type="gramEnd"/>
      <w:r>
        <w:rPr>
          <w:rFonts w:cs="Arial" w:hint="eastAsia"/>
          <w:color w:val="000000"/>
          <w:sz w:val="24"/>
        </w:rPr>
        <w:t>份额实行独立管理，</w:t>
      </w:r>
      <w:proofErr w:type="gramStart"/>
      <w:r>
        <w:rPr>
          <w:rFonts w:cs="Arial" w:hint="eastAsia"/>
          <w:color w:val="000000"/>
          <w:sz w:val="24"/>
        </w:rPr>
        <w:t>主袋账户</w:t>
      </w:r>
      <w:proofErr w:type="gramEnd"/>
      <w:r>
        <w:rPr>
          <w:rFonts w:cs="Arial" w:hint="eastAsia"/>
          <w:color w:val="000000"/>
          <w:sz w:val="24"/>
        </w:rPr>
        <w:t>沿用</w:t>
      </w:r>
      <w:proofErr w:type="gramStart"/>
      <w:r>
        <w:rPr>
          <w:rFonts w:cs="Arial" w:hint="eastAsia"/>
          <w:color w:val="000000"/>
          <w:sz w:val="24"/>
        </w:rPr>
        <w:t>原基金</w:t>
      </w:r>
      <w:proofErr w:type="gramEnd"/>
      <w:r>
        <w:rPr>
          <w:rFonts w:cs="Arial" w:hint="eastAsia"/>
          <w:color w:val="000000"/>
          <w:sz w:val="24"/>
        </w:rPr>
        <w:t>代码，</w:t>
      </w:r>
      <w:proofErr w:type="gramStart"/>
      <w:r>
        <w:rPr>
          <w:rFonts w:cs="Arial" w:hint="eastAsia"/>
          <w:color w:val="000000"/>
          <w:sz w:val="24"/>
        </w:rPr>
        <w:t>侧袋账户</w:t>
      </w:r>
      <w:proofErr w:type="gramEnd"/>
      <w:r>
        <w:rPr>
          <w:rFonts w:cs="Arial" w:hint="eastAsia"/>
          <w:color w:val="000000"/>
          <w:sz w:val="24"/>
        </w:rPr>
        <w:t>使用独立的基金代码。基金管理人不</w:t>
      </w:r>
      <w:proofErr w:type="gramStart"/>
      <w:r>
        <w:rPr>
          <w:rFonts w:cs="Arial" w:hint="eastAsia"/>
          <w:color w:val="000000"/>
          <w:sz w:val="24"/>
        </w:rPr>
        <w:t>办理侧袋账户</w:t>
      </w:r>
      <w:proofErr w:type="gramEnd"/>
      <w:r>
        <w:rPr>
          <w:rFonts w:cs="Arial" w:hint="eastAsia"/>
          <w:color w:val="000000"/>
          <w:sz w:val="24"/>
        </w:rPr>
        <w:t>份额的申购、赎回和转换；同时，基金管理人按照基金合同和招募说明书的约定</w:t>
      </w:r>
      <w:proofErr w:type="gramStart"/>
      <w:r>
        <w:rPr>
          <w:rFonts w:cs="Arial" w:hint="eastAsia"/>
          <w:color w:val="000000"/>
          <w:sz w:val="24"/>
        </w:rPr>
        <w:t>办理主袋账户</w:t>
      </w:r>
      <w:proofErr w:type="gramEnd"/>
      <w:r>
        <w:rPr>
          <w:rFonts w:cs="Arial" w:hint="eastAsia"/>
          <w:color w:val="000000"/>
          <w:sz w:val="24"/>
        </w:rPr>
        <w:t>份额的赎回，并</w:t>
      </w:r>
      <w:proofErr w:type="gramStart"/>
      <w:r>
        <w:rPr>
          <w:rFonts w:cs="Arial" w:hint="eastAsia"/>
          <w:color w:val="000000"/>
          <w:sz w:val="24"/>
        </w:rPr>
        <w:t>根据主袋账户</w:t>
      </w:r>
      <w:proofErr w:type="gramEnd"/>
      <w:r>
        <w:rPr>
          <w:rFonts w:cs="Arial" w:hint="eastAsia"/>
          <w:color w:val="000000"/>
          <w:sz w:val="24"/>
        </w:rPr>
        <w:t>运作情况确定是否暂停申购，具体事项届时将由基金管理人在相关公告中规定。</w:t>
      </w:r>
    </w:p>
    <w:p w14:paraId="4804285C"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3</w:t>
      </w:r>
      <w:r>
        <w:rPr>
          <w:rFonts w:cs="Arial" w:hint="eastAsia"/>
          <w:color w:val="000000"/>
          <w:sz w:val="24"/>
        </w:rPr>
        <w:t>、基金管理人应</w:t>
      </w:r>
      <w:proofErr w:type="gramStart"/>
      <w:r>
        <w:rPr>
          <w:rFonts w:cs="Arial" w:hint="eastAsia"/>
          <w:color w:val="000000"/>
          <w:sz w:val="24"/>
        </w:rPr>
        <w:t>按照主袋账户</w:t>
      </w:r>
      <w:proofErr w:type="gramEnd"/>
      <w:r>
        <w:rPr>
          <w:rFonts w:cs="Arial" w:hint="eastAsia"/>
          <w:color w:val="000000"/>
          <w:sz w:val="24"/>
        </w:rPr>
        <w:t>的份额净值</w:t>
      </w:r>
      <w:proofErr w:type="gramStart"/>
      <w:r>
        <w:rPr>
          <w:rFonts w:cs="Arial" w:hint="eastAsia"/>
          <w:color w:val="000000"/>
          <w:sz w:val="24"/>
        </w:rPr>
        <w:t>办理主袋账户</w:t>
      </w:r>
      <w:proofErr w:type="gramEnd"/>
      <w:r>
        <w:rPr>
          <w:rFonts w:cs="Arial" w:hint="eastAsia"/>
          <w:color w:val="000000"/>
          <w:sz w:val="24"/>
        </w:rPr>
        <w:t>份额的申购和赎回。本招募说明书“基金份额的申购与赎回”部分的申购、赎回规定</w:t>
      </w:r>
      <w:proofErr w:type="gramStart"/>
      <w:r>
        <w:rPr>
          <w:rFonts w:cs="Arial" w:hint="eastAsia"/>
          <w:color w:val="000000"/>
          <w:sz w:val="24"/>
        </w:rPr>
        <w:t>适用于主袋账户</w:t>
      </w:r>
      <w:proofErr w:type="gramEnd"/>
      <w:r>
        <w:rPr>
          <w:rFonts w:cs="Arial" w:hint="eastAsia"/>
          <w:color w:val="000000"/>
          <w:sz w:val="24"/>
        </w:rPr>
        <w:t>份额。巨额赎回按照单个开放</w:t>
      </w:r>
      <w:proofErr w:type="gramStart"/>
      <w:r>
        <w:rPr>
          <w:rFonts w:cs="Arial" w:hint="eastAsia"/>
          <w:color w:val="000000"/>
          <w:sz w:val="24"/>
        </w:rPr>
        <w:t>日内主袋账户</w:t>
      </w:r>
      <w:proofErr w:type="gramEnd"/>
      <w:r>
        <w:rPr>
          <w:rFonts w:cs="Arial" w:hint="eastAsia"/>
          <w:color w:val="000000"/>
          <w:sz w:val="24"/>
        </w:rPr>
        <w:t>份额净赎回申请超过前一开放日</w:t>
      </w:r>
      <w:proofErr w:type="gramStart"/>
      <w:r>
        <w:rPr>
          <w:rFonts w:cs="Arial" w:hint="eastAsia"/>
          <w:color w:val="000000"/>
          <w:sz w:val="24"/>
        </w:rPr>
        <w:t>的主袋账户</w:t>
      </w:r>
      <w:proofErr w:type="gramEnd"/>
      <w:r>
        <w:rPr>
          <w:rFonts w:cs="Arial" w:hint="eastAsia"/>
          <w:color w:val="000000"/>
          <w:sz w:val="24"/>
        </w:rPr>
        <w:t>总份额的</w:t>
      </w:r>
      <w:r>
        <w:rPr>
          <w:rFonts w:cs="Arial" w:hint="eastAsia"/>
          <w:color w:val="000000"/>
          <w:sz w:val="24"/>
        </w:rPr>
        <w:t>10%</w:t>
      </w:r>
      <w:r>
        <w:rPr>
          <w:rFonts w:cs="Arial" w:hint="eastAsia"/>
          <w:color w:val="000000"/>
          <w:sz w:val="24"/>
        </w:rPr>
        <w:t>认定。</w:t>
      </w:r>
    </w:p>
    <w:p w14:paraId="628D33BA"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三、实施</w:t>
      </w:r>
      <w:proofErr w:type="gramStart"/>
      <w:r>
        <w:rPr>
          <w:rFonts w:cs="Arial" w:hint="eastAsia"/>
          <w:color w:val="000000"/>
          <w:sz w:val="24"/>
        </w:rPr>
        <w:t>侧袋机制</w:t>
      </w:r>
      <w:proofErr w:type="gramEnd"/>
      <w:r>
        <w:rPr>
          <w:rFonts w:cs="Arial" w:hint="eastAsia"/>
          <w:color w:val="000000"/>
          <w:sz w:val="24"/>
        </w:rPr>
        <w:t>期间的基金投资及业绩</w:t>
      </w:r>
    </w:p>
    <w:p w14:paraId="5E064C65" w14:textId="77777777" w:rsidR="00B67C49"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侧袋机制</w:t>
      </w:r>
      <w:proofErr w:type="gramEnd"/>
      <w:r>
        <w:rPr>
          <w:rFonts w:cs="Arial" w:hint="eastAsia"/>
          <w:color w:val="000000"/>
          <w:sz w:val="24"/>
        </w:rPr>
        <w:t>实施期间，招募说明书“基金的投资”部分约定的投资组合比例、投资策略、组合限制、业绩比较基准、风险收益特征等约定仅</w:t>
      </w:r>
      <w:proofErr w:type="gramStart"/>
      <w:r>
        <w:rPr>
          <w:rFonts w:cs="Arial" w:hint="eastAsia"/>
          <w:color w:val="000000"/>
          <w:sz w:val="24"/>
        </w:rPr>
        <w:t>适用于主袋账户</w:t>
      </w:r>
      <w:proofErr w:type="gramEnd"/>
      <w:r>
        <w:rPr>
          <w:rFonts w:cs="Arial" w:hint="eastAsia"/>
          <w:color w:val="000000"/>
          <w:sz w:val="24"/>
        </w:rPr>
        <w:t>。基金管理人计算各项投资运作指标和基金业绩指标时仅需</w:t>
      </w:r>
      <w:proofErr w:type="gramStart"/>
      <w:r>
        <w:rPr>
          <w:rFonts w:cs="Arial" w:hint="eastAsia"/>
          <w:color w:val="000000"/>
          <w:sz w:val="24"/>
        </w:rPr>
        <w:t>考虑主袋账户</w:t>
      </w:r>
      <w:proofErr w:type="gramEnd"/>
      <w:r>
        <w:rPr>
          <w:rFonts w:cs="Arial" w:hint="eastAsia"/>
          <w:color w:val="000000"/>
          <w:sz w:val="24"/>
        </w:rPr>
        <w:t>资产。</w:t>
      </w:r>
    </w:p>
    <w:p w14:paraId="32ADB920"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基金管理人原则上应当在</w:t>
      </w:r>
      <w:proofErr w:type="gramStart"/>
      <w:r>
        <w:rPr>
          <w:rFonts w:cs="Arial" w:hint="eastAsia"/>
          <w:color w:val="000000"/>
          <w:sz w:val="24"/>
        </w:rPr>
        <w:t>侧袋机制</w:t>
      </w:r>
      <w:proofErr w:type="gramEnd"/>
      <w:r>
        <w:rPr>
          <w:rFonts w:cs="Arial" w:hint="eastAsia"/>
          <w:color w:val="000000"/>
          <w:sz w:val="24"/>
        </w:rPr>
        <w:t>启用后</w:t>
      </w:r>
      <w:r>
        <w:rPr>
          <w:rFonts w:cs="Arial" w:hint="eastAsia"/>
          <w:color w:val="000000"/>
          <w:sz w:val="24"/>
        </w:rPr>
        <w:t>20</w:t>
      </w:r>
      <w:r>
        <w:rPr>
          <w:rFonts w:cs="Arial" w:hint="eastAsia"/>
          <w:color w:val="000000"/>
          <w:sz w:val="24"/>
        </w:rPr>
        <w:t>个交易日内完成</w:t>
      </w:r>
      <w:proofErr w:type="gramStart"/>
      <w:r>
        <w:rPr>
          <w:rFonts w:cs="Arial" w:hint="eastAsia"/>
          <w:color w:val="000000"/>
          <w:sz w:val="24"/>
        </w:rPr>
        <w:t>对主袋账户</w:t>
      </w:r>
      <w:proofErr w:type="gramEnd"/>
      <w:r>
        <w:rPr>
          <w:rFonts w:cs="Arial" w:hint="eastAsia"/>
          <w:color w:val="000000"/>
          <w:sz w:val="24"/>
        </w:rPr>
        <w:t>投资</w:t>
      </w:r>
      <w:r>
        <w:rPr>
          <w:rFonts w:cs="Arial" w:hint="eastAsia"/>
          <w:color w:val="000000"/>
          <w:sz w:val="24"/>
        </w:rPr>
        <w:lastRenderedPageBreak/>
        <w:t>组合的调整，因资产流动性受限等中国证监会规定的情形除外。</w:t>
      </w:r>
    </w:p>
    <w:p w14:paraId="4DA3D2D2"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基金管理人不得</w:t>
      </w:r>
      <w:proofErr w:type="gramStart"/>
      <w:r>
        <w:rPr>
          <w:rFonts w:cs="Arial" w:hint="eastAsia"/>
          <w:color w:val="000000"/>
          <w:sz w:val="24"/>
        </w:rPr>
        <w:t>在侧袋账户</w:t>
      </w:r>
      <w:proofErr w:type="gramEnd"/>
      <w:r>
        <w:rPr>
          <w:rFonts w:cs="Arial" w:hint="eastAsia"/>
          <w:color w:val="000000"/>
          <w:sz w:val="24"/>
        </w:rPr>
        <w:t>中进行除特定资产处置变现以外的其他投资操作。</w:t>
      </w:r>
    </w:p>
    <w:p w14:paraId="20DBA619" w14:textId="77777777" w:rsidR="00B67C49"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侧袋机制</w:t>
      </w:r>
      <w:proofErr w:type="gramEnd"/>
      <w:r>
        <w:rPr>
          <w:rFonts w:cs="Arial" w:hint="eastAsia"/>
          <w:color w:val="000000"/>
          <w:sz w:val="24"/>
        </w:rPr>
        <w:t>实施期间，基金管理人、基金服务机构在计算基金业绩相关指标时仅</w:t>
      </w:r>
      <w:proofErr w:type="gramStart"/>
      <w:r>
        <w:rPr>
          <w:rFonts w:cs="Arial" w:hint="eastAsia"/>
          <w:color w:val="000000"/>
          <w:sz w:val="24"/>
        </w:rPr>
        <w:t>考虑主袋账户</w:t>
      </w:r>
      <w:proofErr w:type="gramEnd"/>
      <w:r>
        <w:rPr>
          <w:rFonts w:cs="Arial" w:hint="eastAsia"/>
          <w:color w:val="000000"/>
          <w:sz w:val="24"/>
        </w:rPr>
        <w:t>资产，</w:t>
      </w:r>
      <w:proofErr w:type="gramStart"/>
      <w:r>
        <w:rPr>
          <w:rFonts w:cs="Arial" w:hint="eastAsia"/>
          <w:color w:val="000000"/>
          <w:sz w:val="24"/>
        </w:rPr>
        <w:t>分割侧袋账户</w:t>
      </w:r>
      <w:proofErr w:type="gramEnd"/>
      <w:r>
        <w:rPr>
          <w:rFonts w:cs="Arial" w:hint="eastAsia"/>
          <w:color w:val="000000"/>
          <w:sz w:val="24"/>
        </w:rPr>
        <w:t>资产导致的基金净资产减少在计算基金业绩相关指标时按投资损失处理。基金管理人、基金服务机构在展示基金业绩时，应当就前述情况进行充分的解释说明，避免引起投资者误解。</w:t>
      </w:r>
    </w:p>
    <w:p w14:paraId="257FBE76"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四、实施</w:t>
      </w:r>
      <w:proofErr w:type="gramStart"/>
      <w:r>
        <w:rPr>
          <w:rFonts w:cs="Arial" w:hint="eastAsia"/>
          <w:color w:val="000000"/>
          <w:sz w:val="24"/>
        </w:rPr>
        <w:t>侧袋机制</w:t>
      </w:r>
      <w:proofErr w:type="gramEnd"/>
      <w:r>
        <w:rPr>
          <w:rFonts w:cs="Arial" w:hint="eastAsia"/>
          <w:color w:val="000000"/>
          <w:sz w:val="24"/>
        </w:rPr>
        <w:t>期间的基金估值与会计核算</w:t>
      </w:r>
    </w:p>
    <w:p w14:paraId="30BA833E"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本基金实施</w:t>
      </w:r>
      <w:proofErr w:type="gramStart"/>
      <w:r>
        <w:rPr>
          <w:rFonts w:cs="Arial" w:hint="eastAsia"/>
          <w:color w:val="000000"/>
          <w:sz w:val="24"/>
        </w:rPr>
        <w:t>侧袋机制</w:t>
      </w:r>
      <w:proofErr w:type="gramEnd"/>
      <w:r>
        <w:rPr>
          <w:rFonts w:cs="Arial" w:hint="eastAsia"/>
          <w:color w:val="000000"/>
          <w:sz w:val="24"/>
        </w:rPr>
        <w:t>的，基金管理人和基金托管人</w:t>
      </w:r>
      <w:proofErr w:type="gramStart"/>
      <w:r>
        <w:rPr>
          <w:rFonts w:cs="Arial" w:hint="eastAsia"/>
          <w:color w:val="000000"/>
          <w:sz w:val="24"/>
        </w:rPr>
        <w:t>应对主袋账户</w:t>
      </w:r>
      <w:proofErr w:type="gramEnd"/>
      <w:r>
        <w:rPr>
          <w:rFonts w:cs="Arial" w:hint="eastAsia"/>
          <w:color w:val="000000"/>
          <w:sz w:val="24"/>
        </w:rPr>
        <w:t>资产进行估值并</w:t>
      </w:r>
      <w:proofErr w:type="gramStart"/>
      <w:r>
        <w:rPr>
          <w:rFonts w:cs="Arial" w:hint="eastAsia"/>
          <w:color w:val="000000"/>
          <w:sz w:val="24"/>
        </w:rPr>
        <w:t>披露主袋账户</w:t>
      </w:r>
      <w:proofErr w:type="gramEnd"/>
      <w:r>
        <w:rPr>
          <w:rFonts w:cs="Arial" w:hint="eastAsia"/>
          <w:color w:val="000000"/>
          <w:sz w:val="24"/>
        </w:rPr>
        <w:t>的基金净值信息，暂停</w:t>
      </w:r>
      <w:proofErr w:type="gramStart"/>
      <w:r>
        <w:rPr>
          <w:rFonts w:cs="Arial" w:hint="eastAsia"/>
          <w:color w:val="000000"/>
          <w:sz w:val="24"/>
        </w:rPr>
        <w:t>披露侧袋账户</w:t>
      </w:r>
      <w:proofErr w:type="gramEnd"/>
      <w:r>
        <w:rPr>
          <w:rFonts w:cs="Arial" w:hint="eastAsia"/>
          <w:color w:val="000000"/>
          <w:sz w:val="24"/>
        </w:rPr>
        <w:t>的基金净值信息。</w:t>
      </w:r>
      <w:proofErr w:type="gramStart"/>
      <w:r>
        <w:rPr>
          <w:rFonts w:cs="Arial" w:hint="eastAsia"/>
          <w:color w:val="000000"/>
          <w:sz w:val="24"/>
        </w:rPr>
        <w:t>侧袋机制</w:t>
      </w:r>
      <w:proofErr w:type="gramEnd"/>
      <w:r>
        <w:rPr>
          <w:rFonts w:cs="Arial" w:hint="eastAsia"/>
          <w:color w:val="000000"/>
          <w:sz w:val="24"/>
        </w:rPr>
        <w:t>实施期间，基金管理人</w:t>
      </w:r>
      <w:proofErr w:type="gramStart"/>
      <w:r>
        <w:rPr>
          <w:rFonts w:cs="Arial" w:hint="eastAsia"/>
          <w:color w:val="000000"/>
          <w:sz w:val="24"/>
        </w:rPr>
        <w:t>应对侧袋账户</w:t>
      </w:r>
      <w:proofErr w:type="gramEnd"/>
      <w:r>
        <w:rPr>
          <w:rFonts w:cs="Arial" w:hint="eastAsia"/>
          <w:color w:val="000000"/>
          <w:sz w:val="24"/>
        </w:rPr>
        <w:t>单独设置账套，实行独立核算。如果本基金同时存在</w:t>
      </w:r>
      <w:proofErr w:type="gramStart"/>
      <w:r>
        <w:rPr>
          <w:rFonts w:cs="Arial" w:hint="eastAsia"/>
          <w:color w:val="000000"/>
          <w:sz w:val="24"/>
        </w:rPr>
        <w:t>多个侧袋账户</w:t>
      </w:r>
      <w:proofErr w:type="gramEnd"/>
      <w:r>
        <w:rPr>
          <w:rFonts w:cs="Arial" w:hint="eastAsia"/>
          <w:color w:val="000000"/>
          <w:sz w:val="24"/>
        </w:rPr>
        <w:t>，</w:t>
      </w:r>
      <w:proofErr w:type="gramStart"/>
      <w:r>
        <w:rPr>
          <w:rFonts w:cs="Arial" w:hint="eastAsia"/>
          <w:color w:val="000000"/>
          <w:sz w:val="24"/>
        </w:rPr>
        <w:t>不同侧袋账户</w:t>
      </w:r>
      <w:proofErr w:type="gramEnd"/>
      <w:r>
        <w:rPr>
          <w:rFonts w:cs="Arial" w:hint="eastAsia"/>
          <w:color w:val="000000"/>
          <w:sz w:val="24"/>
        </w:rPr>
        <w:t>应分开进行核算。</w:t>
      </w:r>
      <w:proofErr w:type="gramStart"/>
      <w:r>
        <w:rPr>
          <w:rFonts w:cs="Arial" w:hint="eastAsia"/>
          <w:color w:val="000000"/>
          <w:sz w:val="24"/>
        </w:rPr>
        <w:t>侧袋账户</w:t>
      </w:r>
      <w:proofErr w:type="gramEnd"/>
      <w:r>
        <w:rPr>
          <w:rFonts w:cs="Arial" w:hint="eastAsia"/>
          <w:color w:val="000000"/>
          <w:sz w:val="24"/>
        </w:rPr>
        <w:t>的会计核算应符合《企业会计准则》的相关要求。</w:t>
      </w:r>
    </w:p>
    <w:p w14:paraId="7E49BB36"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五、实施</w:t>
      </w:r>
      <w:proofErr w:type="gramStart"/>
      <w:r>
        <w:rPr>
          <w:rFonts w:cs="Arial" w:hint="eastAsia"/>
          <w:color w:val="000000"/>
          <w:sz w:val="24"/>
        </w:rPr>
        <w:t>侧袋机制</w:t>
      </w:r>
      <w:proofErr w:type="gramEnd"/>
      <w:r>
        <w:rPr>
          <w:rFonts w:cs="Arial" w:hint="eastAsia"/>
          <w:color w:val="000000"/>
          <w:sz w:val="24"/>
        </w:rPr>
        <w:t>期间的基金费用</w:t>
      </w:r>
    </w:p>
    <w:p w14:paraId="6D9FF0B7"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本基金实施</w:t>
      </w:r>
      <w:proofErr w:type="gramStart"/>
      <w:r>
        <w:rPr>
          <w:rFonts w:cs="Arial" w:hint="eastAsia"/>
          <w:color w:val="000000"/>
          <w:sz w:val="24"/>
        </w:rPr>
        <w:t>侧袋机制</w:t>
      </w:r>
      <w:proofErr w:type="gramEnd"/>
      <w:r>
        <w:rPr>
          <w:rFonts w:cs="Arial" w:hint="eastAsia"/>
          <w:color w:val="000000"/>
          <w:sz w:val="24"/>
        </w:rPr>
        <w:t>的，</w:t>
      </w:r>
      <w:proofErr w:type="gramStart"/>
      <w:r>
        <w:rPr>
          <w:rFonts w:cs="Arial" w:hint="eastAsia"/>
          <w:color w:val="000000"/>
          <w:sz w:val="24"/>
        </w:rPr>
        <w:t>主袋账户</w:t>
      </w:r>
      <w:proofErr w:type="gramEnd"/>
      <w:r>
        <w:rPr>
          <w:rFonts w:cs="Arial" w:hint="eastAsia"/>
          <w:color w:val="000000"/>
          <w:sz w:val="24"/>
        </w:rPr>
        <w:t>的管理费和托管费</w:t>
      </w:r>
      <w:proofErr w:type="gramStart"/>
      <w:r>
        <w:rPr>
          <w:rFonts w:cs="Arial" w:hint="eastAsia"/>
          <w:color w:val="000000"/>
          <w:sz w:val="24"/>
        </w:rPr>
        <w:t>按主袋账户</w:t>
      </w:r>
      <w:proofErr w:type="gramEnd"/>
      <w:r>
        <w:rPr>
          <w:rFonts w:cs="Arial" w:hint="eastAsia"/>
          <w:color w:val="000000"/>
          <w:sz w:val="24"/>
        </w:rPr>
        <w:t>基金资产净值作为基数计提；</w:t>
      </w:r>
      <w:proofErr w:type="gramStart"/>
      <w:r>
        <w:rPr>
          <w:rFonts w:cs="Arial" w:hint="eastAsia"/>
          <w:color w:val="000000"/>
          <w:sz w:val="24"/>
        </w:rPr>
        <w:t>主袋账户</w:t>
      </w:r>
      <w:proofErr w:type="gramEnd"/>
      <w:r>
        <w:rPr>
          <w:rFonts w:cs="Arial" w:hint="eastAsia"/>
          <w:color w:val="000000"/>
          <w:sz w:val="24"/>
        </w:rPr>
        <w:t>的</w:t>
      </w:r>
      <w:r>
        <w:rPr>
          <w:rFonts w:cs="Arial" w:hint="eastAsia"/>
          <w:color w:val="000000"/>
          <w:sz w:val="24"/>
        </w:rPr>
        <w:t>C</w:t>
      </w:r>
      <w:r>
        <w:rPr>
          <w:rFonts w:cs="Arial" w:hint="eastAsia"/>
          <w:color w:val="000000"/>
          <w:sz w:val="24"/>
        </w:rPr>
        <w:t>类基金份额的销售服务费仍</w:t>
      </w:r>
      <w:proofErr w:type="gramStart"/>
      <w:r>
        <w:rPr>
          <w:rFonts w:cs="Arial" w:hint="eastAsia"/>
          <w:color w:val="000000"/>
          <w:sz w:val="24"/>
        </w:rPr>
        <w:t>按主袋账户</w:t>
      </w:r>
      <w:proofErr w:type="gramEnd"/>
      <w:r>
        <w:rPr>
          <w:rFonts w:cs="Arial" w:hint="eastAsia"/>
          <w:color w:val="000000"/>
          <w:sz w:val="24"/>
        </w:rPr>
        <w:t>C</w:t>
      </w:r>
      <w:r>
        <w:rPr>
          <w:rFonts w:cs="Arial" w:hint="eastAsia"/>
          <w:color w:val="000000"/>
          <w:sz w:val="24"/>
        </w:rPr>
        <w:t>类基金份额的基金资产净值作为基数计提。</w:t>
      </w:r>
      <w:proofErr w:type="gramStart"/>
      <w:r>
        <w:rPr>
          <w:rFonts w:cs="Arial" w:hint="eastAsia"/>
          <w:color w:val="000000"/>
          <w:sz w:val="24"/>
        </w:rPr>
        <w:t>与侧袋账户</w:t>
      </w:r>
      <w:proofErr w:type="gramEnd"/>
      <w:r>
        <w:rPr>
          <w:rFonts w:cs="Arial" w:hint="eastAsia"/>
          <w:color w:val="000000"/>
          <w:sz w:val="24"/>
        </w:rPr>
        <w:t>有关的费用可</w:t>
      </w:r>
      <w:proofErr w:type="gramStart"/>
      <w:r>
        <w:rPr>
          <w:rFonts w:cs="Arial" w:hint="eastAsia"/>
          <w:color w:val="000000"/>
          <w:sz w:val="24"/>
        </w:rPr>
        <w:t>从侧袋账户</w:t>
      </w:r>
      <w:proofErr w:type="gramEnd"/>
      <w:r>
        <w:rPr>
          <w:rFonts w:cs="Arial" w:hint="eastAsia"/>
          <w:color w:val="000000"/>
          <w:sz w:val="24"/>
        </w:rPr>
        <w:t>中列支，但应</w:t>
      </w:r>
      <w:proofErr w:type="gramStart"/>
      <w:r>
        <w:rPr>
          <w:rFonts w:cs="Arial" w:hint="eastAsia"/>
          <w:color w:val="000000"/>
          <w:sz w:val="24"/>
        </w:rPr>
        <w:t>待侧袋</w:t>
      </w:r>
      <w:proofErr w:type="gramEnd"/>
      <w:r>
        <w:rPr>
          <w:rFonts w:cs="Arial" w:hint="eastAsia"/>
          <w:color w:val="000000"/>
          <w:sz w:val="24"/>
        </w:rPr>
        <w:t>账户资产变现后方可列支，有关费用可酌情收取或减免，但不得收取管理费，其他费用详见相关公告的规定。因启用</w:t>
      </w:r>
      <w:proofErr w:type="gramStart"/>
      <w:r>
        <w:rPr>
          <w:rFonts w:cs="Arial" w:hint="eastAsia"/>
          <w:color w:val="000000"/>
          <w:sz w:val="24"/>
        </w:rPr>
        <w:t>侧袋机制</w:t>
      </w:r>
      <w:proofErr w:type="gramEnd"/>
      <w:r>
        <w:rPr>
          <w:rFonts w:cs="Arial" w:hint="eastAsia"/>
          <w:color w:val="000000"/>
          <w:sz w:val="24"/>
        </w:rPr>
        <w:t>产生的咨询、审计费用等由基金管理人承担。</w:t>
      </w:r>
    </w:p>
    <w:p w14:paraId="2BE27E1D"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六、</w:t>
      </w:r>
      <w:proofErr w:type="gramStart"/>
      <w:r>
        <w:rPr>
          <w:rFonts w:cs="Arial" w:hint="eastAsia"/>
          <w:color w:val="000000"/>
          <w:sz w:val="24"/>
        </w:rPr>
        <w:t>侧袋账户</w:t>
      </w:r>
      <w:proofErr w:type="gramEnd"/>
      <w:r>
        <w:rPr>
          <w:rFonts w:cs="Arial" w:hint="eastAsia"/>
          <w:color w:val="000000"/>
          <w:sz w:val="24"/>
        </w:rPr>
        <w:t>中特定资产的处置变现和支付</w:t>
      </w:r>
    </w:p>
    <w:p w14:paraId="2B0CEC16"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特定资产以可出售、可转让、恢复交易等方式恢复流动性后，基金管理人应当按照基金份额持有人利益最大化原则，采取将特定资产予以处置变现等方式，及时</w:t>
      </w:r>
      <w:proofErr w:type="gramStart"/>
      <w:r>
        <w:rPr>
          <w:rFonts w:cs="Arial" w:hint="eastAsia"/>
          <w:color w:val="000000"/>
          <w:sz w:val="24"/>
        </w:rPr>
        <w:t>向侧袋账户</w:t>
      </w:r>
      <w:proofErr w:type="gramEnd"/>
      <w:r>
        <w:rPr>
          <w:rFonts w:cs="Arial" w:hint="eastAsia"/>
          <w:color w:val="000000"/>
          <w:sz w:val="24"/>
        </w:rPr>
        <w:t>份额持有人支付对应变现款项。</w:t>
      </w:r>
    </w:p>
    <w:p w14:paraId="29C9E1C2" w14:textId="77777777" w:rsidR="00B67C49"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侧袋机制</w:t>
      </w:r>
      <w:proofErr w:type="gramEnd"/>
      <w:r>
        <w:rPr>
          <w:rFonts w:cs="Arial" w:hint="eastAsia"/>
          <w:color w:val="000000"/>
          <w:sz w:val="24"/>
        </w:rPr>
        <w:t>实施期间，</w:t>
      </w:r>
      <w:proofErr w:type="gramStart"/>
      <w:r>
        <w:rPr>
          <w:rFonts w:cs="Arial" w:hint="eastAsia"/>
          <w:color w:val="000000"/>
          <w:sz w:val="24"/>
        </w:rPr>
        <w:t>无论侧袋账户</w:t>
      </w:r>
      <w:proofErr w:type="gramEnd"/>
      <w:r>
        <w:rPr>
          <w:rFonts w:cs="Arial" w:hint="eastAsia"/>
          <w:color w:val="000000"/>
          <w:sz w:val="24"/>
        </w:rPr>
        <w:t>资产是否全部完成变现，基金管理人都应当及时</w:t>
      </w:r>
      <w:proofErr w:type="gramStart"/>
      <w:r>
        <w:rPr>
          <w:rFonts w:cs="Arial" w:hint="eastAsia"/>
          <w:color w:val="000000"/>
          <w:sz w:val="24"/>
        </w:rPr>
        <w:t>向侧袋账户</w:t>
      </w:r>
      <w:proofErr w:type="gramEnd"/>
      <w:r>
        <w:rPr>
          <w:rFonts w:cs="Arial" w:hint="eastAsia"/>
          <w:color w:val="000000"/>
          <w:sz w:val="24"/>
        </w:rPr>
        <w:t>全部份额持有人支付已变现部分对应的款项。</w:t>
      </w:r>
      <w:proofErr w:type="gramStart"/>
      <w:r>
        <w:rPr>
          <w:rFonts w:cs="Arial" w:hint="eastAsia"/>
          <w:color w:val="000000"/>
          <w:sz w:val="24"/>
        </w:rPr>
        <w:t>若侧袋</w:t>
      </w:r>
      <w:proofErr w:type="gramEnd"/>
      <w:r>
        <w:rPr>
          <w:rFonts w:cs="Arial" w:hint="eastAsia"/>
          <w:color w:val="000000"/>
          <w:sz w:val="24"/>
        </w:rPr>
        <w:t>账户资产无法一次性完成处置变现，基金管理人在每次处置变现后均应按照相关法律法规要求及时发布临时公告。</w:t>
      </w:r>
    </w:p>
    <w:p w14:paraId="40E69A2E" w14:textId="77777777" w:rsidR="00B67C49"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侧袋账户</w:t>
      </w:r>
      <w:proofErr w:type="gramEnd"/>
      <w:r>
        <w:rPr>
          <w:rFonts w:cs="Arial" w:hint="eastAsia"/>
          <w:color w:val="000000"/>
          <w:sz w:val="24"/>
        </w:rPr>
        <w:t>资产全部完成变现并终止</w:t>
      </w:r>
      <w:proofErr w:type="gramStart"/>
      <w:r>
        <w:rPr>
          <w:rFonts w:cs="Arial" w:hint="eastAsia"/>
          <w:color w:val="000000"/>
          <w:sz w:val="24"/>
        </w:rPr>
        <w:t>侧袋机制</w:t>
      </w:r>
      <w:proofErr w:type="gramEnd"/>
      <w:r>
        <w:rPr>
          <w:rFonts w:cs="Arial" w:hint="eastAsia"/>
          <w:color w:val="000000"/>
          <w:sz w:val="24"/>
        </w:rPr>
        <w:t>后，基金管理人应及时聘请符合《中华人民共和国证券法》规定的会计师事务所进行审计并披露专项审计意见。</w:t>
      </w:r>
    </w:p>
    <w:p w14:paraId="69B5B438" w14:textId="77777777" w:rsidR="00B67C49"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lastRenderedPageBreak/>
        <w:t>侧袋账户</w:t>
      </w:r>
      <w:proofErr w:type="gramEnd"/>
      <w:r>
        <w:rPr>
          <w:rFonts w:cs="Arial" w:hint="eastAsia"/>
          <w:color w:val="000000"/>
          <w:sz w:val="24"/>
        </w:rPr>
        <w:t>资产完全清算后，基金管理人应</w:t>
      </w:r>
      <w:proofErr w:type="gramStart"/>
      <w:r>
        <w:rPr>
          <w:rFonts w:cs="Arial" w:hint="eastAsia"/>
          <w:color w:val="000000"/>
          <w:sz w:val="24"/>
        </w:rPr>
        <w:t>注销侧袋账户</w:t>
      </w:r>
      <w:proofErr w:type="gramEnd"/>
      <w:r>
        <w:rPr>
          <w:rFonts w:cs="Arial" w:hint="eastAsia"/>
          <w:color w:val="000000"/>
          <w:sz w:val="24"/>
        </w:rPr>
        <w:t>。</w:t>
      </w:r>
    </w:p>
    <w:p w14:paraId="7ACFBC8E"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七、</w:t>
      </w:r>
      <w:proofErr w:type="gramStart"/>
      <w:r>
        <w:rPr>
          <w:rFonts w:cs="Arial" w:hint="eastAsia"/>
          <w:color w:val="000000"/>
          <w:sz w:val="24"/>
        </w:rPr>
        <w:t>侧袋机制</w:t>
      </w:r>
      <w:proofErr w:type="gramEnd"/>
      <w:r>
        <w:rPr>
          <w:rFonts w:cs="Arial" w:hint="eastAsia"/>
          <w:color w:val="000000"/>
          <w:sz w:val="24"/>
        </w:rPr>
        <w:t>的信息披露</w:t>
      </w:r>
    </w:p>
    <w:p w14:paraId="0E81893A"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1</w:t>
      </w:r>
      <w:r>
        <w:rPr>
          <w:rFonts w:cs="Arial" w:hint="eastAsia"/>
          <w:color w:val="000000"/>
          <w:sz w:val="24"/>
        </w:rPr>
        <w:t>、临时公告</w:t>
      </w:r>
    </w:p>
    <w:p w14:paraId="1A7A3071"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在</w:t>
      </w:r>
      <w:proofErr w:type="gramStart"/>
      <w:r>
        <w:rPr>
          <w:rFonts w:cs="Arial" w:hint="eastAsia"/>
          <w:color w:val="000000"/>
          <w:sz w:val="24"/>
        </w:rPr>
        <w:t>启用侧袋机制</w:t>
      </w:r>
      <w:proofErr w:type="gramEnd"/>
      <w:r>
        <w:rPr>
          <w:rFonts w:cs="Arial" w:hint="eastAsia"/>
          <w:color w:val="000000"/>
          <w:sz w:val="24"/>
        </w:rPr>
        <w:t>、处置特定资产、终止</w:t>
      </w:r>
      <w:proofErr w:type="gramStart"/>
      <w:r>
        <w:rPr>
          <w:rFonts w:cs="Arial" w:hint="eastAsia"/>
          <w:color w:val="000000"/>
          <w:sz w:val="24"/>
        </w:rPr>
        <w:t>侧袋机制</w:t>
      </w:r>
      <w:proofErr w:type="gramEnd"/>
      <w:r>
        <w:rPr>
          <w:rFonts w:cs="Arial" w:hint="eastAsia"/>
          <w:color w:val="000000"/>
          <w:sz w:val="24"/>
        </w:rPr>
        <w:t>以及发生其他可能对投资者利益产生重大影响的事项后基金管理人应及时发布临时公告。</w:t>
      </w:r>
    </w:p>
    <w:p w14:paraId="5CA125A2"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2</w:t>
      </w:r>
      <w:r>
        <w:rPr>
          <w:rFonts w:cs="Arial" w:hint="eastAsia"/>
          <w:color w:val="000000"/>
          <w:sz w:val="24"/>
        </w:rPr>
        <w:t>、基金净值信息</w:t>
      </w:r>
    </w:p>
    <w:p w14:paraId="2D2D95BD"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基金管理人应按照招募说明书“基金的信息披露”部分规定的基金净值信息披露方式和频率</w:t>
      </w:r>
      <w:proofErr w:type="gramStart"/>
      <w:r>
        <w:rPr>
          <w:rFonts w:cs="Arial" w:hint="eastAsia"/>
          <w:color w:val="000000"/>
          <w:sz w:val="24"/>
        </w:rPr>
        <w:t>披露主袋账户</w:t>
      </w:r>
      <w:proofErr w:type="gramEnd"/>
      <w:r>
        <w:rPr>
          <w:rFonts w:cs="Arial" w:hint="eastAsia"/>
          <w:color w:val="000000"/>
          <w:sz w:val="24"/>
        </w:rPr>
        <w:t>份额的基金份额净值和基金份额累计净值。实施</w:t>
      </w:r>
      <w:proofErr w:type="gramStart"/>
      <w:r>
        <w:rPr>
          <w:rFonts w:cs="Arial" w:hint="eastAsia"/>
          <w:color w:val="000000"/>
          <w:sz w:val="24"/>
        </w:rPr>
        <w:t>侧袋机制</w:t>
      </w:r>
      <w:proofErr w:type="gramEnd"/>
      <w:r>
        <w:rPr>
          <w:rFonts w:cs="Arial" w:hint="eastAsia"/>
          <w:color w:val="000000"/>
          <w:sz w:val="24"/>
        </w:rPr>
        <w:t>期间，本基金暂停</w:t>
      </w:r>
      <w:proofErr w:type="gramStart"/>
      <w:r>
        <w:rPr>
          <w:rFonts w:cs="Arial" w:hint="eastAsia"/>
          <w:color w:val="000000"/>
          <w:sz w:val="24"/>
        </w:rPr>
        <w:t>披露侧袋账户</w:t>
      </w:r>
      <w:proofErr w:type="gramEnd"/>
      <w:r>
        <w:rPr>
          <w:rFonts w:cs="Arial" w:hint="eastAsia"/>
          <w:color w:val="000000"/>
          <w:sz w:val="24"/>
        </w:rPr>
        <w:t>的基金净值信息。</w:t>
      </w:r>
    </w:p>
    <w:p w14:paraId="48D63DFD"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3</w:t>
      </w:r>
      <w:r>
        <w:rPr>
          <w:rFonts w:cs="Arial" w:hint="eastAsia"/>
          <w:color w:val="000000"/>
          <w:sz w:val="24"/>
        </w:rPr>
        <w:t>、定期报告</w:t>
      </w:r>
    </w:p>
    <w:p w14:paraId="5E14F3F1" w14:textId="77777777" w:rsidR="00B67C49"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侧袋机制</w:t>
      </w:r>
      <w:proofErr w:type="gramEnd"/>
      <w:r>
        <w:rPr>
          <w:rFonts w:cs="Arial" w:hint="eastAsia"/>
          <w:color w:val="000000"/>
          <w:sz w:val="24"/>
        </w:rPr>
        <w:t>实施期间，基金管理人应当在基金定期报告中披露报告期</w:t>
      </w:r>
      <w:proofErr w:type="gramStart"/>
      <w:r>
        <w:rPr>
          <w:rFonts w:cs="Arial" w:hint="eastAsia"/>
          <w:color w:val="000000"/>
          <w:sz w:val="24"/>
        </w:rPr>
        <w:t>内侧袋</w:t>
      </w:r>
      <w:proofErr w:type="gramEnd"/>
      <w:r>
        <w:rPr>
          <w:rFonts w:cs="Arial" w:hint="eastAsia"/>
          <w:color w:val="000000"/>
          <w:sz w:val="24"/>
        </w:rPr>
        <w:t>账户相关信息，基金定期报告中的基金会计报表仅需</w:t>
      </w:r>
      <w:proofErr w:type="gramStart"/>
      <w:r>
        <w:rPr>
          <w:rFonts w:cs="Arial" w:hint="eastAsia"/>
          <w:color w:val="000000"/>
          <w:sz w:val="24"/>
        </w:rPr>
        <w:t>针对主袋账户</w:t>
      </w:r>
      <w:proofErr w:type="gramEnd"/>
      <w:r>
        <w:rPr>
          <w:rFonts w:cs="Arial" w:hint="eastAsia"/>
          <w:color w:val="000000"/>
          <w:sz w:val="24"/>
        </w:rPr>
        <w:t>进行编制。</w:t>
      </w:r>
      <w:proofErr w:type="gramStart"/>
      <w:r>
        <w:rPr>
          <w:rFonts w:cs="Arial" w:hint="eastAsia"/>
          <w:color w:val="000000"/>
          <w:sz w:val="24"/>
        </w:rPr>
        <w:t>侧袋账户</w:t>
      </w:r>
      <w:proofErr w:type="gramEnd"/>
      <w:r>
        <w:rPr>
          <w:rFonts w:cs="Arial" w:hint="eastAsia"/>
          <w:color w:val="000000"/>
          <w:sz w:val="24"/>
        </w:rPr>
        <w:t>相关信息在定期报告中单独进行披露。会计师事务所对基金年度报告进行审计时，应对报告期内基金</w:t>
      </w:r>
      <w:proofErr w:type="gramStart"/>
      <w:r>
        <w:rPr>
          <w:rFonts w:cs="Arial" w:hint="eastAsia"/>
          <w:color w:val="000000"/>
          <w:sz w:val="24"/>
        </w:rPr>
        <w:t>侧袋机制</w:t>
      </w:r>
      <w:proofErr w:type="gramEnd"/>
      <w:r>
        <w:rPr>
          <w:rFonts w:cs="Arial" w:hint="eastAsia"/>
          <w:color w:val="000000"/>
          <w:sz w:val="24"/>
        </w:rPr>
        <w:t>运行相关的会计核算和年度报告披露，执行适当程序并发表审计意见。</w:t>
      </w:r>
    </w:p>
    <w:p w14:paraId="64DF4701" w14:textId="77777777" w:rsidR="00B67C49"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八、本部</w:t>
      </w:r>
      <w:proofErr w:type="gramStart"/>
      <w:r>
        <w:rPr>
          <w:rFonts w:cs="Arial" w:hint="eastAsia"/>
          <w:color w:val="000000"/>
          <w:sz w:val="24"/>
        </w:rPr>
        <w:t>分关于侧袋机制</w:t>
      </w:r>
      <w:proofErr w:type="gramEnd"/>
      <w:r>
        <w:rPr>
          <w:rFonts w:cs="Arial" w:hint="eastAsia"/>
          <w:color w:val="000000"/>
          <w:sz w:val="24"/>
        </w:rPr>
        <w:t>的相关规定，凡是直接引用法律法规或监管规则的部分，如将来法律法规或监管规则修改导致相关内容被取消或变更的，或将来法律法规或监管规则针对</w:t>
      </w:r>
      <w:proofErr w:type="gramStart"/>
      <w:r>
        <w:rPr>
          <w:rFonts w:cs="Arial" w:hint="eastAsia"/>
          <w:color w:val="000000"/>
          <w:sz w:val="24"/>
        </w:rPr>
        <w:t>侧袋机制</w:t>
      </w:r>
      <w:proofErr w:type="gramEnd"/>
      <w:r>
        <w:rPr>
          <w:rFonts w:cs="Arial" w:hint="eastAsia"/>
          <w:color w:val="000000"/>
          <w:sz w:val="24"/>
        </w:rPr>
        <w:t>的内容有进一步规定的，基金管理人经与基金托管人协商一致并履行适当程序后，在对基金份额持有人利益无实质性不利影响的前提下，可直接对本部分内容进行修改和调整，无需召开基金份额持有人大会审议。</w:t>
      </w:r>
    </w:p>
    <w:p w14:paraId="061ECA27" w14:textId="77777777" w:rsidR="00B67C49" w:rsidRDefault="00B67C49">
      <w:pPr>
        <w:autoSpaceDE w:val="0"/>
        <w:autoSpaceDN w:val="0"/>
        <w:adjustRightInd w:val="0"/>
        <w:spacing w:line="360" w:lineRule="auto"/>
        <w:ind w:firstLineChars="200" w:firstLine="480"/>
        <w:rPr>
          <w:rFonts w:cs="Arial"/>
          <w:color w:val="000000"/>
          <w:sz w:val="24"/>
        </w:rPr>
        <w:sectPr w:rsidR="00B67C49" w:rsidSect="00D84CBD">
          <w:headerReference w:type="even" r:id="rId57"/>
          <w:headerReference w:type="default" r:id="rId58"/>
          <w:footerReference w:type="default" r:id="rId59"/>
          <w:headerReference w:type="first" r:id="rId60"/>
          <w:footerReference w:type="first" r:id="rId61"/>
          <w:pgSz w:w="11907" w:h="16840"/>
          <w:pgMar w:top="1440" w:right="1559" w:bottom="1440" w:left="1797" w:header="907" w:footer="964" w:gutter="0"/>
          <w:pgNumType w:chapStyle="1"/>
          <w:cols w:space="425"/>
          <w:titlePg/>
          <w:docGrid w:type="lines" w:linePitch="312"/>
        </w:sectPr>
      </w:pPr>
    </w:p>
    <w:p w14:paraId="663DF25D" w14:textId="77777777" w:rsidR="00B67C49" w:rsidRDefault="00B67C49">
      <w:pPr>
        <w:widowControl/>
        <w:jc w:val="left"/>
        <w:rPr>
          <w:bCs/>
          <w:sz w:val="24"/>
        </w:rPr>
      </w:pPr>
    </w:p>
    <w:p w14:paraId="7187BC77" w14:textId="77777777" w:rsidR="00B67C49" w:rsidRDefault="00000000">
      <w:pPr>
        <w:pStyle w:val="1"/>
        <w:jc w:val="center"/>
        <w:rPr>
          <w:sz w:val="30"/>
          <w:szCs w:val="30"/>
        </w:rPr>
      </w:pPr>
      <w:bookmarkStart w:id="334" w:name="_Toc263092324"/>
      <w:bookmarkStart w:id="335" w:name="_Toc416264552"/>
      <w:bookmarkStart w:id="336" w:name="_Toc119568473"/>
      <w:bookmarkStart w:id="337" w:name="_Toc21073398"/>
      <w:bookmarkStart w:id="338" w:name="_Toc147463125"/>
      <w:bookmarkStart w:id="339" w:name="_Toc214873605"/>
      <w:bookmarkStart w:id="340" w:name="_Toc12357178"/>
      <w:bookmarkStart w:id="341" w:name="_Toc68266304"/>
      <w:bookmarkStart w:id="342" w:name="_Toc92662708"/>
      <w:bookmarkStart w:id="343" w:name="_Toc93226150"/>
      <w:bookmarkStart w:id="344" w:name="_Toc23859"/>
      <w:bookmarkStart w:id="345" w:name="_Toc1043"/>
      <w:bookmarkStart w:id="346" w:name="_Toc28961"/>
      <w:bookmarkStart w:id="347" w:name="_Toc18747"/>
      <w:bookmarkStart w:id="348" w:name="_Toc128310500"/>
      <w:bookmarkStart w:id="349" w:name="_Toc18007"/>
      <w:bookmarkStart w:id="350" w:name="_Toc139991747"/>
      <w:bookmarkStart w:id="351" w:name="_Toc29695"/>
      <w:bookmarkStart w:id="352" w:name="_Toc21206"/>
      <w:bookmarkStart w:id="353" w:name="_Toc10894"/>
      <w:bookmarkStart w:id="354" w:name="_Toc141703897"/>
      <w:bookmarkStart w:id="355" w:name="_Toc17499"/>
      <w:bookmarkStart w:id="356" w:name="_Toc13255"/>
      <w:bookmarkStart w:id="357" w:name="_Toc352229763"/>
      <w:bookmarkStart w:id="358" w:name="_Toc31736"/>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Fonts w:hint="eastAsia"/>
          <w:sz w:val="30"/>
          <w:szCs w:val="30"/>
        </w:rPr>
        <w:t>第十七部分</w:t>
      </w:r>
      <w:r>
        <w:rPr>
          <w:sz w:val="30"/>
          <w:szCs w:val="30"/>
        </w:rPr>
        <w:t xml:space="preserve">  </w:t>
      </w:r>
      <w:r>
        <w:rPr>
          <w:rFonts w:hint="eastAsia"/>
          <w:sz w:val="30"/>
          <w:szCs w:val="30"/>
        </w:rPr>
        <w:t>风险揭示</w:t>
      </w:r>
      <w:bookmarkEnd w:id="334"/>
      <w:bookmarkEnd w:id="335"/>
      <w:bookmarkEnd w:id="336"/>
      <w:bookmarkEnd w:id="337"/>
      <w:bookmarkEnd w:id="338"/>
      <w:bookmarkEnd w:id="339"/>
      <w:bookmarkEnd w:id="340"/>
      <w:bookmarkEnd w:id="341"/>
    </w:p>
    <w:p w14:paraId="7F560388"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21D28499"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2435B5BB"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3B8979BC"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241000FB"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1502754D"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1A5AD5D4"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29C9EB1A"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424D0A0E"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20878B1D"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0AF08AB7"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49064447"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107641AB"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23C209DA"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存托凭证、债券和货币市场工具等），同时本基金基于分散投资的原则在行业和个</w:t>
      </w:r>
      <w:proofErr w:type="gramStart"/>
      <w:r>
        <w:rPr>
          <w:rFonts w:asciiTheme="minorEastAsia" w:hAnsiTheme="minorEastAsia" w:cs="Arial" w:hint="eastAsia"/>
          <w:bCs/>
          <w:sz w:val="24"/>
          <w:szCs w:val="24"/>
        </w:rPr>
        <w:t>券</w:t>
      </w:r>
      <w:proofErr w:type="gramEnd"/>
      <w:r>
        <w:rPr>
          <w:rFonts w:asciiTheme="minorEastAsia" w:hAnsiTheme="minorEastAsia" w:cs="Arial" w:hint="eastAsia"/>
          <w:bCs/>
          <w:sz w:val="24"/>
          <w:szCs w:val="24"/>
        </w:rPr>
        <w:t>方面未有高集中度的特征，综合评估在正常市场环境下本基金的流动性风险适中。</w:t>
      </w:r>
    </w:p>
    <w:p w14:paraId="6600A3AB"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 xml:space="preserve">（2）巨额赎回情形下的流动性风险管理措施 </w:t>
      </w:r>
    </w:p>
    <w:p w14:paraId="4193CF28"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5E7F0AEB"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4AD2CDF6"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1434221F" w14:textId="77777777" w:rsidR="00B67C49" w:rsidRDefault="00000000">
      <w:pPr>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（4）实施</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对投资者的影响</w:t>
      </w:r>
    </w:p>
    <w:p w14:paraId="2F0DCB3E" w14:textId="77777777" w:rsidR="00B67C49" w:rsidRDefault="00000000">
      <w:pPr>
        <w:adjustRightInd w:val="0"/>
        <w:snapToGrid w:val="0"/>
        <w:spacing w:line="360" w:lineRule="auto"/>
        <w:ind w:firstLineChars="200" w:firstLine="480"/>
        <w:rPr>
          <w:rFonts w:ascii="宋体" w:hAnsi="宋体" w:cs="Arial"/>
          <w:kern w:val="0"/>
          <w:sz w:val="24"/>
          <w:szCs w:val="24"/>
        </w:rPr>
      </w:pP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是一种流动性风险管理工具，是将特定资产分离</w:t>
      </w:r>
      <w:proofErr w:type="gramStart"/>
      <w:r>
        <w:rPr>
          <w:rFonts w:ascii="宋体" w:hAnsi="宋体" w:cs="Arial" w:hint="eastAsia"/>
          <w:kern w:val="0"/>
          <w:sz w:val="24"/>
          <w:szCs w:val="24"/>
        </w:rPr>
        <w:t>至专门的侧袋</w:t>
      </w:r>
      <w:proofErr w:type="gramEnd"/>
      <w:r>
        <w:rPr>
          <w:rFonts w:ascii="宋体" w:hAnsi="宋体" w:cs="Arial" w:hint="eastAsia"/>
          <w:kern w:val="0"/>
          <w:sz w:val="24"/>
          <w:szCs w:val="24"/>
        </w:rPr>
        <w:t>账户进行处置清算，并以处置变现后的款项向基金份额持有人进行支付，目的在于有效隔离并化解风险，但基金启用</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后，</w:t>
      </w:r>
      <w:proofErr w:type="gramStart"/>
      <w:r>
        <w:rPr>
          <w:rFonts w:ascii="宋体" w:hAnsi="宋体" w:cs="Arial" w:hint="eastAsia"/>
          <w:kern w:val="0"/>
          <w:sz w:val="24"/>
          <w:szCs w:val="24"/>
        </w:rPr>
        <w:t>侧袋账户</w:t>
      </w:r>
      <w:proofErr w:type="gramEnd"/>
      <w:r>
        <w:rPr>
          <w:rFonts w:ascii="宋体" w:hAnsi="宋体" w:cs="Arial" w:hint="eastAsia"/>
          <w:kern w:val="0"/>
          <w:sz w:val="24"/>
          <w:szCs w:val="24"/>
        </w:rPr>
        <w:t>份额将停止披露基金份额净值，并不得办理申购、赎回和转换，</w:t>
      </w:r>
      <w:proofErr w:type="gramStart"/>
      <w:r>
        <w:rPr>
          <w:rFonts w:ascii="宋体" w:hAnsi="宋体" w:cs="Arial" w:hint="eastAsia"/>
          <w:kern w:val="0"/>
          <w:sz w:val="24"/>
          <w:szCs w:val="24"/>
        </w:rPr>
        <w:t>仅主袋</w:t>
      </w:r>
      <w:proofErr w:type="gramEnd"/>
      <w:r>
        <w:rPr>
          <w:rFonts w:ascii="宋体" w:hAnsi="宋体" w:cs="Arial" w:hint="eastAsia"/>
          <w:kern w:val="0"/>
          <w:sz w:val="24"/>
          <w:szCs w:val="24"/>
        </w:rPr>
        <w:t>账户份额按规定开放赎回，因此启用</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时持有基金份额的持有人将在启用</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后同时</w:t>
      </w:r>
      <w:proofErr w:type="gramStart"/>
      <w:r>
        <w:rPr>
          <w:rFonts w:ascii="宋体" w:hAnsi="宋体" w:cs="Arial" w:hint="eastAsia"/>
          <w:kern w:val="0"/>
          <w:sz w:val="24"/>
          <w:szCs w:val="24"/>
        </w:rPr>
        <w:t>拥有主袋账户</w:t>
      </w:r>
      <w:proofErr w:type="gramEnd"/>
      <w:r>
        <w:rPr>
          <w:rFonts w:ascii="宋体" w:hAnsi="宋体" w:cs="Arial" w:hint="eastAsia"/>
          <w:kern w:val="0"/>
          <w:sz w:val="24"/>
          <w:szCs w:val="24"/>
        </w:rPr>
        <w:t>份额和</w:t>
      </w:r>
      <w:proofErr w:type="gramStart"/>
      <w:r>
        <w:rPr>
          <w:rFonts w:ascii="宋体" w:hAnsi="宋体" w:cs="Arial" w:hint="eastAsia"/>
          <w:kern w:val="0"/>
          <w:sz w:val="24"/>
          <w:szCs w:val="24"/>
        </w:rPr>
        <w:t>侧袋</w:t>
      </w:r>
      <w:proofErr w:type="gramEnd"/>
      <w:r>
        <w:rPr>
          <w:rFonts w:ascii="宋体" w:hAnsi="宋体" w:cs="Arial" w:hint="eastAsia"/>
          <w:kern w:val="0"/>
          <w:sz w:val="24"/>
          <w:szCs w:val="24"/>
        </w:rPr>
        <w:t>账户份额，</w:t>
      </w:r>
      <w:proofErr w:type="gramStart"/>
      <w:r>
        <w:rPr>
          <w:rFonts w:ascii="宋体" w:hAnsi="宋体" w:cs="Arial" w:hint="eastAsia"/>
          <w:kern w:val="0"/>
          <w:sz w:val="24"/>
          <w:szCs w:val="24"/>
        </w:rPr>
        <w:t>侧袋账户</w:t>
      </w:r>
      <w:proofErr w:type="gramEnd"/>
      <w:r>
        <w:rPr>
          <w:rFonts w:ascii="宋体" w:hAnsi="宋体" w:cs="Arial" w:hint="eastAsia"/>
          <w:kern w:val="0"/>
          <w:sz w:val="24"/>
          <w:szCs w:val="24"/>
        </w:rPr>
        <w:t>份额不能赎回，其对应特定资产的变现时间具有不确定性，最终变现价格也具有不确定性并且有可能大幅低于启用</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时的特定资产的估值，基金份额持有人可能因此面临损失。</w:t>
      </w:r>
    </w:p>
    <w:p w14:paraId="3F3AC40B" w14:textId="77777777" w:rsidR="00B67C49" w:rsidRDefault="00000000">
      <w:pPr>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实施</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期间，基金管理人计算各项投资运作指标和基金业绩指标时</w:t>
      </w:r>
      <w:proofErr w:type="gramStart"/>
      <w:r>
        <w:rPr>
          <w:rFonts w:ascii="宋体" w:hAnsi="宋体" w:cs="Arial" w:hint="eastAsia"/>
          <w:kern w:val="0"/>
          <w:sz w:val="24"/>
          <w:szCs w:val="24"/>
        </w:rPr>
        <w:t>以主袋账户</w:t>
      </w:r>
      <w:proofErr w:type="gramEnd"/>
      <w:r>
        <w:rPr>
          <w:rFonts w:ascii="宋体" w:hAnsi="宋体" w:cs="Arial" w:hint="eastAsia"/>
          <w:kern w:val="0"/>
          <w:sz w:val="24"/>
          <w:szCs w:val="24"/>
        </w:rPr>
        <w:t>资产为基准，不</w:t>
      </w:r>
      <w:proofErr w:type="gramStart"/>
      <w:r>
        <w:rPr>
          <w:rFonts w:ascii="宋体" w:hAnsi="宋体" w:cs="Arial" w:hint="eastAsia"/>
          <w:kern w:val="0"/>
          <w:sz w:val="24"/>
          <w:szCs w:val="24"/>
        </w:rPr>
        <w:t>反映侧袋账户</w:t>
      </w:r>
      <w:proofErr w:type="gramEnd"/>
      <w:r>
        <w:rPr>
          <w:rFonts w:ascii="宋体" w:hAnsi="宋体" w:cs="Arial" w:hint="eastAsia"/>
          <w:kern w:val="0"/>
          <w:sz w:val="24"/>
          <w:szCs w:val="24"/>
        </w:rPr>
        <w:t>特定资产的真实价值及变化情况。本基金不</w:t>
      </w:r>
      <w:proofErr w:type="gramStart"/>
      <w:r>
        <w:rPr>
          <w:rFonts w:ascii="宋体" w:hAnsi="宋体" w:cs="Arial" w:hint="eastAsia"/>
          <w:kern w:val="0"/>
          <w:sz w:val="24"/>
          <w:szCs w:val="24"/>
        </w:rPr>
        <w:t>披露侧袋账户</w:t>
      </w:r>
      <w:proofErr w:type="gramEnd"/>
      <w:r>
        <w:rPr>
          <w:rFonts w:ascii="宋体" w:hAnsi="宋体" w:cs="Arial" w:hint="eastAsia"/>
          <w:kern w:val="0"/>
          <w:sz w:val="24"/>
          <w:szCs w:val="24"/>
        </w:rPr>
        <w:t>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4C7FAE84" w14:textId="77777777" w:rsidR="00B67C49" w:rsidRDefault="00000000">
      <w:pPr>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基金管理人将</w:t>
      </w:r>
      <w:proofErr w:type="gramStart"/>
      <w:r>
        <w:rPr>
          <w:rFonts w:ascii="宋体" w:hAnsi="宋体" w:cs="Arial" w:hint="eastAsia"/>
          <w:kern w:val="0"/>
          <w:sz w:val="24"/>
          <w:szCs w:val="24"/>
        </w:rPr>
        <w:t>根据主袋账户</w:t>
      </w:r>
      <w:proofErr w:type="gramEnd"/>
      <w:r>
        <w:rPr>
          <w:rFonts w:ascii="宋体" w:hAnsi="宋体" w:cs="Arial" w:hint="eastAsia"/>
          <w:kern w:val="0"/>
          <w:sz w:val="24"/>
          <w:szCs w:val="24"/>
        </w:rPr>
        <w:t>运作情况合理确定申购政策，因此实施</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lastRenderedPageBreak/>
        <w:t>后主袋账户份额存在暂停申购的可能。</w:t>
      </w:r>
    </w:p>
    <w:p w14:paraId="5956D398"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73005FA8"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7062B061"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15157F4A"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74C0EBB5"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w:t>
      </w:r>
    </w:p>
    <w:p w14:paraId="281F76F1"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风险指基金管理或运作过程中，违反国家法律、法规的规定，或者违反《基金合同》有关规定的风险。</w:t>
      </w:r>
    </w:p>
    <w:p w14:paraId="5A22BC83"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01A6D9F1"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790398B0"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w:t>
      </w:r>
      <w:proofErr w:type="gramStart"/>
      <w:r>
        <w:rPr>
          <w:rFonts w:asciiTheme="minorEastAsia" w:hAnsiTheme="minorEastAsia" w:cs="Arial" w:hint="eastAsia"/>
          <w:bCs/>
          <w:sz w:val="24"/>
          <w:szCs w:val="24"/>
        </w:rPr>
        <w:t>品投资</w:t>
      </w:r>
      <w:proofErr w:type="gramEnd"/>
      <w:r>
        <w:rPr>
          <w:rFonts w:asciiTheme="minorEastAsia" w:hAnsiTheme="minorEastAsia" w:cs="Arial" w:hint="eastAsia"/>
          <w:bCs/>
          <w:sz w:val="24"/>
          <w:szCs w:val="24"/>
        </w:rPr>
        <w:t>风险</w:t>
      </w:r>
    </w:p>
    <w:p w14:paraId="1A05833D"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Pr>
          <w:rFonts w:asciiTheme="minorEastAsia" w:hAnsiTheme="minorEastAsia" w:cs="Arial" w:hint="eastAsia"/>
          <w:bCs/>
          <w:sz w:val="24"/>
          <w:szCs w:val="24"/>
        </w:rPr>
        <w:t>衍生品需承受</w:t>
      </w:r>
      <w:proofErr w:type="gramEnd"/>
      <w:r>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60887E5F"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6F64D9BA"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3、资产支持证券投资风险</w:t>
      </w:r>
    </w:p>
    <w:p w14:paraId="0B019EE6"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w:t>
      </w:r>
      <w:proofErr w:type="gramStart"/>
      <w:r>
        <w:rPr>
          <w:rFonts w:asciiTheme="minorEastAsia" w:hAnsiTheme="minorEastAsia" w:cs="Arial" w:hint="eastAsia"/>
          <w:bCs/>
          <w:sz w:val="24"/>
          <w:szCs w:val="24"/>
        </w:rPr>
        <w:t>池产生</w:t>
      </w:r>
      <w:proofErr w:type="gramEnd"/>
      <w:r>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Pr>
          <w:rFonts w:asciiTheme="minorEastAsia" w:hAnsiTheme="minorEastAsia" w:cs="Arial" w:hint="eastAsia"/>
          <w:bCs/>
          <w:sz w:val="24"/>
          <w:szCs w:val="24"/>
        </w:rPr>
        <w:t>资产池所产生</w:t>
      </w:r>
      <w:proofErr w:type="gramEnd"/>
      <w:r>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58398770"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4、股票期权投资风险</w:t>
      </w:r>
    </w:p>
    <w:p w14:paraId="320DC222"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本基金可投资于股票期权，投资股票期权主要存在市场风险、流动性风险、保证金风险、信用风险、操作风险等风险，极端情况下会给投资组合带来较大损失。</w:t>
      </w:r>
    </w:p>
    <w:p w14:paraId="54DD6226"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5、存托凭证投资风险</w:t>
      </w:r>
    </w:p>
    <w:p w14:paraId="4C0B36CD"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w:t>
      </w:r>
      <w:proofErr w:type="gramStart"/>
      <w:r>
        <w:rPr>
          <w:rFonts w:asciiTheme="minorEastAsia" w:hAnsiTheme="minorEastAsia" w:cs="Arial" w:hint="eastAsia"/>
          <w:bCs/>
          <w:sz w:val="24"/>
          <w:szCs w:val="24"/>
        </w:rPr>
        <w:t>托协议</w:t>
      </w:r>
      <w:proofErr w:type="gramEnd"/>
      <w:r>
        <w:rPr>
          <w:rFonts w:asciiTheme="minorEastAsia" w:hAnsiTheme="minorEastAsia" w:cs="Arial" w:hint="eastAsia"/>
          <w:bCs/>
          <w:sz w:val="24"/>
          <w:szCs w:val="24"/>
        </w:rPr>
        <w:t>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65423EFF"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3977A563"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3E109E42"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1E9414E8"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lastRenderedPageBreak/>
        <w:t>2</w:t>
      </w:r>
      <w:r>
        <w:rPr>
          <w:rFonts w:asciiTheme="minorEastAsia" w:hAnsiTheme="minorEastAsia" w:cs="Arial" w:hint="eastAsia"/>
          <w:bCs/>
          <w:sz w:val="24"/>
          <w:szCs w:val="24"/>
        </w:rPr>
        <w:t>、法律风险</w:t>
      </w:r>
    </w:p>
    <w:p w14:paraId="31F2D456"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4BC8A8BB"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6BFDDE54" w14:textId="77777777" w:rsidR="00B67C49"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054738E7" w14:textId="77777777" w:rsidR="00B67C49" w:rsidRDefault="00000000">
      <w:pPr>
        <w:widowControl/>
        <w:spacing w:line="360" w:lineRule="auto"/>
        <w:ind w:firstLine="420"/>
        <w:jc w:val="left"/>
        <w:rPr>
          <w:rFonts w:asciiTheme="minorEastAsia" w:hAnsiTheme="minorEastAsia" w:cs="Arial"/>
          <w:bCs/>
          <w:sz w:val="24"/>
          <w:szCs w:val="24"/>
        </w:rPr>
      </w:pPr>
      <w:r>
        <w:rPr>
          <w:rFonts w:asciiTheme="minorEastAsia" w:hAnsiTheme="minorEastAsia" w:cs="Arial"/>
          <w:bCs/>
          <w:sz w:val="24"/>
          <w:szCs w:val="24"/>
        </w:rPr>
        <w:t>4、基金管理人职责终止风险</w:t>
      </w:r>
    </w:p>
    <w:p w14:paraId="72F25AC1" w14:textId="77777777" w:rsidR="00B67C49" w:rsidRDefault="00000000">
      <w:pPr>
        <w:widowControl/>
        <w:spacing w:line="360" w:lineRule="auto"/>
        <w:ind w:firstLine="420"/>
        <w:jc w:val="left"/>
        <w:rPr>
          <w:rFonts w:asciiTheme="minorEastAsia" w:hAnsiTheme="minorEastAsia" w:cs="Arial"/>
          <w:bCs/>
          <w:sz w:val="24"/>
          <w:szCs w:val="24"/>
        </w:rPr>
        <w:sectPr w:rsidR="00B67C49" w:rsidSect="00D84CBD">
          <w:headerReference w:type="even" r:id="rId62"/>
          <w:headerReference w:type="default" r:id="rId63"/>
          <w:footerReference w:type="default" r:id="rId64"/>
          <w:headerReference w:type="first" r:id="rId65"/>
          <w:pgSz w:w="11906" w:h="16838"/>
          <w:pgMar w:top="1440" w:right="1800" w:bottom="1440" w:left="1800" w:header="851" w:footer="992" w:gutter="0"/>
          <w:pgNumType w:chapStyle="1"/>
          <w:cols w:space="720"/>
          <w:docGrid w:type="lines" w:linePitch="312"/>
        </w:sectPr>
      </w:pPr>
      <w:r>
        <w:rPr>
          <w:rFonts w:asciiTheme="minorEastAsia" w:hAnsiTheme="minorEastAsia" w:cs="Arial" w:hint="eastAsia"/>
          <w:bCs/>
          <w:sz w:val="24"/>
          <w:szCs w:val="24"/>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w:t>
      </w:r>
      <w:proofErr w:type="gramStart"/>
      <w:r>
        <w:rPr>
          <w:rFonts w:asciiTheme="minorEastAsia" w:hAnsiTheme="minorEastAsia" w:cs="Arial" w:hint="eastAsia"/>
          <w:bCs/>
          <w:sz w:val="24"/>
          <w:szCs w:val="24"/>
        </w:rPr>
        <w:t>新任基金</w:t>
      </w:r>
      <w:proofErr w:type="gramEnd"/>
      <w:r>
        <w:rPr>
          <w:rFonts w:asciiTheme="minorEastAsia" w:hAnsiTheme="minorEastAsia" w:cs="Arial" w:hint="eastAsia"/>
          <w:bCs/>
          <w:sz w:val="24"/>
          <w:szCs w:val="24"/>
        </w:rPr>
        <w:t>管理人之间责任划分的，相关基金管理人对各自履职行为依法承担责任。</w:t>
      </w:r>
    </w:p>
    <w:p w14:paraId="56908F67" w14:textId="77777777" w:rsidR="00B67C49" w:rsidRDefault="00000000">
      <w:pPr>
        <w:pStyle w:val="1"/>
        <w:ind w:firstLine="600"/>
        <w:jc w:val="center"/>
      </w:pPr>
      <w:bookmarkStart w:id="359" w:name="_Toc68266305"/>
      <w:bookmarkStart w:id="360" w:name="_Toc119568474"/>
      <w:r>
        <w:rPr>
          <w:rFonts w:hint="eastAsia"/>
          <w:sz w:val="30"/>
          <w:szCs w:val="30"/>
        </w:rPr>
        <w:lastRenderedPageBreak/>
        <w:t>第十八部分</w:t>
      </w:r>
      <w:r>
        <w:rPr>
          <w:sz w:val="30"/>
          <w:szCs w:val="30"/>
        </w:rPr>
        <w:t xml:space="preserve">  </w:t>
      </w:r>
      <w:bookmarkEnd w:id="342"/>
      <w:bookmarkEnd w:id="343"/>
      <w:r>
        <w:rPr>
          <w:rFonts w:hint="eastAsia"/>
          <w:sz w:val="30"/>
          <w:szCs w:val="30"/>
        </w:rPr>
        <w:t>基金合同的变更、终止与基金财产的清算</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02DA54D6" w14:textId="77777777" w:rsidR="00B67C49" w:rsidRDefault="00000000">
      <w:pPr>
        <w:autoSpaceDE w:val="0"/>
        <w:autoSpaceDN w:val="0"/>
        <w:spacing w:line="360" w:lineRule="auto"/>
        <w:ind w:firstLineChars="200" w:firstLine="480"/>
        <w:textAlignment w:val="bottom"/>
        <w:rPr>
          <w:bCs/>
          <w:sz w:val="24"/>
        </w:rPr>
      </w:pPr>
      <w:bookmarkStart w:id="361" w:name="_Toc79392639"/>
      <w:bookmarkStart w:id="362" w:name="_Toc11802"/>
      <w:bookmarkStart w:id="363" w:name="_Toc3056"/>
      <w:bookmarkStart w:id="364" w:name="_Toc21351"/>
      <w:bookmarkStart w:id="365" w:name="_Toc31866"/>
      <w:bookmarkStart w:id="366" w:name="_Toc8512"/>
      <w:bookmarkStart w:id="367" w:name="_Toc1421"/>
      <w:bookmarkStart w:id="368" w:name="_Toc12028"/>
      <w:bookmarkStart w:id="369" w:name="_Toc1173"/>
      <w:bookmarkStart w:id="370" w:name="_Toc29289"/>
      <w:bookmarkStart w:id="371" w:name="_Toc352229764"/>
      <w:bookmarkStart w:id="372" w:name="_Toc11049"/>
      <w:bookmarkStart w:id="373" w:name="_Toc93226151"/>
      <w:bookmarkStart w:id="374" w:name="_Toc193"/>
      <w:bookmarkStart w:id="375" w:name="_Toc141703898"/>
      <w:bookmarkStart w:id="376" w:name="_Toc128310501"/>
      <w:bookmarkStart w:id="377" w:name="_Toc139991748"/>
      <w:bookmarkStart w:id="378" w:name="_Toc92662709"/>
      <w:r>
        <w:rPr>
          <w:bCs/>
          <w:sz w:val="24"/>
        </w:rPr>
        <w:t>一、《基金合同》的变更</w:t>
      </w:r>
      <w:bookmarkEnd w:id="361"/>
    </w:p>
    <w:p w14:paraId="0CF5573C" w14:textId="77777777" w:rsidR="00B67C49" w:rsidRDefault="00000000">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3B2042D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自表决通过之日起生效，并</w:t>
      </w:r>
      <w:proofErr w:type="gramStart"/>
      <w:r>
        <w:rPr>
          <w:rFonts w:hint="eastAsia"/>
          <w:bCs/>
          <w:sz w:val="24"/>
        </w:rPr>
        <w:t>自决议</w:t>
      </w:r>
      <w:proofErr w:type="gramEnd"/>
      <w:r>
        <w:rPr>
          <w:rFonts w:hint="eastAsia"/>
          <w:bCs/>
          <w:sz w:val="24"/>
        </w:rPr>
        <w:t>生效后依照《信息披露办法》的有关规定在</w:t>
      </w:r>
      <w:r>
        <w:rPr>
          <w:bCs/>
          <w:sz w:val="24"/>
        </w:rPr>
        <w:t>规定媒介公告。</w:t>
      </w:r>
    </w:p>
    <w:p w14:paraId="5FB0D263" w14:textId="77777777" w:rsidR="00B67C49" w:rsidRDefault="00000000">
      <w:pPr>
        <w:autoSpaceDE w:val="0"/>
        <w:autoSpaceDN w:val="0"/>
        <w:spacing w:line="360" w:lineRule="auto"/>
        <w:ind w:firstLineChars="200" w:firstLine="480"/>
        <w:textAlignment w:val="bottom"/>
        <w:rPr>
          <w:bCs/>
          <w:sz w:val="24"/>
        </w:rPr>
      </w:pPr>
      <w:r>
        <w:rPr>
          <w:bCs/>
          <w:sz w:val="24"/>
        </w:rPr>
        <w:t>二、《基金合同》的终止事由</w:t>
      </w:r>
    </w:p>
    <w:p w14:paraId="1D841BE6" w14:textId="77777777" w:rsidR="00B67C49" w:rsidRDefault="00000000">
      <w:pPr>
        <w:autoSpaceDE w:val="0"/>
        <w:autoSpaceDN w:val="0"/>
        <w:spacing w:line="360" w:lineRule="auto"/>
        <w:ind w:firstLineChars="200" w:firstLine="480"/>
        <w:textAlignment w:val="bottom"/>
        <w:rPr>
          <w:bCs/>
          <w:sz w:val="24"/>
        </w:rPr>
      </w:pPr>
      <w:r>
        <w:rPr>
          <w:bCs/>
          <w:sz w:val="24"/>
        </w:rPr>
        <w:t>有下列情形之一的，</w:t>
      </w:r>
      <w:r>
        <w:rPr>
          <w:rFonts w:hint="eastAsia"/>
          <w:bCs/>
          <w:sz w:val="24"/>
        </w:rPr>
        <w:t>经履行相关程序后，</w:t>
      </w:r>
      <w:r>
        <w:rPr>
          <w:bCs/>
          <w:sz w:val="24"/>
        </w:rPr>
        <w:t>《基金合同》应当终止：</w:t>
      </w:r>
    </w:p>
    <w:p w14:paraId="702F0AA9" w14:textId="77777777" w:rsidR="00B67C49" w:rsidRDefault="00000000">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57B8F9DE" w14:textId="77777777" w:rsidR="00B67C49" w:rsidRDefault="00000000">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6E5698E1" w14:textId="77777777" w:rsidR="00B67C49" w:rsidRDefault="00000000">
      <w:pPr>
        <w:autoSpaceDE w:val="0"/>
        <w:autoSpaceDN w:val="0"/>
        <w:spacing w:line="360" w:lineRule="auto"/>
        <w:ind w:firstLineChars="200" w:firstLine="480"/>
        <w:textAlignment w:val="bottom"/>
        <w:rPr>
          <w:bCs/>
          <w:sz w:val="24"/>
        </w:rPr>
      </w:pPr>
      <w:r>
        <w:rPr>
          <w:rFonts w:hint="eastAsia"/>
          <w:bCs/>
          <w:sz w:val="24"/>
        </w:rPr>
        <w:t>3</w:t>
      </w:r>
      <w:r>
        <w:rPr>
          <w:bCs/>
          <w:sz w:val="24"/>
        </w:rPr>
        <w:t>、《基金合同》约定的其他情形；</w:t>
      </w:r>
    </w:p>
    <w:p w14:paraId="0B33EAC6" w14:textId="77777777" w:rsidR="00B67C49" w:rsidRDefault="00000000">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61C26B4B" w14:textId="77777777" w:rsidR="00B67C49" w:rsidRDefault="00000000">
      <w:pPr>
        <w:autoSpaceDE w:val="0"/>
        <w:autoSpaceDN w:val="0"/>
        <w:spacing w:line="360" w:lineRule="auto"/>
        <w:ind w:firstLineChars="200" w:firstLine="480"/>
        <w:textAlignment w:val="bottom"/>
        <w:rPr>
          <w:bCs/>
          <w:sz w:val="24"/>
        </w:rPr>
      </w:pPr>
      <w:r>
        <w:rPr>
          <w:bCs/>
          <w:sz w:val="24"/>
        </w:rPr>
        <w:t>三、基金财产的清算</w:t>
      </w:r>
    </w:p>
    <w:p w14:paraId="7A9B1361" w14:textId="77777777" w:rsidR="00B67C49" w:rsidRDefault="00000000">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2A436919" w14:textId="77777777" w:rsidR="00B67C49" w:rsidRDefault="00000000">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7723BD78" w14:textId="77777777" w:rsidR="00B67C49" w:rsidRDefault="00000000">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3128992F" w14:textId="77777777" w:rsidR="00B67C49" w:rsidRDefault="00000000">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7D896BD3" w14:textId="77777777" w:rsidR="00B67C49" w:rsidRDefault="00000000">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1BFA6FFF" w14:textId="77777777" w:rsidR="00B67C49" w:rsidRDefault="00000000">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71A7444E" w14:textId="77777777" w:rsidR="00B67C49" w:rsidRDefault="00000000">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38F446CB" w14:textId="77777777" w:rsidR="00B67C49" w:rsidRDefault="00000000">
      <w:pPr>
        <w:autoSpaceDE w:val="0"/>
        <w:autoSpaceDN w:val="0"/>
        <w:spacing w:line="360" w:lineRule="auto"/>
        <w:ind w:firstLineChars="200" w:firstLine="480"/>
        <w:textAlignment w:val="bottom"/>
        <w:rPr>
          <w:bCs/>
          <w:sz w:val="24"/>
        </w:rPr>
      </w:pPr>
      <w:r>
        <w:rPr>
          <w:bCs/>
          <w:sz w:val="24"/>
        </w:rPr>
        <w:t>（</w:t>
      </w:r>
      <w:r>
        <w:rPr>
          <w:bCs/>
          <w:sz w:val="24"/>
        </w:rPr>
        <w:t>4</w:t>
      </w:r>
      <w:r>
        <w:rPr>
          <w:bCs/>
          <w:sz w:val="24"/>
        </w:rPr>
        <w:t>）制作清算报告；</w:t>
      </w:r>
    </w:p>
    <w:p w14:paraId="0E4CA74D" w14:textId="77777777" w:rsidR="00B67C49" w:rsidRDefault="00000000">
      <w:pPr>
        <w:autoSpaceDE w:val="0"/>
        <w:autoSpaceDN w:val="0"/>
        <w:spacing w:line="360" w:lineRule="auto"/>
        <w:ind w:firstLineChars="200" w:firstLine="480"/>
        <w:textAlignment w:val="bottom"/>
        <w:rPr>
          <w:bCs/>
          <w:sz w:val="24"/>
        </w:rPr>
      </w:pPr>
      <w:r>
        <w:rPr>
          <w:bCs/>
          <w:sz w:val="24"/>
        </w:rPr>
        <w:lastRenderedPageBreak/>
        <w:t>（</w:t>
      </w:r>
      <w:r>
        <w:rPr>
          <w:bCs/>
          <w:sz w:val="24"/>
        </w:rPr>
        <w:t>5</w:t>
      </w:r>
      <w:r>
        <w:rPr>
          <w:bCs/>
          <w:sz w:val="24"/>
        </w:rPr>
        <w:t>）聘请符合《中华人民共和国证券法》规定</w:t>
      </w:r>
      <w:r>
        <w:rPr>
          <w:rFonts w:hint="eastAsia"/>
          <w:bCs/>
          <w:sz w:val="24"/>
        </w:rPr>
        <w:t>的</w:t>
      </w:r>
      <w:r>
        <w:rPr>
          <w:bCs/>
          <w:sz w:val="24"/>
        </w:rPr>
        <w:t>会计师事务所对清算报告进行外部审计，聘请律师事务所对清算报告出具法律意见书；</w:t>
      </w:r>
    </w:p>
    <w:p w14:paraId="2DBAE860" w14:textId="77777777" w:rsidR="00B67C49" w:rsidRDefault="00000000">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76717593" w14:textId="77777777" w:rsidR="00B67C49" w:rsidRDefault="00000000">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9B88C46" w14:textId="77777777" w:rsidR="00B67C49" w:rsidRDefault="00000000">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但因本基金所持证券的流动性受到限制而不能及时变现的，清算期限可相应顺延</w:t>
      </w:r>
      <w:r>
        <w:rPr>
          <w:bCs/>
          <w:sz w:val="24"/>
        </w:rPr>
        <w:t>。</w:t>
      </w:r>
    </w:p>
    <w:p w14:paraId="37EA4DA5" w14:textId="77777777" w:rsidR="00B67C49" w:rsidRDefault="00000000">
      <w:pPr>
        <w:autoSpaceDE w:val="0"/>
        <w:autoSpaceDN w:val="0"/>
        <w:spacing w:line="360" w:lineRule="auto"/>
        <w:ind w:firstLineChars="200" w:firstLine="480"/>
        <w:textAlignment w:val="bottom"/>
        <w:rPr>
          <w:bCs/>
          <w:sz w:val="24"/>
        </w:rPr>
      </w:pPr>
      <w:r>
        <w:rPr>
          <w:bCs/>
          <w:sz w:val="24"/>
        </w:rPr>
        <w:t>四、清算费用</w:t>
      </w:r>
    </w:p>
    <w:p w14:paraId="32B1824B" w14:textId="77777777" w:rsidR="00B67C49" w:rsidRDefault="00000000">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5EE0386F" w14:textId="77777777" w:rsidR="00B67C49" w:rsidRDefault="00000000">
      <w:pPr>
        <w:autoSpaceDE w:val="0"/>
        <w:autoSpaceDN w:val="0"/>
        <w:spacing w:line="360" w:lineRule="auto"/>
        <w:ind w:firstLineChars="200" w:firstLine="480"/>
        <w:textAlignment w:val="bottom"/>
        <w:rPr>
          <w:bCs/>
          <w:sz w:val="24"/>
        </w:rPr>
      </w:pPr>
      <w:r>
        <w:rPr>
          <w:bCs/>
          <w:sz w:val="24"/>
        </w:rPr>
        <w:t>五、基金财产清算剩余资产的分配</w:t>
      </w:r>
    </w:p>
    <w:p w14:paraId="5AE1D536" w14:textId="77777777" w:rsidR="00B67C49" w:rsidRDefault="00000000">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24BD5F1F" w14:textId="77777777" w:rsidR="00B67C49" w:rsidRDefault="00000000">
      <w:pPr>
        <w:autoSpaceDE w:val="0"/>
        <w:autoSpaceDN w:val="0"/>
        <w:spacing w:line="360" w:lineRule="auto"/>
        <w:ind w:firstLineChars="200" w:firstLine="480"/>
        <w:textAlignment w:val="bottom"/>
        <w:rPr>
          <w:bCs/>
          <w:sz w:val="24"/>
        </w:rPr>
      </w:pPr>
      <w:r>
        <w:rPr>
          <w:bCs/>
          <w:sz w:val="24"/>
        </w:rPr>
        <w:t>六、基金财产清算的公告</w:t>
      </w:r>
    </w:p>
    <w:p w14:paraId="0FF6EE53" w14:textId="77777777" w:rsidR="00B67C49" w:rsidRDefault="00000000">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w:t>
      </w:r>
      <w:r>
        <w:rPr>
          <w:bCs/>
          <w:sz w:val="24"/>
        </w:rPr>
        <w:t>规定</w:t>
      </w:r>
      <w:r>
        <w:rPr>
          <w:rFonts w:hint="eastAsia"/>
          <w:bCs/>
          <w:sz w:val="24"/>
        </w:rPr>
        <w:t>网站上，并将清算报告提示性公告登载在规定报刊上</w:t>
      </w:r>
      <w:r>
        <w:rPr>
          <w:bCs/>
          <w:sz w:val="24"/>
        </w:rPr>
        <w:t>。</w:t>
      </w:r>
    </w:p>
    <w:p w14:paraId="0F219343" w14:textId="77777777" w:rsidR="00B67C49" w:rsidRDefault="00000000">
      <w:pPr>
        <w:autoSpaceDE w:val="0"/>
        <w:autoSpaceDN w:val="0"/>
        <w:spacing w:line="360" w:lineRule="auto"/>
        <w:ind w:firstLineChars="200" w:firstLine="480"/>
        <w:textAlignment w:val="bottom"/>
        <w:rPr>
          <w:bCs/>
          <w:sz w:val="24"/>
        </w:rPr>
      </w:pPr>
      <w:r>
        <w:rPr>
          <w:bCs/>
          <w:sz w:val="24"/>
        </w:rPr>
        <w:t>七、基金财产清算账册及文件的保存</w:t>
      </w:r>
    </w:p>
    <w:p w14:paraId="161B3228" w14:textId="77777777" w:rsidR="00B67C49" w:rsidRDefault="00000000">
      <w:pPr>
        <w:adjustRightInd w:val="0"/>
        <w:snapToGrid w:val="0"/>
        <w:spacing w:line="360" w:lineRule="auto"/>
        <w:ind w:firstLineChars="200" w:firstLine="480"/>
        <w:rPr>
          <w:rFonts w:asciiTheme="minorEastAsia" w:hAnsiTheme="minorEastAsia" w:cs="Times New Roman"/>
          <w:sz w:val="24"/>
          <w:szCs w:val="24"/>
        </w:rPr>
      </w:pPr>
      <w:r>
        <w:rPr>
          <w:bCs/>
          <w:sz w:val="24"/>
        </w:rPr>
        <w:t>基金财产清算账册及有关文件由基金托管人保存，保存期限不低于法律法规</w:t>
      </w:r>
      <w:r>
        <w:rPr>
          <w:rFonts w:hint="eastAsia"/>
          <w:bCs/>
          <w:sz w:val="24"/>
        </w:rPr>
        <w:t>规定</w:t>
      </w:r>
      <w:r>
        <w:rPr>
          <w:bCs/>
          <w:sz w:val="24"/>
        </w:rPr>
        <w:t>的最低期限。</w:t>
      </w:r>
      <w:r>
        <w:rPr>
          <w:rFonts w:asciiTheme="minorEastAsia" w:hAnsiTheme="minorEastAsia" w:cs="Times New Roman"/>
          <w:sz w:val="24"/>
          <w:szCs w:val="24"/>
        </w:rPr>
        <w:br w:type="page"/>
      </w:r>
    </w:p>
    <w:p w14:paraId="2C5FE094" w14:textId="77777777" w:rsidR="00B67C49" w:rsidRDefault="00B67C49">
      <w:pPr>
        <w:adjustRightInd w:val="0"/>
        <w:snapToGrid w:val="0"/>
        <w:spacing w:line="360" w:lineRule="auto"/>
        <w:ind w:firstLineChars="200" w:firstLine="480"/>
        <w:rPr>
          <w:rFonts w:asciiTheme="minorEastAsia" w:hAnsiTheme="minorEastAsia" w:cs="Times New Roman"/>
          <w:sz w:val="24"/>
          <w:szCs w:val="24"/>
        </w:rPr>
      </w:pPr>
    </w:p>
    <w:p w14:paraId="75376282" w14:textId="77777777" w:rsidR="00B67C49" w:rsidRDefault="00000000">
      <w:pPr>
        <w:pStyle w:val="1"/>
        <w:jc w:val="center"/>
        <w:rPr>
          <w:sz w:val="30"/>
          <w:szCs w:val="30"/>
        </w:rPr>
      </w:pPr>
      <w:bookmarkStart w:id="379" w:name="_Toc214873607"/>
      <w:bookmarkStart w:id="380" w:name="_Toc263092326"/>
      <w:bookmarkStart w:id="381" w:name="_Toc416264553"/>
      <w:bookmarkStart w:id="382" w:name="_Toc119568475"/>
      <w:bookmarkStart w:id="383" w:name="_Toc139991749"/>
      <w:bookmarkStart w:id="384" w:name="_Toc29891"/>
      <w:bookmarkStart w:id="385" w:name="_Toc22978"/>
      <w:bookmarkStart w:id="386" w:name="_Toc11113"/>
      <w:bookmarkStart w:id="387" w:name="_Toc123102466"/>
      <w:bookmarkStart w:id="388" w:name="_Toc27464"/>
      <w:bookmarkStart w:id="389" w:name="_Toc141703899"/>
      <w:bookmarkStart w:id="390" w:name="_Toc352229765"/>
      <w:bookmarkStart w:id="391" w:name="_Toc6237"/>
      <w:bookmarkStart w:id="392" w:name="_Toc25647"/>
      <w:bookmarkStart w:id="393" w:name="_Toc7170"/>
      <w:bookmarkStart w:id="394" w:name="_Toc123051465"/>
      <w:bookmarkStart w:id="395" w:name="_Toc8049"/>
      <w:bookmarkStart w:id="396" w:name="_Toc98560364"/>
      <w:bookmarkStart w:id="397" w:name="_Toc123112247"/>
      <w:bookmarkStart w:id="398" w:name="_Toc8059"/>
      <w:bookmarkStart w:id="399" w:name="_Toc9005"/>
      <w:bookmarkStart w:id="400" w:name="_Toc10006"/>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hint="eastAsia"/>
          <w:sz w:val="30"/>
          <w:szCs w:val="30"/>
        </w:rPr>
        <w:t>第十九部分</w:t>
      </w:r>
      <w:r>
        <w:rPr>
          <w:sz w:val="30"/>
          <w:szCs w:val="30"/>
        </w:rPr>
        <w:t xml:space="preserve">  </w:t>
      </w:r>
      <w:r>
        <w:rPr>
          <w:rFonts w:hint="eastAsia"/>
          <w:sz w:val="30"/>
          <w:szCs w:val="30"/>
        </w:rPr>
        <w:t>基金合同的内容摘要</w:t>
      </w:r>
      <w:bookmarkEnd w:id="379"/>
      <w:bookmarkEnd w:id="380"/>
      <w:bookmarkEnd w:id="381"/>
      <w:bookmarkEnd w:id="382"/>
    </w:p>
    <w:p w14:paraId="68CAFFC6"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一、基金份额持有人、基金管理人和基金托管人的权利、义务</w:t>
      </w:r>
    </w:p>
    <w:p w14:paraId="4EC3342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w:t>
      </w:r>
      <w:r>
        <w:rPr>
          <w:rFonts w:asciiTheme="minorEastAsia" w:hAnsiTheme="minorEastAsia" w:cs="Times New Roman" w:hint="eastAsia"/>
          <w:bCs/>
          <w:sz w:val="24"/>
          <w:szCs w:val="24"/>
        </w:rPr>
        <w:tab/>
        <w:t>基金管理人的权利与义务</w:t>
      </w:r>
    </w:p>
    <w:p w14:paraId="31B4CB95"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1、根据《基金法》、《运作办法》及其他有关规定，基金管理人的权利包括但不限于：</w:t>
      </w:r>
    </w:p>
    <w:p w14:paraId="7FF2DFE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w:t>
      </w:r>
    </w:p>
    <w:p w14:paraId="23858E45"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（2）自《基金合同》生效之日起，根据法律法规和《基金合同》独立运用并管理基金财产；</w:t>
      </w:r>
    </w:p>
    <w:p w14:paraId="55AFBA9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（3）依照《基金合同》收取基金管理费以及法律法规规定或中国证监会批准的其他费用；</w:t>
      </w:r>
    </w:p>
    <w:p w14:paraId="5197192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（4）销售基金份额；</w:t>
      </w:r>
    </w:p>
    <w:p w14:paraId="2CAD2AF6"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（5）按照规定召集基金份额持有人大会；</w:t>
      </w:r>
    </w:p>
    <w:p w14:paraId="0A55FCE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1FD31197"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（7）在基金托管人更换时，提名新的基金托管人；</w:t>
      </w:r>
    </w:p>
    <w:p w14:paraId="7F569D2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（8）选择、更换基金销售机构，对基金销售机构的相关行为进行监督和处理； </w:t>
      </w:r>
    </w:p>
    <w:p w14:paraId="38D6DB9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25B24F2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（10）依据《基金合同》及有关法律规定决定基金收益的分配方案；</w:t>
      </w:r>
      <w:r>
        <w:rPr>
          <w:rFonts w:asciiTheme="minorEastAsia" w:hAnsiTheme="minorEastAsia" w:cs="Times New Roman" w:hint="eastAsia"/>
          <w:bCs/>
          <w:sz w:val="24"/>
          <w:szCs w:val="24"/>
        </w:rPr>
        <w:tab/>
      </w:r>
    </w:p>
    <w:p w14:paraId="4492455B"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（11）在《基金合同》约定的范围内，拒绝或暂停受理申购、赎回或转换申请； </w:t>
      </w:r>
    </w:p>
    <w:p w14:paraId="3A7B9FE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Pr>
          <w:rFonts w:asciiTheme="minorEastAsia" w:hAnsiTheme="minorEastAsia" w:cs="Times New Roman" w:hint="eastAsia"/>
          <w:bCs/>
          <w:sz w:val="24"/>
          <w:szCs w:val="24"/>
        </w:rPr>
        <w:tab/>
      </w:r>
    </w:p>
    <w:p w14:paraId="33B1633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（13）在法律法规允许的前提下，为基金的利益依法为基金进行融资；</w:t>
      </w:r>
    </w:p>
    <w:p w14:paraId="37370A3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（14）以基金管理人的名义，代表基金份额持有人的利益行使诉讼权利或者实施其他法律行为；</w:t>
      </w:r>
      <w:r>
        <w:rPr>
          <w:rFonts w:asciiTheme="minorEastAsia" w:hAnsiTheme="minorEastAsia" w:cs="Times New Roman" w:hint="eastAsia"/>
          <w:bCs/>
          <w:sz w:val="24"/>
          <w:szCs w:val="24"/>
        </w:rPr>
        <w:tab/>
      </w:r>
    </w:p>
    <w:p w14:paraId="558FE1C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（15）选择、更换律师事务所、会计师事务所、证券/期货经纪商或其他为基金提供服务的外部机构；</w:t>
      </w:r>
      <w:r>
        <w:rPr>
          <w:rFonts w:asciiTheme="minorEastAsia" w:hAnsiTheme="minorEastAsia" w:cs="Times New Roman" w:hint="eastAsia"/>
          <w:bCs/>
          <w:sz w:val="24"/>
          <w:szCs w:val="24"/>
        </w:rPr>
        <w:tab/>
      </w:r>
    </w:p>
    <w:p w14:paraId="0BD49A0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（16）在符合有关法律、法规的前提下，制订和调整有关基金认购、申购、赎回、转换、</w:t>
      </w:r>
      <w:proofErr w:type="gramStart"/>
      <w:r>
        <w:rPr>
          <w:rFonts w:asciiTheme="minorEastAsia" w:hAnsiTheme="minorEastAsia" w:cs="Times New Roman" w:hint="eastAsia"/>
          <w:bCs/>
          <w:sz w:val="24"/>
          <w:szCs w:val="24"/>
        </w:rPr>
        <w:t>非交易</w:t>
      </w:r>
      <w:proofErr w:type="gramEnd"/>
      <w:r>
        <w:rPr>
          <w:rFonts w:asciiTheme="minorEastAsia" w:hAnsiTheme="minorEastAsia" w:cs="Times New Roman" w:hint="eastAsia"/>
          <w:bCs/>
          <w:sz w:val="24"/>
          <w:szCs w:val="24"/>
        </w:rPr>
        <w:t>过户、转托管和收益分配等的业务规则；</w:t>
      </w:r>
    </w:p>
    <w:p w14:paraId="7625F47A"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（17）法律法规及中国证监会规定的和《基金合同》约定的其他权利。</w:t>
      </w:r>
    </w:p>
    <w:p w14:paraId="2920E8C7"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2、根据《基金法》、《运作办法》及其他有关规定，基金管理人的义务包括但不限于：</w:t>
      </w:r>
    </w:p>
    <w:p w14:paraId="6E8EE8E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7B89616B"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（2）办理基金备案手续；</w:t>
      </w:r>
    </w:p>
    <w:p w14:paraId="606B49F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（3）自《基金合同》生效之日起,以诚实信用、谨慎勤勉的原则管理和运用基金财产；</w:t>
      </w:r>
    </w:p>
    <w:p w14:paraId="0F0191E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4A47FAFA"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（5）建立健全内部风险控制、监察与稽核、财务管理及人事管理等制度，保证所管理的基金财产和基金管理人的财产相互</w:t>
      </w:r>
      <w:proofErr w:type="gramStart"/>
      <w:r>
        <w:rPr>
          <w:rFonts w:asciiTheme="minorEastAsia" w:hAnsiTheme="minorEastAsia" w:cs="Times New Roman" w:hint="eastAsia"/>
          <w:bCs/>
          <w:sz w:val="24"/>
          <w:szCs w:val="24"/>
        </w:rPr>
        <w:t>独立,</w:t>
      </w:r>
      <w:proofErr w:type="gramEnd"/>
      <w:r>
        <w:rPr>
          <w:rFonts w:asciiTheme="minorEastAsia" w:hAnsiTheme="minorEastAsia" w:cs="Times New Roman" w:hint="eastAsia"/>
          <w:bCs/>
          <w:sz w:val="24"/>
          <w:szCs w:val="24"/>
        </w:rPr>
        <w:t>对所管理的不同基金分别管理，分别记账，进行证券投资；</w:t>
      </w:r>
    </w:p>
    <w:p w14:paraId="4674266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70F2389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（7）依法接受基金托管人的监督；</w:t>
      </w:r>
    </w:p>
    <w:p w14:paraId="1772371A"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（8）采取适当合理的措施使计算基金份额认购、申购、赎回和注销价格的方法符合《基金合同》等法律文件的规定，按有关规定计算并公告基金净值信息，确定基金份额申购、赎回的价格；</w:t>
      </w:r>
    </w:p>
    <w:p w14:paraId="13B89B1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（9）进行基金会计核算并编制基金财务会计报告；</w:t>
      </w:r>
    </w:p>
    <w:p w14:paraId="2C2389F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（10）编制季度报告、中期报告和年度报告；</w:t>
      </w:r>
    </w:p>
    <w:p w14:paraId="6A71A2AC"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（11）严格按照《基金法》、《基金合同》及其他有关规定，履行信息披露及报告义务；</w:t>
      </w:r>
    </w:p>
    <w:p w14:paraId="247A92A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w:t>
      </w:r>
      <w:r>
        <w:rPr>
          <w:rFonts w:asciiTheme="minorEastAsia" w:hAnsiTheme="minorEastAsia" w:cs="Times New Roman" w:hint="eastAsia"/>
          <w:bCs/>
          <w:sz w:val="24"/>
          <w:szCs w:val="24"/>
        </w:rPr>
        <w:lastRenderedPageBreak/>
        <w:t>向他人泄露，但依法向监管机构、司法机关及审计、法律等外部专业顾问提供的除外；</w:t>
      </w:r>
    </w:p>
    <w:p w14:paraId="0D59C9CC"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（13）按《基金合同》的约定确定基金收益分配方案，及时向基金份额持有人分配基金收益；</w:t>
      </w:r>
    </w:p>
    <w:p w14:paraId="489F4D8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（14）按规定受理申购与赎回申请，及时、足额支付赎回款项；</w:t>
      </w:r>
    </w:p>
    <w:p w14:paraId="226D491F"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559AFC6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（16）按规定保存基金财产管理业务活动的会计账册、报表、记录和其他相关资料，保存期限不低于法律法规规定的最低期限；</w:t>
      </w:r>
    </w:p>
    <w:p w14:paraId="35D1187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1A35C8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（18）组织并参加基金财产清算小组,参与基金财产的保管、清理、估价、变现和分配；</w:t>
      </w:r>
    </w:p>
    <w:p w14:paraId="63225B3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（19）面临解散、依法被撤销或者被依法宣告破产时，及时报告中国证监会并通知基金托管人；</w:t>
      </w:r>
    </w:p>
    <w:p w14:paraId="381276EB"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3768EDB6"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4F743EE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（22）当基金管理人将其义务委托第三方处理时，应当对第三方处理有关基金事务的行为承担责任；</w:t>
      </w:r>
    </w:p>
    <w:p w14:paraId="399CF676"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（23）以基金管理人名义，代表基金份额持有人利益行使诉讼权利或实施其他法律行为；</w:t>
      </w:r>
      <w:r>
        <w:rPr>
          <w:rFonts w:asciiTheme="minorEastAsia" w:hAnsiTheme="minorEastAsia" w:cs="Times New Roman" w:hint="eastAsia"/>
          <w:bCs/>
          <w:sz w:val="24"/>
          <w:szCs w:val="24"/>
        </w:rPr>
        <w:tab/>
      </w:r>
    </w:p>
    <w:p w14:paraId="55A7D39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（24）基金管理人在募集期间未能达到基金的备案条件，《基金合同》不能生效，基金管理人承担全部募集费用，将已募集资金并加计银行同期存款利息在基金募集期结束后30日内退还基金认购人；</w:t>
      </w:r>
    </w:p>
    <w:p w14:paraId="226D806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（25）执行生效的基金份额持有人大会的决议；</w:t>
      </w:r>
    </w:p>
    <w:p w14:paraId="5DE3D7D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（26）建立并保存基金份额持有人名册；</w:t>
      </w:r>
    </w:p>
    <w:p w14:paraId="08DD416F"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（27）法律法规及中国证监会规定的和《基金合同》约定的其他义务。</w:t>
      </w:r>
    </w:p>
    <w:p w14:paraId="2B23F46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w:t>
      </w:r>
      <w:r>
        <w:rPr>
          <w:rFonts w:asciiTheme="minorEastAsia" w:hAnsiTheme="minorEastAsia" w:cs="Times New Roman" w:hint="eastAsia"/>
          <w:bCs/>
          <w:sz w:val="24"/>
          <w:szCs w:val="24"/>
        </w:rPr>
        <w:tab/>
        <w:t>基金托管人的权利与义务</w:t>
      </w:r>
    </w:p>
    <w:p w14:paraId="1D62D16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1、根据《基金法》、《运作办法》及其他有关规定，基金托管人的权利包括但不限于：</w:t>
      </w:r>
    </w:p>
    <w:p w14:paraId="7309388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（1）自《基金合同》生效之日起，依法</w:t>
      </w:r>
      <w:proofErr w:type="gramStart"/>
      <w:r>
        <w:rPr>
          <w:rFonts w:asciiTheme="minorEastAsia" w:hAnsiTheme="minorEastAsia" w:cs="Times New Roman" w:hint="eastAsia"/>
          <w:bCs/>
          <w:sz w:val="24"/>
          <w:szCs w:val="24"/>
        </w:rPr>
        <w:t>律法规</w:t>
      </w:r>
      <w:proofErr w:type="gramEnd"/>
      <w:r>
        <w:rPr>
          <w:rFonts w:asciiTheme="minorEastAsia" w:hAnsiTheme="minorEastAsia" w:cs="Times New Roman" w:hint="eastAsia"/>
          <w:bCs/>
          <w:sz w:val="24"/>
          <w:szCs w:val="24"/>
        </w:rPr>
        <w:t>和《基金合同》的规定安全保管基金财产；</w:t>
      </w:r>
    </w:p>
    <w:p w14:paraId="43CAB5D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（2）依《基金合同》约定获得基金托管费以及法律法规规定或监管部门批准的其他费用；</w:t>
      </w:r>
    </w:p>
    <w:p w14:paraId="52AFADE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8AEA5B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（4）根据相关市场规则，为基金开设托管账户、证券账户及其他投资所需账户，为基金办理证券、期货交易资金清算；</w:t>
      </w:r>
    </w:p>
    <w:p w14:paraId="1F177B67"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（5）提议召开或召集基金份额持有人大会；</w:t>
      </w:r>
    </w:p>
    <w:p w14:paraId="62E5DACF"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（6）在基金管理人更换时，提名新的基金管理人；</w:t>
      </w:r>
    </w:p>
    <w:p w14:paraId="2708207A"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（7）法律法规及中国证监会规定的和《基金合同》约定的其他权利。</w:t>
      </w:r>
    </w:p>
    <w:p w14:paraId="7DD2A3A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2、根据《基金法》、《运作办法》及其他有关规定，基金托管人的义务包括但不限于：</w:t>
      </w:r>
    </w:p>
    <w:p w14:paraId="14DD853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（1）以诚实信用、勤勉尽责的原则持有并安全保管基金财产；</w:t>
      </w:r>
    </w:p>
    <w:p w14:paraId="114BEAA5"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28756BBF"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BB353E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（4）除依据《基金法》、《基金合同》、《托管协议》及其他有关规定外，不得利用基金财产为自己及任何第三人谋取利益，不得委托第三人托管基金财产；</w:t>
      </w:r>
    </w:p>
    <w:p w14:paraId="69A5C23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（5）保管由基金管理人代表基金签订的与基金有关的重大合同及有关凭证；</w:t>
      </w:r>
    </w:p>
    <w:p w14:paraId="1719A6C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（6）按规定开设基金财产的托管账户和证券账户等投资所需账户，按照《基金合同》、《托管协议》的约定，根据基金管理人的投资指令，及时办理清算、交割事宜；</w:t>
      </w:r>
    </w:p>
    <w:p w14:paraId="4E1F18F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保守基金商业秘密，除《基金法》、《基金合同》、《托管协议》及其他有关规定另有规定外，在基金信息公开披露前予以保密，不得向他人泄露，但依法向监管机构、司法机关及审计、法律等外部专业顾问提供的除外；</w:t>
      </w:r>
    </w:p>
    <w:p w14:paraId="1A0DE0A6"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（8）复核、审查基金管理人计算的基金资产净值、基金份额净值、基金份额申购、赎回价格；</w:t>
      </w:r>
    </w:p>
    <w:p w14:paraId="2170122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（9）办理与基金托管业务活动有关的信息披露事项；</w:t>
      </w:r>
    </w:p>
    <w:p w14:paraId="63743CF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7D53229F"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（11）保存基金托管业务活动的记录、账册、报表和其他相关资料不低于法律法规规定的最低期限；</w:t>
      </w:r>
    </w:p>
    <w:p w14:paraId="796420A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（12）从基金管理人或其委托的登记机构处接收并保存基金份额持有人名册；</w:t>
      </w:r>
    </w:p>
    <w:p w14:paraId="1144858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（13）按规定制作相关账册并与基金管理人核对；</w:t>
      </w:r>
    </w:p>
    <w:p w14:paraId="0CC23E3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（14）依据基金管理人的指令或有关规定向基金份额持有人支付基金收益和赎回款项；</w:t>
      </w:r>
    </w:p>
    <w:p w14:paraId="12D99F1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41B930C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（16）按照法律法规和《基金合同》及《托管协议》的规定监督基金管理人的投资运作；</w:t>
      </w:r>
    </w:p>
    <w:p w14:paraId="789088E5"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（17）参加基金财产清算小组，参与基金财产的保管、清理、估价、变现和分配；</w:t>
      </w:r>
    </w:p>
    <w:p w14:paraId="5BE0B426"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（18）面临解散、依法被撤销或者被依法宣告破产时，及时报告中国证监会，并通知基金管理人；</w:t>
      </w:r>
    </w:p>
    <w:p w14:paraId="566BF27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（19）因违反《基金合同》及《托管协议》导致基金财产损失时，应承担赔偿责任，其赔偿责任不因其退任而免除；</w:t>
      </w:r>
    </w:p>
    <w:p w14:paraId="064299B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（20）按规定监督基金管理人按法律法规和《基金合同》规定履行自己的义务，基金管理人因违反《基金合同》造成基金财产损失时，应为基金份额持有人利益向基金管理人追偿；</w:t>
      </w:r>
    </w:p>
    <w:p w14:paraId="440F3E45"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（21）执行生效的基金份额持有人大会的决议；</w:t>
      </w:r>
    </w:p>
    <w:p w14:paraId="17D4B98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（22）法律法规及中国证监会规定的和《基金合同》约定的其他义务。</w:t>
      </w:r>
    </w:p>
    <w:p w14:paraId="56DE4F6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（三）基金份额持有人的权利与义务</w:t>
      </w:r>
    </w:p>
    <w:p w14:paraId="2999EB3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基金投资者持有本</w:t>
      </w:r>
      <w:proofErr w:type="gramStart"/>
      <w:r>
        <w:rPr>
          <w:rFonts w:asciiTheme="minorEastAsia" w:hAnsiTheme="minorEastAsia" w:cs="Times New Roman" w:hint="eastAsia"/>
          <w:bCs/>
          <w:sz w:val="24"/>
          <w:szCs w:val="24"/>
        </w:rPr>
        <w:t>基金基金</w:t>
      </w:r>
      <w:proofErr w:type="gramEnd"/>
      <w:r>
        <w:rPr>
          <w:rFonts w:asciiTheme="minorEastAsia" w:hAnsiTheme="minorEastAsia" w:cs="Times New Roman" w:hint="eastAsia"/>
          <w:bCs/>
          <w:sz w:val="24"/>
          <w:szCs w:val="24"/>
        </w:rPr>
        <w:t>份额的行为即视为对《基金合同》的承认和接受，基金投资者</w:t>
      </w:r>
      <w:proofErr w:type="gramStart"/>
      <w:r>
        <w:rPr>
          <w:rFonts w:asciiTheme="minorEastAsia" w:hAnsiTheme="minorEastAsia" w:cs="Times New Roman" w:hint="eastAsia"/>
          <w:bCs/>
          <w:sz w:val="24"/>
          <w:szCs w:val="24"/>
        </w:rPr>
        <w:t>自依据</w:t>
      </w:r>
      <w:proofErr w:type="gramEnd"/>
      <w:r>
        <w:rPr>
          <w:rFonts w:asciiTheme="minorEastAsia" w:hAnsiTheme="minorEastAsia" w:cs="Times New Roman" w:hint="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10E1053B"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除法律法规另有规定或基金合同另有约定外，同一类别每份基金份额具有同等的合法权益。</w:t>
      </w:r>
    </w:p>
    <w:p w14:paraId="23926C05"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1、根据《基金法》、《运作办法》及其他有关规定，基金份额持有人的权利包括但不限于：</w:t>
      </w:r>
    </w:p>
    <w:p w14:paraId="4346CF8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（1）分享基金财产收益；</w:t>
      </w:r>
    </w:p>
    <w:p w14:paraId="0E93AA5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（2）参与分配清算后的剩余基金财产；</w:t>
      </w:r>
    </w:p>
    <w:p w14:paraId="51F96ABF"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（3）依照法律及基金合同的约定转让或者申请赎回其持有的基金份额；</w:t>
      </w:r>
    </w:p>
    <w:p w14:paraId="6880F74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（4）按照规定要求召开基金份额持有人大会或者召集基金份额持有人大会；</w:t>
      </w:r>
    </w:p>
    <w:p w14:paraId="369A589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（5）出席或者委派代表出席基金份额持有人大会，对基金份额持有人大会审议事项行使表决权；</w:t>
      </w:r>
    </w:p>
    <w:p w14:paraId="5A45B335"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（6）查阅或者复制公开披露的基金信息资料；</w:t>
      </w:r>
    </w:p>
    <w:p w14:paraId="3EF8D8F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（7）监督基金管理人的投资运作；</w:t>
      </w:r>
    </w:p>
    <w:p w14:paraId="6BA9287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（8）对基金管理人、基金托管人、基金服务机构损害其合法权益的行为依法提起诉讼或仲裁；</w:t>
      </w:r>
    </w:p>
    <w:p w14:paraId="538347A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（9）法律法规及中国证监会规定的和《基金合同》约定的其他权利。</w:t>
      </w:r>
    </w:p>
    <w:p w14:paraId="6E60E8CC"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2、根据《基金法》、《运作办法》及其他有关规定，基金份额持有人的义务包括但不限于：</w:t>
      </w:r>
    </w:p>
    <w:p w14:paraId="16CFC21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（1）认真阅读并遵守《基金合同》、招募说明书等信息披露文件；</w:t>
      </w:r>
    </w:p>
    <w:p w14:paraId="3B568A8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（2）了解所投资基金产品，了解自身风险承受能力，自主判断基金的投资价值，自主做出投资决策，自行承担投资风险；</w:t>
      </w:r>
    </w:p>
    <w:p w14:paraId="020C6B0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（3）关注基金信息披露，及时行使权利和履行义务；</w:t>
      </w:r>
    </w:p>
    <w:p w14:paraId="3171CDAC"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（4）交纳基金认购、申购款项及法律法规和《基金合同》所规定的费用；</w:t>
      </w:r>
    </w:p>
    <w:p w14:paraId="75EBFDD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（5）在其持有的基金份额范围内，承担基金亏损或者《基金合同》终止的有限责任；</w:t>
      </w:r>
    </w:p>
    <w:p w14:paraId="79757D4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（6）不从事任何有损基金及其他《基金合同》当事人合法权益的活动；</w:t>
      </w:r>
    </w:p>
    <w:p w14:paraId="2B54609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（7）执行生效的基金份额持有人大会的决议；</w:t>
      </w:r>
    </w:p>
    <w:p w14:paraId="5F0B540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（8）返还在基金交易过程中因任何原因获得的不当得利；</w:t>
      </w:r>
    </w:p>
    <w:p w14:paraId="50A481F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w:t>
      </w:r>
      <w:r>
        <w:rPr>
          <w:rFonts w:asciiTheme="minorEastAsia" w:hAnsiTheme="minorEastAsia" w:cs="Times New Roman" w:hint="eastAsia"/>
          <w:bCs/>
          <w:sz w:val="24"/>
          <w:szCs w:val="24"/>
        </w:rPr>
        <w:t>9）遵守基金管理人、基金托管人、销售机构和登记机构的相关交易及业务规则；</w:t>
      </w:r>
    </w:p>
    <w:p w14:paraId="5219C0C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（10）提供基金管理人和监管机构依法要求提供的信息，以及不时的更新和补充，并保证其真实性；</w:t>
      </w:r>
    </w:p>
    <w:p w14:paraId="4104B3E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11</w:t>
      </w:r>
      <w:r>
        <w:rPr>
          <w:rFonts w:asciiTheme="minorEastAsia" w:hAnsiTheme="minorEastAsia" w:cs="Times New Roman" w:hint="eastAsia"/>
          <w:bCs/>
          <w:sz w:val="24"/>
          <w:szCs w:val="24"/>
        </w:rPr>
        <w:t>）法律法规及中国证监会规定的和《基金合同》约定的其他义务。</w:t>
      </w:r>
    </w:p>
    <w:p w14:paraId="6C75C40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二、基金份额持有人大会召集、议事及表决的程序和规则</w:t>
      </w:r>
    </w:p>
    <w:p w14:paraId="7CEE6C6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61C285CF"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w:t>
      </w:r>
      <w:proofErr w:type="gramStart"/>
      <w:r>
        <w:rPr>
          <w:rFonts w:asciiTheme="minorEastAsia" w:hAnsiTheme="minorEastAsia" w:cs="Times New Roman" w:hint="eastAsia"/>
          <w:bCs/>
          <w:sz w:val="24"/>
          <w:szCs w:val="24"/>
        </w:rPr>
        <w:t>基金基金</w:t>
      </w:r>
      <w:proofErr w:type="gramEnd"/>
      <w:r>
        <w:rPr>
          <w:rFonts w:asciiTheme="minorEastAsia" w:hAnsiTheme="minorEastAsia" w:cs="Times New Roman" w:hint="eastAsia"/>
          <w:bCs/>
          <w:sz w:val="24"/>
          <w:szCs w:val="24"/>
        </w:rPr>
        <w:t>份额持有人大会不设立日常机构。</w:t>
      </w:r>
    </w:p>
    <w:p w14:paraId="7E944BE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1A31113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1、除法律法规、中国证监会另有规定或基金合同另有约定的以外，当出现或需要决定下列事由之一的，应当召开基金份额持有人大会：</w:t>
      </w:r>
    </w:p>
    <w:p w14:paraId="676D863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（1）终止基金合同；</w:t>
      </w:r>
    </w:p>
    <w:p w14:paraId="6FC246F7"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（2）更换基金管理人；</w:t>
      </w:r>
    </w:p>
    <w:p w14:paraId="0B2955EA"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（3）更换基金托管人；</w:t>
      </w:r>
    </w:p>
    <w:p w14:paraId="4BD19FF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（4）转换基金运作方式；</w:t>
      </w:r>
    </w:p>
    <w:p w14:paraId="43F1A14A"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（5）调整基金管理人、基金托管人的报酬标准或提高销售服务费率；</w:t>
      </w:r>
    </w:p>
    <w:p w14:paraId="27C56B5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（6）变更基金类别；</w:t>
      </w:r>
    </w:p>
    <w:p w14:paraId="5BB3280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（7）本基金与其他基金的合并；</w:t>
      </w:r>
    </w:p>
    <w:p w14:paraId="03130BA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（8）变更基金投资目标、范围或策略；</w:t>
      </w:r>
    </w:p>
    <w:p w14:paraId="0CB1E1BA"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（9）变更基金份额持有人大会程序；</w:t>
      </w:r>
    </w:p>
    <w:p w14:paraId="1F2D65E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（10）基金管理人或基金托管人要求召开基金份额持有人大会；</w:t>
      </w:r>
    </w:p>
    <w:p w14:paraId="2BAC1F4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053826B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（12）对基金合同当事人权利和义务产生重大影响的其他事项；</w:t>
      </w:r>
    </w:p>
    <w:p w14:paraId="5631323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（13）法律法规、《基金合同》或中国证监会规定的其他应当召开基金份额持有人大会的事项。</w:t>
      </w:r>
    </w:p>
    <w:p w14:paraId="386095B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6C5BE637"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（1）法律法规要求增加的基金费用的收取；</w:t>
      </w:r>
    </w:p>
    <w:p w14:paraId="1C9BC54B"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（2）在法律法规和《基金合同》规定的范围内调整本基金的申购费率、调低赎回费率、调低销售服务费率或变更收费方式；</w:t>
      </w:r>
    </w:p>
    <w:p w14:paraId="1EEC84B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w:t>
      </w:r>
      <w:proofErr w:type="gramStart"/>
      <w:r>
        <w:rPr>
          <w:rFonts w:asciiTheme="minorEastAsia" w:hAnsiTheme="minorEastAsia" w:cs="Times New Roman" w:hint="eastAsia"/>
          <w:bCs/>
          <w:sz w:val="24"/>
          <w:szCs w:val="24"/>
        </w:rPr>
        <w:t>因相应</w:t>
      </w:r>
      <w:proofErr w:type="gramEnd"/>
      <w:r>
        <w:rPr>
          <w:rFonts w:asciiTheme="minorEastAsia" w:hAnsiTheme="minorEastAsia" w:cs="Times New Roman" w:hint="eastAsia"/>
          <w:bCs/>
          <w:sz w:val="24"/>
          <w:szCs w:val="24"/>
        </w:rPr>
        <w:t>的法律法规发生变动而应当对《基金合同》进行修改；</w:t>
      </w:r>
    </w:p>
    <w:p w14:paraId="72AC62B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（4）对《基金合同》的修改对基金份额持有人利益无实质性不利影响或修改不涉及《基金合同》当事人权利义务关系发生重大变化；</w:t>
      </w:r>
    </w:p>
    <w:p w14:paraId="5A5387C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（5）增加新的基金份额类别或者停止现有基金份额类别的销售等，或对基金份额分类办法及规则进行调整；</w:t>
      </w:r>
    </w:p>
    <w:p w14:paraId="518BD466"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（6）基金管理人、销售机构、登记机构调整有关基金认购、申购、赎回、转换、</w:t>
      </w:r>
      <w:proofErr w:type="gramStart"/>
      <w:r>
        <w:rPr>
          <w:rFonts w:asciiTheme="minorEastAsia" w:hAnsiTheme="minorEastAsia" w:cs="Times New Roman" w:hint="eastAsia"/>
          <w:bCs/>
          <w:sz w:val="24"/>
          <w:szCs w:val="24"/>
        </w:rPr>
        <w:t>非交易</w:t>
      </w:r>
      <w:proofErr w:type="gramEnd"/>
      <w:r>
        <w:rPr>
          <w:rFonts w:asciiTheme="minorEastAsia" w:hAnsiTheme="minorEastAsia" w:cs="Times New Roman" w:hint="eastAsia"/>
          <w:bCs/>
          <w:sz w:val="24"/>
          <w:szCs w:val="24"/>
        </w:rPr>
        <w:t>过户、转托管等业务的规则；</w:t>
      </w:r>
    </w:p>
    <w:p w14:paraId="7C602C5C"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（7）在法律法规允许的情况下，且在对现有基金份额持有人利益无实质性不利影响的前提下，推出新业务或服务；</w:t>
      </w:r>
    </w:p>
    <w:p w14:paraId="1092C76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（8）按照法律法规和《基金合同》规定不需召开基金份额持有人大会的其他情形。</w:t>
      </w:r>
    </w:p>
    <w:p w14:paraId="69F959C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1DF5A4BF"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1、除法律法规规定或《基金合同》另有约定外，基金份额持有人大会由基金管理人召集；</w:t>
      </w:r>
    </w:p>
    <w:p w14:paraId="73BE067B"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2、基金管理人未按规定召集或不能召集时，由基金托管人召集；</w:t>
      </w:r>
    </w:p>
    <w:p w14:paraId="5C0B876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155874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 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09329B7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7583B9D6"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6、基金份额持有人会议的召集人负责选择确定开会时间、地点、方式和权益登记日。</w:t>
      </w:r>
    </w:p>
    <w:p w14:paraId="597D461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35F7E50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1、召开基金份额持有人大会，召集人应于会议召开前30日，依据有关规定进行公告。基金份额持有人大会通知应至少载明以下内容：</w:t>
      </w:r>
    </w:p>
    <w:p w14:paraId="02195E17"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（1）会议召开的时间、地点和会议形式；</w:t>
      </w:r>
    </w:p>
    <w:p w14:paraId="223B3C1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（2）会议</w:t>
      </w:r>
      <w:proofErr w:type="gramStart"/>
      <w:r>
        <w:rPr>
          <w:rFonts w:asciiTheme="minorEastAsia" w:hAnsiTheme="minorEastAsia" w:cs="Times New Roman" w:hint="eastAsia"/>
          <w:bCs/>
          <w:sz w:val="24"/>
          <w:szCs w:val="24"/>
        </w:rPr>
        <w:t>拟审议</w:t>
      </w:r>
      <w:proofErr w:type="gramEnd"/>
      <w:r>
        <w:rPr>
          <w:rFonts w:asciiTheme="minorEastAsia" w:hAnsiTheme="minorEastAsia" w:cs="Times New Roman" w:hint="eastAsia"/>
          <w:bCs/>
          <w:sz w:val="24"/>
          <w:szCs w:val="24"/>
        </w:rPr>
        <w:t>的事项、议事程序和表决方式；</w:t>
      </w:r>
    </w:p>
    <w:p w14:paraId="557D5736"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（3）有权出席基金份额持有人大会的基金份额持有人的权益登记日；</w:t>
      </w:r>
    </w:p>
    <w:p w14:paraId="4487921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（4）授权委托证明的内容要求（包括但不限于代理人身份，代理权限和代理有效期限等）、送达时间和地点；</w:t>
      </w:r>
    </w:p>
    <w:p w14:paraId="1FFBCC7B"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（5）会务常设联系人姓名及联系电话；</w:t>
      </w:r>
    </w:p>
    <w:p w14:paraId="19E03B8A"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（6）出席会议者必须准备的文件和必须履行的手续；</w:t>
      </w:r>
    </w:p>
    <w:p w14:paraId="4A58E11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（7）召集人需要通知的其他事项。</w:t>
      </w:r>
    </w:p>
    <w:p w14:paraId="4EC025E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C7A834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Theme="minorEastAsia" w:hAnsiTheme="minorEastAsia" w:cs="Times New Roman" w:hint="eastAsia"/>
          <w:bCs/>
          <w:sz w:val="24"/>
          <w:szCs w:val="24"/>
        </w:rPr>
        <w:t>拒不派</w:t>
      </w:r>
      <w:proofErr w:type="gramEnd"/>
      <w:r>
        <w:rPr>
          <w:rFonts w:asciiTheme="minorEastAsia" w:hAnsiTheme="minorEastAsia" w:cs="Times New Roman" w:hint="eastAsia"/>
          <w:bCs/>
          <w:sz w:val="24"/>
          <w:szCs w:val="24"/>
        </w:rPr>
        <w:t>代表对表决意见的计票进行监督的，不影响表决意见的计票效力。</w:t>
      </w:r>
    </w:p>
    <w:p w14:paraId="430C1B4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427E773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08B124D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EDF4977"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712094A"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w:t>
      </w:r>
    </w:p>
    <w:p w14:paraId="79FB120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2FF0897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通讯开会系指基金份额持有人将其对表决事项的投票以书面形式或会议通知载明的其他方式在表决截止日以前送达至召集人指定的地址或系统。通讯开会应以书面方式或会议通知载明的其他方式进行表决。</w:t>
      </w:r>
    </w:p>
    <w:p w14:paraId="39D56C5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4BA96F7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（1）会议召集人按《基金合同》约定公布会议通知后，在2个工作日内连续公布相关提示性公告；</w:t>
      </w:r>
    </w:p>
    <w:p w14:paraId="3E24F9DF"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B92C637"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w:t>
      </w:r>
    </w:p>
    <w:p w14:paraId="38CAFC87"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5E46AAFF"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81ADE5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3、在法律法规和监管机关允许的情况下，本基金的基金份额持有人亦可采用其他非书面方式授权其代理人出席基金份额持有人大会并行使表决权，具体方式由会议召集人确定并在会议通知中列明。</w:t>
      </w:r>
    </w:p>
    <w:p w14:paraId="19CF8F9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具体方式由会议召集人确定并在会议通知中列明。</w:t>
      </w:r>
    </w:p>
    <w:p w14:paraId="4AC33B6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（五）议事内容与程序</w:t>
      </w:r>
    </w:p>
    <w:p w14:paraId="3ECA2805"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1、议事内容及提案权</w:t>
      </w:r>
    </w:p>
    <w:p w14:paraId="6C6E269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8CBB32B"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19A54E9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75C3D14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2、议事程序</w:t>
      </w:r>
    </w:p>
    <w:p w14:paraId="743FE73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5295BD6F"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Theme="minorEastAsia" w:hAnsiTheme="minorEastAsia" w:cs="Times New Roman" w:hint="eastAsia"/>
          <w:bCs/>
          <w:sz w:val="24"/>
          <w:szCs w:val="24"/>
        </w:rPr>
        <w:t>作出</w:t>
      </w:r>
      <w:proofErr w:type="gramEnd"/>
      <w:r>
        <w:rPr>
          <w:rFonts w:asciiTheme="minorEastAsia" w:hAnsiTheme="minorEastAsia" w:cs="Times New Roman" w:hint="eastAsia"/>
          <w:bCs/>
          <w:sz w:val="24"/>
          <w:szCs w:val="24"/>
        </w:rPr>
        <w:t>的决议的效力。</w:t>
      </w:r>
    </w:p>
    <w:p w14:paraId="55913BCA"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w:t>
      </w:r>
      <w:proofErr w:type="gramStart"/>
      <w:r>
        <w:rPr>
          <w:rFonts w:asciiTheme="minorEastAsia" w:hAnsiTheme="minorEastAsia" w:cs="Times New Roman" w:hint="eastAsia"/>
          <w:bCs/>
          <w:sz w:val="24"/>
          <w:szCs w:val="24"/>
        </w:rPr>
        <w:t>册</w:t>
      </w:r>
      <w:proofErr w:type="gramEnd"/>
      <w:r>
        <w:rPr>
          <w:rFonts w:asciiTheme="minorEastAsia" w:hAnsiTheme="minorEastAsia" w:cs="Times New Roman" w:hint="eastAsia"/>
          <w:bCs/>
          <w:sz w:val="24"/>
          <w:szCs w:val="24"/>
        </w:rPr>
        <w:t>载明参加会议人员姓名（或单位名称）、身份证明文件号码、持有或代表有表决权的基金份额、委托人姓名（或单位名称）和联系方式等事项。</w:t>
      </w:r>
    </w:p>
    <w:p w14:paraId="3FAFA6E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50A1A7D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在通讯开会的情况下，首先由召集人提前30日公布提案，在所通知的表决截止日期后2个工作日内在公证机关监督下由召集人统计全部有效表决，在公证机关监督下形成决议。</w:t>
      </w:r>
    </w:p>
    <w:p w14:paraId="64B062A7"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5DC59D6C"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基金份额持有人所持每份基金份额有一票表决权。</w:t>
      </w:r>
    </w:p>
    <w:p w14:paraId="013522A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6E7E77F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4CE2EA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法律法规、中国证监会另有规定或基金合同另有约定的以外，转换基金运作方式、更换基金管理人或者基金托管人、终止《基金合同》、本基金与其他基金合并以特别决议通过方为有效。</w:t>
      </w:r>
    </w:p>
    <w:p w14:paraId="74DFB65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45624DD7"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7511A3A"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2D681D3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0E353095"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29956BB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heme="minorEastAsia" w:hAnsiTheme="minorEastAsia" w:cs="Times New Roman" w:hint="eastAsia"/>
          <w:bCs/>
          <w:sz w:val="24"/>
          <w:szCs w:val="24"/>
        </w:rPr>
        <w:t>或大会</w:t>
      </w:r>
      <w:proofErr w:type="gramEnd"/>
      <w:r>
        <w:rPr>
          <w:rFonts w:asciiTheme="minorEastAsia" w:hAnsiTheme="minorEastAsia" w:cs="Times New Roman" w:hint="eastAsia"/>
          <w:bCs/>
          <w:sz w:val="24"/>
          <w:szCs w:val="24"/>
        </w:rPr>
        <w:t>虽然由基金管理人或基金托管人召集，但是基金管理人或基金托管人未出席大会的，基金份额持有人大会的主持人应当在会议开始</w:t>
      </w:r>
      <w:r>
        <w:rPr>
          <w:rFonts w:asciiTheme="minorEastAsia" w:hAnsiTheme="minorEastAsia" w:cs="Times New Roman" w:hint="eastAsia"/>
          <w:bCs/>
          <w:sz w:val="24"/>
          <w:szCs w:val="24"/>
        </w:rPr>
        <w:lastRenderedPageBreak/>
        <w:t>后宣布在出席会议的基金份额持有人中选举三名基金份额持有人代表担任监票人。基金管理人或基金托管人不出席大会的，不影响计票的效力。</w:t>
      </w:r>
    </w:p>
    <w:p w14:paraId="64513B8B"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（2）监票人应当在基金份额持有人表决后立即进行清点并由大会主持人当场公布计票结果。</w:t>
      </w:r>
    </w:p>
    <w:p w14:paraId="1B661FF6"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（3）如果会议主持人或基金份额持有人或代理人对于提交的表决结果有异议，可以在宣布表决结果后立即对所投票</w:t>
      </w:r>
      <w:proofErr w:type="gramStart"/>
      <w:r>
        <w:rPr>
          <w:rFonts w:asciiTheme="minorEastAsia" w:hAnsiTheme="minorEastAsia" w:cs="Times New Roman" w:hint="eastAsia"/>
          <w:bCs/>
          <w:sz w:val="24"/>
          <w:szCs w:val="24"/>
        </w:rPr>
        <w:t>数要求</w:t>
      </w:r>
      <w:proofErr w:type="gramEnd"/>
      <w:r>
        <w:rPr>
          <w:rFonts w:asciiTheme="minorEastAsia" w:hAnsiTheme="minorEastAsia" w:cs="Times New Roman" w:hint="eastAsia"/>
          <w:bCs/>
          <w:sz w:val="24"/>
          <w:szCs w:val="24"/>
        </w:rPr>
        <w:t>进行重新清点。监票人应当进行重新清点，重新清点以一次为限。重新清点后，大会主持人应当当场公布重新清点结果。</w:t>
      </w:r>
    </w:p>
    <w:p w14:paraId="37E4D96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（4）计票过程应由公证机关予以公证,基金管理人或基金托管人拒不出席大会的，不影响计票的效力。</w:t>
      </w:r>
    </w:p>
    <w:p w14:paraId="61748D9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4F67F56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heme="minorEastAsia" w:hAnsiTheme="minorEastAsia" w:cs="Times New Roman" w:hint="eastAsia"/>
          <w:bCs/>
          <w:sz w:val="24"/>
          <w:szCs w:val="24"/>
        </w:rPr>
        <w:t>人拒派</w:t>
      </w:r>
      <w:proofErr w:type="gramEnd"/>
      <w:r>
        <w:rPr>
          <w:rFonts w:asciiTheme="minorEastAsia" w:hAnsiTheme="minorEastAsia" w:cs="Times New Roman" w:hint="eastAsia"/>
          <w:bCs/>
          <w:sz w:val="24"/>
          <w:szCs w:val="24"/>
        </w:rPr>
        <w:t>代表对表决意见的计票进行监督的，不影响计票和表决结果。</w:t>
      </w:r>
    </w:p>
    <w:p w14:paraId="623D4DD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（八）生效与公告</w:t>
      </w:r>
    </w:p>
    <w:p w14:paraId="64DF6B5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基金份额持有人大会的决议，召集人应当自通过之日起5日内报中国证监会备案。</w:t>
      </w:r>
    </w:p>
    <w:p w14:paraId="6A260B0C"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5082C3C5"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14:paraId="439D326F"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00A4AC5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（九）实施</w:t>
      </w: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期间基金份额持有人大会的特殊约定</w:t>
      </w:r>
    </w:p>
    <w:p w14:paraId="4873205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若本基金</w:t>
      </w:r>
      <w:proofErr w:type="gramStart"/>
      <w:r>
        <w:rPr>
          <w:rFonts w:asciiTheme="minorEastAsia" w:hAnsiTheme="minorEastAsia" w:cs="Times New Roman" w:hint="eastAsia"/>
          <w:bCs/>
          <w:sz w:val="24"/>
          <w:szCs w:val="24"/>
        </w:rPr>
        <w:t>实施侧袋机制</w:t>
      </w:r>
      <w:proofErr w:type="gramEnd"/>
      <w:r>
        <w:rPr>
          <w:rFonts w:asciiTheme="minorEastAsia" w:hAnsiTheme="minorEastAsia" w:cs="Times New Roman" w:hint="eastAsia"/>
          <w:bCs/>
          <w:sz w:val="24"/>
          <w:szCs w:val="24"/>
        </w:rPr>
        <w:t>，</w:t>
      </w:r>
      <w:proofErr w:type="gramStart"/>
      <w:r>
        <w:rPr>
          <w:rFonts w:asciiTheme="minorEastAsia" w:hAnsiTheme="minorEastAsia" w:cs="Times New Roman" w:hint="eastAsia"/>
          <w:bCs/>
          <w:sz w:val="24"/>
          <w:szCs w:val="24"/>
        </w:rPr>
        <w:t>则相关</w:t>
      </w:r>
      <w:proofErr w:type="gramEnd"/>
      <w:r>
        <w:rPr>
          <w:rFonts w:asciiTheme="minorEastAsia" w:hAnsiTheme="minorEastAsia" w:cs="Times New Roman" w:hint="eastAsia"/>
          <w:bCs/>
          <w:sz w:val="24"/>
          <w:szCs w:val="24"/>
        </w:rPr>
        <w:t>基金份额或表决权的比例</w:t>
      </w:r>
      <w:proofErr w:type="gramStart"/>
      <w:r>
        <w:rPr>
          <w:rFonts w:asciiTheme="minorEastAsia" w:hAnsiTheme="minorEastAsia" w:cs="Times New Roman" w:hint="eastAsia"/>
          <w:bCs/>
          <w:sz w:val="24"/>
          <w:szCs w:val="24"/>
        </w:rPr>
        <w:t>指主袋份额</w:t>
      </w:r>
      <w:proofErr w:type="gramEnd"/>
      <w:r>
        <w:rPr>
          <w:rFonts w:asciiTheme="minorEastAsia" w:hAnsiTheme="minorEastAsia" w:cs="Times New Roman" w:hint="eastAsia"/>
          <w:bCs/>
          <w:sz w:val="24"/>
          <w:szCs w:val="24"/>
        </w:rPr>
        <w:t>持有</w:t>
      </w:r>
      <w:proofErr w:type="gramStart"/>
      <w:r>
        <w:rPr>
          <w:rFonts w:asciiTheme="minorEastAsia" w:hAnsiTheme="minorEastAsia" w:cs="Times New Roman" w:hint="eastAsia"/>
          <w:bCs/>
          <w:sz w:val="24"/>
          <w:szCs w:val="24"/>
        </w:rPr>
        <w:t>人和侧袋份额</w:t>
      </w:r>
      <w:proofErr w:type="gramEnd"/>
      <w:r>
        <w:rPr>
          <w:rFonts w:asciiTheme="minorEastAsia" w:hAnsiTheme="minorEastAsia" w:cs="Times New Roman" w:hint="eastAsia"/>
          <w:bCs/>
          <w:sz w:val="24"/>
          <w:szCs w:val="24"/>
        </w:rPr>
        <w:t>持有人分别持有或代表的基金份额或表决权符合该等比例，但</w:t>
      </w:r>
      <w:proofErr w:type="gramStart"/>
      <w:r>
        <w:rPr>
          <w:rFonts w:asciiTheme="minorEastAsia" w:hAnsiTheme="minorEastAsia" w:cs="Times New Roman" w:hint="eastAsia"/>
          <w:bCs/>
          <w:sz w:val="24"/>
          <w:szCs w:val="24"/>
        </w:rPr>
        <w:t>若相关</w:t>
      </w:r>
      <w:proofErr w:type="gramEnd"/>
      <w:r>
        <w:rPr>
          <w:rFonts w:asciiTheme="minorEastAsia" w:hAnsiTheme="minorEastAsia" w:cs="Times New Roman" w:hint="eastAsia"/>
          <w:bCs/>
          <w:sz w:val="24"/>
          <w:szCs w:val="24"/>
        </w:rPr>
        <w:lastRenderedPageBreak/>
        <w:t>基金份额持有人大会召集和审议事项不</w:t>
      </w:r>
      <w:proofErr w:type="gramStart"/>
      <w:r>
        <w:rPr>
          <w:rFonts w:asciiTheme="minorEastAsia" w:hAnsiTheme="minorEastAsia" w:cs="Times New Roman" w:hint="eastAsia"/>
          <w:bCs/>
          <w:sz w:val="24"/>
          <w:szCs w:val="24"/>
        </w:rPr>
        <w:t>涉及侧袋账户</w:t>
      </w:r>
      <w:proofErr w:type="gramEnd"/>
      <w:r>
        <w:rPr>
          <w:rFonts w:asciiTheme="minorEastAsia" w:hAnsiTheme="minorEastAsia" w:cs="Times New Roman" w:hint="eastAsia"/>
          <w:bCs/>
          <w:sz w:val="24"/>
          <w:szCs w:val="24"/>
        </w:rPr>
        <w:t>的，则仅</w:t>
      </w:r>
      <w:proofErr w:type="gramStart"/>
      <w:r>
        <w:rPr>
          <w:rFonts w:asciiTheme="minorEastAsia" w:hAnsiTheme="minorEastAsia" w:cs="Times New Roman" w:hint="eastAsia"/>
          <w:bCs/>
          <w:sz w:val="24"/>
          <w:szCs w:val="24"/>
        </w:rPr>
        <w:t>指主袋份额</w:t>
      </w:r>
      <w:proofErr w:type="gramEnd"/>
      <w:r>
        <w:rPr>
          <w:rFonts w:asciiTheme="minorEastAsia" w:hAnsiTheme="minorEastAsia" w:cs="Times New Roman" w:hint="eastAsia"/>
          <w:bCs/>
          <w:sz w:val="24"/>
          <w:szCs w:val="24"/>
        </w:rPr>
        <w:t>持有人持有或代表的基金份额或表决权符合该等比例：</w:t>
      </w:r>
    </w:p>
    <w:p w14:paraId="03ABF0E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1、基金份额持有人行使提议权、召集权、提名权所需单独或合计代表相关基金份额10%以上（含10%）；</w:t>
      </w:r>
    </w:p>
    <w:p w14:paraId="7645068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2、现场开会的到会者在权益登记日代表的基金份额不少于本基金在权益登记</w:t>
      </w:r>
      <w:proofErr w:type="gramStart"/>
      <w:r>
        <w:rPr>
          <w:rFonts w:asciiTheme="minorEastAsia" w:hAnsiTheme="minorEastAsia" w:cs="Times New Roman" w:hint="eastAsia"/>
          <w:bCs/>
          <w:sz w:val="24"/>
          <w:szCs w:val="24"/>
        </w:rPr>
        <w:t>日相关</w:t>
      </w:r>
      <w:proofErr w:type="gramEnd"/>
      <w:r>
        <w:rPr>
          <w:rFonts w:asciiTheme="minorEastAsia" w:hAnsiTheme="minorEastAsia" w:cs="Times New Roman" w:hint="eastAsia"/>
          <w:bCs/>
          <w:sz w:val="24"/>
          <w:szCs w:val="24"/>
        </w:rPr>
        <w:t>基金份额的二分之一（含二分之一）；</w:t>
      </w:r>
    </w:p>
    <w:p w14:paraId="5117A575"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3、通讯开会的直接出具表决意见或授权他人代表出具表决意见的基金份额持有人所持有的基金份额不小于在权益登记</w:t>
      </w:r>
      <w:proofErr w:type="gramStart"/>
      <w:r>
        <w:rPr>
          <w:rFonts w:asciiTheme="minorEastAsia" w:hAnsiTheme="minorEastAsia" w:cs="Times New Roman" w:hint="eastAsia"/>
          <w:bCs/>
          <w:sz w:val="24"/>
          <w:szCs w:val="24"/>
        </w:rPr>
        <w:t>日相关</w:t>
      </w:r>
      <w:proofErr w:type="gramEnd"/>
      <w:r>
        <w:rPr>
          <w:rFonts w:asciiTheme="minorEastAsia" w:hAnsiTheme="minorEastAsia" w:cs="Times New Roman" w:hint="eastAsia"/>
          <w:bCs/>
          <w:sz w:val="24"/>
          <w:szCs w:val="24"/>
        </w:rPr>
        <w:t>基金份额的二分之一（含二分之一）；</w:t>
      </w:r>
    </w:p>
    <w:p w14:paraId="133359A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w:t>
      </w:r>
      <w:proofErr w:type="gramStart"/>
      <w:r>
        <w:rPr>
          <w:rFonts w:asciiTheme="minorEastAsia" w:hAnsiTheme="minorEastAsia" w:cs="Times New Roman" w:hint="eastAsia"/>
          <w:bCs/>
          <w:sz w:val="24"/>
          <w:szCs w:val="24"/>
        </w:rPr>
        <w:t>若参</w:t>
      </w:r>
      <w:proofErr w:type="gramEnd"/>
      <w:r>
        <w:rPr>
          <w:rFonts w:asciiTheme="minorEastAsia" w:hAnsiTheme="minorEastAsia" w:cs="Times New Roman" w:hint="eastAsia"/>
          <w:bCs/>
          <w:sz w:val="24"/>
          <w:szCs w:val="24"/>
        </w:rPr>
        <w:t>与基金份额持有人大会投票的基金份额持有人所持有的基金份额小于在权益登记</w:t>
      </w:r>
      <w:proofErr w:type="gramStart"/>
      <w:r>
        <w:rPr>
          <w:rFonts w:asciiTheme="minorEastAsia" w:hAnsiTheme="minorEastAsia" w:cs="Times New Roman" w:hint="eastAsia"/>
          <w:bCs/>
          <w:sz w:val="24"/>
          <w:szCs w:val="24"/>
        </w:rPr>
        <w:t>日相关</w:t>
      </w:r>
      <w:proofErr w:type="gramEnd"/>
      <w:r>
        <w:rPr>
          <w:rFonts w:asciiTheme="minorEastAsia" w:hAnsiTheme="minorEastAsia" w:cs="Times New Roman" w:hint="eastAsia"/>
          <w:bCs/>
          <w:sz w:val="24"/>
          <w:szCs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4029DC7"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5、现场开会由出席大会的基金份额持有人和代理人所持表决权的二分之一以上（含二分之一）选举产生一名基金份额持有人作为该次基金份额持有人大会的主持人；</w:t>
      </w:r>
    </w:p>
    <w:p w14:paraId="636BB3C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35DCED5A"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778A6C8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实施期间，基金份额持有人大会审议事项</w:t>
      </w:r>
      <w:proofErr w:type="gramStart"/>
      <w:r>
        <w:rPr>
          <w:rFonts w:asciiTheme="minorEastAsia" w:hAnsiTheme="minorEastAsia" w:cs="Times New Roman" w:hint="eastAsia"/>
          <w:bCs/>
          <w:sz w:val="24"/>
          <w:szCs w:val="24"/>
        </w:rPr>
        <w:t>涉及主袋账户</w:t>
      </w:r>
      <w:proofErr w:type="gramEnd"/>
      <w:r>
        <w:rPr>
          <w:rFonts w:asciiTheme="minorEastAsia" w:hAnsiTheme="minorEastAsia" w:cs="Times New Roman" w:hint="eastAsia"/>
          <w:bCs/>
          <w:sz w:val="24"/>
          <w:szCs w:val="24"/>
        </w:rPr>
        <w:t>和</w:t>
      </w:r>
      <w:proofErr w:type="gramStart"/>
      <w:r>
        <w:rPr>
          <w:rFonts w:asciiTheme="minorEastAsia" w:hAnsiTheme="minorEastAsia" w:cs="Times New Roman" w:hint="eastAsia"/>
          <w:bCs/>
          <w:sz w:val="24"/>
          <w:szCs w:val="24"/>
        </w:rPr>
        <w:t>侧袋</w:t>
      </w:r>
      <w:proofErr w:type="gramEnd"/>
      <w:r>
        <w:rPr>
          <w:rFonts w:asciiTheme="minorEastAsia" w:hAnsiTheme="minorEastAsia" w:cs="Times New Roman" w:hint="eastAsia"/>
          <w:bCs/>
          <w:sz w:val="24"/>
          <w:szCs w:val="24"/>
        </w:rPr>
        <w:t>账户的，应分别</w:t>
      </w:r>
      <w:proofErr w:type="gramStart"/>
      <w:r>
        <w:rPr>
          <w:rFonts w:asciiTheme="minorEastAsia" w:hAnsiTheme="minorEastAsia" w:cs="Times New Roman" w:hint="eastAsia"/>
          <w:bCs/>
          <w:sz w:val="24"/>
          <w:szCs w:val="24"/>
        </w:rPr>
        <w:t>由主袋账户</w:t>
      </w:r>
      <w:proofErr w:type="gramEnd"/>
      <w:r>
        <w:rPr>
          <w:rFonts w:asciiTheme="minorEastAsia" w:hAnsiTheme="minorEastAsia" w:cs="Times New Roman" w:hint="eastAsia"/>
          <w:bCs/>
          <w:sz w:val="24"/>
          <w:szCs w:val="24"/>
        </w:rPr>
        <w:t>、</w:t>
      </w:r>
      <w:proofErr w:type="gramStart"/>
      <w:r>
        <w:rPr>
          <w:rFonts w:asciiTheme="minorEastAsia" w:hAnsiTheme="minorEastAsia" w:cs="Times New Roman" w:hint="eastAsia"/>
          <w:bCs/>
          <w:sz w:val="24"/>
          <w:szCs w:val="24"/>
        </w:rPr>
        <w:t>侧袋账户</w:t>
      </w:r>
      <w:proofErr w:type="gramEnd"/>
      <w:r>
        <w:rPr>
          <w:rFonts w:asciiTheme="minorEastAsia" w:hAnsiTheme="minorEastAsia" w:cs="Times New Roman" w:hint="eastAsia"/>
          <w:bCs/>
          <w:sz w:val="24"/>
          <w:szCs w:val="24"/>
        </w:rPr>
        <w:t>的基金份额持有人进行表决，同</w:t>
      </w:r>
      <w:proofErr w:type="gramStart"/>
      <w:r>
        <w:rPr>
          <w:rFonts w:asciiTheme="minorEastAsia" w:hAnsiTheme="minorEastAsia" w:cs="Times New Roman" w:hint="eastAsia"/>
          <w:bCs/>
          <w:sz w:val="24"/>
          <w:szCs w:val="24"/>
        </w:rPr>
        <w:t>一主侧袋账户</w:t>
      </w:r>
      <w:proofErr w:type="gramEnd"/>
      <w:r>
        <w:rPr>
          <w:rFonts w:asciiTheme="minorEastAsia" w:hAnsiTheme="minorEastAsia" w:cs="Times New Roman" w:hint="eastAsia"/>
          <w:bCs/>
          <w:sz w:val="24"/>
          <w:szCs w:val="24"/>
        </w:rPr>
        <w:t>内的每份基金份额具有平等的表决权。表决事项未</w:t>
      </w:r>
      <w:proofErr w:type="gramStart"/>
      <w:r>
        <w:rPr>
          <w:rFonts w:asciiTheme="minorEastAsia" w:hAnsiTheme="minorEastAsia" w:cs="Times New Roman" w:hint="eastAsia"/>
          <w:bCs/>
          <w:sz w:val="24"/>
          <w:szCs w:val="24"/>
        </w:rPr>
        <w:t>涉及侧袋账户</w:t>
      </w:r>
      <w:proofErr w:type="gramEnd"/>
      <w:r>
        <w:rPr>
          <w:rFonts w:asciiTheme="minorEastAsia" w:hAnsiTheme="minorEastAsia" w:cs="Times New Roman" w:hint="eastAsia"/>
          <w:bCs/>
          <w:sz w:val="24"/>
          <w:szCs w:val="24"/>
        </w:rPr>
        <w:t>的，</w:t>
      </w:r>
      <w:proofErr w:type="gramStart"/>
      <w:r>
        <w:rPr>
          <w:rFonts w:asciiTheme="minorEastAsia" w:hAnsiTheme="minorEastAsia" w:cs="Times New Roman" w:hint="eastAsia"/>
          <w:bCs/>
          <w:sz w:val="24"/>
          <w:szCs w:val="24"/>
        </w:rPr>
        <w:t>侧袋账户</w:t>
      </w:r>
      <w:proofErr w:type="gramEnd"/>
      <w:r>
        <w:rPr>
          <w:rFonts w:asciiTheme="minorEastAsia" w:hAnsiTheme="minorEastAsia" w:cs="Times New Roman" w:hint="eastAsia"/>
          <w:bCs/>
          <w:sz w:val="24"/>
          <w:szCs w:val="24"/>
        </w:rPr>
        <w:t>份额无表决权。</w:t>
      </w:r>
    </w:p>
    <w:p w14:paraId="1472B19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实施期间，关于基金份额持有人大会的相关规定以本节特殊约定内容为准，本节没有规定的适用本部分的相关规定。</w:t>
      </w:r>
    </w:p>
    <w:p w14:paraId="0F14B8F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（十）本部</w:t>
      </w:r>
      <w:proofErr w:type="gramStart"/>
      <w:r>
        <w:rPr>
          <w:rFonts w:asciiTheme="minorEastAsia" w:hAnsiTheme="minorEastAsia" w:cs="Times New Roman" w:hint="eastAsia"/>
          <w:bCs/>
          <w:sz w:val="24"/>
          <w:szCs w:val="24"/>
        </w:rPr>
        <w:t>分关于</w:t>
      </w:r>
      <w:proofErr w:type="gramEnd"/>
      <w:r>
        <w:rPr>
          <w:rFonts w:asciiTheme="minorEastAsia" w:hAnsiTheme="minorEastAsia" w:cs="Times New Roman" w:hint="eastAsia"/>
          <w:bCs/>
          <w:sz w:val="24"/>
          <w:szCs w:val="24"/>
        </w:rPr>
        <w:t>基金份额持有人大会召开事由、召开条件、议事程序、表决条件等规定，凡是直接引用法律法规或监管规则的部分，如将来法律法规或监</w:t>
      </w:r>
      <w:r>
        <w:rPr>
          <w:rFonts w:asciiTheme="minorEastAsia" w:hAnsiTheme="minorEastAsia" w:cs="Times New Roman" w:hint="eastAsia"/>
          <w:bCs/>
          <w:sz w:val="24"/>
          <w:szCs w:val="24"/>
        </w:rPr>
        <w:lastRenderedPageBreak/>
        <w:t>管规则修改导致相关内容被取消或变更的，基金管理人提前公告后，可直接对本部分内容进行修改和调整，无需召开基金份额持有人大会审议。</w:t>
      </w:r>
    </w:p>
    <w:p w14:paraId="2908A8E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三、基金合同解除和终止的事由、程序以及基金财产清算方式</w:t>
      </w:r>
    </w:p>
    <w:p w14:paraId="4C44A99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0129FEF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1、变更基金合同涉及法律法规规定或本基金合同约定应经基金份额持有人大会决议通过的事项的，应召</w:t>
      </w:r>
      <w:proofErr w:type="gramStart"/>
      <w:r>
        <w:rPr>
          <w:rFonts w:asciiTheme="minorEastAsia" w:hAnsiTheme="minorEastAsia" w:cs="Times New Roman" w:hint="eastAsia"/>
          <w:bCs/>
          <w:sz w:val="24"/>
          <w:szCs w:val="24"/>
        </w:rPr>
        <w:t>开基金</w:t>
      </w:r>
      <w:proofErr w:type="gramEnd"/>
      <w:r>
        <w:rPr>
          <w:rFonts w:asciiTheme="minorEastAsia" w:hAnsiTheme="minorEastAsia" w:cs="Times New Roman" w:hint="eastAsia"/>
          <w:bCs/>
          <w:sz w:val="24"/>
          <w:szCs w:val="24"/>
        </w:rPr>
        <w:t>份额持有人大会决议通过。对于法律法规规定和基金合同约定可不经基金份额持有人大会决议通过的事项，由基金管理人和基金托管人同意后变更并公告，并报中国证监会备案。</w:t>
      </w:r>
    </w:p>
    <w:p w14:paraId="4327E52F"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2、关于《基金合同》变更的基金份额持有人大会决议自表决通过之日起生效，并</w:t>
      </w:r>
      <w:proofErr w:type="gramStart"/>
      <w:r>
        <w:rPr>
          <w:rFonts w:asciiTheme="minorEastAsia" w:hAnsiTheme="minorEastAsia" w:cs="Times New Roman" w:hint="eastAsia"/>
          <w:bCs/>
          <w:sz w:val="24"/>
          <w:szCs w:val="24"/>
        </w:rPr>
        <w:t>自决议</w:t>
      </w:r>
      <w:proofErr w:type="gramEnd"/>
      <w:r>
        <w:rPr>
          <w:rFonts w:asciiTheme="minorEastAsia" w:hAnsiTheme="minorEastAsia" w:cs="Times New Roman" w:hint="eastAsia"/>
          <w:bCs/>
          <w:sz w:val="24"/>
          <w:szCs w:val="24"/>
        </w:rPr>
        <w:t>生效后依照《信息披露办法》的有关规定在规定媒介公告。</w:t>
      </w:r>
    </w:p>
    <w:p w14:paraId="6C901B8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6F7D257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有下列情形之一的，经履行相关程序后，《基金合同》应当终止：</w:t>
      </w:r>
    </w:p>
    <w:p w14:paraId="2F1255C4"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1、基金份额持有人大会决定终止的；</w:t>
      </w:r>
    </w:p>
    <w:p w14:paraId="6D710177"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2、基金管理人、基金托管人职责终止，在6个月内没有新基金管理人、新基金托管人承接的；</w:t>
      </w:r>
    </w:p>
    <w:p w14:paraId="23521417"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3、《基金合同》约定的其他情形；</w:t>
      </w:r>
    </w:p>
    <w:p w14:paraId="1ED97286"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4、相关法律法规和中国证监会规定的其他情况。</w:t>
      </w:r>
    </w:p>
    <w:p w14:paraId="170B530D"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（三）基金财产的清算</w:t>
      </w:r>
    </w:p>
    <w:p w14:paraId="287DE16E"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1、基金财产清算小组：自出现《基金合同》终止事由之日起30个工作日内成立清算小组，基金管理人或临时基金管理人组织基金财产清算小组并在中国证监会的监督下进行基金清算。</w:t>
      </w:r>
    </w:p>
    <w:p w14:paraId="003E0C4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14:paraId="6769FF65"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6877AC58"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4、基金财产清算程序：</w:t>
      </w:r>
    </w:p>
    <w:p w14:paraId="521B8E5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（1）《基金合同》终止情形出现时，由基金财产清算小组统一接管基金；</w:t>
      </w:r>
    </w:p>
    <w:p w14:paraId="0630D92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（2）对基金财产和债权债务进行清理和确认；</w:t>
      </w:r>
    </w:p>
    <w:p w14:paraId="1B0696F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（3）对基金财产进行估值和变现；</w:t>
      </w:r>
    </w:p>
    <w:p w14:paraId="66D947C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（4）制作清算报告；</w:t>
      </w:r>
    </w:p>
    <w:p w14:paraId="38A2BDC3"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（5）聘请会计师事务所对清算报告进行外部审计，聘请律师事务所对清算报告出具法律意见书；</w:t>
      </w:r>
    </w:p>
    <w:p w14:paraId="5656A4F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（6）将清算报告报中国证监会备案并公告；</w:t>
      </w:r>
    </w:p>
    <w:p w14:paraId="5503DB1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（7）对基金剩余财产进行分配。</w:t>
      </w:r>
    </w:p>
    <w:p w14:paraId="0FF809A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5、基金财产清算的期限为6个月，但因本基金所持证券的流动性受到限制而不能及时变现的，清算期限可相应顺延。</w:t>
      </w:r>
    </w:p>
    <w:p w14:paraId="3995E890"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（四）清算费用</w:t>
      </w:r>
    </w:p>
    <w:p w14:paraId="4707A0F2"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清算费用是指基金财产清算小组在进行基金清算过程中发生的所有合理费用，清算费用由基金财产清算小组优先从基金财产中支付。</w:t>
      </w:r>
    </w:p>
    <w:p w14:paraId="0AB64C7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（五）基金财产清算剩余资产的分配</w:t>
      </w:r>
    </w:p>
    <w:p w14:paraId="0E9F4D71"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106A98FB"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（六）基金财产清算的公告</w:t>
      </w:r>
    </w:p>
    <w:p w14:paraId="647BA01C"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清算过程中的有关重大事项须及时公告；基金财产清算报告</w:t>
      </w:r>
      <w:proofErr w:type="gramStart"/>
      <w:r>
        <w:rPr>
          <w:rFonts w:asciiTheme="minorEastAsia" w:hAnsiTheme="minorEastAsia" w:cs="Times New Roman" w:hint="eastAsia"/>
          <w:bCs/>
          <w:sz w:val="24"/>
          <w:szCs w:val="24"/>
        </w:rPr>
        <w:t>经符合</w:t>
      </w:r>
      <w:proofErr w:type="gramEnd"/>
      <w:r>
        <w:rPr>
          <w:rFonts w:asciiTheme="minorEastAsia" w:hAnsiTheme="minorEastAsia" w:cs="Times New Roman" w:hint="eastAsia"/>
          <w:bCs/>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75BA4496"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（七）基金财产清算账册及文件的保存</w:t>
      </w:r>
    </w:p>
    <w:p w14:paraId="05E61659" w14:textId="77777777" w:rsidR="00B67C49"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基金财产清算账册及有关文件由基金托管人保存，保存期限不低于法律法规规定的最低期限。</w:t>
      </w:r>
    </w:p>
    <w:p w14:paraId="66F3FE84" w14:textId="77777777" w:rsidR="00B67C49" w:rsidRDefault="00000000">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3977F1E8" w14:textId="77777777" w:rsidR="00B67C49" w:rsidRDefault="00000000">
      <w:pPr>
        <w:pStyle w:val="1"/>
        <w:jc w:val="center"/>
        <w:rPr>
          <w:sz w:val="30"/>
          <w:szCs w:val="30"/>
        </w:rPr>
      </w:pPr>
      <w:bookmarkStart w:id="401" w:name="_Toc416264554"/>
      <w:bookmarkStart w:id="402" w:name="_Toc119568476"/>
      <w:bookmarkStart w:id="403" w:name="_Toc263092327"/>
      <w:bookmarkStart w:id="404" w:name="_Toc214873614"/>
      <w:bookmarkStart w:id="405" w:name="_Toc68266307"/>
      <w:bookmarkStart w:id="406" w:name="_Toc13398"/>
      <w:bookmarkStart w:id="407" w:name="_Toc27058"/>
      <w:bookmarkStart w:id="408" w:name="_Toc9708"/>
      <w:bookmarkStart w:id="409" w:name="_Toc12191"/>
      <w:bookmarkStart w:id="410" w:name="_Toc141703901"/>
      <w:bookmarkStart w:id="411" w:name="_Toc123102467"/>
      <w:bookmarkStart w:id="412" w:name="_Toc139991750"/>
      <w:bookmarkStart w:id="413" w:name="_Toc7367"/>
      <w:bookmarkStart w:id="414" w:name="_Toc48649720"/>
      <w:bookmarkStart w:id="415" w:name="_Toc98560365"/>
      <w:bookmarkStart w:id="416" w:name="_Toc123112248"/>
      <w:bookmarkStart w:id="417" w:name="_Toc123051466"/>
      <w:bookmarkStart w:id="418" w:name="_Toc23166"/>
      <w:bookmarkStart w:id="419" w:name="_Toc352229766"/>
      <w:bookmarkStart w:id="420" w:name="_Toc79392641"/>
      <w:bookmarkStart w:id="421" w:name="_Toc21240"/>
      <w:bookmarkStart w:id="422" w:name="_Toc8710"/>
      <w:bookmarkStart w:id="423" w:name="_Toc28549"/>
      <w:bookmarkStart w:id="424" w:name="_Toc23022"/>
      <w:bookmarkStart w:id="425" w:name="_Toc30645"/>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Fonts w:hint="eastAsia"/>
          <w:sz w:val="30"/>
          <w:szCs w:val="30"/>
        </w:rPr>
        <w:lastRenderedPageBreak/>
        <w:t>第二十部分</w:t>
      </w:r>
      <w:r>
        <w:rPr>
          <w:sz w:val="30"/>
          <w:szCs w:val="30"/>
        </w:rPr>
        <w:t xml:space="preserve">  </w:t>
      </w:r>
      <w:r>
        <w:rPr>
          <w:rFonts w:hint="eastAsia"/>
          <w:sz w:val="30"/>
          <w:szCs w:val="30"/>
        </w:rPr>
        <w:t>基金托管协议的内容摘要</w:t>
      </w:r>
      <w:bookmarkEnd w:id="401"/>
      <w:bookmarkEnd w:id="402"/>
      <w:bookmarkEnd w:id="403"/>
      <w:bookmarkEnd w:id="404"/>
      <w:bookmarkEnd w:id="405"/>
    </w:p>
    <w:p w14:paraId="498836F5" w14:textId="77777777" w:rsidR="00B67C49"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托管协议当事人</w:t>
      </w:r>
    </w:p>
    <w:p w14:paraId="09B14181" w14:textId="77777777" w:rsidR="00B67C49"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（一）基金管理人（或简称“管理人”）</w:t>
      </w:r>
    </w:p>
    <w:p w14:paraId="702AA5F0" w14:textId="77777777" w:rsidR="00B67C49"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2F2CCB3E" w14:textId="77777777" w:rsidR="00B67C49"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w:t>
      </w:r>
      <w:r>
        <w:rPr>
          <w:rFonts w:asciiTheme="minorEastAsia" w:hAnsiTheme="minorEastAsia" w:hint="eastAsia"/>
          <w:kern w:val="0"/>
          <w:sz w:val="24"/>
        </w:rPr>
        <w:t>广东省广州市南沙区横</w:t>
      </w:r>
      <w:proofErr w:type="gramStart"/>
      <w:r>
        <w:rPr>
          <w:rFonts w:asciiTheme="minorEastAsia" w:hAnsiTheme="minorEastAsia" w:hint="eastAsia"/>
          <w:kern w:val="0"/>
          <w:sz w:val="24"/>
        </w:rPr>
        <w:t>沥</w:t>
      </w:r>
      <w:proofErr w:type="gramEnd"/>
      <w:r>
        <w:rPr>
          <w:rFonts w:asciiTheme="minorEastAsia" w:hAnsiTheme="minorEastAsia" w:hint="eastAsia"/>
          <w:kern w:val="0"/>
          <w:sz w:val="24"/>
        </w:rPr>
        <w:t>镇汇通二街2号3110房</w:t>
      </w:r>
    </w:p>
    <w:p w14:paraId="647DE875" w14:textId="77777777" w:rsidR="00B67C49" w:rsidRDefault="00000000">
      <w:pPr>
        <w:adjustRightInd w:val="0"/>
        <w:snapToGrid w:val="0"/>
        <w:spacing w:line="360" w:lineRule="auto"/>
        <w:ind w:left="840" w:hanging="420"/>
        <w:rPr>
          <w:rFonts w:asciiTheme="minorEastAsia" w:hAnsiTheme="minorEastAsia" w:cs="Times New Roman"/>
          <w:kern w:val="0"/>
          <w:sz w:val="24"/>
          <w:szCs w:val="24"/>
        </w:rPr>
      </w:pPr>
      <w:r>
        <w:rPr>
          <w:rFonts w:asciiTheme="minorEastAsia" w:hAnsiTheme="minorEastAsia" w:cs="Arial" w:hint="eastAsia"/>
          <w:kern w:val="0"/>
          <w:sz w:val="24"/>
          <w:szCs w:val="24"/>
        </w:rPr>
        <w:t>办公地址：广东省</w:t>
      </w:r>
      <w:r>
        <w:rPr>
          <w:rFonts w:asciiTheme="minorEastAsia" w:hAnsiTheme="minorEastAsia" w:cs="Times New Roman" w:hint="eastAsia"/>
          <w:kern w:val="0"/>
          <w:sz w:val="24"/>
          <w:szCs w:val="24"/>
        </w:rPr>
        <w:t>深圳市福田区八卦四路52号安吉尔大厦24层</w:t>
      </w:r>
    </w:p>
    <w:p w14:paraId="4D4BAFAA" w14:textId="77777777" w:rsidR="00B67C49"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法定代表人：王亦伟</w:t>
      </w:r>
    </w:p>
    <w:p w14:paraId="6B9EDA75" w14:textId="77777777" w:rsidR="00B67C49"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成立时间：2016年1月25日</w:t>
      </w:r>
      <w:r>
        <w:rPr>
          <w:rFonts w:asciiTheme="minorEastAsia" w:hAnsiTheme="minorEastAsia" w:cs="Arial" w:hint="eastAsia"/>
          <w:kern w:val="0"/>
          <w:sz w:val="24"/>
          <w:szCs w:val="24"/>
        </w:rPr>
        <w:tab/>
      </w:r>
    </w:p>
    <w:p w14:paraId="482FA234" w14:textId="77777777" w:rsidR="00B67C49"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批准设立机关：中国证监会</w:t>
      </w:r>
    </w:p>
    <w:p w14:paraId="666E8DB7" w14:textId="77777777" w:rsidR="00B67C49"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批准设立文号：证监许可【2015】3118号</w:t>
      </w:r>
    </w:p>
    <w:p w14:paraId="3A3F83BE" w14:textId="77777777" w:rsidR="00B67C49"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经营范围：基金销售;基金募集;特定客户资产管理业务以及中国证监会许可的其他业务;资产管理（不含许可审批项目）</w:t>
      </w:r>
    </w:p>
    <w:p w14:paraId="31ADD6D5" w14:textId="77777777" w:rsidR="00B67C49"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751775CE" w14:textId="77777777" w:rsidR="00B67C49"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200F442B" w14:textId="77777777" w:rsidR="00B67C49"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存续期间：永续经营</w:t>
      </w:r>
    </w:p>
    <w:p w14:paraId="04B6E17E" w14:textId="77777777" w:rsidR="00B67C49"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76F55744" w14:textId="77777777" w:rsidR="00B67C49"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名称：国泰君安证券股份有限公司</w:t>
      </w:r>
    </w:p>
    <w:p w14:paraId="3D21CA42" w14:textId="77777777" w:rsidR="00B67C49"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住所：中国（上海）自由贸易试验区商城路618号</w:t>
      </w:r>
    </w:p>
    <w:p w14:paraId="545917DF" w14:textId="77777777" w:rsidR="00B67C49"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办公地址：上海市静安区新闸路669号19层</w:t>
      </w:r>
    </w:p>
    <w:p w14:paraId="78F5B44E" w14:textId="77777777" w:rsidR="00B67C49"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法定代表人：贺青</w:t>
      </w:r>
    </w:p>
    <w:p w14:paraId="0512FC91" w14:textId="77777777" w:rsidR="00B67C49"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成立时间：1999年8月18日</w:t>
      </w:r>
    </w:p>
    <w:p w14:paraId="446FED44" w14:textId="77777777" w:rsidR="00B67C49"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批准设立机关：中国证监会</w:t>
      </w:r>
    </w:p>
    <w:p w14:paraId="14EE1216" w14:textId="77777777" w:rsidR="00B67C49"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批准设立文号：证监机构字[1999]77号</w:t>
      </w:r>
    </w:p>
    <w:p w14:paraId="0C389B4E" w14:textId="77777777" w:rsidR="00B67C49"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组织形式：股份有限公司</w:t>
      </w:r>
    </w:p>
    <w:p w14:paraId="72AAB37C" w14:textId="77777777" w:rsidR="00B67C49"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注册资本：890794.7万元人民币</w:t>
      </w:r>
    </w:p>
    <w:p w14:paraId="19B48613" w14:textId="77777777" w:rsidR="00B67C49"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存续期间：持续经营</w:t>
      </w:r>
    </w:p>
    <w:p w14:paraId="3D883B47" w14:textId="77777777" w:rsidR="00B67C49"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基金托管业务批准文号：证监许可[2014]511号</w:t>
      </w:r>
    </w:p>
    <w:p w14:paraId="2E56EB5C" w14:textId="77777777" w:rsidR="00B67C49"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 xml:space="preserve">联系人：【丛艳】 </w:t>
      </w:r>
    </w:p>
    <w:p w14:paraId="578FF6B9" w14:textId="77777777" w:rsidR="00B67C49"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联系电话：021-38676666</w:t>
      </w:r>
    </w:p>
    <w:p w14:paraId="48F8E9ED" w14:textId="77777777" w:rsidR="00B67C49" w:rsidRDefault="00B67C49">
      <w:pPr>
        <w:adjustRightInd w:val="0"/>
        <w:snapToGrid w:val="0"/>
        <w:spacing w:line="360" w:lineRule="auto"/>
        <w:ind w:firstLineChars="200" w:firstLine="480"/>
        <w:rPr>
          <w:rFonts w:ascii="宋体" w:hAnsi="宋体"/>
          <w:color w:val="000000"/>
          <w:sz w:val="24"/>
        </w:rPr>
      </w:pPr>
    </w:p>
    <w:p w14:paraId="10331752" w14:textId="77777777" w:rsidR="00B67C49"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基金托管人对基金管理人的业务监督和核查</w:t>
      </w:r>
    </w:p>
    <w:p w14:paraId="13125FB0"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（一）基金托管人对基金管理人的投资行为行使监督权</w:t>
      </w:r>
    </w:p>
    <w:p w14:paraId="42ED8D92"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1、基金托管人根据有关法律法规的规定及《基金合同》和本协议的约定，对基金的投资范围、投资对象进行监督。</w:t>
      </w:r>
    </w:p>
    <w:p w14:paraId="2E5D0171"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范围为具有良好流动性的金融工具，包括国内依法发行上市的股票（含主板、创业板及其他经中国证监会允许投资的股票）、存托凭证、债券（包括国债、央行票据、金融债券、企业债券、公司债券、中期票据、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、超短期融资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410D1901"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本基金将根据法律法规的规定参与融资业务。</w:t>
      </w:r>
    </w:p>
    <w:p w14:paraId="2E8503BF"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如果法律法规或监管机构以后允许基金投资其他品种，基金管理人在履行适当程序后，可以将其纳入投资范围。</w:t>
      </w:r>
    </w:p>
    <w:p w14:paraId="3FED7BB2"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组合比例为：股票资产占基金资产的比例为60%-95%。每个交易日日终在扣除股指期货、国债期货、股票期权合约需缴纳的交易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14AF362E"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20BE4660"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2、基金托管人根据有关法律法规的规定及《基金合同》和本协议的约定，对基金投资、融资比例进行监督。</w:t>
      </w:r>
    </w:p>
    <w:p w14:paraId="3E9E852D"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（1）根据法律法规的规定及《基金合同》的约定，本基金投资组合遵循以下投资限制：  </w:t>
      </w:r>
    </w:p>
    <w:p w14:paraId="6267E0F1"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1）股票资产占基金资产的比例为60%-95%；</w:t>
      </w:r>
    </w:p>
    <w:p w14:paraId="462D7656"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2）每个交易日日终在扣除国债期货、股指期货、股票期权合约需缴纳的交</w:t>
      </w:r>
      <w:r>
        <w:rPr>
          <w:rFonts w:asciiTheme="minorEastAsia" w:hAnsiTheme="minorEastAsia" w:cs="Arial" w:hint="eastAsia"/>
          <w:color w:val="000000"/>
          <w:sz w:val="24"/>
          <w:szCs w:val="24"/>
        </w:rPr>
        <w:lastRenderedPageBreak/>
        <w:t>易保证金后，本基金保持不低于基金资产净值5%的现金或者到期日在一年以内的政府债券，其中，现金不包括结算备付金、存出保证金、应收申购款等；</w:t>
      </w:r>
    </w:p>
    <w:p w14:paraId="59219396"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3）本基金持有一家公司发行的证券，其市值不超过基金资产净值的10％；</w:t>
      </w:r>
    </w:p>
    <w:p w14:paraId="7827D33B"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4）本基金管理人管理的全部基金持有一家公司发行的证券，不超过该证券的10％；</w:t>
      </w:r>
    </w:p>
    <w:p w14:paraId="2ADF744C"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5）本基金投资于同一原始权益人的各类资产支持证券的比例，不得超过基金资产净值的10%；</w:t>
      </w:r>
    </w:p>
    <w:p w14:paraId="597D56CF"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6）本基金持有的全部资产支持证券，其市值不得超过基金资产净值的20%；</w:t>
      </w:r>
    </w:p>
    <w:p w14:paraId="38781CD0"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7）本基金持有的同一(指同一信用级别)资产支持证券的比例，不得超过该资产支持证券规模的10%；</w:t>
      </w:r>
    </w:p>
    <w:p w14:paraId="72F63AB1"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8）本基金管理人管理的全部证券投资基金投资于同一原始权益人的各类资产支持证券，不得超过其各类资产支持证券合计规模的10%；</w:t>
      </w:r>
    </w:p>
    <w:p w14:paraId="6B367E0D"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248EAC57"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10）基金财产参与股票发行申购，本基金所申报的金额不超过本基金的总资产，本基金所申报的股票数量不超过拟发行股票公司本次发行股票的总量；</w:t>
      </w:r>
    </w:p>
    <w:p w14:paraId="10764393"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11）本基金进入全国银行间同业市场进行债券回购的资金余额不得超过基金资产净值的40%；本基金在全国银行间同业市场的债券回购最长期限为1年，债券回购到期后不得展期；</w:t>
      </w:r>
    </w:p>
    <w:p w14:paraId="240B1A32"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12）本基金参与股指期货、国债期货交易依据下列标准建构组合：</w:t>
      </w:r>
    </w:p>
    <w:p w14:paraId="58F8C80E"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①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5B1F9D65"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②在任何交易日日终，持有的买入股指期货合约价值，不得超过基金资产净值的10%；在任何交易日日终，持有的买入国债期货合约价值，不得超过基金资产净值的15%；</w:t>
      </w:r>
    </w:p>
    <w:p w14:paraId="66E62380"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③在任何交易日日终，持有的卖出股指期货合约价值不得超过基金持有的股票总市值的20%；在任何交易日日终，持有的卖出国债期货合约价值不得超过基</w:t>
      </w:r>
      <w:r>
        <w:rPr>
          <w:rFonts w:asciiTheme="minorEastAsia" w:hAnsiTheme="minorEastAsia" w:cs="Arial" w:hint="eastAsia"/>
          <w:color w:val="000000"/>
          <w:sz w:val="24"/>
          <w:szCs w:val="24"/>
        </w:rPr>
        <w:lastRenderedPageBreak/>
        <w:t>金持有的债券总市值的30%；</w:t>
      </w:r>
    </w:p>
    <w:p w14:paraId="25ECD05A"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④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0901C0ED"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⑤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2352E85D"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3EA90E54"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14）基金资产总值不得超过基金资产净值的140%；</w:t>
      </w:r>
    </w:p>
    <w:p w14:paraId="76977E7C"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2CDC5050"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16）本基金主动投资于流动性受限资产的市值合计不得超过基金资产净值的15%；</w:t>
      </w:r>
    </w:p>
    <w:p w14:paraId="1B01CAE2"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因证券市场波动、上市公司股票停牌、基金规模变动等基金管理人之外的因素致使基金不符合前款所规定比例限制的，基金管理人不得主动新增流动性受限资产的投资；</w:t>
      </w:r>
    </w:p>
    <w:p w14:paraId="2ED0EDF6"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17）本基金与私募类</w:t>
      </w:r>
      <w:proofErr w:type="gramStart"/>
      <w:r>
        <w:rPr>
          <w:rFonts w:asciiTheme="minorEastAsia" w:hAnsiTheme="minorEastAsia" w:cs="Arial" w:hint="eastAsia"/>
          <w:color w:val="000000"/>
          <w:sz w:val="24"/>
          <w:szCs w:val="24"/>
        </w:rPr>
        <w:t>证券资管产品</w:t>
      </w:r>
      <w:proofErr w:type="gramEnd"/>
      <w:r>
        <w:rPr>
          <w:rFonts w:asciiTheme="minorEastAsia" w:hAnsiTheme="minorEastAsia" w:cs="Arial" w:hint="eastAsia"/>
          <w:color w:val="000000"/>
          <w:sz w:val="24"/>
          <w:szCs w:val="24"/>
        </w:rPr>
        <w:t>及中国证监会认定的其他主体为交易对手开展逆回购交易的，可接受质押品的资质要求应当与基金合同约定的投资范围保持一致；</w:t>
      </w:r>
    </w:p>
    <w:p w14:paraId="2045B024"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18）本基金参与股票期权交易的，需遵守下列投资比例限制：</w:t>
      </w:r>
    </w:p>
    <w:p w14:paraId="2C830A47"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①本基金因未平仓的期权合约支付和收取的权利金总额不得超过基金资产净值的10%；</w:t>
      </w:r>
    </w:p>
    <w:p w14:paraId="3A2E1E49"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②本基金开仓卖出认购期权的，应持有足额标的证券；开仓卖出认沽期权的，应持有合约行权所需的全额现金或交易所规则认可的可冲抵期权保证金的现金等价物；</w:t>
      </w:r>
    </w:p>
    <w:p w14:paraId="164C9DDB"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③本基金未平仓的期权合约面值不得超过基金资产净值的20%。其中，合约</w:t>
      </w:r>
      <w:r>
        <w:rPr>
          <w:rFonts w:asciiTheme="minorEastAsia" w:hAnsiTheme="minorEastAsia" w:cs="Arial" w:hint="eastAsia"/>
          <w:color w:val="000000"/>
          <w:sz w:val="24"/>
          <w:szCs w:val="24"/>
        </w:rPr>
        <w:lastRenderedPageBreak/>
        <w:t>面值按照行权价乘以合约乘数计算；</w:t>
      </w:r>
    </w:p>
    <w:p w14:paraId="14508B0A"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19</w:t>
      </w:r>
      <w:r>
        <w:rPr>
          <w:rFonts w:asciiTheme="minorEastAsia" w:hAnsiTheme="minorEastAsia" w:cs="Arial" w:hint="eastAsia"/>
          <w:color w:val="000000"/>
          <w:sz w:val="24"/>
          <w:szCs w:val="24"/>
        </w:rPr>
        <w:t>）本基金投资存托凭证的比例限制依照境内上市交易的股票执行，与境内上市交易的股票合并计算；</w:t>
      </w:r>
    </w:p>
    <w:p w14:paraId="70F2C61D"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20</w:t>
      </w:r>
      <w:r>
        <w:rPr>
          <w:rFonts w:asciiTheme="minorEastAsia" w:hAnsiTheme="minorEastAsia" w:cs="Arial" w:hint="eastAsia"/>
          <w:color w:val="000000"/>
          <w:sz w:val="24"/>
          <w:szCs w:val="24"/>
        </w:rPr>
        <w:t>）本基金参与融资的，每个交易日日终，本基金持有的融资买入股票与其他有价证券市值之和，不得超过基金资产净值的95%；</w:t>
      </w:r>
    </w:p>
    <w:p w14:paraId="2CA72B51"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21</w:t>
      </w:r>
      <w:r>
        <w:rPr>
          <w:rFonts w:asciiTheme="minorEastAsia" w:hAnsiTheme="minorEastAsia" w:cs="Arial" w:hint="eastAsia"/>
          <w:color w:val="000000"/>
          <w:sz w:val="24"/>
          <w:szCs w:val="24"/>
        </w:rPr>
        <w:t>）法律法规及中国证监会规定的和《基金合同》约定的其他投资限制。</w:t>
      </w:r>
    </w:p>
    <w:p w14:paraId="243581BE"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除上述第2）、9）、13）、16）、17）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33BF1C28"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45A804F8"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法律法规或监管部门取消或变更上述限制，如适用于本基金，基金管理人在履行适当程序后，则本基金投资不再受相关限制或以变更后的规定为准。</w:t>
      </w:r>
    </w:p>
    <w:p w14:paraId="59D38126"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基金托管人依照上述规定对本基金的投资组合限制及调整期限进行监督。</w:t>
      </w:r>
    </w:p>
    <w:p w14:paraId="220E6D97"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3、基金托管人根据有关法律、法规的规定及基金合同和本协议的约定，对基金投资禁止行为进行监督。基金财产不得用于下列投资或者活动。</w:t>
      </w:r>
    </w:p>
    <w:p w14:paraId="1E8F0B15"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（1）承销证券；</w:t>
      </w:r>
    </w:p>
    <w:p w14:paraId="70A8D435"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（2）违反规定向他人贷款或者提供担保；</w:t>
      </w:r>
    </w:p>
    <w:p w14:paraId="17E1DC35"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（3）从事承担无限责任的投资；</w:t>
      </w:r>
    </w:p>
    <w:p w14:paraId="4EC9A6E8"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（4）买卖其他基金份额，但是中国证监会另有规定的除外；</w:t>
      </w:r>
    </w:p>
    <w:p w14:paraId="29150154"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（5）向基金管理人、基金托管人出资；</w:t>
      </w:r>
    </w:p>
    <w:p w14:paraId="25E0AE56"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（6）从事内幕交易、操纵证券交易价格及其他不正当的证券交易活动；</w:t>
      </w:r>
    </w:p>
    <w:p w14:paraId="378CE346"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（7）法律、行政法规和中国证监会规定禁止的其他活动。</w:t>
      </w:r>
    </w:p>
    <w:p w14:paraId="32F7B997"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w:t>
      </w:r>
      <w:r>
        <w:rPr>
          <w:rFonts w:asciiTheme="minorEastAsia" w:hAnsiTheme="minorEastAsia" w:cs="Arial" w:hint="eastAsia"/>
          <w:color w:val="000000"/>
          <w:sz w:val="24"/>
          <w:szCs w:val="24"/>
        </w:rPr>
        <w:lastRenderedPageBreak/>
        <w:t>法规予以披露。重大关联交易应提交基金管理人董事会审议，并经过三分之二以上的独立董事通过。基金管理人董事会应至少每半年对关联交易事项进行审查。</w:t>
      </w:r>
    </w:p>
    <w:p w14:paraId="6497A26E"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法律、行政法规或监管部门取消或调整上述禁止行为，如适用于本基金，基金管理人在履行适当程序后，则本基金投资按照取消或调整后的规定执行。</w:t>
      </w:r>
    </w:p>
    <w:p w14:paraId="283F483A"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4、基金托管人根据有关法律、法规规定及基金合同和本协议约定，对基金管理人参与银行间债券市场进行监督。</w:t>
      </w:r>
    </w:p>
    <w:p w14:paraId="1EC2B2FD"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基金托管人依据有关法律、法规规定和《基金合同》约定对基金管理人参与银行间市场交易时面临的交易对手资信风险进行监督。</w:t>
      </w:r>
    </w:p>
    <w:p w14:paraId="2E594630"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市场交易对手的名单，并约定各交易对手所适用的交易结算方式。基金托管人在收到名单后【2】</w:t>
      </w:r>
      <w:proofErr w:type="gramStart"/>
      <w:r>
        <w:rPr>
          <w:rFonts w:asciiTheme="minorEastAsia" w:hAnsiTheme="minorEastAsia" w:cs="Arial" w:hint="eastAsia"/>
          <w:color w:val="000000"/>
          <w:sz w:val="24"/>
          <w:szCs w:val="24"/>
        </w:rPr>
        <w:t>个</w:t>
      </w:r>
      <w:proofErr w:type="gramEnd"/>
      <w:r>
        <w:rPr>
          <w:rFonts w:asciiTheme="minorEastAsia" w:hAnsiTheme="minorEastAsia" w:cs="Arial" w:hint="eastAsia"/>
          <w:color w:val="000000"/>
          <w:sz w:val="24"/>
          <w:szCs w:val="24"/>
        </w:rPr>
        <w:t>工作日内电话或回函确认收到该名单。基金管理人应严格按照交易对手名单的范围在银行间债券市场选择交易对手。基金托管人监督基金管理人是否按事前提供的银行间债券市场交易对手名单和交易结算方式进行交易。</w:t>
      </w:r>
    </w:p>
    <w:p w14:paraId="31E674B5"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基金管理人应定期【（每半年）】和不定期对银行间市场现券及回购交易对手的名单进行更新。基金托管人在收到名单后【2】</w:t>
      </w:r>
      <w:proofErr w:type="gramStart"/>
      <w:r>
        <w:rPr>
          <w:rFonts w:asciiTheme="minorEastAsia" w:hAnsiTheme="minorEastAsia" w:cs="Arial" w:hint="eastAsia"/>
          <w:color w:val="000000"/>
          <w:sz w:val="24"/>
          <w:szCs w:val="24"/>
        </w:rPr>
        <w:t>个</w:t>
      </w:r>
      <w:proofErr w:type="gramEnd"/>
      <w:r>
        <w:rPr>
          <w:rFonts w:asciiTheme="minorEastAsia" w:hAnsiTheme="minorEastAsia" w:cs="Arial" w:hint="eastAsia"/>
          <w:color w:val="000000"/>
          <w:sz w:val="24"/>
          <w:szCs w:val="24"/>
        </w:rPr>
        <w:t>工作日内电话或书面回函确认，新名单自基金托管人确认当日生效。新名单生效前已与本次剔除的交易对手所进行但尚未结算的交易，仍应按照协议进行结算。</w:t>
      </w:r>
    </w:p>
    <w:p w14:paraId="7118125A"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参与银行间市场交易时，应按银行间债券市场的交易规则进行交易，并有责任控制交易对手的资信风险，由于交易对手资信风险引起的损失,基金管理人应当负责向相关责任人追偿。基金托管人不承担由此造成的任何法律责任及损失。</w:t>
      </w:r>
    </w:p>
    <w:p w14:paraId="4384F54A"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如基金托管人事后发现基金管理人没有按照事先约定的交易对手或交易方式进行交易时，基金托管人应及时提醒基金管理人，但基金托管人不承担由此造成的任何损失和责任。</w:t>
      </w:r>
    </w:p>
    <w:p w14:paraId="5EC2F59E"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5、基金托管人根据有关法律、法规的规定及基金合同和本协议的约定，对基金管理人选择存款银行进行监督。</w:t>
      </w:r>
    </w:p>
    <w:p w14:paraId="78559127"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投资银行定期存款的，基金管理人应根据法律、法规的规定及基金合同的约定，确定符合条件的所有存款银行的名单，并及时提供给基金托管人。基金管理人应严格按照名单范围选择投资对象，基金托管人监督基金管理人是否按事</w:t>
      </w:r>
      <w:r>
        <w:rPr>
          <w:rFonts w:asciiTheme="minorEastAsia" w:hAnsiTheme="minorEastAsia" w:cs="Arial" w:hint="eastAsia"/>
          <w:color w:val="000000"/>
          <w:sz w:val="24"/>
          <w:szCs w:val="24"/>
        </w:rPr>
        <w:lastRenderedPageBreak/>
        <w:t>前提供的对手名单进行投资。基金管理人超越名单范围进行投资的，基金托管人应及时提醒基金管理人，但基金托管人不承担由此造成的任何损失和责任。</w:t>
      </w:r>
    </w:p>
    <w:p w14:paraId="05AE6E72"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本基金投资银行存款应符合如下规定：</w:t>
      </w:r>
    </w:p>
    <w:p w14:paraId="0FCFC6D6"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（1）基金管理人、基金托管人应当与存款银行建立定期对账机制，确保基金银行存款业务账目及核算的真实、准确。</w:t>
      </w:r>
    </w:p>
    <w:p w14:paraId="310BB4CB"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29239A4D"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（3）基金托管人应加强对基金银行存款业务的监督与核查，严格审查、复核相关协议、账户资料、投资指令、存款证实书等有关文件，切实履行托管职责。</w:t>
      </w:r>
    </w:p>
    <w:p w14:paraId="55E34B8C"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w:t>
      </w:r>
    </w:p>
    <w:p w14:paraId="0BD60FF5"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基金管理人对定期存款提前支取的损失由其承担。</w:t>
      </w:r>
    </w:p>
    <w:p w14:paraId="2E2ED22B"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6、基金托管人根据有关法律法规的规定及《基金合同》的约定，对基金管理人投资流通受限证券进行监督。</w:t>
      </w:r>
    </w:p>
    <w:p w14:paraId="55417CE2"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4C60CBF5"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等流通受限证券。本基金不投资有</w:t>
      </w:r>
      <w:proofErr w:type="gramStart"/>
      <w:r>
        <w:rPr>
          <w:rFonts w:asciiTheme="minorEastAsia" w:hAnsiTheme="minorEastAsia" w:cs="Arial" w:hint="eastAsia"/>
          <w:color w:val="000000"/>
          <w:sz w:val="24"/>
          <w:szCs w:val="24"/>
        </w:rPr>
        <w:t>锁定期但锁定</w:t>
      </w:r>
      <w:proofErr w:type="gramEnd"/>
      <w:r>
        <w:rPr>
          <w:rFonts w:asciiTheme="minorEastAsia" w:hAnsiTheme="minorEastAsia" w:cs="Arial" w:hint="eastAsia"/>
          <w:color w:val="000000"/>
          <w:sz w:val="24"/>
          <w:szCs w:val="24"/>
        </w:rPr>
        <w:t>期不明确的证券。</w:t>
      </w:r>
    </w:p>
    <w:p w14:paraId="387D5863"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本基金投资的流通受限证券限于可由中国证券登记结算有限责任公司或中</w:t>
      </w:r>
      <w:r>
        <w:rPr>
          <w:rFonts w:asciiTheme="minorEastAsia" w:hAnsiTheme="minorEastAsia" w:cs="Arial" w:hint="eastAsia"/>
          <w:color w:val="000000"/>
          <w:sz w:val="24"/>
          <w:szCs w:val="24"/>
        </w:rPr>
        <w:lastRenderedPageBreak/>
        <w:t>央国债登记结算有限责任公司、银行间市场清算所股份有限公司负责登记和存管，并可在证券交易所或全国银行间债券市场交易的证券。</w:t>
      </w:r>
    </w:p>
    <w:p w14:paraId="3BB49466"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本基金投资的流通受限证券应保证登记存管在本基金名下，基金管理人负责相关工作的落实和协调，并确保基金托管人能够正常查询。因基金管理</w:t>
      </w:r>
      <w:proofErr w:type="gramStart"/>
      <w:r>
        <w:rPr>
          <w:rFonts w:asciiTheme="minorEastAsia" w:hAnsiTheme="minorEastAsia" w:cs="Arial" w:hint="eastAsia"/>
          <w:color w:val="000000"/>
          <w:sz w:val="24"/>
          <w:szCs w:val="24"/>
        </w:rPr>
        <w:t>人原因</w:t>
      </w:r>
      <w:proofErr w:type="gramEnd"/>
      <w:r>
        <w:rPr>
          <w:rFonts w:asciiTheme="minorEastAsia" w:hAnsiTheme="minorEastAsia" w:cs="Arial" w:hint="eastAsia"/>
          <w:color w:val="000000"/>
          <w:sz w:val="24"/>
          <w:szCs w:val="24"/>
        </w:rPr>
        <w:t>产生的流通受限证券登记存管问题，造成基金托管人无法安全保管本基金资产的责任与损失，及因流通受限证券存管直接影响本基金安全的责任及损失，由基金管理人承担。</w:t>
      </w:r>
    </w:p>
    <w:p w14:paraId="19ADDD01"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本基金投资流通受限证券，不得预付任何形式的保证金。</w:t>
      </w:r>
    </w:p>
    <w:p w14:paraId="3E0441EF"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董事会批准的有关基金投资流通受限证券的投资决策流程、风险控制制度。基金投资非公开发行股票，基金管理人还应提供基金管理人董事会批准的相关流动性风险处置预案。</w:t>
      </w:r>
    </w:p>
    <w:p w14:paraId="44624E1B"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Pr>
          <w:rFonts w:asciiTheme="minorEastAsia" w:hAnsiTheme="minorEastAsia" w:cs="Arial" w:hint="eastAsia"/>
          <w:color w:val="000000"/>
          <w:sz w:val="24"/>
          <w:szCs w:val="24"/>
        </w:rPr>
        <w:t>人原因</w:t>
      </w:r>
      <w:proofErr w:type="gramEnd"/>
      <w:r>
        <w:rPr>
          <w:rFonts w:asciiTheme="minorEastAsia" w:hAnsiTheme="minorEastAsia" w:cs="Arial" w:hint="eastAsia"/>
          <w:color w:val="000000"/>
          <w:sz w:val="24"/>
          <w:szCs w:val="24"/>
        </w:rPr>
        <w:t>导致本基金出现损失致使基金托管人承担连带赔偿责任的，基金管理人应赔偿基金托管人由此遭受的损失。</w:t>
      </w:r>
    </w:p>
    <w:p w14:paraId="0A5B4B50"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6B64E5F2"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1）中国证监会批准发行非公开发行股票的批准文件。</w:t>
      </w:r>
    </w:p>
    <w:p w14:paraId="18D6635C"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2）非公开发行股票有关发行数量、发行价格、锁定期等发行资料。</w:t>
      </w:r>
    </w:p>
    <w:p w14:paraId="73AE905E"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3）非公开发行股票发行人与中国证券登记结算有限责任公司或中央国债登记结算有限责任公司签订的证券登记及服务协议。</w:t>
      </w:r>
    </w:p>
    <w:p w14:paraId="0AE55F16"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4）基金拟认购的数量、价格、总成本、账面价值。</w:t>
      </w:r>
    </w:p>
    <w:p w14:paraId="1C7D8910"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14:paraId="16FFFBE3"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本基金有关投资流通受限证券比例如违反有关限制规定，在合理期限内未能进行及时调整，基金管理人应在两个工作日内编制临时报告书，予以公告。</w:t>
      </w:r>
    </w:p>
    <w:p w14:paraId="756EFB78"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（5）基金托管人根据有关规定有权对基金管理人进行以下事项监督：</w:t>
      </w:r>
    </w:p>
    <w:p w14:paraId="3DB219CA"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1）本基金投资流通受限证券时的法律法规遵守情况。</w:t>
      </w:r>
    </w:p>
    <w:p w14:paraId="74942323"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2）在基金投资流通受限证券管理工作方面有关制度、流动性风险处置预案的建立与完善情况。</w:t>
      </w:r>
    </w:p>
    <w:p w14:paraId="7214DDDD"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3）有关比例限制的执行情况。</w:t>
      </w:r>
    </w:p>
    <w:p w14:paraId="259053B5"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4）信息披露情况。</w:t>
      </w:r>
    </w:p>
    <w:p w14:paraId="2CE81A4D"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（6）相关法律法规对基金投资流通受限证券有新规定的，从其规定。</w:t>
      </w:r>
    </w:p>
    <w:p w14:paraId="5F45C3C1"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7、基金托管人根据有关法律、法规的规定及基金合同和本协议的约定，对基金管理人产品禁投池进行监督。</w:t>
      </w:r>
    </w:p>
    <w:p w14:paraId="12739D68"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向基金托管人提供符合法律、法规及行业标准的基金禁投池清单。基金托管人在收到名单后2个工作日内电话或回函确认收到该名单。基金管理人应定期和不定期对基金禁投池清单进行更新。基金托管人在收到清单后2个工作日内电话或书面回函确认，新清单自基金托管人确认当日生效。新清单生效</w:t>
      </w:r>
      <w:proofErr w:type="gramStart"/>
      <w:r>
        <w:rPr>
          <w:rFonts w:asciiTheme="minorEastAsia" w:hAnsiTheme="minorEastAsia" w:cs="Arial" w:hint="eastAsia"/>
          <w:color w:val="000000"/>
          <w:sz w:val="24"/>
          <w:szCs w:val="24"/>
        </w:rPr>
        <w:t>前基金</w:t>
      </w:r>
      <w:proofErr w:type="gramEnd"/>
      <w:r>
        <w:rPr>
          <w:rFonts w:asciiTheme="minorEastAsia" w:hAnsiTheme="minorEastAsia" w:cs="Arial" w:hint="eastAsia"/>
          <w:color w:val="000000"/>
          <w:sz w:val="24"/>
          <w:szCs w:val="24"/>
        </w:rPr>
        <w:t>托管人仍</w:t>
      </w:r>
      <w:proofErr w:type="gramStart"/>
      <w:r>
        <w:rPr>
          <w:rFonts w:asciiTheme="minorEastAsia" w:hAnsiTheme="minorEastAsia" w:cs="Arial" w:hint="eastAsia"/>
          <w:color w:val="000000"/>
          <w:sz w:val="24"/>
          <w:szCs w:val="24"/>
        </w:rPr>
        <w:t>按原禁投池</w:t>
      </w:r>
      <w:proofErr w:type="gramEnd"/>
      <w:r>
        <w:rPr>
          <w:rFonts w:asciiTheme="minorEastAsia" w:hAnsiTheme="minorEastAsia" w:cs="Arial" w:hint="eastAsia"/>
          <w:color w:val="000000"/>
          <w:sz w:val="24"/>
          <w:szCs w:val="24"/>
        </w:rPr>
        <w:t>清单进行监督。</w:t>
      </w:r>
    </w:p>
    <w:p w14:paraId="786A4D89"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基金管理人超越名单范围进行投资的，基金托管人应及时提醒基金管理人，但基金托管人不承担由此造成的任何损失和责任。</w:t>
      </w:r>
    </w:p>
    <w:p w14:paraId="212D67CC"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应根据有关法律、法规的规定及基金合同的约定，对基金资产净值计算、各类基金份额的基金份额净值计算、应收资金到账、基金费用开支及收入确认、基金收益分配、相关信息披露、基金宣传推介材料中登载基金业绩表现数据等进行监督和核查。</w:t>
      </w:r>
    </w:p>
    <w:p w14:paraId="65F3CDA8"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管理人应积极配合和协助基金托管人的监督和核查，在规定时间内答复并改正，就基金托管人的合理疑义进行解释或举证。对基金托管人按照法规要求需向中国证监会报送基金监督报告的，基金管理人应积极配合提供相关数据资料和制度等。</w:t>
      </w:r>
    </w:p>
    <w:p w14:paraId="552589FC"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合理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C2B6E3A"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proofErr w:type="gramStart"/>
      <w:r>
        <w:rPr>
          <w:rFonts w:asciiTheme="minorEastAsia" w:hAnsiTheme="minorEastAsia" w:cs="Arial" w:hint="eastAsia"/>
          <w:color w:val="000000"/>
          <w:sz w:val="24"/>
          <w:szCs w:val="24"/>
        </w:rPr>
        <w:t>若基金</w:t>
      </w:r>
      <w:proofErr w:type="gramEnd"/>
      <w:r>
        <w:rPr>
          <w:rFonts w:asciiTheme="minorEastAsia" w:hAnsiTheme="minorEastAsia" w:cs="Arial" w:hint="eastAsia"/>
          <w:color w:val="000000"/>
          <w:sz w:val="24"/>
          <w:szCs w:val="24"/>
        </w:rPr>
        <w:t>托管人发现基金管理人依据交易程序已经生效的指令违反法律、行政法规和其他有关规定，或者违反《基金合同》约定的，应当立即通知基金管理人，由此造成的损失由基金管理人承担。</w:t>
      </w:r>
    </w:p>
    <w:p w14:paraId="49306D34"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61DA3E54"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w:t>
      </w:r>
      <w:r>
        <w:rPr>
          <w:rFonts w:asciiTheme="minorEastAsia" w:hAnsiTheme="minorEastAsia" w:cs="Arial" w:hint="eastAsia"/>
          <w:color w:val="000000"/>
          <w:sz w:val="24"/>
          <w:szCs w:val="24"/>
        </w:rPr>
        <w:t>四）当基金持有特定资产且存在或潜在大额赎回申请时，根据最大限度保护基金份额持有人利益的原则，基金管理人经与基金托管人协商一致，并咨询会计师事务所意见后，可以依照法律法规及基金合同的约定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Theme="minorEastAsia" w:hAnsiTheme="minorEastAsia" w:cs="Arial" w:hint="eastAsia"/>
          <w:color w:val="000000"/>
          <w:sz w:val="24"/>
          <w:szCs w:val="24"/>
        </w:rPr>
        <w:t>启用侧袋机制</w:t>
      </w:r>
      <w:proofErr w:type="gramEnd"/>
      <w:r>
        <w:rPr>
          <w:rFonts w:asciiTheme="minorEastAsia" w:hAnsiTheme="minorEastAsia" w:cs="Arial" w:hint="eastAsia"/>
          <w:color w:val="000000"/>
          <w:sz w:val="24"/>
          <w:szCs w:val="24"/>
        </w:rPr>
        <w:t>，无需召开基金份额持有人大会审议。</w:t>
      </w:r>
    </w:p>
    <w:p w14:paraId="0C95FF93"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proofErr w:type="gramStart"/>
      <w:r>
        <w:rPr>
          <w:rFonts w:asciiTheme="minorEastAsia" w:hAnsiTheme="minorEastAsia" w:cs="Arial" w:hint="eastAsia"/>
          <w:color w:val="000000"/>
          <w:sz w:val="24"/>
          <w:szCs w:val="24"/>
        </w:rPr>
        <w:t>侧袋机制</w:t>
      </w:r>
      <w:proofErr w:type="gramEnd"/>
      <w:r>
        <w:rPr>
          <w:rFonts w:asciiTheme="minorEastAsia" w:hAnsiTheme="minorEastAsia" w:cs="Arial" w:hint="eastAsia"/>
          <w:color w:val="000000"/>
          <w:sz w:val="24"/>
          <w:szCs w:val="24"/>
        </w:rPr>
        <w:t>实施期间，本基金的投资组合比例、投资策略、组合限制、业绩比较基准、风险收益特征等约定仅</w:t>
      </w:r>
      <w:proofErr w:type="gramStart"/>
      <w:r>
        <w:rPr>
          <w:rFonts w:asciiTheme="minorEastAsia" w:hAnsiTheme="minorEastAsia" w:cs="Arial" w:hint="eastAsia"/>
          <w:color w:val="000000"/>
          <w:sz w:val="24"/>
          <w:szCs w:val="24"/>
        </w:rPr>
        <w:t>适用于主袋账户</w:t>
      </w:r>
      <w:proofErr w:type="gramEnd"/>
      <w:r>
        <w:rPr>
          <w:rFonts w:asciiTheme="minorEastAsia" w:hAnsiTheme="minorEastAsia" w:cs="Arial" w:hint="eastAsia"/>
          <w:color w:val="000000"/>
          <w:sz w:val="24"/>
          <w:szCs w:val="24"/>
        </w:rPr>
        <w:t>。</w:t>
      </w:r>
    </w:p>
    <w:p w14:paraId="717A62D2"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proofErr w:type="gramStart"/>
      <w:r>
        <w:rPr>
          <w:rFonts w:asciiTheme="minorEastAsia" w:hAnsiTheme="minorEastAsia" w:cs="Arial" w:hint="eastAsia"/>
          <w:color w:val="000000"/>
          <w:sz w:val="24"/>
          <w:szCs w:val="24"/>
        </w:rPr>
        <w:t>侧袋账户</w:t>
      </w:r>
      <w:proofErr w:type="gramEnd"/>
      <w:r>
        <w:rPr>
          <w:rFonts w:asciiTheme="minorEastAsia" w:hAnsiTheme="minorEastAsia" w:cs="Arial" w:hint="eastAsia"/>
          <w:color w:val="000000"/>
          <w:sz w:val="24"/>
          <w:szCs w:val="24"/>
        </w:rPr>
        <w:t>的实施条件、实施程序、运作安排（包括但不限于对基金赎回的影响、信息披露、费用列支等）、投资安排、特定资产的处置变现和支付等对投资者权益有重大影响的事项详见基金合同和招募说明书的规定。</w:t>
      </w:r>
    </w:p>
    <w:p w14:paraId="7F2E09DF" w14:textId="77777777" w:rsidR="00B67C49"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基金托管人依照相关法律法规的规定以及基金合同和招募说明书的约定，对侧</w:t>
      </w:r>
      <w:proofErr w:type="gramStart"/>
      <w:r>
        <w:rPr>
          <w:rFonts w:asciiTheme="minorEastAsia" w:hAnsiTheme="minorEastAsia" w:cs="Arial" w:hint="eastAsia"/>
          <w:color w:val="000000"/>
          <w:sz w:val="24"/>
          <w:szCs w:val="24"/>
        </w:rPr>
        <w:t>袋机制</w:t>
      </w:r>
      <w:proofErr w:type="gramEnd"/>
      <w:r>
        <w:rPr>
          <w:rFonts w:asciiTheme="minorEastAsia" w:hAnsiTheme="minorEastAsia" w:cs="Arial" w:hint="eastAsia"/>
          <w:color w:val="000000"/>
          <w:sz w:val="24"/>
          <w:szCs w:val="24"/>
        </w:rPr>
        <w:t xml:space="preserve">启用、特定资产处置和信息披露等方面进行复核和监督。  </w:t>
      </w:r>
    </w:p>
    <w:p w14:paraId="243DAC52" w14:textId="77777777" w:rsidR="00B67C49"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基金管理人对基金托管人的业务核查</w:t>
      </w:r>
    </w:p>
    <w:p w14:paraId="6D088673"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根据《基金法》及其他有关法规、《基金合同》和本协议规定，基金管理人对基金托管人履行托管职责的情况进行核查，核查事项包括但不限于基金托管人</w:t>
      </w:r>
      <w:r>
        <w:rPr>
          <w:rFonts w:ascii="宋体" w:hAnsi="宋体" w:hint="eastAsia"/>
          <w:sz w:val="24"/>
          <w:szCs w:val="24"/>
        </w:rPr>
        <w:lastRenderedPageBreak/>
        <w:t>是否安全保管基金财产、开立基金财产的银行存款账户、证券账户、债券托管账户等投资所需账户，是否及时、准确复核基金管理人计算的基金资产净值和各类基金份额的基金份额净值，是否根据基金管理人指令办理清算交收，是否按照法规规定和《基金合同》规定进行相关信息披露和监督基金投资运作等行为。</w:t>
      </w:r>
    </w:p>
    <w:p w14:paraId="7B1AE09C"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基金管理人定期【（每半年）】和不定期地对基金托管人保管的基金资产进行核查。基金托管人应积极配合基金管理人的核查行为，包括但不限于：提交相关资料以</w:t>
      </w:r>
      <w:proofErr w:type="gramStart"/>
      <w:r>
        <w:rPr>
          <w:rFonts w:ascii="宋体" w:hAnsi="宋体" w:hint="eastAsia"/>
          <w:sz w:val="24"/>
          <w:szCs w:val="24"/>
        </w:rPr>
        <w:t>供基金</w:t>
      </w:r>
      <w:proofErr w:type="gramEnd"/>
      <w:r>
        <w:rPr>
          <w:rFonts w:ascii="宋体" w:hAnsi="宋体" w:hint="eastAsia"/>
          <w:sz w:val="24"/>
          <w:szCs w:val="24"/>
        </w:rPr>
        <w:t>管理人核查托管财产的完整性和真实性，在规定时间内答复并改正。</w:t>
      </w:r>
    </w:p>
    <w:p w14:paraId="5127C42C"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说明违规原因及纠正期限，并保证在规定期限内及时改正。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7D9D9D6E"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基金管理人发现基金托管人有重大违规行为，应立即报告中国证监会，同时通知基金托管人在限期内纠正。基金托管人无正当理由，拒绝、阻挠对方根据本协议规定行使监督权，或采取拖延、欺诈等手段妨碍对方进行有效监督，情节严重或经基金管理人提出警告仍不改正的，基金管理人应报告中国证监会。</w:t>
      </w:r>
    </w:p>
    <w:p w14:paraId="22AD6FD0" w14:textId="77777777" w:rsidR="00B67C49" w:rsidRDefault="00B67C49">
      <w:pPr>
        <w:spacing w:line="360" w:lineRule="auto"/>
        <w:ind w:firstLineChars="200" w:firstLine="480"/>
        <w:rPr>
          <w:rFonts w:ascii="宋体" w:hAnsi="宋体"/>
          <w:sz w:val="24"/>
          <w:szCs w:val="24"/>
        </w:rPr>
      </w:pPr>
    </w:p>
    <w:p w14:paraId="72A732EF" w14:textId="77777777" w:rsidR="00B67C49"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基金财产的保管</w:t>
      </w:r>
    </w:p>
    <w:p w14:paraId="1359F9C1"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（一）基金财产保管的原则</w:t>
      </w:r>
    </w:p>
    <w:p w14:paraId="7DCF2F8F"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1、基金托管人应安全保管基金财产，未经基金管理人的指令，不得自行运用、处分、分配基金的任何资产。</w:t>
      </w:r>
    </w:p>
    <w:p w14:paraId="106087F9"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2、基金财产应独立于基金管理人、基金托管人、证券经纪机构的固有财产。</w:t>
      </w:r>
    </w:p>
    <w:p w14:paraId="624D1B38"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3、基金托管人按照规定开立基金财产的银行存款账户、证券账户、债券托管账户等投资所需账户。</w:t>
      </w:r>
    </w:p>
    <w:p w14:paraId="431A2349"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4、基金托管人对所托管的不同基金财产分别设置账户，与基金托管人的其</w:t>
      </w:r>
      <w:r>
        <w:rPr>
          <w:rFonts w:ascii="宋体" w:hAnsi="宋体" w:hint="eastAsia"/>
          <w:sz w:val="24"/>
          <w:szCs w:val="24"/>
        </w:rPr>
        <w:lastRenderedPageBreak/>
        <w:t>他业务和其他基金的托管业务实行严格的分账管理，确保基金财产的完整和独立。</w:t>
      </w:r>
    </w:p>
    <w:p w14:paraId="5CC88F98"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14:paraId="15399F86"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6、除依据法律法规和《基金合同》的规定外，基金托管人不得委托第三人托管基金财产。</w:t>
      </w:r>
    </w:p>
    <w:p w14:paraId="5EA9A155"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（二）基金募集资产的验证</w:t>
      </w:r>
    </w:p>
    <w:p w14:paraId="2C9F28ED"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基金募集期间募集的资金应存于基金管理人在具有基金销售业务资格或托管资格的商业银行开设的富荣基金管理有限公司基金募集专户。该账户由基金管理人开立并管理。</w:t>
      </w:r>
    </w:p>
    <w:p w14:paraId="70F1C6EA"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基金募集期满之日起10日内，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p>
    <w:p w14:paraId="0668EF67"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（三）基金的银行存款账户的开立和管理</w:t>
      </w:r>
    </w:p>
    <w:p w14:paraId="02B50795"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1、基金托管人应负责本基金银行存款账户的开立和管理。</w:t>
      </w:r>
    </w:p>
    <w:p w14:paraId="75F08557"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2、基金托管人以本基金的名义在商业银行开立基金的银行存款账户，并根据中国人民银行规定计息。本基金的银行预留印鉴由基金托管</w:t>
      </w:r>
      <w:proofErr w:type="gramStart"/>
      <w:r>
        <w:rPr>
          <w:rFonts w:ascii="宋体" w:hAnsi="宋体" w:hint="eastAsia"/>
          <w:sz w:val="24"/>
          <w:szCs w:val="24"/>
        </w:rPr>
        <w:t>人制</w:t>
      </w:r>
      <w:proofErr w:type="gramEnd"/>
      <w:r>
        <w:rPr>
          <w:rFonts w:ascii="宋体" w:hAnsi="宋体" w:hint="eastAsia"/>
          <w:sz w:val="24"/>
          <w:szCs w:val="24"/>
        </w:rPr>
        <w:t>作、保管和使用。本基金的一切货币收支活动，包括但不限于投资、支付赎回金额、支付基金收益，均需通过本基金的银行存款账户进行。</w:t>
      </w:r>
    </w:p>
    <w:p w14:paraId="27384CE0"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35E9F7EE"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4、基金托管人可以通过申请开通本基金银行账户的企业网上银行业务进行资金支付，并使用企业网上银行（简称“网银”）办理托管资产的资金结算汇划</w:t>
      </w:r>
      <w:r>
        <w:rPr>
          <w:rFonts w:ascii="宋体" w:hAnsi="宋体" w:hint="eastAsia"/>
          <w:sz w:val="24"/>
          <w:szCs w:val="24"/>
        </w:rPr>
        <w:lastRenderedPageBreak/>
        <w:t>业务。</w:t>
      </w:r>
    </w:p>
    <w:p w14:paraId="6BD93508"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5、基金银行存款账户的管理应符合法律、法规以及银行业监督管理机构的其他规定。</w:t>
      </w:r>
    </w:p>
    <w:p w14:paraId="06D4705E"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（四）基金的证券交收账户和资金交收账户的开立和管理</w:t>
      </w:r>
    </w:p>
    <w:p w14:paraId="1EE76E63"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基金托管人以基金托管人和本基金联名的方式在中国证券登记结算有限责任公司开立证券账户。</w:t>
      </w:r>
    </w:p>
    <w:p w14:paraId="2F829432"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3F7C1FE6"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基金管理人不得对基金证券交收账户、资金交收账户进行证券的超卖或超买。</w:t>
      </w:r>
    </w:p>
    <w:p w14:paraId="17E09D50"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（五）债券托管账户的开立和管理</w:t>
      </w:r>
    </w:p>
    <w:p w14:paraId="1EFFC8FA"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1、募集资金经验资后，基金托管人负责在中央国债登记结算有限责任公司及银行间市场清算所股份有限公司以本基金的名义开立债券托管账户，并由基金托管人负责基金的债券及资金的清算。在上述手续办理完毕后，由基金托管人向人民银行进行报备。基金管理人负责申请基金进入全国银行间同业拆借市场进行交易，由基金管理人在中国外汇交易中心开设同业拆借市场交易账户。</w:t>
      </w:r>
    </w:p>
    <w:p w14:paraId="55CDDA2A"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2、基金管理人代表基金对外签订中国银行间债券市场回购交易主协议。</w:t>
      </w:r>
    </w:p>
    <w:p w14:paraId="553751B3"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（六）其他账户的开立和管理</w:t>
      </w:r>
    </w:p>
    <w:p w14:paraId="46463511"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14:paraId="0E6E9C61"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法律法规等有关规定对相关账户的开立和管理另有规定的，从其规定办理。</w:t>
      </w:r>
    </w:p>
    <w:p w14:paraId="4471E87D"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（七）基金财产投资的有关实物证券、银行存款定期存单等有价凭证的保管</w:t>
      </w:r>
    </w:p>
    <w:p w14:paraId="60F0E68A"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实物证券由基金托管人存放于基金托管人或其他基金管理人与基金托管人协议一致的第三方机构的保管库。实物证券的购买和转让，由基金托管人根据基金管理人的指令办理。基金托管人对由基金托管人以外机构实际有效控制的本基金资产不承担保管责任。</w:t>
      </w:r>
    </w:p>
    <w:p w14:paraId="14C921E3"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银行存款定期存单等有价凭证由基金托管人负责保管。</w:t>
      </w:r>
    </w:p>
    <w:p w14:paraId="0325CE92"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lastRenderedPageBreak/>
        <w:t>（八）与基金财产有关的重大合同的保管</w:t>
      </w:r>
    </w:p>
    <w:p w14:paraId="5C7266FE"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在合同签署后15个工作日内通过专人送达、挂号邮寄等安全方式将合同原件送达基金托管人处。合同的保管期限按照国家有关规定执行。</w:t>
      </w:r>
    </w:p>
    <w:p w14:paraId="2BE601B5"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对于无法取得二份以上的正本的，基金管理人应向基金托管人提供与原件核对一致后加盖授权业务章的合同扫描件或传真件，未经双方协商或未在合同约定范围内，合同原件不得转移。</w:t>
      </w:r>
    </w:p>
    <w:p w14:paraId="31DC48A8"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因基金管理人未按本协议约定及时向基金托管人送达重大合同原件或扫描件或传真件导致的法律责任，基金托管人不予承担。</w:t>
      </w:r>
    </w:p>
    <w:p w14:paraId="6ADC2EF1" w14:textId="77777777" w:rsidR="00B67C49" w:rsidRDefault="00B67C49">
      <w:pPr>
        <w:spacing w:line="360" w:lineRule="auto"/>
        <w:ind w:firstLineChars="200" w:firstLine="480"/>
        <w:rPr>
          <w:rFonts w:ascii="宋体" w:hAnsi="宋体"/>
          <w:sz w:val="24"/>
          <w:szCs w:val="24"/>
        </w:rPr>
      </w:pPr>
    </w:p>
    <w:p w14:paraId="1C01D28F" w14:textId="77777777" w:rsidR="00B67C49"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基金资产净值计算和会计核算</w:t>
      </w:r>
    </w:p>
    <w:p w14:paraId="0CF766EF"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（一）基金资产净值及各类基金份额的基金份额净值的计算与复核</w:t>
      </w:r>
    </w:p>
    <w:p w14:paraId="0A348E08"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基金资产净值是指基金资产总值减去负债后的价值。</w:t>
      </w:r>
    </w:p>
    <w:p w14:paraId="1D398D05"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每工作日对基金资产估值。但基金管理人根据法律法规或基金合同的规定暂停估值时除外。估值原则应符合《基金合同》、《中国证监会关于证券投资基金估值业务的指导意见》、《证券投资基金会计核算业务指引》及其他法律、法规的规定。基金资产净值和各类基金份额的基金份额净值由基金管理人负责计算，基金托管人复核。各类基金份额净值是按照每个工作日闭市后，该类基金资产净值除以当日该类基金份额的余额数量计算，精确到0.0001元，小数点后第5位四舍五入，由此产生的收益或损失由基金财产承担。基金管理人可以设立大额赎回情形下的净值精度应急调整机制。国家另有规定的，从其规定。基金管理人</w:t>
      </w:r>
      <w:proofErr w:type="gramStart"/>
      <w:r>
        <w:rPr>
          <w:rFonts w:asciiTheme="minorEastAsia" w:hAnsiTheme="minorEastAsia" w:cs="Arial" w:hint="eastAsia"/>
          <w:sz w:val="24"/>
          <w:szCs w:val="24"/>
        </w:rPr>
        <w:t>应每个</w:t>
      </w:r>
      <w:proofErr w:type="gramEnd"/>
      <w:r>
        <w:rPr>
          <w:rFonts w:asciiTheme="minorEastAsia" w:hAnsiTheme="minorEastAsia" w:cs="Arial" w:hint="eastAsia"/>
          <w:sz w:val="24"/>
          <w:szCs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14:paraId="43E3B090"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本基金按以下方法估值： </w:t>
      </w:r>
    </w:p>
    <w:p w14:paraId="10F9638D"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1、证券交易所上市的有价证券的估值</w:t>
      </w:r>
    </w:p>
    <w:p w14:paraId="4A6CC687"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A090C9F"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583618F6"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2E68701B"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（4）交易所上市交易的可转换债券以每日收盘价作为估值全价；</w:t>
      </w:r>
    </w:p>
    <w:p w14:paraId="77A1945F"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交易所上市不存在活跃市场的非固定收益类有价证券，采用估值技术确定公允价值。交易所市场挂牌转让的资产支持证券，采用估值技术确定公允价值，在估值技术难以可靠计量公允价值的情况下，按成本估值</w:t>
      </w:r>
      <w:r>
        <w:rPr>
          <w:rFonts w:asciiTheme="minorEastAsia" w:hAnsiTheme="minorEastAsia" w:cs="Arial"/>
          <w:sz w:val="24"/>
          <w:szCs w:val="24"/>
        </w:rPr>
        <w:t>；</w:t>
      </w:r>
    </w:p>
    <w:p w14:paraId="0CC5F52E"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15B9225"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2、处于未上市期间的有价证券应区分如下情况处理：</w:t>
      </w:r>
    </w:p>
    <w:p w14:paraId="51026444"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（1）送股、转增股、配股和公开增发的新股，按估值日在证券交易所挂牌的同一股票的估值方法估值；该日无交易的，以最近一日的市价（收盘价）估值；</w:t>
      </w:r>
    </w:p>
    <w:p w14:paraId="63CD61D6"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（2）首次公开发行未上市的股票、债券，采用估值技术确定公允价值，在估值技术难以可靠计量公允价值的情况下，按成本估值；</w:t>
      </w:r>
    </w:p>
    <w:p w14:paraId="592F467A"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（3）流通受限的股票，包括非公开发行股票、首次公开发行股票时公司股东公开发售股份、通过大宗交易取得的带限售期的股票等（不包括停牌、新发行未上市、回购交易中的质押</w:t>
      </w:r>
      <w:proofErr w:type="gramStart"/>
      <w:r>
        <w:rPr>
          <w:rFonts w:asciiTheme="minorEastAsia" w:hAnsiTheme="minorEastAsia" w:cs="Arial" w:hint="eastAsia"/>
          <w:sz w:val="24"/>
          <w:szCs w:val="24"/>
        </w:rPr>
        <w:t>券</w:t>
      </w:r>
      <w:proofErr w:type="gramEnd"/>
      <w:r>
        <w:rPr>
          <w:rFonts w:asciiTheme="minorEastAsia" w:hAnsiTheme="minorEastAsia" w:cs="Arial" w:hint="eastAsia"/>
          <w:sz w:val="24"/>
          <w:szCs w:val="24"/>
        </w:rPr>
        <w:t>等流通受限股票），按监管机构或行业协会有关规定确定公允价值。</w:t>
      </w:r>
    </w:p>
    <w:p w14:paraId="05AF9A34"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3、全国银行间债券市场交易的债券、资产支持证券等固定收益品种，以第三方估值机构提供的价格数据估值。</w:t>
      </w:r>
    </w:p>
    <w:p w14:paraId="3CBB753D"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4、同一证券同时在两个或两个以上市场交易的，按证券所处的市场分别估值。</w:t>
      </w:r>
    </w:p>
    <w:p w14:paraId="7E8D6F69"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5、本基金投资国债期货合约、股指期货合约、股票期权合约，一般以估值当日结算价进行估值，估值当日无结算价的，且最近交易日后经济环境未发生重大变化的，采用最近交易日结算价估值。</w:t>
      </w:r>
    </w:p>
    <w:p w14:paraId="12F80F93"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、本基金投资存托凭证的估值核算，依照境内上市交易的股票执行。</w:t>
      </w:r>
    </w:p>
    <w:p w14:paraId="517A3AC4"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7</w:t>
      </w:r>
      <w:r>
        <w:rPr>
          <w:rFonts w:asciiTheme="minorEastAsia" w:hAnsiTheme="minorEastAsia" w:cs="Arial" w:hint="eastAsia"/>
          <w:sz w:val="24"/>
          <w:szCs w:val="24"/>
        </w:rPr>
        <w:t>、其他资产按法律法规或监管机构有关规定进行估值。</w:t>
      </w:r>
    </w:p>
    <w:p w14:paraId="592D4C2A"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8</w:t>
      </w:r>
      <w:r>
        <w:rPr>
          <w:rFonts w:asciiTheme="minorEastAsia" w:hAnsiTheme="minorEastAsia" w:cs="Arial" w:hint="eastAsia"/>
          <w:sz w:val="24"/>
          <w:szCs w:val="24"/>
        </w:rPr>
        <w:t>、如有确凿证据表明按上述方法进行估值不能客观反映其公允价值的，基金管理人可根据具体情况与基金托管人商定后，按最能反映公允价值的方法估值。</w:t>
      </w:r>
    </w:p>
    <w:p w14:paraId="39CFD4BB"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9</w:t>
      </w:r>
      <w:r>
        <w:rPr>
          <w:rFonts w:asciiTheme="minorEastAsia" w:hAnsiTheme="minorEastAsia" w:cs="Arial" w:hint="eastAsia"/>
          <w:sz w:val="24"/>
          <w:szCs w:val="24"/>
        </w:rPr>
        <w:t>、当本基金发生大额申购或赎回情形时，基金管理人可以对本基金采用摆动定价机制，以确保基金估值的公平性。</w:t>
      </w:r>
    </w:p>
    <w:p w14:paraId="7520CBDE"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r>
        <w:rPr>
          <w:rFonts w:asciiTheme="minorEastAsia" w:hAnsiTheme="minorEastAsia" w:cs="Arial" w:hint="eastAsia"/>
          <w:sz w:val="24"/>
          <w:szCs w:val="24"/>
        </w:rPr>
        <w:t>、相关法律法规以及监管部门有强制规定的，从其规定。如有新增事项，按国家最新规定估值。</w:t>
      </w:r>
    </w:p>
    <w:p w14:paraId="0639FDDC"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9CC9E49"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根据有关法律法规，基金资产净值计算和基金会计核算的义务由基金管理人承担，基金托管人承担复核责任。本基金的基金会计</w:t>
      </w:r>
      <w:proofErr w:type="gramStart"/>
      <w:r>
        <w:rPr>
          <w:rFonts w:asciiTheme="minorEastAsia" w:hAnsiTheme="minorEastAsia" w:cs="Arial" w:hint="eastAsia"/>
          <w:sz w:val="24"/>
          <w:szCs w:val="24"/>
        </w:rPr>
        <w:t>主责任</w:t>
      </w:r>
      <w:proofErr w:type="gramEnd"/>
      <w:r>
        <w:rPr>
          <w:rFonts w:asciiTheme="minorEastAsia" w:hAnsiTheme="minorEastAsia" w:cs="Arial" w:hint="eastAsia"/>
          <w:sz w:val="24"/>
          <w:szCs w:val="24"/>
        </w:rPr>
        <w:t>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14:paraId="39E14DA8"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（二）估值错误处理</w:t>
      </w:r>
    </w:p>
    <w:p w14:paraId="136CF8AE"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基金管理人和基金托管人将采取必要、适当、合理的措施确保基金资产估值</w:t>
      </w:r>
      <w:r>
        <w:rPr>
          <w:rFonts w:asciiTheme="minorEastAsia" w:hAnsiTheme="minorEastAsia" w:cs="Arial" w:hint="eastAsia"/>
          <w:sz w:val="24"/>
          <w:szCs w:val="24"/>
        </w:rPr>
        <w:lastRenderedPageBreak/>
        <w:t>的准确性、及时性。当任一类基金份额净值小数点后4位以内（含第4位）发生估值错误时，视为该类基金份额净值错误。</w:t>
      </w:r>
    </w:p>
    <w:p w14:paraId="568CEC19"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基金合同的当事人应按照以下约定处理：</w:t>
      </w:r>
    </w:p>
    <w:p w14:paraId="774A6075"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1、估值错误类型</w:t>
      </w:r>
    </w:p>
    <w:p w14:paraId="7B635F7D"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本基金运作过程中，如果由于基金管理人或基金托管人、或登记机构、或证券经纪机构、 或销售机构、或投资人自身的过错造成估值错误，导致其他当事人遭受损失的，过错的责任人应当对由于该估值错误遭受损失当事人（“受损方”）的直接损失按下述“估值错误处理原则”给予赔偿，承担赔偿责任。</w:t>
      </w:r>
    </w:p>
    <w:p w14:paraId="2E532956"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47658383"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2、估值错误处理原则</w:t>
      </w:r>
    </w:p>
    <w:p w14:paraId="1C730611"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3BC8CFA"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（2）估值错误的责任方对有关当事人的直接损失负责，不对间接损失负责，并且仅对估值错误的有关直接当事人负责，不对第三方负责。</w:t>
      </w:r>
    </w:p>
    <w:p w14:paraId="7378FB47"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（3）因估值错误而获得不当得利的当事人负有及时返还不当得利的义务。但估值错误责任方仍应对估值错误负责。如果由于获得不当得利的当事人</w:t>
      </w:r>
      <w:proofErr w:type="gramStart"/>
      <w:r>
        <w:rPr>
          <w:rFonts w:asciiTheme="minorEastAsia" w:hAnsiTheme="minorEastAsia" w:cs="Arial" w:hint="eastAsia"/>
          <w:sz w:val="24"/>
          <w:szCs w:val="24"/>
        </w:rPr>
        <w:t>不</w:t>
      </w:r>
      <w:proofErr w:type="gramEnd"/>
      <w:r>
        <w:rPr>
          <w:rFonts w:asciiTheme="minorEastAsia" w:hAnsiTheme="minorEastAsia" w:cs="Arial" w:hint="eastAsia"/>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34CD64C"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（4）估值错误调整采用尽量恢复至假设未发生估值错误的正确情形的方式。</w:t>
      </w:r>
    </w:p>
    <w:p w14:paraId="35C5CCB2"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3、估值错误处理程序</w:t>
      </w:r>
    </w:p>
    <w:p w14:paraId="004A8D28"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估值错误被发现后，有关的当事人应当及时进行处理，处理的程序如下：</w:t>
      </w:r>
    </w:p>
    <w:p w14:paraId="4715DC65"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（1）查明估值错误发生的原因，列明所有的当事人，并根据估值错误发生的原因确定估值错误的责任方；</w:t>
      </w:r>
    </w:p>
    <w:p w14:paraId="2CB4F69F"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（2）根据估值错误处理原则或当事人协商的方法对因估值错误造成的损失进行评估；</w:t>
      </w:r>
    </w:p>
    <w:p w14:paraId="3565F127"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（3）根据估值错误处理原则或当事人协商的方法由估值错误的责任方进行更正和赔偿损失；</w:t>
      </w:r>
    </w:p>
    <w:p w14:paraId="22E13245"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（4）根据估值错误处理的方法，需要修改基金份额登记机构交易数据的，由基金份额登记机构进行更正，并就估值错误的更正向有关当事人进行确认。</w:t>
      </w:r>
    </w:p>
    <w:p w14:paraId="34525763"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4、基金份额净值估值错误处理的方法如下：</w:t>
      </w:r>
    </w:p>
    <w:p w14:paraId="55EF2E08"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（1）基金份额净值计算出现错误时，基金管理人应当立即予以纠正，通报基金托管人，并采取合理的措施防止损失进一步扩大。</w:t>
      </w:r>
    </w:p>
    <w:p w14:paraId="53C5C42B"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（2）错误偏差达到某类基金份额净值的0.25%时，基金管理人应当通报基金托管人并报中国证监会备案；错误偏差达到某类基金份额净值的0.5%时，基金管理人应当公告，并报中国证监会备案。</w:t>
      </w:r>
    </w:p>
    <w:p w14:paraId="65038899"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（3）前述内容如法律法规或监管机关另有规定的，从其规定处理。</w:t>
      </w:r>
    </w:p>
    <w:p w14:paraId="539C53C3"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（三）暂停估值的情形</w:t>
      </w:r>
    </w:p>
    <w:p w14:paraId="2F46352F"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1、基金投资所涉及的证券/期货交易市场遇法定节假日或因其他原因暂停营业时；</w:t>
      </w:r>
    </w:p>
    <w:p w14:paraId="337321A5"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2、因不可抗力或其他情形致使基金管理人、基金托管人无法准确评估基金资产价值时；</w:t>
      </w:r>
    </w:p>
    <w:p w14:paraId="62DE7B0D"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3、当特定资产占前一估值日基金资产净值50%以上的，经与基金托管人协商确认后，基金管理人应当暂停基金估值；</w:t>
      </w:r>
    </w:p>
    <w:p w14:paraId="0C237FD6"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4、法律法规、中国证监会和基金合同认定的其它情形。</w:t>
      </w:r>
    </w:p>
    <w:p w14:paraId="48EBED9D"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（四）基金会计制度</w:t>
      </w:r>
    </w:p>
    <w:p w14:paraId="1E0774B5"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按国家有关部门制定的会计制度执行。</w:t>
      </w:r>
    </w:p>
    <w:p w14:paraId="1F1500F9"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（五）基金账册的建立</w:t>
      </w:r>
    </w:p>
    <w:p w14:paraId="03D3134C"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14:paraId="5397FEFC"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（六）会计数据和财务指标的核对</w:t>
      </w:r>
    </w:p>
    <w:p w14:paraId="091DE21E"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双方</w:t>
      </w:r>
      <w:proofErr w:type="gramStart"/>
      <w:r>
        <w:rPr>
          <w:rFonts w:asciiTheme="minorEastAsia" w:hAnsiTheme="minorEastAsia" w:cs="Arial" w:hint="eastAsia"/>
          <w:sz w:val="24"/>
          <w:szCs w:val="24"/>
        </w:rPr>
        <w:t>应每个</w:t>
      </w:r>
      <w:proofErr w:type="gramEnd"/>
      <w:r>
        <w:rPr>
          <w:rFonts w:asciiTheme="minorEastAsia" w:hAnsiTheme="minorEastAsia" w:cs="Arial" w:hint="eastAsia"/>
          <w:sz w:val="24"/>
          <w:szCs w:val="24"/>
        </w:rPr>
        <w:t>交易日核对账目，如发现双方的账目存在不符的，基金管理人和基金托管人必须及时查明原因并纠正，确保核对一致。若当日核对不符，暂时无法查找到错账的原因而影响到基金净值信息的计算和公告的，以基金管理人的账册为准。</w:t>
      </w:r>
    </w:p>
    <w:p w14:paraId="5A7840D5"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（七）基金定期报告的编制和复核</w:t>
      </w:r>
    </w:p>
    <w:p w14:paraId="525C2476"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基金财务报表由基金管理人和基金托管人每</w:t>
      </w:r>
      <w:proofErr w:type="gramStart"/>
      <w:r>
        <w:rPr>
          <w:rFonts w:asciiTheme="minorEastAsia" w:hAnsiTheme="minorEastAsia" w:cs="Arial" w:hint="eastAsia"/>
          <w:sz w:val="24"/>
          <w:szCs w:val="24"/>
        </w:rPr>
        <w:t>月分别独立</w:t>
      </w:r>
      <w:proofErr w:type="gramEnd"/>
      <w:r>
        <w:rPr>
          <w:rFonts w:asciiTheme="minorEastAsia" w:hAnsiTheme="minorEastAsia" w:cs="Arial" w:hint="eastAsia"/>
          <w:sz w:val="24"/>
          <w:szCs w:val="24"/>
        </w:rPr>
        <w:t>编制。月度报表的编制，应于每月终了后5个工作日内完成。定期报告文件应按中国证监会的要求公告。季度报表的编制，应于每季度终了后15个工作日内完成；《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中期报告在基金会计年度前6个月结束后的两个月内公告；年度报告在会计年度结束后三个月内公告。</w:t>
      </w:r>
    </w:p>
    <w:p w14:paraId="33EFB116"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在月度报表完成当日，以约定方式将有关报表提供基金托管人；基金托管人在2个工作日内进行复核，并将复核结果反馈给基金管理人。基金管理人在季度报表完成当日，以约定方式将有关报表提供基金托管人；基金托管人在5个工作日内进行复核，并将复核结果反馈给基金管理人。基金管理人在更新招募说明书完成当日，将有关报告提供基金托管人，基金托管人在收到15日内进行复核，并将复核结果反馈给基金管理人。基金管理人在半年度报告完成当日，将有关报告提供基金托管人，基金托管人在收到后20日内进行复核，并将复核结果反馈给基金管理人。基金管理人在年度报告完成当日，将有关报告提供基金托管人，基金托管人在收到后30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w:t>
      </w:r>
      <w:proofErr w:type="gramStart"/>
      <w:r>
        <w:rPr>
          <w:rFonts w:asciiTheme="minorEastAsia" w:hAnsiTheme="minorEastAsia" w:cs="Arial" w:hint="eastAsia"/>
          <w:sz w:val="24"/>
          <w:szCs w:val="24"/>
        </w:rPr>
        <w:t>于应当</w:t>
      </w:r>
      <w:proofErr w:type="gramEnd"/>
      <w:r>
        <w:rPr>
          <w:rFonts w:asciiTheme="minorEastAsia" w:hAnsiTheme="minorEastAsia" w:cs="Arial" w:hint="eastAsia"/>
          <w:sz w:val="24"/>
          <w:szCs w:val="24"/>
        </w:rPr>
        <w:t>发布公告之日前就相关报表达成一致，基金管理人有权按照其编制的报表对外发布公告，基金托管人有权就相关情况报证监会备案。</w:t>
      </w:r>
    </w:p>
    <w:p w14:paraId="0D697A41" w14:textId="77777777" w:rsidR="00B67C49"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基金托管人在对财务报表、季度报告、中期报告或年度报告复核完毕后，可以出具复核确认书（盖章）、进行电子确认或以其他双方约定的方式确认，以</w:t>
      </w:r>
      <w:proofErr w:type="gramStart"/>
      <w:r>
        <w:rPr>
          <w:rFonts w:asciiTheme="minorEastAsia" w:hAnsiTheme="minorEastAsia" w:cs="Arial" w:hint="eastAsia"/>
          <w:sz w:val="24"/>
          <w:szCs w:val="24"/>
        </w:rPr>
        <w:t>备</w:t>
      </w:r>
      <w:r>
        <w:rPr>
          <w:rFonts w:asciiTheme="minorEastAsia" w:hAnsiTheme="minorEastAsia" w:cs="Arial" w:hint="eastAsia"/>
          <w:sz w:val="24"/>
          <w:szCs w:val="24"/>
        </w:rPr>
        <w:lastRenderedPageBreak/>
        <w:t>有权</w:t>
      </w:r>
      <w:proofErr w:type="gramEnd"/>
      <w:r>
        <w:rPr>
          <w:rFonts w:asciiTheme="minorEastAsia" w:hAnsiTheme="minorEastAsia" w:cs="Arial" w:hint="eastAsia"/>
          <w:sz w:val="24"/>
          <w:szCs w:val="24"/>
        </w:rPr>
        <w:t>机构对相关文件审核检查</w:t>
      </w:r>
    </w:p>
    <w:p w14:paraId="2283BA40" w14:textId="77777777" w:rsidR="00B67C49" w:rsidRDefault="00B67C49">
      <w:pPr>
        <w:adjustRightInd w:val="0"/>
        <w:snapToGrid w:val="0"/>
        <w:spacing w:line="360" w:lineRule="auto"/>
        <w:ind w:firstLineChars="200" w:firstLine="480"/>
        <w:rPr>
          <w:rFonts w:asciiTheme="minorEastAsia" w:hAnsiTheme="minorEastAsia" w:cs="Arial"/>
          <w:sz w:val="24"/>
          <w:szCs w:val="24"/>
        </w:rPr>
      </w:pPr>
    </w:p>
    <w:p w14:paraId="328CEA4A" w14:textId="77777777" w:rsidR="00B67C49"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基金份额持有人名册的保管</w:t>
      </w:r>
    </w:p>
    <w:p w14:paraId="6304E5D5"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基金管理人可委托基金登记机构登记和保管基金份额持有人名册。基金份额持有人名册的内容包括但不限于基金份额持有人的名称和持有的基金份额。</w:t>
      </w:r>
    </w:p>
    <w:p w14:paraId="4DF20B1F"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基金份额持有人名册，包括基金募集期结束时的基金份额持有人名册、基金权益登记日的基金份额持有人名册、基金份额持有人大会权益登记日的基金份额持有人名册、每年最后一个交易日的基金份额持有人名册，由基金登记机构负责编制和保管，并对基金份额持有人名册的真实性、完整性和准确性负责。</w:t>
      </w:r>
    </w:p>
    <w:p w14:paraId="59A18FEF"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基金管理人应根据基金托管人的要求定期和不定期向基金托管人提供基金份额持有人名册。</w:t>
      </w:r>
    </w:p>
    <w:p w14:paraId="261B9E57"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（一）基金管理人于《基金合同》生效日及《基金合同》终止日后10个工作日内向基金托管人提供由登记机构编制的基金份额持有人名册；</w:t>
      </w:r>
    </w:p>
    <w:p w14:paraId="0C963345"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（二）基金管理人于基金份额持有人大会权益登记日后5个工作日内向基金托管人提供由登记机构编制的基金份额持有人名册；</w:t>
      </w:r>
    </w:p>
    <w:p w14:paraId="7939925D"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（三）基金管理人于每年最后一个交易日后10个工作日内向基金托管人提供由登记机构编制的基金份额持有人名册；</w:t>
      </w:r>
    </w:p>
    <w:p w14:paraId="30B0F1BF"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（四）除上述约定时间外，如果确因业务需要，基金托管人与基金管理人商议一致后，由基金管理人向基金托管人提供由登记机构编制的基金份额持有人名册。</w:t>
      </w:r>
    </w:p>
    <w:p w14:paraId="0F36FEE3"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基金托管人以电子版形式妥善保管基金份额持有人名册，并定期刻成光盘备份，保存期限不低于法律法规规定的最低期限。基金托管人不得将所保管的基金份额持有人名册用于基金托管业务以外的其他用途，并应遵守保密义务。</w:t>
      </w:r>
      <w:proofErr w:type="gramStart"/>
      <w:r>
        <w:rPr>
          <w:rFonts w:ascii="宋体" w:hAnsi="宋体" w:hint="eastAsia"/>
          <w:sz w:val="24"/>
          <w:szCs w:val="24"/>
        </w:rPr>
        <w:t>若基金</w:t>
      </w:r>
      <w:proofErr w:type="gramEnd"/>
      <w:r>
        <w:rPr>
          <w:rFonts w:ascii="宋体" w:hAnsi="宋体" w:hint="eastAsia"/>
          <w:sz w:val="24"/>
          <w:szCs w:val="24"/>
        </w:rPr>
        <w:t>管理人或基金托管人由于自身原因无法妥善保管基金份额持有人名册，应按有关法规规定各自承担相应的责任。</w:t>
      </w:r>
    </w:p>
    <w:p w14:paraId="4BDCFD6A" w14:textId="77777777" w:rsidR="00B67C49" w:rsidRDefault="00B67C49">
      <w:pPr>
        <w:spacing w:line="360" w:lineRule="auto"/>
        <w:ind w:firstLineChars="200" w:firstLine="480"/>
        <w:rPr>
          <w:rFonts w:ascii="宋体" w:hAnsi="宋体"/>
          <w:sz w:val="24"/>
          <w:szCs w:val="24"/>
        </w:rPr>
      </w:pPr>
    </w:p>
    <w:p w14:paraId="77F2B920" w14:textId="77777777" w:rsidR="00B67C49"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争议解决方式</w:t>
      </w:r>
    </w:p>
    <w:p w14:paraId="35B4F6DD" w14:textId="77777777" w:rsidR="00B67C49" w:rsidRDefault="00000000">
      <w:pPr>
        <w:adjustRightInd w:val="0"/>
        <w:snapToGrid w:val="0"/>
        <w:spacing w:line="360" w:lineRule="auto"/>
        <w:ind w:firstLineChars="200" w:firstLine="480"/>
        <w:rPr>
          <w:rFonts w:ascii="宋体" w:hAnsi="宋体"/>
          <w:sz w:val="24"/>
          <w:szCs w:val="24"/>
        </w:rPr>
      </w:pPr>
      <w:r>
        <w:rPr>
          <w:rFonts w:ascii="宋体" w:hAnsi="宋体" w:hint="eastAsia"/>
          <w:sz w:val="24"/>
          <w:szCs w:val="24"/>
        </w:rPr>
        <w:t>相关各方当事人同意，因本协议而产生的或与本协议有关的一切争议，应通过友好协商或者调解解决。托管协议当事人不愿通过协商、调解解决或者协商、调解不成的，应将争议提交上海仲裁委员会金融仲裁院，根据该会当时有效的仲</w:t>
      </w:r>
      <w:r>
        <w:rPr>
          <w:rFonts w:ascii="宋体" w:hAnsi="宋体" w:hint="eastAsia"/>
          <w:sz w:val="24"/>
          <w:szCs w:val="24"/>
        </w:rPr>
        <w:lastRenderedPageBreak/>
        <w:t>裁规则进行仲裁，仲裁的地点为上海市，仲裁裁决是终局的，并对相关各方当事人均有约束力。除非仲裁裁决另有规定，仲裁费用由败诉方承担。</w:t>
      </w:r>
    </w:p>
    <w:p w14:paraId="7A6F4809" w14:textId="77777777" w:rsidR="00B67C49" w:rsidRDefault="00000000">
      <w:pPr>
        <w:adjustRightInd w:val="0"/>
        <w:snapToGrid w:val="0"/>
        <w:spacing w:line="360" w:lineRule="auto"/>
        <w:ind w:firstLineChars="200" w:firstLine="480"/>
        <w:rPr>
          <w:rFonts w:ascii="宋体" w:hAnsi="宋体"/>
          <w:sz w:val="24"/>
          <w:szCs w:val="24"/>
        </w:rPr>
      </w:pPr>
      <w:r>
        <w:rPr>
          <w:rFonts w:ascii="宋体" w:hAnsi="宋体" w:hint="eastAsia"/>
          <w:sz w:val="24"/>
          <w:szCs w:val="24"/>
        </w:rPr>
        <w:t>争议处理期间，相关各方当事人应恪守基金管理人和基金托管人职责，继续忠实、勤勉、尽责地履行《基金合同》和本协议规定的义务，维护基金份额持有人的合法权益。</w:t>
      </w:r>
    </w:p>
    <w:p w14:paraId="1A2B739D" w14:textId="77777777" w:rsidR="00B67C49" w:rsidRDefault="00000000">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本协议受中华人民共和国法律（为本协议之目的，不包括香港、澳门特别行政区及台湾地区法律）管辖并从其解释。</w:t>
      </w:r>
    </w:p>
    <w:p w14:paraId="0FFF08B5" w14:textId="77777777" w:rsidR="00B67C49" w:rsidRDefault="00000000">
      <w:pPr>
        <w:pStyle w:val="aff1"/>
        <w:numPr>
          <w:ilvl w:val="0"/>
          <w:numId w:val="4"/>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基金托管协议的变更、终止与基金财产的清算</w:t>
      </w:r>
    </w:p>
    <w:p w14:paraId="45FDC3D9"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（一）基金托管协议的变更</w:t>
      </w:r>
    </w:p>
    <w:p w14:paraId="334F293C"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本协议双方当事人经协商一致，可以对协议进行修改。修改后的新协议，其内容不得与《基金合同》的规定有任何冲突，并报中国证监会备案。</w:t>
      </w:r>
    </w:p>
    <w:p w14:paraId="7EEDAE9F"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（二）基金托管协议的终止</w:t>
      </w:r>
    </w:p>
    <w:p w14:paraId="7F510311"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1、《基金合同》终止；</w:t>
      </w:r>
    </w:p>
    <w:p w14:paraId="61EFA660"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2、基金托管人解散、依法被撤销、破产，被依法取消基金托管资格或因其他事由造成其他基金托管人接管基金财产；</w:t>
      </w:r>
    </w:p>
    <w:p w14:paraId="41CE8CD0"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3、基金管理人解散、依法被撤销、破产，被依法取消基金管理资格或因其他事由造成其他基金管理人接管基金管理权；</w:t>
      </w:r>
    </w:p>
    <w:p w14:paraId="2BFCDC88"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4、发生《基金法》、《销售办法》、《运作办法》或其他法律、法规规定的终止事项。</w:t>
      </w:r>
    </w:p>
    <w:p w14:paraId="1EA52680"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40C2AEDA"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1、基金财产清算小组：自出现《基金合同》终止事由之日起30个工作日内成立清算小组，基金管理人或临时基金管理人组织基金财产清算小组并在中国证监会的监督下进行基金清算。</w:t>
      </w:r>
    </w:p>
    <w:p w14:paraId="07BABD70"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2、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14:paraId="220215CE"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3、基金财产清算小组职责：基金财产清算小组负责基金财产的保管、清理、估价、变现和分配。基金财产清算小组可以依法进行必要的民事活动。</w:t>
      </w:r>
    </w:p>
    <w:p w14:paraId="450B4871"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4、基金财产清算程序：</w:t>
      </w:r>
    </w:p>
    <w:p w14:paraId="5CE6F143"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（1）《基金合同》终止情形出现时，由基金财产清算小组统一接管基金；</w:t>
      </w:r>
    </w:p>
    <w:p w14:paraId="22C28BDB"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lastRenderedPageBreak/>
        <w:t>（2）对基金财产和债权债务进行清理和确认；</w:t>
      </w:r>
    </w:p>
    <w:p w14:paraId="1C7C1558"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（3）对基金财产进行估值和变现；</w:t>
      </w:r>
    </w:p>
    <w:p w14:paraId="5F4BA111"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（4）制作清算报告；</w:t>
      </w:r>
    </w:p>
    <w:p w14:paraId="736EE9AE"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（5）聘请会计师事务所对清算报告进行外部审计，聘请律师事务所对清算报告出具法律意见书；</w:t>
      </w:r>
    </w:p>
    <w:p w14:paraId="0107B69E"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（6）将清算报告报中国证监会备案并公告；</w:t>
      </w:r>
    </w:p>
    <w:p w14:paraId="1FF58F5C"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（7）对基金剩余财产进行分配。</w:t>
      </w:r>
    </w:p>
    <w:p w14:paraId="2A898C99"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5、基金财产清算的期限为6个月，但因本基金所持证券的流动性受到限制而不能及时变现的，清算期限可相应顺延。</w:t>
      </w:r>
    </w:p>
    <w:p w14:paraId="79E39631"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6、清算费用</w:t>
      </w:r>
    </w:p>
    <w:p w14:paraId="2B05DEBC"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清算费用是指基金财产清算小组在进行基金清算过程中发生的所有合理费用，清算费用由基金财产清算小组优先从基金财产中支付。</w:t>
      </w:r>
    </w:p>
    <w:p w14:paraId="1B3E9702"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7、基金财产清算剩余资产的分配</w:t>
      </w:r>
    </w:p>
    <w:p w14:paraId="4B33F0DB"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22ABE630"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8、基金财产清算的公告</w:t>
      </w:r>
    </w:p>
    <w:p w14:paraId="37AA971B"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清算过程中的有关重大事项须及时公告；基金财产清算报告</w:t>
      </w:r>
      <w:proofErr w:type="gramStart"/>
      <w:r>
        <w:rPr>
          <w:rFonts w:ascii="宋体" w:hAnsi="宋体" w:hint="eastAsia"/>
          <w:sz w:val="24"/>
          <w:szCs w:val="24"/>
        </w:rPr>
        <w:t>经符合</w:t>
      </w:r>
      <w:proofErr w:type="gramEnd"/>
      <w:r>
        <w:rPr>
          <w:rFonts w:ascii="宋体" w:hAnsi="宋体" w:hint="eastAsia"/>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2673AE38"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9、基金财产清算账册及文件的保存</w:t>
      </w:r>
    </w:p>
    <w:p w14:paraId="3EEF51CB" w14:textId="77777777" w:rsidR="00B67C49" w:rsidRDefault="00000000">
      <w:pPr>
        <w:spacing w:line="360" w:lineRule="auto"/>
        <w:ind w:firstLineChars="200" w:firstLine="480"/>
        <w:rPr>
          <w:rFonts w:ascii="宋体" w:hAnsi="宋体"/>
          <w:sz w:val="24"/>
          <w:szCs w:val="24"/>
        </w:rPr>
      </w:pPr>
      <w:r>
        <w:rPr>
          <w:rFonts w:ascii="宋体" w:hAnsi="宋体" w:hint="eastAsia"/>
          <w:sz w:val="24"/>
          <w:szCs w:val="24"/>
        </w:rPr>
        <w:t>基金财产清算账册及有关文件由基金托管人保存，保存期限不低于法律法规规定的最低期限。</w:t>
      </w:r>
    </w:p>
    <w:p w14:paraId="7E219C1A" w14:textId="77777777" w:rsidR="00B67C49" w:rsidRDefault="00000000">
      <w:pPr>
        <w:widowControl/>
        <w:jc w:val="left"/>
        <w:rPr>
          <w:rFonts w:ascii="宋体" w:hAnsi="宋体"/>
          <w:sz w:val="24"/>
          <w:szCs w:val="24"/>
        </w:rPr>
      </w:pPr>
      <w:r>
        <w:rPr>
          <w:rFonts w:ascii="宋体" w:hAnsi="宋体"/>
          <w:sz w:val="24"/>
          <w:szCs w:val="24"/>
        </w:rPr>
        <w:br w:type="page"/>
      </w:r>
    </w:p>
    <w:p w14:paraId="6A6E9CF6" w14:textId="77777777" w:rsidR="00B67C49" w:rsidRDefault="00000000">
      <w:pPr>
        <w:pStyle w:val="1"/>
        <w:jc w:val="center"/>
        <w:rPr>
          <w:sz w:val="30"/>
          <w:szCs w:val="30"/>
        </w:rPr>
      </w:pPr>
      <w:bookmarkStart w:id="426" w:name="_Toc68266308"/>
      <w:bookmarkStart w:id="427" w:name="_Toc119568477"/>
      <w:bookmarkStart w:id="428" w:name="_Toc21073396"/>
      <w:bookmarkStart w:id="429" w:name="_Toc214873621"/>
      <w:bookmarkStart w:id="430" w:name="_Toc12357176"/>
      <w:bookmarkStart w:id="431" w:name="_Toc263092328"/>
      <w:bookmarkStart w:id="432" w:name="_Toc416264555"/>
      <w:bookmarkStart w:id="433" w:name="_Toc147463123"/>
      <w:bookmarkStart w:id="434" w:name="_Toc139991751"/>
      <w:bookmarkStart w:id="435" w:name="_Toc23999"/>
      <w:bookmarkStart w:id="436" w:name="_Toc123051467"/>
      <w:bookmarkStart w:id="437" w:name="_Toc1790"/>
      <w:bookmarkStart w:id="438" w:name="_Toc3319"/>
      <w:bookmarkStart w:id="439" w:name="_Toc98560366"/>
      <w:bookmarkStart w:id="440" w:name="_Toc6202"/>
      <w:bookmarkStart w:id="441" w:name="_Toc141703902"/>
      <w:bookmarkStart w:id="442" w:name="_Toc123112249"/>
      <w:bookmarkStart w:id="443" w:name="_Toc30350"/>
      <w:bookmarkStart w:id="444" w:name="_Toc352229767"/>
      <w:bookmarkStart w:id="445" w:name="_Toc21983"/>
      <w:bookmarkStart w:id="446" w:name="_Toc25651"/>
      <w:bookmarkStart w:id="447" w:name="_Toc123102468"/>
      <w:bookmarkStart w:id="448" w:name="_Toc24923"/>
      <w:bookmarkStart w:id="449" w:name="_Toc6110"/>
      <w:bookmarkStart w:id="450" w:name="_Toc7288"/>
      <w:bookmarkStart w:id="451" w:name="_Toc8636"/>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hint="eastAsia"/>
          <w:sz w:val="30"/>
          <w:szCs w:val="30"/>
        </w:rPr>
        <w:lastRenderedPageBreak/>
        <w:t>第二十一部分</w:t>
      </w:r>
      <w:r>
        <w:rPr>
          <w:sz w:val="30"/>
          <w:szCs w:val="30"/>
        </w:rPr>
        <w:t xml:space="preserve">  </w:t>
      </w:r>
      <w:r>
        <w:rPr>
          <w:rFonts w:hint="eastAsia"/>
          <w:sz w:val="30"/>
          <w:szCs w:val="30"/>
        </w:rPr>
        <w:t>对基金份额持有人的服务</w:t>
      </w:r>
      <w:bookmarkEnd w:id="426"/>
      <w:bookmarkEnd w:id="427"/>
    </w:p>
    <w:p w14:paraId="30886B99"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C94AB70"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6E81E63D"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086AAA6C"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7F18B93D"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7287485A"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4AEF93D0"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64067AC9"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67A16442"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35901FC1"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751EF88A"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4031C6A3"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509E2279"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5D9D4BD4"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工作日之内对基金投资人的投诉做出回复。</w:t>
      </w:r>
      <w:r>
        <w:rPr>
          <w:rFonts w:asciiTheme="minorEastAsia" w:hAnsiTheme="minorEastAsia" w:cs="Arial" w:hint="eastAsia"/>
          <w:sz w:val="24"/>
          <w:szCs w:val="24"/>
        </w:rPr>
        <w:lastRenderedPageBreak/>
        <w:t xml:space="preserve">对于非工作日提出的投诉，基金管理人将在顺延到下 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工作日进行回复。</w:t>
      </w:r>
    </w:p>
    <w:p w14:paraId="7672F5FB"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（七）基金管理人联系方式 </w:t>
      </w:r>
    </w:p>
    <w:p w14:paraId="33538297"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 www.furamc.com.cn</w:t>
      </w:r>
    </w:p>
    <w:p w14:paraId="25C59D9E"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电子信箱：service@furamc.com.cn</w:t>
      </w:r>
    </w:p>
    <w:p w14:paraId="293C8A2C"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128D704F"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w:t>
      </w:r>
      <w:r>
        <w:rPr>
          <w:rFonts w:asciiTheme="minorEastAsia" w:hAnsiTheme="minorEastAsia" w:cs="Times New Roman" w:hint="eastAsia"/>
          <w:kern w:val="0"/>
          <w:sz w:val="24"/>
          <w:szCs w:val="24"/>
        </w:rPr>
        <w:t>深圳市福田区八卦四路52号安吉尔大厦24层</w:t>
      </w:r>
      <w:r>
        <w:rPr>
          <w:rFonts w:asciiTheme="minorEastAsia" w:hAnsiTheme="minorEastAsia" w:cs="Arial" w:hint="eastAsia"/>
          <w:sz w:val="24"/>
          <w:szCs w:val="24"/>
        </w:rPr>
        <w:t>，富荣基金管理有限公司客户服务部门（收）</w:t>
      </w:r>
    </w:p>
    <w:p w14:paraId="571A54A0"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282D545F" w14:textId="77777777" w:rsidR="00B67C49"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（八）如本招募说明书存在任何您/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无法理解的内容，请通过</w:t>
      </w:r>
      <w:proofErr w:type="gramStart"/>
      <w:r>
        <w:rPr>
          <w:rFonts w:asciiTheme="minorEastAsia" w:hAnsiTheme="minorEastAsia" w:cs="Arial" w:hint="eastAsia"/>
          <w:sz w:val="24"/>
          <w:szCs w:val="24"/>
        </w:rPr>
        <w:t>上述联系</w:t>
      </w:r>
      <w:proofErr w:type="gramEnd"/>
      <w:r>
        <w:rPr>
          <w:rFonts w:asciiTheme="minorEastAsia" w:hAnsiTheme="minorEastAsia" w:cs="Arial" w:hint="eastAsia"/>
          <w:sz w:val="24"/>
          <w:szCs w:val="24"/>
        </w:rPr>
        <w:t>方式联系基金管理人。</w:t>
      </w:r>
      <w:proofErr w:type="gramStart"/>
      <w:r>
        <w:rPr>
          <w:rFonts w:asciiTheme="minorEastAsia" w:hAnsiTheme="minorEastAsia" w:cs="Arial" w:hint="eastAsia"/>
          <w:sz w:val="24"/>
          <w:szCs w:val="24"/>
        </w:rPr>
        <w:t>请确保</w:t>
      </w:r>
      <w:proofErr w:type="gramEnd"/>
      <w:r>
        <w:rPr>
          <w:rFonts w:asciiTheme="minorEastAsia" w:hAnsiTheme="minorEastAsia" w:cs="Arial" w:hint="eastAsia"/>
          <w:sz w:val="24"/>
          <w:szCs w:val="24"/>
        </w:rPr>
        <w:t>投资前，您/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已经全面理解了本招募说明书</w:t>
      </w:r>
      <w:r>
        <w:rPr>
          <w:rFonts w:asciiTheme="minorEastAsia" w:hAnsiTheme="minorEastAsia" w:cs="Arial"/>
          <w:sz w:val="24"/>
          <w:szCs w:val="24"/>
        </w:rPr>
        <w:t>。</w:t>
      </w:r>
    </w:p>
    <w:p w14:paraId="6E0A769C" w14:textId="77777777" w:rsidR="00B67C49" w:rsidRDefault="00000000">
      <w:pPr>
        <w:pStyle w:val="1"/>
        <w:jc w:val="center"/>
        <w:rPr>
          <w:rFonts w:asciiTheme="minorEastAsia" w:eastAsiaTheme="minorEastAsia" w:hAnsiTheme="minorEastAsia"/>
          <w:sz w:val="30"/>
          <w:szCs w:val="30"/>
        </w:rPr>
      </w:pPr>
      <w:r>
        <w:rPr>
          <w:rFonts w:asciiTheme="minorEastAsia" w:hAnsiTheme="minorEastAsia"/>
          <w:szCs w:val="24"/>
        </w:rPr>
        <w:br w:type="page"/>
      </w:r>
      <w:bookmarkStart w:id="452" w:name="_Toc520207207"/>
      <w:bookmarkStart w:id="453" w:name="_Toc521338342"/>
      <w:bookmarkStart w:id="454" w:name="_Toc256666929"/>
      <w:bookmarkStart w:id="455" w:name="_Toc30359"/>
      <w:bookmarkStart w:id="456" w:name="_Toc119568478"/>
      <w:bookmarkStart w:id="457" w:name="_Toc256666809"/>
      <w:bookmarkStart w:id="458" w:name="_Toc482624810"/>
      <w:r>
        <w:rPr>
          <w:rFonts w:asciiTheme="minorEastAsia" w:eastAsiaTheme="minorEastAsia" w:hAnsiTheme="minorEastAsia" w:hint="eastAsia"/>
          <w:sz w:val="30"/>
          <w:szCs w:val="30"/>
        </w:rPr>
        <w:lastRenderedPageBreak/>
        <w:t>第二十二部分  其他应披露事项</w:t>
      </w:r>
      <w:bookmarkEnd w:id="452"/>
      <w:bookmarkEnd w:id="453"/>
      <w:bookmarkEnd w:id="454"/>
      <w:bookmarkEnd w:id="455"/>
      <w:bookmarkEnd w:id="456"/>
      <w:bookmarkEnd w:id="457"/>
      <w:bookmarkEnd w:id="458"/>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708"/>
        <w:gridCol w:w="2230"/>
      </w:tblGrid>
      <w:tr w:rsidR="00B67C49" w14:paraId="37EBA70F" w14:textId="77777777">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2751E0F" w14:textId="77777777" w:rsidR="00B67C49" w:rsidRDefault="00000000">
            <w:pPr>
              <w:jc w:val="center"/>
              <w:rPr>
                <w:rFonts w:asciiTheme="minorEastAsia" w:hAnsiTheme="minorEastAsia" w:cs="Arial"/>
                <w:sz w:val="24"/>
                <w:szCs w:val="24"/>
              </w:rPr>
            </w:pPr>
            <w:r>
              <w:rPr>
                <w:rFonts w:asciiTheme="minorEastAsia" w:hAnsiTheme="minorEastAsia" w:cs="Arial" w:hint="eastAsia"/>
                <w:sz w:val="24"/>
                <w:szCs w:val="24"/>
              </w:rPr>
              <w:t>序号</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20EE1C5" w14:textId="77777777" w:rsidR="00B67C49" w:rsidRDefault="00000000">
            <w:pPr>
              <w:jc w:val="center"/>
              <w:rPr>
                <w:rFonts w:asciiTheme="minorEastAsia" w:hAnsiTheme="minorEastAsia" w:cs="Arial"/>
                <w:sz w:val="24"/>
                <w:szCs w:val="24"/>
              </w:rPr>
            </w:pPr>
            <w:r>
              <w:rPr>
                <w:rFonts w:asciiTheme="minorEastAsia" w:hAnsiTheme="minorEastAsia" w:cs="Arial" w:hint="eastAsia"/>
                <w:sz w:val="24"/>
                <w:szCs w:val="24"/>
              </w:rPr>
              <w:t>公告事项</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0FF7FE83" w14:textId="77777777" w:rsidR="00B67C49" w:rsidRDefault="00000000">
            <w:pPr>
              <w:jc w:val="center"/>
              <w:rPr>
                <w:rFonts w:asciiTheme="minorEastAsia" w:hAnsiTheme="minorEastAsia" w:cs="Arial"/>
                <w:sz w:val="24"/>
                <w:szCs w:val="24"/>
              </w:rPr>
            </w:pPr>
            <w:r>
              <w:rPr>
                <w:rFonts w:asciiTheme="minorEastAsia" w:hAnsiTheme="minorEastAsia" w:cs="Arial" w:hint="eastAsia"/>
                <w:sz w:val="24"/>
                <w:szCs w:val="24"/>
              </w:rPr>
              <w:t>披露日期</w:t>
            </w:r>
          </w:p>
        </w:tc>
      </w:tr>
      <w:tr w:rsidR="00B67C49" w14:paraId="2EBC87DE" w14:textId="77777777">
        <w:trPr>
          <w:trHeight w:val="20"/>
        </w:trPr>
        <w:tc>
          <w:tcPr>
            <w:tcW w:w="817" w:type="dxa"/>
            <w:shd w:val="clear" w:color="auto" w:fill="auto"/>
          </w:tcPr>
          <w:p w14:paraId="6674AF28"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1</w:t>
            </w:r>
          </w:p>
        </w:tc>
        <w:tc>
          <w:tcPr>
            <w:tcW w:w="5708" w:type="dxa"/>
            <w:shd w:val="clear" w:color="auto" w:fill="auto"/>
            <w:vAlign w:val="bottom"/>
          </w:tcPr>
          <w:p w14:paraId="25708107"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2022</w:t>
            </w:r>
            <w:r>
              <w:rPr>
                <w:rFonts w:asciiTheme="minorEastAsia" w:hAnsiTheme="minorEastAsia" w:cs="Arial" w:hint="eastAsia"/>
                <w:sz w:val="24"/>
                <w:szCs w:val="24"/>
              </w:rPr>
              <w:t>年第</w:t>
            </w:r>
            <w:r>
              <w:rPr>
                <w:rFonts w:asciiTheme="minorEastAsia" w:hAnsiTheme="minorEastAsia" w:cs="Arial"/>
                <w:sz w:val="24"/>
                <w:szCs w:val="24"/>
              </w:rPr>
              <w:t>3</w:t>
            </w:r>
            <w:r>
              <w:rPr>
                <w:rFonts w:asciiTheme="minorEastAsia" w:hAnsiTheme="minorEastAsia" w:cs="Arial" w:hint="eastAsia"/>
                <w:sz w:val="24"/>
                <w:szCs w:val="24"/>
              </w:rPr>
              <w:t>季度报告提示性公告</w:t>
            </w:r>
          </w:p>
        </w:tc>
        <w:tc>
          <w:tcPr>
            <w:tcW w:w="2230" w:type="dxa"/>
            <w:shd w:val="clear" w:color="auto" w:fill="auto"/>
            <w:vAlign w:val="center"/>
          </w:tcPr>
          <w:p w14:paraId="6812A7CE"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10</w:t>
            </w:r>
            <w:r>
              <w:rPr>
                <w:rFonts w:asciiTheme="minorEastAsia" w:hAnsiTheme="minorEastAsia" w:cs="Arial" w:hint="eastAsia"/>
                <w:sz w:val="24"/>
                <w:szCs w:val="24"/>
              </w:rPr>
              <w:t>月</w:t>
            </w:r>
            <w:r>
              <w:rPr>
                <w:rFonts w:asciiTheme="minorEastAsia" w:hAnsiTheme="minorEastAsia" w:cs="Arial"/>
                <w:sz w:val="24"/>
                <w:szCs w:val="24"/>
              </w:rPr>
              <w:t>26</w:t>
            </w:r>
            <w:r>
              <w:rPr>
                <w:rFonts w:asciiTheme="minorEastAsia" w:hAnsiTheme="minorEastAsia" w:cs="Arial" w:hint="eastAsia"/>
                <w:sz w:val="24"/>
                <w:szCs w:val="24"/>
              </w:rPr>
              <w:t>日</w:t>
            </w:r>
          </w:p>
        </w:tc>
      </w:tr>
      <w:tr w:rsidR="00B67C49" w14:paraId="19D2A13D" w14:textId="77777777">
        <w:trPr>
          <w:trHeight w:val="20"/>
        </w:trPr>
        <w:tc>
          <w:tcPr>
            <w:tcW w:w="817" w:type="dxa"/>
            <w:shd w:val="clear" w:color="auto" w:fill="auto"/>
          </w:tcPr>
          <w:p w14:paraId="11B5170F"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2</w:t>
            </w:r>
          </w:p>
        </w:tc>
        <w:tc>
          <w:tcPr>
            <w:tcW w:w="5708" w:type="dxa"/>
            <w:shd w:val="clear" w:color="auto" w:fill="auto"/>
            <w:vAlign w:val="bottom"/>
          </w:tcPr>
          <w:p w14:paraId="6B4251E5"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富荣基金管理有限公司关于旗下基金新增九州证券股份有限公司为销售机构、开通基金定期定额投资业务和基金转换业务并参加申购及定期定额投资申购费率优惠活动的公告</w:t>
            </w:r>
          </w:p>
        </w:tc>
        <w:tc>
          <w:tcPr>
            <w:tcW w:w="2230" w:type="dxa"/>
            <w:shd w:val="clear" w:color="auto" w:fill="auto"/>
            <w:vAlign w:val="center"/>
          </w:tcPr>
          <w:p w14:paraId="6A4CA7EA"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10</w:t>
            </w:r>
            <w:r>
              <w:rPr>
                <w:rFonts w:asciiTheme="minorEastAsia" w:hAnsiTheme="minorEastAsia" w:cs="Arial" w:hint="eastAsia"/>
                <w:sz w:val="24"/>
                <w:szCs w:val="24"/>
              </w:rPr>
              <w:t>月</w:t>
            </w:r>
            <w:r>
              <w:rPr>
                <w:rFonts w:asciiTheme="minorEastAsia" w:hAnsiTheme="minorEastAsia" w:cs="Arial"/>
                <w:sz w:val="24"/>
                <w:szCs w:val="24"/>
              </w:rPr>
              <w:t>26</w:t>
            </w:r>
            <w:r>
              <w:rPr>
                <w:rFonts w:asciiTheme="minorEastAsia" w:hAnsiTheme="minorEastAsia" w:cs="Arial" w:hint="eastAsia"/>
                <w:sz w:val="24"/>
                <w:szCs w:val="24"/>
              </w:rPr>
              <w:t>日</w:t>
            </w:r>
          </w:p>
        </w:tc>
      </w:tr>
      <w:tr w:rsidR="00B67C49" w14:paraId="5EAAD3F2" w14:textId="77777777">
        <w:trPr>
          <w:trHeight w:val="20"/>
        </w:trPr>
        <w:tc>
          <w:tcPr>
            <w:tcW w:w="817" w:type="dxa"/>
            <w:shd w:val="clear" w:color="auto" w:fill="auto"/>
          </w:tcPr>
          <w:p w14:paraId="408063D9"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3</w:t>
            </w:r>
          </w:p>
        </w:tc>
        <w:tc>
          <w:tcPr>
            <w:tcW w:w="5708" w:type="dxa"/>
            <w:shd w:val="clear" w:color="auto" w:fill="auto"/>
            <w:vAlign w:val="bottom"/>
          </w:tcPr>
          <w:p w14:paraId="188348A3"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富荣基金管理有限公司关于旗下部分公开募集证券投资基金更新招募说明书及产品资料概要的提示性公告</w:t>
            </w:r>
          </w:p>
        </w:tc>
        <w:tc>
          <w:tcPr>
            <w:tcW w:w="2230" w:type="dxa"/>
            <w:shd w:val="clear" w:color="auto" w:fill="auto"/>
            <w:vAlign w:val="center"/>
          </w:tcPr>
          <w:p w14:paraId="7F864FA8"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11</w:t>
            </w:r>
            <w:r>
              <w:rPr>
                <w:rFonts w:asciiTheme="minorEastAsia" w:hAnsiTheme="minorEastAsia" w:cs="Arial" w:hint="eastAsia"/>
                <w:sz w:val="24"/>
                <w:szCs w:val="24"/>
              </w:rPr>
              <w:t>月</w:t>
            </w:r>
            <w:r>
              <w:rPr>
                <w:rFonts w:asciiTheme="minorEastAsia" w:hAnsiTheme="minorEastAsia" w:cs="Arial"/>
                <w:sz w:val="24"/>
                <w:szCs w:val="24"/>
              </w:rPr>
              <w:t>23</w:t>
            </w:r>
            <w:r>
              <w:rPr>
                <w:rFonts w:asciiTheme="minorEastAsia" w:hAnsiTheme="minorEastAsia" w:cs="Arial" w:hint="eastAsia"/>
                <w:sz w:val="24"/>
                <w:szCs w:val="24"/>
              </w:rPr>
              <w:t>日</w:t>
            </w:r>
          </w:p>
        </w:tc>
      </w:tr>
      <w:tr w:rsidR="00B67C49" w14:paraId="33CFDB5F" w14:textId="77777777">
        <w:trPr>
          <w:trHeight w:val="20"/>
        </w:trPr>
        <w:tc>
          <w:tcPr>
            <w:tcW w:w="817" w:type="dxa"/>
            <w:shd w:val="clear" w:color="auto" w:fill="auto"/>
          </w:tcPr>
          <w:p w14:paraId="5A91C4C0"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4</w:t>
            </w:r>
          </w:p>
        </w:tc>
        <w:tc>
          <w:tcPr>
            <w:tcW w:w="5708" w:type="dxa"/>
            <w:shd w:val="clear" w:color="auto" w:fill="auto"/>
            <w:vAlign w:val="bottom"/>
          </w:tcPr>
          <w:p w14:paraId="2535F1C9"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富荣基金管理有限公司关于旗下基金新增海通证券股份有限公司为销售机构、开通基金定期定额投资业务和基金转换业务并参加申购及定期定额投资申购费率优惠活动的公告</w:t>
            </w:r>
          </w:p>
        </w:tc>
        <w:tc>
          <w:tcPr>
            <w:tcW w:w="2230" w:type="dxa"/>
            <w:shd w:val="clear" w:color="auto" w:fill="auto"/>
            <w:vAlign w:val="center"/>
          </w:tcPr>
          <w:p w14:paraId="21898569"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11</w:t>
            </w:r>
            <w:r>
              <w:rPr>
                <w:rFonts w:asciiTheme="minorEastAsia" w:hAnsiTheme="minorEastAsia" w:cs="Arial" w:hint="eastAsia"/>
                <w:sz w:val="24"/>
                <w:szCs w:val="24"/>
              </w:rPr>
              <w:t>月</w:t>
            </w:r>
            <w:r>
              <w:rPr>
                <w:rFonts w:asciiTheme="minorEastAsia" w:hAnsiTheme="minorEastAsia" w:cs="Arial"/>
                <w:sz w:val="24"/>
                <w:szCs w:val="24"/>
              </w:rPr>
              <w:t>24</w:t>
            </w:r>
            <w:r>
              <w:rPr>
                <w:rFonts w:asciiTheme="minorEastAsia" w:hAnsiTheme="minorEastAsia" w:cs="Arial" w:hint="eastAsia"/>
                <w:sz w:val="24"/>
                <w:szCs w:val="24"/>
              </w:rPr>
              <w:t>日</w:t>
            </w:r>
          </w:p>
        </w:tc>
      </w:tr>
      <w:tr w:rsidR="00B67C49" w14:paraId="0D1CE051" w14:textId="77777777">
        <w:trPr>
          <w:trHeight w:val="20"/>
        </w:trPr>
        <w:tc>
          <w:tcPr>
            <w:tcW w:w="817" w:type="dxa"/>
            <w:shd w:val="clear" w:color="auto" w:fill="auto"/>
          </w:tcPr>
          <w:p w14:paraId="481F9744"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5</w:t>
            </w:r>
          </w:p>
        </w:tc>
        <w:tc>
          <w:tcPr>
            <w:tcW w:w="5708" w:type="dxa"/>
            <w:shd w:val="clear" w:color="auto" w:fill="auto"/>
            <w:vAlign w:val="bottom"/>
          </w:tcPr>
          <w:p w14:paraId="7EFAD7AD"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富荣基金管理有限公司关于旗下基金新增华金证券股份有限公司为销售机构、开通基金定期定额投资业务和基金转换业务并参加申购及定期定额投资申购费率优惠活动的公告</w:t>
            </w:r>
          </w:p>
        </w:tc>
        <w:tc>
          <w:tcPr>
            <w:tcW w:w="2230" w:type="dxa"/>
            <w:shd w:val="clear" w:color="auto" w:fill="auto"/>
            <w:vAlign w:val="center"/>
          </w:tcPr>
          <w:p w14:paraId="78310F17"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12</w:t>
            </w:r>
            <w:r>
              <w:rPr>
                <w:rFonts w:asciiTheme="minorEastAsia" w:hAnsiTheme="minorEastAsia" w:cs="Arial" w:hint="eastAsia"/>
                <w:sz w:val="24"/>
                <w:szCs w:val="24"/>
              </w:rPr>
              <w:t>月</w:t>
            </w:r>
            <w:r>
              <w:rPr>
                <w:rFonts w:asciiTheme="minorEastAsia" w:hAnsiTheme="minorEastAsia" w:cs="Arial"/>
                <w:sz w:val="24"/>
                <w:szCs w:val="24"/>
              </w:rPr>
              <w:t>12</w:t>
            </w:r>
            <w:r>
              <w:rPr>
                <w:rFonts w:asciiTheme="minorEastAsia" w:hAnsiTheme="minorEastAsia" w:cs="Arial" w:hint="eastAsia"/>
                <w:sz w:val="24"/>
                <w:szCs w:val="24"/>
              </w:rPr>
              <w:t>日</w:t>
            </w:r>
          </w:p>
        </w:tc>
      </w:tr>
      <w:tr w:rsidR="00B67C49" w14:paraId="09F9ADD2" w14:textId="77777777">
        <w:trPr>
          <w:trHeight w:val="20"/>
        </w:trPr>
        <w:tc>
          <w:tcPr>
            <w:tcW w:w="817" w:type="dxa"/>
            <w:shd w:val="clear" w:color="auto" w:fill="auto"/>
          </w:tcPr>
          <w:p w14:paraId="27D639C0"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6</w:t>
            </w:r>
          </w:p>
        </w:tc>
        <w:tc>
          <w:tcPr>
            <w:tcW w:w="5708" w:type="dxa"/>
            <w:shd w:val="clear" w:color="auto" w:fill="auto"/>
            <w:vAlign w:val="bottom"/>
          </w:tcPr>
          <w:p w14:paraId="607248AC"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2022</w:t>
            </w:r>
            <w:r>
              <w:rPr>
                <w:rFonts w:asciiTheme="minorEastAsia" w:hAnsiTheme="minorEastAsia" w:cs="Arial" w:hint="eastAsia"/>
                <w:sz w:val="24"/>
                <w:szCs w:val="24"/>
              </w:rPr>
              <w:t>年第</w:t>
            </w:r>
            <w:r>
              <w:rPr>
                <w:rFonts w:asciiTheme="minorEastAsia" w:hAnsiTheme="minorEastAsia" w:cs="Arial"/>
                <w:sz w:val="24"/>
                <w:szCs w:val="24"/>
              </w:rPr>
              <w:t>4</w:t>
            </w:r>
            <w:r>
              <w:rPr>
                <w:rFonts w:asciiTheme="minorEastAsia" w:hAnsiTheme="minorEastAsia" w:cs="Arial" w:hint="eastAsia"/>
                <w:sz w:val="24"/>
                <w:szCs w:val="24"/>
              </w:rPr>
              <w:t>季度报告提示性公告</w:t>
            </w:r>
          </w:p>
        </w:tc>
        <w:tc>
          <w:tcPr>
            <w:tcW w:w="2230" w:type="dxa"/>
            <w:shd w:val="clear" w:color="auto" w:fill="auto"/>
            <w:vAlign w:val="center"/>
          </w:tcPr>
          <w:p w14:paraId="1B5AEB18"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1</w:t>
            </w:r>
            <w:r>
              <w:rPr>
                <w:rFonts w:asciiTheme="minorEastAsia" w:hAnsiTheme="minorEastAsia" w:cs="Arial" w:hint="eastAsia"/>
                <w:sz w:val="24"/>
                <w:szCs w:val="24"/>
              </w:rPr>
              <w:t>月</w:t>
            </w:r>
            <w:r>
              <w:rPr>
                <w:rFonts w:asciiTheme="minorEastAsia" w:hAnsiTheme="minorEastAsia" w:cs="Arial"/>
                <w:sz w:val="24"/>
                <w:szCs w:val="24"/>
              </w:rPr>
              <w:t>20</w:t>
            </w:r>
            <w:r>
              <w:rPr>
                <w:rFonts w:asciiTheme="minorEastAsia" w:hAnsiTheme="minorEastAsia" w:cs="Arial" w:hint="eastAsia"/>
                <w:sz w:val="24"/>
                <w:szCs w:val="24"/>
              </w:rPr>
              <w:t>日</w:t>
            </w:r>
          </w:p>
        </w:tc>
      </w:tr>
      <w:tr w:rsidR="00B67C49" w14:paraId="5047A26F" w14:textId="77777777">
        <w:trPr>
          <w:trHeight w:val="20"/>
        </w:trPr>
        <w:tc>
          <w:tcPr>
            <w:tcW w:w="817" w:type="dxa"/>
            <w:shd w:val="clear" w:color="auto" w:fill="auto"/>
          </w:tcPr>
          <w:p w14:paraId="4A8E0A4F"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7</w:t>
            </w:r>
          </w:p>
        </w:tc>
        <w:tc>
          <w:tcPr>
            <w:tcW w:w="5708" w:type="dxa"/>
            <w:shd w:val="clear" w:color="auto" w:fill="auto"/>
            <w:vAlign w:val="bottom"/>
          </w:tcPr>
          <w:p w14:paraId="462E5B4E"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富荣基金管理有限公司关于旗下部分基金参加销售机构基金申购及定期定额投资申购费率优惠活动的公告</w:t>
            </w:r>
          </w:p>
        </w:tc>
        <w:tc>
          <w:tcPr>
            <w:tcW w:w="2230" w:type="dxa"/>
            <w:shd w:val="clear" w:color="auto" w:fill="auto"/>
            <w:vAlign w:val="center"/>
          </w:tcPr>
          <w:p w14:paraId="7B719AAC"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2</w:t>
            </w:r>
            <w:r>
              <w:rPr>
                <w:rFonts w:asciiTheme="minorEastAsia" w:hAnsiTheme="minorEastAsia" w:cs="Arial" w:hint="eastAsia"/>
                <w:sz w:val="24"/>
                <w:szCs w:val="24"/>
              </w:rPr>
              <w:t>月</w:t>
            </w:r>
            <w:r>
              <w:rPr>
                <w:rFonts w:asciiTheme="minorEastAsia" w:hAnsiTheme="minorEastAsia" w:cs="Arial"/>
                <w:sz w:val="24"/>
                <w:szCs w:val="24"/>
              </w:rPr>
              <w:t>3</w:t>
            </w:r>
            <w:r>
              <w:rPr>
                <w:rFonts w:asciiTheme="minorEastAsia" w:hAnsiTheme="minorEastAsia" w:cs="Arial" w:hint="eastAsia"/>
                <w:sz w:val="24"/>
                <w:szCs w:val="24"/>
              </w:rPr>
              <w:t>日</w:t>
            </w:r>
          </w:p>
        </w:tc>
      </w:tr>
      <w:tr w:rsidR="00B67C49" w14:paraId="4A2FAA33" w14:textId="77777777">
        <w:trPr>
          <w:trHeight w:val="20"/>
        </w:trPr>
        <w:tc>
          <w:tcPr>
            <w:tcW w:w="817" w:type="dxa"/>
            <w:shd w:val="clear" w:color="auto" w:fill="auto"/>
          </w:tcPr>
          <w:p w14:paraId="672F502B"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8</w:t>
            </w:r>
          </w:p>
        </w:tc>
        <w:tc>
          <w:tcPr>
            <w:tcW w:w="5708" w:type="dxa"/>
            <w:shd w:val="clear" w:color="auto" w:fill="auto"/>
            <w:vAlign w:val="bottom"/>
          </w:tcPr>
          <w:p w14:paraId="1D236547"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230" w:type="dxa"/>
            <w:shd w:val="clear" w:color="auto" w:fill="auto"/>
            <w:vAlign w:val="center"/>
          </w:tcPr>
          <w:p w14:paraId="71F11E98"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2</w:t>
            </w:r>
            <w:r>
              <w:rPr>
                <w:rFonts w:asciiTheme="minorEastAsia" w:hAnsiTheme="minorEastAsia" w:cs="Arial" w:hint="eastAsia"/>
                <w:sz w:val="24"/>
                <w:szCs w:val="24"/>
              </w:rPr>
              <w:t>月</w:t>
            </w:r>
            <w:r>
              <w:rPr>
                <w:rFonts w:asciiTheme="minorEastAsia" w:hAnsiTheme="minorEastAsia" w:cs="Arial"/>
                <w:sz w:val="24"/>
                <w:szCs w:val="24"/>
              </w:rPr>
              <w:t>3</w:t>
            </w:r>
            <w:r>
              <w:rPr>
                <w:rFonts w:asciiTheme="minorEastAsia" w:hAnsiTheme="minorEastAsia" w:cs="Arial" w:hint="eastAsia"/>
                <w:sz w:val="24"/>
                <w:szCs w:val="24"/>
              </w:rPr>
              <w:t>日</w:t>
            </w:r>
          </w:p>
        </w:tc>
      </w:tr>
      <w:tr w:rsidR="00B67C49" w14:paraId="46832B01" w14:textId="77777777">
        <w:trPr>
          <w:trHeight w:val="20"/>
        </w:trPr>
        <w:tc>
          <w:tcPr>
            <w:tcW w:w="817" w:type="dxa"/>
            <w:shd w:val="clear" w:color="auto" w:fill="auto"/>
          </w:tcPr>
          <w:p w14:paraId="21A13F78"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9</w:t>
            </w:r>
          </w:p>
        </w:tc>
        <w:tc>
          <w:tcPr>
            <w:tcW w:w="5708" w:type="dxa"/>
            <w:shd w:val="clear" w:color="auto" w:fill="auto"/>
            <w:vAlign w:val="bottom"/>
          </w:tcPr>
          <w:p w14:paraId="420CA95F"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230" w:type="dxa"/>
            <w:shd w:val="clear" w:color="auto" w:fill="auto"/>
            <w:vAlign w:val="center"/>
          </w:tcPr>
          <w:p w14:paraId="7ACA85FD"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2</w:t>
            </w:r>
            <w:r>
              <w:rPr>
                <w:rFonts w:asciiTheme="minorEastAsia" w:hAnsiTheme="minorEastAsia" w:cs="Arial" w:hint="eastAsia"/>
                <w:sz w:val="24"/>
                <w:szCs w:val="24"/>
              </w:rPr>
              <w:t>月</w:t>
            </w:r>
            <w:r>
              <w:rPr>
                <w:rFonts w:asciiTheme="minorEastAsia" w:hAnsiTheme="minorEastAsia" w:cs="Arial"/>
                <w:sz w:val="24"/>
                <w:szCs w:val="24"/>
              </w:rPr>
              <w:t>15</w:t>
            </w:r>
            <w:r>
              <w:rPr>
                <w:rFonts w:asciiTheme="minorEastAsia" w:hAnsiTheme="minorEastAsia" w:cs="Arial" w:hint="eastAsia"/>
                <w:sz w:val="24"/>
                <w:szCs w:val="24"/>
              </w:rPr>
              <w:t>日</w:t>
            </w:r>
          </w:p>
        </w:tc>
      </w:tr>
      <w:tr w:rsidR="00B67C49" w14:paraId="174B5C0B" w14:textId="77777777">
        <w:trPr>
          <w:trHeight w:val="20"/>
        </w:trPr>
        <w:tc>
          <w:tcPr>
            <w:tcW w:w="817" w:type="dxa"/>
            <w:shd w:val="clear" w:color="auto" w:fill="auto"/>
          </w:tcPr>
          <w:p w14:paraId="31159503"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p>
        </w:tc>
        <w:tc>
          <w:tcPr>
            <w:tcW w:w="5708" w:type="dxa"/>
            <w:shd w:val="clear" w:color="auto" w:fill="auto"/>
            <w:vAlign w:val="bottom"/>
          </w:tcPr>
          <w:p w14:paraId="24027127"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富荣基金管理有限公司关于旗下基金新增华</w:t>
            </w:r>
            <w:proofErr w:type="gramStart"/>
            <w:r>
              <w:rPr>
                <w:rFonts w:asciiTheme="minorEastAsia" w:hAnsiTheme="minorEastAsia" w:cs="Arial" w:hint="eastAsia"/>
                <w:sz w:val="24"/>
                <w:szCs w:val="24"/>
              </w:rPr>
              <w:t>宝证券</w:t>
            </w:r>
            <w:proofErr w:type="gramEnd"/>
            <w:r>
              <w:rPr>
                <w:rFonts w:asciiTheme="minorEastAsia" w:hAnsiTheme="minorEastAsia" w:cs="Arial" w:hint="eastAsia"/>
                <w:sz w:val="24"/>
                <w:szCs w:val="24"/>
              </w:rPr>
              <w:t>股份有限公司为销售机构、开通基金定期定额投资业务和基金转换业务并参加申购及定期定额投资申购费率优惠活动的公告</w:t>
            </w:r>
          </w:p>
        </w:tc>
        <w:tc>
          <w:tcPr>
            <w:tcW w:w="2230" w:type="dxa"/>
            <w:shd w:val="clear" w:color="auto" w:fill="auto"/>
            <w:vAlign w:val="center"/>
          </w:tcPr>
          <w:p w14:paraId="0CBBAF93"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3</w:t>
            </w:r>
            <w:r>
              <w:rPr>
                <w:rFonts w:asciiTheme="minorEastAsia" w:hAnsiTheme="minorEastAsia" w:cs="Arial" w:hint="eastAsia"/>
                <w:sz w:val="24"/>
                <w:szCs w:val="24"/>
              </w:rPr>
              <w:t>月</w:t>
            </w:r>
            <w:r>
              <w:rPr>
                <w:rFonts w:asciiTheme="minorEastAsia" w:hAnsiTheme="minorEastAsia" w:cs="Arial"/>
                <w:sz w:val="24"/>
                <w:szCs w:val="24"/>
              </w:rPr>
              <w:t>15</w:t>
            </w:r>
            <w:r>
              <w:rPr>
                <w:rFonts w:asciiTheme="minorEastAsia" w:hAnsiTheme="minorEastAsia" w:cs="Arial" w:hint="eastAsia"/>
                <w:sz w:val="24"/>
                <w:szCs w:val="24"/>
              </w:rPr>
              <w:t>日</w:t>
            </w:r>
          </w:p>
        </w:tc>
      </w:tr>
      <w:tr w:rsidR="00B67C49" w14:paraId="1A836B22" w14:textId="77777777">
        <w:trPr>
          <w:trHeight w:val="20"/>
        </w:trPr>
        <w:tc>
          <w:tcPr>
            <w:tcW w:w="817" w:type="dxa"/>
            <w:shd w:val="clear" w:color="auto" w:fill="auto"/>
          </w:tcPr>
          <w:p w14:paraId="4116C9F8"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1</w:t>
            </w:r>
          </w:p>
        </w:tc>
        <w:tc>
          <w:tcPr>
            <w:tcW w:w="5708" w:type="dxa"/>
            <w:shd w:val="clear" w:color="auto" w:fill="auto"/>
            <w:vAlign w:val="bottom"/>
          </w:tcPr>
          <w:p w14:paraId="224EFCDF"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富荣基金管理有限公司关于旗下部分基金新增江海证券有限公司为销售机构、开通基金定期定额投资业务和基金转换业务并参加申购及定期定额投资申购费率优惠活动的公告</w:t>
            </w:r>
          </w:p>
        </w:tc>
        <w:tc>
          <w:tcPr>
            <w:tcW w:w="2230" w:type="dxa"/>
            <w:shd w:val="clear" w:color="auto" w:fill="auto"/>
            <w:vAlign w:val="center"/>
          </w:tcPr>
          <w:p w14:paraId="4B47BF51"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3</w:t>
            </w:r>
            <w:r>
              <w:rPr>
                <w:rFonts w:asciiTheme="minorEastAsia" w:hAnsiTheme="minorEastAsia" w:cs="Arial" w:hint="eastAsia"/>
                <w:sz w:val="24"/>
                <w:szCs w:val="24"/>
              </w:rPr>
              <w:t>月</w:t>
            </w:r>
            <w:r>
              <w:rPr>
                <w:rFonts w:asciiTheme="minorEastAsia" w:hAnsiTheme="minorEastAsia" w:cs="Arial"/>
                <w:sz w:val="24"/>
                <w:szCs w:val="24"/>
              </w:rPr>
              <w:t>20</w:t>
            </w:r>
            <w:r>
              <w:rPr>
                <w:rFonts w:asciiTheme="minorEastAsia" w:hAnsiTheme="minorEastAsia" w:cs="Arial" w:hint="eastAsia"/>
                <w:sz w:val="24"/>
                <w:szCs w:val="24"/>
              </w:rPr>
              <w:t>日</w:t>
            </w:r>
          </w:p>
        </w:tc>
      </w:tr>
      <w:tr w:rsidR="00B67C49" w14:paraId="6CEB3EB7" w14:textId="77777777">
        <w:trPr>
          <w:trHeight w:val="20"/>
        </w:trPr>
        <w:tc>
          <w:tcPr>
            <w:tcW w:w="817" w:type="dxa"/>
            <w:shd w:val="clear" w:color="auto" w:fill="auto"/>
          </w:tcPr>
          <w:p w14:paraId="3EB1AFA0"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2</w:t>
            </w:r>
          </w:p>
        </w:tc>
        <w:tc>
          <w:tcPr>
            <w:tcW w:w="5708" w:type="dxa"/>
            <w:shd w:val="clear" w:color="auto" w:fill="auto"/>
            <w:vAlign w:val="bottom"/>
          </w:tcPr>
          <w:p w14:paraId="41AB5069"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2022</w:t>
            </w:r>
            <w:r>
              <w:rPr>
                <w:rFonts w:asciiTheme="minorEastAsia" w:hAnsiTheme="minorEastAsia" w:cs="Arial" w:hint="eastAsia"/>
                <w:sz w:val="24"/>
                <w:szCs w:val="24"/>
              </w:rPr>
              <w:t>年年度报告提示性公告</w:t>
            </w:r>
          </w:p>
        </w:tc>
        <w:tc>
          <w:tcPr>
            <w:tcW w:w="2230" w:type="dxa"/>
            <w:shd w:val="clear" w:color="auto" w:fill="auto"/>
            <w:vAlign w:val="center"/>
          </w:tcPr>
          <w:p w14:paraId="6438AA54"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3</w:t>
            </w:r>
            <w:r>
              <w:rPr>
                <w:rFonts w:asciiTheme="minorEastAsia" w:hAnsiTheme="minorEastAsia" w:cs="Arial" w:hint="eastAsia"/>
                <w:sz w:val="24"/>
                <w:szCs w:val="24"/>
              </w:rPr>
              <w:t>月</w:t>
            </w:r>
            <w:r>
              <w:rPr>
                <w:rFonts w:asciiTheme="minorEastAsia" w:hAnsiTheme="minorEastAsia" w:cs="Arial"/>
                <w:sz w:val="24"/>
                <w:szCs w:val="24"/>
              </w:rPr>
              <w:t>31</w:t>
            </w:r>
            <w:r>
              <w:rPr>
                <w:rFonts w:asciiTheme="minorEastAsia" w:hAnsiTheme="minorEastAsia" w:cs="Arial" w:hint="eastAsia"/>
                <w:sz w:val="24"/>
                <w:szCs w:val="24"/>
              </w:rPr>
              <w:t>日</w:t>
            </w:r>
          </w:p>
        </w:tc>
      </w:tr>
      <w:tr w:rsidR="00B67C49" w14:paraId="626C41EA" w14:textId="77777777">
        <w:trPr>
          <w:trHeight w:val="20"/>
        </w:trPr>
        <w:tc>
          <w:tcPr>
            <w:tcW w:w="817" w:type="dxa"/>
            <w:shd w:val="clear" w:color="auto" w:fill="auto"/>
          </w:tcPr>
          <w:p w14:paraId="17D1E965"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3</w:t>
            </w:r>
          </w:p>
        </w:tc>
        <w:tc>
          <w:tcPr>
            <w:tcW w:w="5708" w:type="dxa"/>
            <w:shd w:val="clear" w:color="auto" w:fill="auto"/>
            <w:vAlign w:val="bottom"/>
          </w:tcPr>
          <w:p w14:paraId="6AF3855B"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230" w:type="dxa"/>
            <w:shd w:val="clear" w:color="auto" w:fill="auto"/>
            <w:vAlign w:val="center"/>
          </w:tcPr>
          <w:p w14:paraId="1B4FE0B5"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4</w:t>
            </w:r>
            <w:r>
              <w:rPr>
                <w:rFonts w:asciiTheme="minorEastAsia" w:hAnsiTheme="minorEastAsia" w:cs="Arial" w:hint="eastAsia"/>
                <w:sz w:val="24"/>
                <w:szCs w:val="24"/>
              </w:rPr>
              <w:t>月</w:t>
            </w:r>
            <w:r>
              <w:rPr>
                <w:rFonts w:asciiTheme="minorEastAsia" w:hAnsiTheme="minorEastAsia" w:cs="Arial"/>
                <w:sz w:val="24"/>
                <w:szCs w:val="24"/>
              </w:rPr>
              <w:t>7</w:t>
            </w:r>
            <w:r>
              <w:rPr>
                <w:rFonts w:asciiTheme="minorEastAsia" w:hAnsiTheme="minorEastAsia" w:cs="Arial" w:hint="eastAsia"/>
                <w:sz w:val="24"/>
                <w:szCs w:val="24"/>
              </w:rPr>
              <w:t>日</w:t>
            </w:r>
          </w:p>
        </w:tc>
      </w:tr>
      <w:tr w:rsidR="00B67C49" w14:paraId="234EA310" w14:textId="77777777">
        <w:trPr>
          <w:trHeight w:val="20"/>
        </w:trPr>
        <w:tc>
          <w:tcPr>
            <w:tcW w:w="817" w:type="dxa"/>
            <w:shd w:val="clear" w:color="auto" w:fill="auto"/>
          </w:tcPr>
          <w:p w14:paraId="6E2996C1"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4</w:t>
            </w:r>
          </w:p>
        </w:tc>
        <w:tc>
          <w:tcPr>
            <w:tcW w:w="5708" w:type="dxa"/>
            <w:shd w:val="clear" w:color="auto" w:fill="auto"/>
            <w:vAlign w:val="bottom"/>
          </w:tcPr>
          <w:p w14:paraId="4C8967C5"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富荣基金管理有限公司住所变更公告</w:t>
            </w:r>
          </w:p>
        </w:tc>
        <w:tc>
          <w:tcPr>
            <w:tcW w:w="2230" w:type="dxa"/>
            <w:shd w:val="clear" w:color="auto" w:fill="auto"/>
            <w:vAlign w:val="center"/>
          </w:tcPr>
          <w:p w14:paraId="4E5EBB92"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4</w:t>
            </w:r>
            <w:r>
              <w:rPr>
                <w:rFonts w:asciiTheme="minorEastAsia" w:hAnsiTheme="minorEastAsia" w:cs="Arial" w:hint="eastAsia"/>
                <w:sz w:val="24"/>
                <w:szCs w:val="24"/>
              </w:rPr>
              <w:t>月</w:t>
            </w:r>
            <w:r>
              <w:rPr>
                <w:rFonts w:asciiTheme="minorEastAsia" w:hAnsiTheme="minorEastAsia" w:cs="Arial"/>
                <w:sz w:val="24"/>
                <w:szCs w:val="24"/>
              </w:rPr>
              <w:t>12</w:t>
            </w:r>
            <w:r>
              <w:rPr>
                <w:rFonts w:asciiTheme="minorEastAsia" w:hAnsiTheme="minorEastAsia" w:cs="Arial" w:hint="eastAsia"/>
                <w:sz w:val="24"/>
                <w:szCs w:val="24"/>
              </w:rPr>
              <w:t>日</w:t>
            </w:r>
          </w:p>
        </w:tc>
      </w:tr>
      <w:tr w:rsidR="00B67C49" w14:paraId="0359F7D1" w14:textId="77777777">
        <w:trPr>
          <w:trHeight w:val="20"/>
        </w:trPr>
        <w:tc>
          <w:tcPr>
            <w:tcW w:w="817" w:type="dxa"/>
            <w:shd w:val="clear" w:color="auto" w:fill="auto"/>
          </w:tcPr>
          <w:p w14:paraId="1AD25A2E"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5</w:t>
            </w:r>
          </w:p>
        </w:tc>
        <w:tc>
          <w:tcPr>
            <w:tcW w:w="5708" w:type="dxa"/>
            <w:shd w:val="clear" w:color="auto" w:fill="auto"/>
            <w:vAlign w:val="bottom"/>
          </w:tcPr>
          <w:p w14:paraId="12DA677D"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2023</w:t>
            </w:r>
            <w:r>
              <w:rPr>
                <w:rFonts w:asciiTheme="minorEastAsia" w:hAnsiTheme="minorEastAsia" w:cs="Arial" w:hint="eastAsia"/>
                <w:sz w:val="24"/>
                <w:szCs w:val="24"/>
              </w:rPr>
              <w:t>年第</w:t>
            </w:r>
            <w:r>
              <w:rPr>
                <w:rFonts w:asciiTheme="minorEastAsia" w:hAnsiTheme="minorEastAsia" w:cs="Arial"/>
                <w:sz w:val="24"/>
                <w:szCs w:val="24"/>
              </w:rPr>
              <w:t>1</w:t>
            </w:r>
            <w:r>
              <w:rPr>
                <w:rFonts w:asciiTheme="minorEastAsia" w:hAnsiTheme="minorEastAsia" w:cs="Arial" w:hint="eastAsia"/>
                <w:sz w:val="24"/>
                <w:szCs w:val="24"/>
              </w:rPr>
              <w:t>季度报告提示性公告</w:t>
            </w:r>
          </w:p>
        </w:tc>
        <w:tc>
          <w:tcPr>
            <w:tcW w:w="2230" w:type="dxa"/>
            <w:shd w:val="clear" w:color="auto" w:fill="auto"/>
            <w:vAlign w:val="center"/>
          </w:tcPr>
          <w:p w14:paraId="5FC0D28B"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4</w:t>
            </w:r>
            <w:r>
              <w:rPr>
                <w:rFonts w:asciiTheme="minorEastAsia" w:hAnsiTheme="minorEastAsia" w:cs="Arial" w:hint="eastAsia"/>
                <w:sz w:val="24"/>
                <w:szCs w:val="24"/>
              </w:rPr>
              <w:t>月</w:t>
            </w:r>
            <w:r>
              <w:rPr>
                <w:rFonts w:asciiTheme="minorEastAsia" w:hAnsiTheme="minorEastAsia" w:cs="Arial"/>
                <w:sz w:val="24"/>
                <w:szCs w:val="24"/>
              </w:rPr>
              <w:t>24</w:t>
            </w:r>
            <w:r>
              <w:rPr>
                <w:rFonts w:asciiTheme="minorEastAsia" w:hAnsiTheme="minorEastAsia" w:cs="Arial" w:hint="eastAsia"/>
                <w:sz w:val="24"/>
                <w:szCs w:val="24"/>
              </w:rPr>
              <w:t>日</w:t>
            </w:r>
          </w:p>
        </w:tc>
      </w:tr>
      <w:tr w:rsidR="00B67C49" w14:paraId="270CC354" w14:textId="77777777">
        <w:trPr>
          <w:trHeight w:val="20"/>
        </w:trPr>
        <w:tc>
          <w:tcPr>
            <w:tcW w:w="817" w:type="dxa"/>
            <w:shd w:val="clear" w:color="auto" w:fill="auto"/>
          </w:tcPr>
          <w:p w14:paraId="2D84ADD2"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6</w:t>
            </w:r>
          </w:p>
        </w:tc>
        <w:tc>
          <w:tcPr>
            <w:tcW w:w="5708" w:type="dxa"/>
            <w:shd w:val="clear" w:color="auto" w:fill="auto"/>
            <w:vAlign w:val="bottom"/>
          </w:tcPr>
          <w:p w14:paraId="560D2129"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富荣基金管理有限公司关于旗下部分基金新增浙江同花</w:t>
            </w:r>
            <w:proofErr w:type="gramStart"/>
            <w:r>
              <w:rPr>
                <w:rFonts w:asciiTheme="minorEastAsia" w:hAnsiTheme="minorEastAsia" w:cs="Arial" w:hint="eastAsia"/>
                <w:sz w:val="24"/>
                <w:szCs w:val="24"/>
              </w:rPr>
              <w:t>顺基金</w:t>
            </w:r>
            <w:proofErr w:type="gramEnd"/>
            <w:r>
              <w:rPr>
                <w:rFonts w:asciiTheme="minorEastAsia" w:hAnsiTheme="minorEastAsia" w:cs="Arial" w:hint="eastAsia"/>
                <w:sz w:val="24"/>
                <w:szCs w:val="24"/>
              </w:rPr>
              <w:t>销售有限公司为销售机构、开通基金定期</w:t>
            </w:r>
            <w:r>
              <w:rPr>
                <w:rFonts w:asciiTheme="minorEastAsia" w:hAnsiTheme="minorEastAsia" w:cs="Arial" w:hint="eastAsia"/>
                <w:sz w:val="24"/>
                <w:szCs w:val="24"/>
              </w:rPr>
              <w:lastRenderedPageBreak/>
              <w:t>定额投资业务和基金转换业务并参加申购及定期定额投资申购费率优惠活动的公告</w:t>
            </w:r>
          </w:p>
        </w:tc>
        <w:tc>
          <w:tcPr>
            <w:tcW w:w="2230" w:type="dxa"/>
            <w:shd w:val="clear" w:color="auto" w:fill="auto"/>
            <w:vAlign w:val="center"/>
          </w:tcPr>
          <w:p w14:paraId="50BE13DC"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lastRenderedPageBreak/>
              <w:t>2023</w:t>
            </w:r>
            <w:r>
              <w:rPr>
                <w:rFonts w:asciiTheme="minorEastAsia" w:hAnsiTheme="minorEastAsia" w:cs="Arial" w:hint="eastAsia"/>
                <w:sz w:val="24"/>
                <w:szCs w:val="24"/>
              </w:rPr>
              <w:t>年</w:t>
            </w:r>
            <w:r>
              <w:rPr>
                <w:rFonts w:asciiTheme="minorEastAsia" w:hAnsiTheme="minorEastAsia" w:cs="Arial"/>
                <w:sz w:val="24"/>
                <w:szCs w:val="24"/>
              </w:rPr>
              <w:t>5</w:t>
            </w:r>
            <w:r>
              <w:rPr>
                <w:rFonts w:asciiTheme="minorEastAsia" w:hAnsiTheme="minorEastAsia" w:cs="Arial" w:hint="eastAsia"/>
                <w:sz w:val="24"/>
                <w:szCs w:val="24"/>
              </w:rPr>
              <w:t>月</w:t>
            </w:r>
            <w:r>
              <w:rPr>
                <w:rFonts w:asciiTheme="minorEastAsia" w:hAnsiTheme="minorEastAsia" w:cs="Arial"/>
                <w:sz w:val="24"/>
                <w:szCs w:val="24"/>
              </w:rPr>
              <w:t>16</w:t>
            </w:r>
            <w:r>
              <w:rPr>
                <w:rFonts w:asciiTheme="minorEastAsia" w:hAnsiTheme="minorEastAsia" w:cs="Arial" w:hint="eastAsia"/>
                <w:sz w:val="24"/>
                <w:szCs w:val="24"/>
              </w:rPr>
              <w:t>日</w:t>
            </w:r>
          </w:p>
        </w:tc>
      </w:tr>
      <w:tr w:rsidR="00B67C49" w14:paraId="088439EE" w14:textId="77777777">
        <w:trPr>
          <w:trHeight w:val="20"/>
        </w:trPr>
        <w:tc>
          <w:tcPr>
            <w:tcW w:w="817" w:type="dxa"/>
            <w:shd w:val="clear" w:color="auto" w:fill="auto"/>
          </w:tcPr>
          <w:p w14:paraId="2FAE3047"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7</w:t>
            </w:r>
          </w:p>
        </w:tc>
        <w:tc>
          <w:tcPr>
            <w:tcW w:w="5708" w:type="dxa"/>
            <w:shd w:val="clear" w:color="auto" w:fill="auto"/>
            <w:vAlign w:val="bottom"/>
          </w:tcPr>
          <w:p w14:paraId="487EE790"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富荣基金管理有限公司关于总经理代为履行督察长职务的公告</w:t>
            </w:r>
          </w:p>
        </w:tc>
        <w:tc>
          <w:tcPr>
            <w:tcW w:w="2230" w:type="dxa"/>
            <w:shd w:val="clear" w:color="auto" w:fill="auto"/>
            <w:vAlign w:val="center"/>
          </w:tcPr>
          <w:p w14:paraId="47865C00"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6</w:t>
            </w:r>
            <w:r>
              <w:rPr>
                <w:rFonts w:asciiTheme="minorEastAsia" w:hAnsiTheme="minorEastAsia" w:cs="Arial" w:hint="eastAsia"/>
                <w:sz w:val="24"/>
                <w:szCs w:val="24"/>
              </w:rPr>
              <w:t>月</w:t>
            </w:r>
            <w:r>
              <w:rPr>
                <w:rFonts w:asciiTheme="minorEastAsia" w:hAnsiTheme="minorEastAsia" w:cs="Arial"/>
                <w:sz w:val="24"/>
                <w:szCs w:val="24"/>
              </w:rPr>
              <w:t>14</w:t>
            </w:r>
            <w:r>
              <w:rPr>
                <w:rFonts w:asciiTheme="minorEastAsia" w:hAnsiTheme="minorEastAsia" w:cs="Arial" w:hint="eastAsia"/>
                <w:sz w:val="24"/>
                <w:szCs w:val="24"/>
              </w:rPr>
              <w:t>日</w:t>
            </w:r>
          </w:p>
        </w:tc>
      </w:tr>
      <w:tr w:rsidR="00B67C49" w14:paraId="7CE510A0" w14:textId="77777777">
        <w:trPr>
          <w:trHeight w:val="20"/>
        </w:trPr>
        <w:tc>
          <w:tcPr>
            <w:tcW w:w="817" w:type="dxa"/>
            <w:shd w:val="clear" w:color="auto" w:fill="auto"/>
          </w:tcPr>
          <w:p w14:paraId="53AF0F57"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8</w:t>
            </w:r>
          </w:p>
        </w:tc>
        <w:tc>
          <w:tcPr>
            <w:tcW w:w="5708" w:type="dxa"/>
            <w:shd w:val="clear" w:color="auto" w:fill="auto"/>
            <w:vAlign w:val="bottom"/>
          </w:tcPr>
          <w:p w14:paraId="7DEC5910"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230" w:type="dxa"/>
            <w:shd w:val="clear" w:color="auto" w:fill="auto"/>
            <w:vAlign w:val="center"/>
          </w:tcPr>
          <w:p w14:paraId="6F21C08F"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6</w:t>
            </w:r>
            <w:r>
              <w:rPr>
                <w:rFonts w:asciiTheme="minorEastAsia" w:hAnsiTheme="minorEastAsia" w:cs="Arial" w:hint="eastAsia"/>
                <w:sz w:val="24"/>
                <w:szCs w:val="24"/>
              </w:rPr>
              <w:t>月</w:t>
            </w:r>
            <w:r>
              <w:rPr>
                <w:rFonts w:asciiTheme="minorEastAsia" w:hAnsiTheme="minorEastAsia" w:cs="Arial"/>
                <w:sz w:val="24"/>
                <w:szCs w:val="24"/>
              </w:rPr>
              <w:t>15</w:t>
            </w:r>
            <w:r>
              <w:rPr>
                <w:rFonts w:asciiTheme="minorEastAsia" w:hAnsiTheme="minorEastAsia" w:cs="Arial" w:hint="eastAsia"/>
                <w:sz w:val="24"/>
                <w:szCs w:val="24"/>
              </w:rPr>
              <w:t>日</w:t>
            </w:r>
          </w:p>
        </w:tc>
      </w:tr>
      <w:tr w:rsidR="00B67C49" w14:paraId="0B6AD01F" w14:textId="77777777">
        <w:trPr>
          <w:trHeight w:val="20"/>
        </w:trPr>
        <w:tc>
          <w:tcPr>
            <w:tcW w:w="817" w:type="dxa"/>
            <w:shd w:val="clear" w:color="auto" w:fill="auto"/>
          </w:tcPr>
          <w:p w14:paraId="7ABBD2DE"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9</w:t>
            </w:r>
          </w:p>
        </w:tc>
        <w:tc>
          <w:tcPr>
            <w:tcW w:w="5708" w:type="dxa"/>
            <w:shd w:val="clear" w:color="auto" w:fill="auto"/>
            <w:vAlign w:val="bottom"/>
          </w:tcPr>
          <w:p w14:paraId="12957B86"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富荣基金管理有限公司基金行业高级管理人员变更公告</w:t>
            </w:r>
          </w:p>
        </w:tc>
        <w:tc>
          <w:tcPr>
            <w:tcW w:w="2230" w:type="dxa"/>
            <w:shd w:val="clear" w:color="auto" w:fill="auto"/>
            <w:vAlign w:val="center"/>
          </w:tcPr>
          <w:p w14:paraId="0BB07450"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6</w:t>
            </w:r>
            <w:r>
              <w:rPr>
                <w:rFonts w:asciiTheme="minorEastAsia" w:hAnsiTheme="minorEastAsia" w:cs="Arial" w:hint="eastAsia"/>
                <w:sz w:val="24"/>
                <w:szCs w:val="24"/>
              </w:rPr>
              <w:t>月</w:t>
            </w:r>
            <w:r>
              <w:rPr>
                <w:rFonts w:asciiTheme="minorEastAsia" w:hAnsiTheme="minorEastAsia" w:cs="Arial"/>
                <w:sz w:val="24"/>
                <w:szCs w:val="24"/>
              </w:rPr>
              <w:t>17</w:t>
            </w:r>
            <w:r>
              <w:rPr>
                <w:rFonts w:asciiTheme="minorEastAsia" w:hAnsiTheme="minorEastAsia" w:cs="Arial" w:hint="eastAsia"/>
                <w:sz w:val="24"/>
                <w:szCs w:val="24"/>
              </w:rPr>
              <w:t>日</w:t>
            </w:r>
          </w:p>
        </w:tc>
      </w:tr>
      <w:tr w:rsidR="00B67C49" w14:paraId="2D3DB698" w14:textId="77777777">
        <w:trPr>
          <w:trHeight w:val="20"/>
        </w:trPr>
        <w:tc>
          <w:tcPr>
            <w:tcW w:w="817" w:type="dxa"/>
            <w:shd w:val="clear" w:color="auto" w:fill="auto"/>
          </w:tcPr>
          <w:p w14:paraId="1BBEEB70"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0</w:t>
            </w:r>
          </w:p>
        </w:tc>
        <w:tc>
          <w:tcPr>
            <w:tcW w:w="5708" w:type="dxa"/>
            <w:shd w:val="clear" w:color="auto" w:fill="auto"/>
            <w:vAlign w:val="bottom"/>
          </w:tcPr>
          <w:p w14:paraId="065AE7AE"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2023</w:t>
            </w:r>
            <w:r>
              <w:rPr>
                <w:rFonts w:asciiTheme="minorEastAsia" w:hAnsiTheme="minorEastAsia" w:cs="Arial" w:hint="eastAsia"/>
                <w:sz w:val="24"/>
                <w:szCs w:val="24"/>
              </w:rPr>
              <w:t>年第</w:t>
            </w:r>
            <w:r>
              <w:rPr>
                <w:rFonts w:asciiTheme="minorEastAsia" w:hAnsiTheme="minorEastAsia" w:cs="Arial"/>
                <w:sz w:val="24"/>
                <w:szCs w:val="24"/>
              </w:rPr>
              <w:t>2</w:t>
            </w:r>
            <w:r>
              <w:rPr>
                <w:rFonts w:asciiTheme="minorEastAsia" w:hAnsiTheme="minorEastAsia" w:cs="Arial" w:hint="eastAsia"/>
                <w:sz w:val="24"/>
                <w:szCs w:val="24"/>
              </w:rPr>
              <w:t>季度报告提示性公告</w:t>
            </w:r>
          </w:p>
        </w:tc>
        <w:tc>
          <w:tcPr>
            <w:tcW w:w="2230" w:type="dxa"/>
            <w:shd w:val="clear" w:color="auto" w:fill="auto"/>
            <w:vAlign w:val="center"/>
          </w:tcPr>
          <w:p w14:paraId="6876B655"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7</w:t>
            </w:r>
            <w:r>
              <w:rPr>
                <w:rFonts w:asciiTheme="minorEastAsia" w:hAnsiTheme="minorEastAsia" w:cs="Arial" w:hint="eastAsia"/>
                <w:sz w:val="24"/>
                <w:szCs w:val="24"/>
              </w:rPr>
              <w:t>月</w:t>
            </w:r>
            <w:r>
              <w:rPr>
                <w:rFonts w:asciiTheme="minorEastAsia" w:hAnsiTheme="minorEastAsia" w:cs="Arial"/>
                <w:sz w:val="24"/>
                <w:szCs w:val="24"/>
              </w:rPr>
              <w:t>21</w:t>
            </w:r>
            <w:r>
              <w:rPr>
                <w:rFonts w:asciiTheme="minorEastAsia" w:hAnsiTheme="minorEastAsia" w:cs="Arial" w:hint="eastAsia"/>
                <w:sz w:val="24"/>
                <w:szCs w:val="24"/>
              </w:rPr>
              <w:t>日</w:t>
            </w:r>
          </w:p>
        </w:tc>
      </w:tr>
      <w:tr w:rsidR="00B67C49" w14:paraId="3C1FE924" w14:textId="77777777">
        <w:trPr>
          <w:trHeight w:val="20"/>
        </w:trPr>
        <w:tc>
          <w:tcPr>
            <w:tcW w:w="817" w:type="dxa"/>
            <w:shd w:val="clear" w:color="auto" w:fill="auto"/>
          </w:tcPr>
          <w:p w14:paraId="3392A549"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1</w:t>
            </w:r>
          </w:p>
        </w:tc>
        <w:tc>
          <w:tcPr>
            <w:tcW w:w="5708" w:type="dxa"/>
            <w:shd w:val="clear" w:color="auto" w:fill="auto"/>
            <w:vAlign w:val="bottom"/>
          </w:tcPr>
          <w:p w14:paraId="1BDBA09D"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富荣福耀混合型证券投资</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经理变更公告</w:t>
            </w:r>
          </w:p>
        </w:tc>
        <w:tc>
          <w:tcPr>
            <w:tcW w:w="2230" w:type="dxa"/>
            <w:shd w:val="clear" w:color="auto" w:fill="auto"/>
            <w:vAlign w:val="center"/>
          </w:tcPr>
          <w:p w14:paraId="53AD5843"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8</w:t>
            </w:r>
            <w:r>
              <w:rPr>
                <w:rFonts w:asciiTheme="minorEastAsia" w:hAnsiTheme="minorEastAsia" w:cs="Arial" w:hint="eastAsia"/>
                <w:sz w:val="24"/>
                <w:szCs w:val="24"/>
              </w:rPr>
              <w:t>月</w:t>
            </w:r>
            <w:r>
              <w:rPr>
                <w:rFonts w:asciiTheme="minorEastAsia" w:hAnsiTheme="minorEastAsia" w:cs="Arial"/>
                <w:sz w:val="24"/>
                <w:szCs w:val="24"/>
              </w:rPr>
              <w:t>1</w:t>
            </w:r>
            <w:r>
              <w:rPr>
                <w:rFonts w:asciiTheme="minorEastAsia" w:hAnsiTheme="minorEastAsia" w:cs="Arial" w:hint="eastAsia"/>
                <w:sz w:val="24"/>
                <w:szCs w:val="24"/>
              </w:rPr>
              <w:t>日</w:t>
            </w:r>
          </w:p>
        </w:tc>
      </w:tr>
      <w:tr w:rsidR="00B67C49" w14:paraId="6F5F1D16" w14:textId="77777777">
        <w:trPr>
          <w:trHeight w:val="20"/>
        </w:trPr>
        <w:tc>
          <w:tcPr>
            <w:tcW w:w="817" w:type="dxa"/>
            <w:shd w:val="clear" w:color="auto" w:fill="auto"/>
          </w:tcPr>
          <w:p w14:paraId="2F3FEC03"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2</w:t>
            </w:r>
          </w:p>
        </w:tc>
        <w:tc>
          <w:tcPr>
            <w:tcW w:w="5708" w:type="dxa"/>
            <w:shd w:val="clear" w:color="auto" w:fill="auto"/>
            <w:vAlign w:val="bottom"/>
          </w:tcPr>
          <w:p w14:paraId="424DF213"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富荣基金管理有限公司关于旗下部分公开募集证券投资基金更新招募说明书及产品资料概要的提示性公告</w:t>
            </w:r>
          </w:p>
        </w:tc>
        <w:tc>
          <w:tcPr>
            <w:tcW w:w="2230" w:type="dxa"/>
            <w:shd w:val="clear" w:color="auto" w:fill="auto"/>
            <w:vAlign w:val="center"/>
          </w:tcPr>
          <w:p w14:paraId="434CAB94"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8</w:t>
            </w:r>
            <w:r>
              <w:rPr>
                <w:rFonts w:asciiTheme="minorEastAsia" w:hAnsiTheme="minorEastAsia" w:cs="Arial" w:hint="eastAsia"/>
                <w:sz w:val="24"/>
                <w:szCs w:val="24"/>
              </w:rPr>
              <w:t>月</w:t>
            </w:r>
            <w:r>
              <w:rPr>
                <w:rFonts w:asciiTheme="minorEastAsia" w:hAnsiTheme="minorEastAsia" w:cs="Arial"/>
                <w:sz w:val="24"/>
                <w:szCs w:val="24"/>
              </w:rPr>
              <w:t>3</w:t>
            </w:r>
            <w:r>
              <w:rPr>
                <w:rFonts w:asciiTheme="minorEastAsia" w:hAnsiTheme="minorEastAsia" w:cs="Arial" w:hint="eastAsia"/>
                <w:sz w:val="24"/>
                <w:szCs w:val="24"/>
              </w:rPr>
              <w:t>日</w:t>
            </w:r>
          </w:p>
        </w:tc>
      </w:tr>
      <w:tr w:rsidR="00B67C49" w14:paraId="22E6C245" w14:textId="77777777">
        <w:trPr>
          <w:trHeight w:val="20"/>
        </w:trPr>
        <w:tc>
          <w:tcPr>
            <w:tcW w:w="817" w:type="dxa"/>
            <w:shd w:val="clear" w:color="auto" w:fill="auto"/>
          </w:tcPr>
          <w:p w14:paraId="2EEBCA68"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3</w:t>
            </w:r>
          </w:p>
        </w:tc>
        <w:tc>
          <w:tcPr>
            <w:tcW w:w="5708" w:type="dxa"/>
            <w:shd w:val="clear" w:color="auto" w:fill="auto"/>
            <w:vAlign w:val="bottom"/>
          </w:tcPr>
          <w:p w14:paraId="26C0C389"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w:t>
            </w:r>
            <w:r>
              <w:rPr>
                <w:rFonts w:asciiTheme="minorEastAsia" w:hAnsiTheme="minorEastAsia" w:cs="Arial"/>
                <w:sz w:val="24"/>
                <w:szCs w:val="24"/>
              </w:rPr>
              <w:t>2023</w:t>
            </w:r>
            <w:r>
              <w:rPr>
                <w:rFonts w:asciiTheme="minorEastAsia" w:hAnsiTheme="minorEastAsia" w:cs="Arial" w:hint="eastAsia"/>
                <w:sz w:val="24"/>
                <w:szCs w:val="24"/>
              </w:rPr>
              <w:t>年中期报告提示性公告</w:t>
            </w:r>
          </w:p>
        </w:tc>
        <w:tc>
          <w:tcPr>
            <w:tcW w:w="2230" w:type="dxa"/>
            <w:shd w:val="clear" w:color="auto" w:fill="auto"/>
            <w:vAlign w:val="center"/>
          </w:tcPr>
          <w:p w14:paraId="4C1A2ABF"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8</w:t>
            </w:r>
            <w:r>
              <w:rPr>
                <w:rFonts w:asciiTheme="minorEastAsia" w:hAnsiTheme="minorEastAsia" w:cs="Arial" w:hint="eastAsia"/>
                <w:sz w:val="24"/>
                <w:szCs w:val="24"/>
              </w:rPr>
              <w:t>月</w:t>
            </w:r>
            <w:r>
              <w:rPr>
                <w:rFonts w:asciiTheme="minorEastAsia" w:hAnsiTheme="minorEastAsia" w:cs="Arial"/>
                <w:sz w:val="24"/>
                <w:szCs w:val="24"/>
              </w:rPr>
              <w:t>31</w:t>
            </w:r>
            <w:r>
              <w:rPr>
                <w:rFonts w:asciiTheme="minorEastAsia" w:hAnsiTheme="minorEastAsia" w:cs="Arial" w:hint="eastAsia"/>
                <w:sz w:val="24"/>
                <w:szCs w:val="24"/>
              </w:rPr>
              <w:t>日</w:t>
            </w:r>
          </w:p>
        </w:tc>
      </w:tr>
      <w:tr w:rsidR="00B67C49" w14:paraId="575693BC" w14:textId="77777777">
        <w:trPr>
          <w:trHeight w:val="20"/>
        </w:trPr>
        <w:tc>
          <w:tcPr>
            <w:tcW w:w="817" w:type="dxa"/>
            <w:shd w:val="clear" w:color="auto" w:fill="auto"/>
          </w:tcPr>
          <w:p w14:paraId="09B7A597"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4</w:t>
            </w:r>
          </w:p>
        </w:tc>
        <w:tc>
          <w:tcPr>
            <w:tcW w:w="5708" w:type="dxa"/>
            <w:shd w:val="clear" w:color="auto" w:fill="auto"/>
            <w:vAlign w:val="bottom"/>
          </w:tcPr>
          <w:p w14:paraId="65584122" w14:textId="77777777" w:rsidR="00B67C49" w:rsidRDefault="00000000">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富荣基金管理有限公司关于旗下基金新增上海大智慧基金销售有限公司为销售机构、开通基金定期定额投资业务和基金转换业务并参加申购及定期定额投资申购费率优惠活动的公告</w:t>
            </w:r>
          </w:p>
        </w:tc>
        <w:tc>
          <w:tcPr>
            <w:tcW w:w="2230" w:type="dxa"/>
            <w:shd w:val="clear" w:color="auto" w:fill="auto"/>
            <w:vAlign w:val="center"/>
          </w:tcPr>
          <w:p w14:paraId="05C7A6CC" w14:textId="77777777" w:rsidR="00B67C49" w:rsidRDefault="00000000">
            <w:pPr>
              <w:jc w:val="center"/>
              <w:rPr>
                <w:rFonts w:asciiTheme="minorEastAsia" w:hAnsiTheme="minorEastAsia" w:cs="Arial"/>
                <w:sz w:val="24"/>
                <w:szCs w:val="24"/>
              </w:rPr>
            </w:pPr>
            <w:r>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9</w:t>
            </w:r>
            <w:r>
              <w:rPr>
                <w:rFonts w:asciiTheme="minorEastAsia" w:hAnsiTheme="minorEastAsia" w:cs="Arial" w:hint="eastAsia"/>
                <w:sz w:val="24"/>
                <w:szCs w:val="24"/>
              </w:rPr>
              <w:t>月</w:t>
            </w:r>
            <w:r>
              <w:rPr>
                <w:rFonts w:asciiTheme="minorEastAsia" w:hAnsiTheme="minorEastAsia" w:cs="Arial"/>
                <w:sz w:val="24"/>
                <w:szCs w:val="24"/>
              </w:rPr>
              <w:t>8</w:t>
            </w:r>
            <w:r>
              <w:rPr>
                <w:rFonts w:asciiTheme="minorEastAsia" w:hAnsiTheme="minorEastAsia" w:cs="Arial" w:hint="eastAsia"/>
                <w:sz w:val="24"/>
                <w:szCs w:val="24"/>
              </w:rPr>
              <w:t>日</w:t>
            </w:r>
          </w:p>
        </w:tc>
      </w:tr>
    </w:tbl>
    <w:p w14:paraId="2F6E72E8" w14:textId="77777777" w:rsidR="00B67C49" w:rsidRDefault="00B67C49">
      <w:pPr>
        <w:widowControl/>
        <w:jc w:val="left"/>
        <w:rPr>
          <w:rFonts w:asciiTheme="minorEastAsia" w:hAnsiTheme="minorEastAsia"/>
          <w:sz w:val="24"/>
          <w:szCs w:val="24"/>
        </w:rPr>
      </w:pPr>
    </w:p>
    <w:p w14:paraId="3B3AFF6E" w14:textId="77777777" w:rsidR="00B67C49" w:rsidRDefault="00B67C49">
      <w:pPr>
        <w:widowControl/>
        <w:jc w:val="left"/>
        <w:rPr>
          <w:rFonts w:asciiTheme="minorEastAsia" w:hAnsiTheme="minorEastAsia"/>
          <w:sz w:val="24"/>
          <w:szCs w:val="24"/>
        </w:rPr>
      </w:pPr>
    </w:p>
    <w:p w14:paraId="6165EDEF" w14:textId="77777777" w:rsidR="00B67C49" w:rsidRDefault="00B67C49">
      <w:pPr>
        <w:widowControl/>
        <w:jc w:val="left"/>
        <w:rPr>
          <w:rFonts w:asciiTheme="minorEastAsia" w:hAnsiTheme="minorEastAsia"/>
          <w:sz w:val="24"/>
          <w:szCs w:val="24"/>
        </w:rPr>
      </w:pPr>
    </w:p>
    <w:p w14:paraId="1E65D4E6" w14:textId="77777777" w:rsidR="00B67C49" w:rsidRDefault="00B67C49">
      <w:pPr>
        <w:widowControl/>
        <w:jc w:val="left"/>
        <w:rPr>
          <w:rFonts w:asciiTheme="minorEastAsia" w:hAnsiTheme="minorEastAsia"/>
          <w:sz w:val="24"/>
          <w:szCs w:val="24"/>
        </w:rPr>
      </w:pPr>
    </w:p>
    <w:p w14:paraId="43A544AF" w14:textId="77777777" w:rsidR="00B67C49" w:rsidRDefault="00B67C49">
      <w:pPr>
        <w:widowControl/>
        <w:jc w:val="left"/>
        <w:rPr>
          <w:rFonts w:asciiTheme="minorEastAsia" w:hAnsiTheme="minorEastAsia"/>
          <w:sz w:val="24"/>
          <w:szCs w:val="24"/>
        </w:rPr>
      </w:pPr>
    </w:p>
    <w:p w14:paraId="3648D234" w14:textId="77777777" w:rsidR="00B67C49" w:rsidRDefault="00B67C49">
      <w:pPr>
        <w:widowControl/>
        <w:jc w:val="left"/>
        <w:rPr>
          <w:rFonts w:asciiTheme="minorEastAsia" w:hAnsiTheme="minorEastAsia"/>
          <w:sz w:val="24"/>
          <w:szCs w:val="24"/>
        </w:rPr>
      </w:pPr>
    </w:p>
    <w:p w14:paraId="22B4EC8F" w14:textId="77777777" w:rsidR="00B67C49" w:rsidRDefault="00B67C49">
      <w:pPr>
        <w:widowControl/>
        <w:jc w:val="left"/>
        <w:rPr>
          <w:rFonts w:asciiTheme="minorEastAsia" w:hAnsiTheme="minorEastAsia"/>
          <w:sz w:val="24"/>
          <w:szCs w:val="24"/>
        </w:rPr>
      </w:pPr>
    </w:p>
    <w:p w14:paraId="11E3F15C" w14:textId="77777777" w:rsidR="00B67C49" w:rsidRDefault="00B67C49">
      <w:pPr>
        <w:widowControl/>
        <w:jc w:val="left"/>
        <w:rPr>
          <w:rFonts w:asciiTheme="minorEastAsia" w:hAnsiTheme="minorEastAsia"/>
          <w:sz w:val="24"/>
          <w:szCs w:val="24"/>
        </w:rPr>
      </w:pPr>
    </w:p>
    <w:p w14:paraId="70AF0DDE" w14:textId="77777777" w:rsidR="00B67C49" w:rsidRDefault="00B67C49">
      <w:pPr>
        <w:widowControl/>
        <w:jc w:val="left"/>
        <w:rPr>
          <w:rFonts w:asciiTheme="minorEastAsia" w:hAnsiTheme="minorEastAsia"/>
          <w:sz w:val="24"/>
          <w:szCs w:val="24"/>
        </w:rPr>
      </w:pPr>
    </w:p>
    <w:p w14:paraId="06B3E760" w14:textId="77777777" w:rsidR="00B67C49" w:rsidRDefault="00B67C49">
      <w:pPr>
        <w:widowControl/>
        <w:jc w:val="left"/>
        <w:rPr>
          <w:rFonts w:asciiTheme="minorEastAsia" w:hAnsiTheme="minorEastAsia"/>
          <w:sz w:val="24"/>
          <w:szCs w:val="24"/>
        </w:rPr>
      </w:pPr>
    </w:p>
    <w:p w14:paraId="3EC00CBE" w14:textId="77777777" w:rsidR="00B67C49" w:rsidRDefault="00B67C49">
      <w:pPr>
        <w:widowControl/>
        <w:jc w:val="left"/>
        <w:rPr>
          <w:rFonts w:asciiTheme="minorEastAsia" w:hAnsiTheme="minorEastAsia"/>
          <w:sz w:val="24"/>
          <w:szCs w:val="24"/>
        </w:rPr>
      </w:pPr>
    </w:p>
    <w:p w14:paraId="385D57BD" w14:textId="77777777" w:rsidR="00B67C49" w:rsidRDefault="00B67C49">
      <w:pPr>
        <w:widowControl/>
        <w:spacing w:line="360" w:lineRule="auto"/>
        <w:ind w:firstLineChars="200" w:firstLine="480"/>
        <w:jc w:val="left"/>
        <w:rPr>
          <w:rFonts w:asciiTheme="minorEastAsia" w:hAnsiTheme="minorEastAsia"/>
          <w:sz w:val="24"/>
          <w:szCs w:val="24"/>
        </w:rPr>
        <w:sectPr w:rsidR="00B67C49" w:rsidSect="00D84CBD">
          <w:headerReference w:type="even" r:id="rId66"/>
          <w:headerReference w:type="default" r:id="rId67"/>
          <w:footerReference w:type="default" r:id="rId68"/>
          <w:headerReference w:type="first" r:id="rId69"/>
          <w:pgSz w:w="11906" w:h="16838"/>
          <w:pgMar w:top="1440" w:right="1800" w:bottom="1440" w:left="1800" w:header="851" w:footer="992" w:gutter="0"/>
          <w:pgNumType w:chapStyle="1"/>
          <w:cols w:space="720"/>
          <w:docGrid w:type="lines" w:linePitch="312"/>
        </w:sectPr>
      </w:pPr>
    </w:p>
    <w:p w14:paraId="6FFBB98F" w14:textId="77777777" w:rsidR="00B67C49" w:rsidRDefault="00000000">
      <w:pPr>
        <w:pStyle w:val="1"/>
        <w:jc w:val="center"/>
        <w:rPr>
          <w:sz w:val="30"/>
          <w:szCs w:val="30"/>
        </w:rPr>
      </w:pPr>
      <w:bookmarkStart w:id="459" w:name="_Toc416264556"/>
      <w:bookmarkStart w:id="460" w:name="_Toc263092329"/>
      <w:bookmarkStart w:id="461" w:name="_Toc214873622"/>
      <w:bookmarkStart w:id="462" w:name="_Toc68266309"/>
      <w:bookmarkStart w:id="463" w:name="_Toc530223198"/>
      <w:bookmarkStart w:id="464" w:name="_Toc119568479"/>
      <w:bookmarkEnd w:id="428"/>
      <w:bookmarkEnd w:id="429"/>
      <w:bookmarkEnd w:id="430"/>
      <w:bookmarkEnd w:id="431"/>
      <w:bookmarkEnd w:id="432"/>
      <w:bookmarkEnd w:id="433"/>
      <w:r>
        <w:rPr>
          <w:rFonts w:hint="eastAsia"/>
          <w:sz w:val="30"/>
          <w:szCs w:val="30"/>
        </w:rPr>
        <w:lastRenderedPageBreak/>
        <w:t>第二十三部分</w:t>
      </w:r>
      <w:r>
        <w:rPr>
          <w:sz w:val="30"/>
          <w:szCs w:val="30"/>
        </w:rPr>
        <w:t xml:space="preserve">  </w:t>
      </w:r>
      <w:r>
        <w:rPr>
          <w:rFonts w:hint="eastAsia"/>
          <w:sz w:val="30"/>
          <w:szCs w:val="30"/>
        </w:rPr>
        <w:t>招募说明书存放及查阅方式</w:t>
      </w:r>
      <w:bookmarkEnd w:id="459"/>
      <w:bookmarkEnd w:id="460"/>
      <w:bookmarkEnd w:id="461"/>
      <w:bookmarkEnd w:id="462"/>
      <w:bookmarkEnd w:id="463"/>
      <w:bookmarkEnd w:id="464"/>
    </w:p>
    <w:p w14:paraId="270AA33A" w14:textId="77777777" w:rsidR="00B67C49"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5E24C0B5" w14:textId="77777777" w:rsidR="00B67C49"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60FB9316" w14:textId="77777777" w:rsidR="00B67C49" w:rsidRDefault="00B67C49">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B67C49" w:rsidSect="00D84CBD">
          <w:headerReference w:type="even" r:id="rId70"/>
          <w:headerReference w:type="default" r:id="rId71"/>
          <w:footerReference w:type="default" r:id="rId72"/>
          <w:headerReference w:type="first" r:id="rId73"/>
          <w:pgSz w:w="11906" w:h="16838"/>
          <w:pgMar w:top="1440" w:right="1800" w:bottom="1440" w:left="1800" w:header="851" w:footer="992" w:gutter="0"/>
          <w:cols w:space="425"/>
          <w:docGrid w:type="lines" w:linePitch="312"/>
        </w:sectPr>
      </w:pPr>
      <w:bookmarkStart w:id="465" w:name="_Toc416268879"/>
      <w:bookmarkStart w:id="466" w:name="_Toc263092330"/>
    </w:p>
    <w:p w14:paraId="2E469BE5" w14:textId="77777777" w:rsidR="00B67C49" w:rsidRDefault="00000000">
      <w:pPr>
        <w:pStyle w:val="1"/>
        <w:jc w:val="center"/>
      </w:pPr>
      <w:bookmarkStart w:id="467" w:name="_Toc68266310"/>
      <w:bookmarkStart w:id="468" w:name="_Toc119568480"/>
      <w:bookmarkEnd w:id="61"/>
      <w:bookmarkEnd w:id="62"/>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65"/>
      <w:bookmarkEnd w:id="466"/>
      <w:r>
        <w:rPr>
          <w:sz w:val="30"/>
          <w:szCs w:val="30"/>
        </w:rPr>
        <w:lastRenderedPageBreak/>
        <w:t>第二十</w:t>
      </w:r>
      <w:r>
        <w:rPr>
          <w:rFonts w:hint="eastAsia"/>
          <w:sz w:val="30"/>
          <w:szCs w:val="30"/>
        </w:rPr>
        <w:t>四</w:t>
      </w:r>
      <w:r>
        <w:rPr>
          <w:sz w:val="30"/>
          <w:szCs w:val="30"/>
        </w:rPr>
        <w:t>部分  备查文件</w:t>
      </w:r>
      <w:bookmarkEnd w:id="467"/>
      <w:bookmarkEnd w:id="468"/>
    </w:p>
    <w:p w14:paraId="65D75F0E" w14:textId="77777777" w:rsidR="00B67C49"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12668523" w14:textId="77777777" w:rsidR="00B67C49"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富荣福耀混合型证券投资基金</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020E5C85" w14:textId="77777777" w:rsidR="00B67C49"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（二）《富荣福耀混合型证券投资基金基金合同》 </w:t>
      </w:r>
    </w:p>
    <w:p w14:paraId="7C0014C2" w14:textId="77777777" w:rsidR="00B67C49"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（三）《富荣福耀混合型证券投资基金托管协议》 </w:t>
      </w:r>
    </w:p>
    <w:p w14:paraId="2A294A65" w14:textId="77777777" w:rsidR="00B67C49"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0D17CF19" w14:textId="77777777" w:rsidR="00B67C49"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6570B3B8" w14:textId="77777777" w:rsidR="00B67C49"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富荣福耀混合型证券投资基金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2FAB782E" w14:textId="77777777" w:rsidR="00B67C49"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602E4A7C" w14:textId="77777777" w:rsidR="00B67C49"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6AEC65B7" w14:textId="77777777" w:rsidR="00B67C49" w:rsidRDefault="00B67C49">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0A070230" w14:textId="77777777" w:rsidR="00B67C49" w:rsidRDefault="00B67C49">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49EBA3B5" w14:textId="77777777" w:rsidR="00B67C49" w:rsidRDefault="00B67C49">
      <w:pPr>
        <w:widowControl/>
        <w:adjustRightInd w:val="0"/>
        <w:snapToGrid w:val="0"/>
        <w:spacing w:line="360" w:lineRule="auto"/>
        <w:ind w:rightChars="-85" w:right="-178" w:firstLineChars="200" w:firstLine="420"/>
        <w:rPr>
          <w:rFonts w:ascii="Arial" w:eastAsia="宋体" w:hAnsi="Arial" w:cs="Arial"/>
          <w:kern w:val="0"/>
          <w:szCs w:val="21"/>
        </w:rPr>
      </w:pPr>
    </w:p>
    <w:p w14:paraId="6FF44066" w14:textId="77777777" w:rsidR="00B67C49" w:rsidRDefault="00B67C49">
      <w:pPr>
        <w:widowControl/>
        <w:adjustRightInd w:val="0"/>
        <w:snapToGrid w:val="0"/>
        <w:spacing w:line="360" w:lineRule="auto"/>
        <w:ind w:rightChars="-85" w:right="-178" w:firstLineChars="200" w:firstLine="420"/>
        <w:rPr>
          <w:rFonts w:ascii="Arial" w:eastAsia="宋体" w:hAnsi="Arial" w:cs="Arial"/>
          <w:kern w:val="0"/>
          <w:szCs w:val="21"/>
        </w:rPr>
      </w:pPr>
    </w:p>
    <w:p w14:paraId="08578D9B" w14:textId="77777777" w:rsidR="00B67C49" w:rsidRDefault="00B67C49">
      <w:pPr>
        <w:widowControl/>
        <w:adjustRightInd w:val="0"/>
        <w:snapToGrid w:val="0"/>
        <w:spacing w:line="360" w:lineRule="auto"/>
        <w:ind w:rightChars="-85" w:right="-178" w:firstLineChars="200" w:firstLine="420"/>
        <w:rPr>
          <w:rFonts w:ascii="Arial" w:eastAsia="宋体" w:hAnsi="Arial" w:cs="Arial"/>
          <w:kern w:val="0"/>
          <w:szCs w:val="21"/>
        </w:rPr>
      </w:pPr>
    </w:p>
    <w:p w14:paraId="21E03339" w14:textId="77777777" w:rsidR="00B67C49" w:rsidRDefault="00B67C49">
      <w:pPr>
        <w:widowControl/>
        <w:adjustRightInd w:val="0"/>
        <w:snapToGrid w:val="0"/>
        <w:spacing w:line="360" w:lineRule="auto"/>
        <w:ind w:rightChars="-85" w:right="-178" w:firstLineChars="200" w:firstLine="420"/>
        <w:rPr>
          <w:rFonts w:ascii="Arial" w:eastAsia="宋体" w:hAnsi="Arial" w:cs="Arial"/>
          <w:kern w:val="0"/>
          <w:szCs w:val="21"/>
        </w:rPr>
      </w:pPr>
    </w:p>
    <w:p w14:paraId="3119E939" w14:textId="77777777" w:rsidR="00B67C49" w:rsidRDefault="00B67C49">
      <w:pPr>
        <w:widowControl/>
        <w:adjustRightInd w:val="0"/>
        <w:snapToGrid w:val="0"/>
        <w:spacing w:line="360" w:lineRule="auto"/>
        <w:ind w:rightChars="-85" w:right="-178" w:firstLineChars="200" w:firstLine="420"/>
        <w:rPr>
          <w:rFonts w:ascii="Arial" w:eastAsia="宋体" w:hAnsi="Arial" w:cs="Arial"/>
          <w:kern w:val="0"/>
          <w:szCs w:val="21"/>
        </w:rPr>
      </w:pPr>
    </w:p>
    <w:p w14:paraId="4A150F8A" w14:textId="77777777" w:rsidR="00B67C49" w:rsidRDefault="00B67C49">
      <w:pPr>
        <w:widowControl/>
        <w:adjustRightInd w:val="0"/>
        <w:snapToGrid w:val="0"/>
        <w:spacing w:line="360" w:lineRule="auto"/>
        <w:ind w:rightChars="-85" w:right="-178" w:firstLineChars="200" w:firstLine="420"/>
        <w:rPr>
          <w:rFonts w:ascii="Arial" w:eastAsia="宋体" w:hAnsi="Arial" w:cs="Arial"/>
          <w:kern w:val="0"/>
          <w:szCs w:val="21"/>
        </w:rPr>
      </w:pPr>
    </w:p>
    <w:p w14:paraId="25020730" w14:textId="77777777" w:rsidR="00B67C49" w:rsidRDefault="00B67C49">
      <w:pPr>
        <w:widowControl/>
        <w:adjustRightInd w:val="0"/>
        <w:snapToGrid w:val="0"/>
        <w:spacing w:line="360" w:lineRule="auto"/>
        <w:ind w:rightChars="-85" w:right="-178" w:firstLineChars="200" w:firstLine="420"/>
        <w:rPr>
          <w:rFonts w:ascii="Arial" w:eastAsia="宋体" w:hAnsi="Arial" w:cs="Arial"/>
          <w:kern w:val="0"/>
          <w:szCs w:val="21"/>
        </w:rPr>
      </w:pPr>
    </w:p>
    <w:p w14:paraId="59DA7F0C" w14:textId="77777777" w:rsidR="00B67C49" w:rsidRDefault="00B67C49">
      <w:pPr>
        <w:widowControl/>
        <w:adjustRightInd w:val="0"/>
        <w:snapToGrid w:val="0"/>
        <w:spacing w:line="360" w:lineRule="auto"/>
        <w:ind w:rightChars="-85" w:right="-178" w:firstLineChars="200" w:firstLine="420"/>
        <w:rPr>
          <w:rFonts w:ascii="Arial" w:eastAsia="宋体" w:hAnsi="Arial" w:cs="Arial"/>
          <w:kern w:val="0"/>
          <w:szCs w:val="21"/>
        </w:rPr>
      </w:pPr>
    </w:p>
    <w:p w14:paraId="2E48DB8F" w14:textId="77777777" w:rsidR="00B67C49" w:rsidRDefault="00B67C49">
      <w:pPr>
        <w:widowControl/>
        <w:adjustRightInd w:val="0"/>
        <w:snapToGrid w:val="0"/>
        <w:spacing w:line="360" w:lineRule="auto"/>
        <w:ind w:rightChars="-85" w:right="-178" w:firstLineChars="200" w:firstLine="420"/>
        <w:rPr>
          <w:rFonts w:ascii="Arial" w:eastAsia="宋体" w:hAnsi="Arial" w:cs="Arial"/>
          <w:kern w:val="0"/>
          <w:szCs w:val="21"/>
        </w:rPr>
      </w:pPr>
    </w:p>
    <w:p w14:paraId="3C1BBB84" w14:textId="77777777" w:rsidR="00B67C49" w:rsidRDefault="00B67C49">
      <w:pPr>
        <w:widowControl/>
        <w:adjustRightInd w:val="0"/>
        <w:snapToGrid w:val="0"/>
        <w:spacing w:line="360" w:lineRule="auto"/>
        <w:ind w:rightChars="-85" w:right="-178" w:firstLineChars="200" w:firstLine="420"/>
        <w:rPr>
          <w:rFonts w:ascii="Arial" w:eastAsia="宋体" w:hAnsi="Arial" w:cs="Arial"/>
          <w:kern w:val="0"/>
          <w:szCs w:val="21"/>
        </w:rPr>
      </w:pPr>
    </w:p>
    <w:p w14:paraId="0EF58422" w14:textId="77777777" w:rsidR="00B67C49" w:rsidRDefault="00B67C49">
      <w:pPr>
        <w:widowControl/>
        <w:adjustRightInd w:val="0"/>
        <w:snapToGrid w:val="0"/>
        <w:spacing w:line="360" w:lineRule="auto"/>
        <w:ind w:rightChars="-85" w:right="-178" w:firstLineChars="200" w:firstLine="420"/>
        <w:rPr>
          <w:rFonts w:ascii="Arial" w:eastAsia="宋体" w:hAnsi="Arial" w:cs="Arial"/>
          <w:kern w:val="0"/>
          <w:szCs w:val="21"/>
        </w:rPr>
      </w:pPr>
    </w:p>
    <w:p w14:paraId="7BDAC345" w14:textId="77777777" w:rsidR="00B67C49" w:rsidRDefault="00B67C49">
      <w:pPr>
        <w:widowControl/>
        <w:adjustRightInd w:val="0"/>
        <w:snapToGrid w:val="0"/>
        <w:spacing w:line="360" w:lineRule="auto"/>
        <w:ind w:rightChars="-85" w:right="-178" w:firstLineChars="200" w:firstLine="420"/>
        <w:rPr>
          <w:rFonts w:ascii="Arial" w:eastAsia="宋体" w:hAnsi="Arial" w:cs="Arial"/>
          <w:kern w:val="0"/>
          <w:szCs w:val="21"/>
        </w:rPr>
      </w:pPr>
    </w:p>
    <w:p w14:paraId="128233BE" w14:textId="77777777" w:rsidR="00B67C49" w:rsidRDefault="00000000">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2807B54D" w14:textId="2484D6A6" w:rsidR="00B67C49" w:rsidRDefault="00000000">
      <w:pPr>
        <w:widowControl/>
        <w:adjustRightInd w:val="0"/>
        <w:snapToGrid w:val="0"/>
        <w:spacing w:line="360" w:lineRule="auto"/>
        <w:ind w:rightChars="-85" w:right="-178"/>
        <w:jc w:val="right"/>
      </w:pPr>
      <w:r>
        <w:rPr>
          <w:rFonts w:asciiTheme="minorEastAsia" w:hAnsiTheme="minorEastAsia" w:cs="Arial" w:hint="eastAsia"/>
          <w:kern w:val="0"/>
          <w:sz w:val="24"/>
          <w:szCs w:val="24"/>
        </w:rPr>
        <w:t>2024年 4月</w:t>
      </w:r>
      <w:r w:rsidR="009C4E42">
        <w:rPr>
          <w:rFonts w:asciiTheme="minorEastAsia" w:hAnsiTheme="minorEastAsia" w:cs="Arial" w:hint="eastAsia"/>
          <w:kern w:val="0"/>
          <w:sz w:val="24"/>
          <w:szCs w:val="24"/>
        </w:rPr>
        <w:t>23</w:t>
      </w:r>
      <w:r>
        <w:rPr>
          <w:rFonts w:asciiTheme="minorEastAsia" w:hAnsiTheme="minorEastAsia" w:cs="Arial" w:hint="eastAsia"/>
          <w:kern w:val="0"/>
          <w:sz w:val="24"/>
          <w:szCs w:val="24"/>
        </w:rPr>
        <w:t>日</w:t>
      </w:r>
    </w:p>
    <w:sectPr w:rsidR="00B67C49">
      <w:headerReference w:type="even" r:id="rId74"/>
      <w:headerReference w:type="default" r:id="rId75"/>
      <w:headerReference w:type="first" r:id="rId76"/>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EAEE" w14:textId="77777777" w:rsidR="00D84CBD" w:rsidRDefault="00D84CBD">
      <w:r>
        <w:separator/>
      </w:r>
    </w:p>
  </w:endnote>
  <w:endnote w:type="continuationSeparator" w:id="0">
    <w:p w14:paraId="02D07156" w14:textId="77777777" w:rsidR="00D84CBD" w:rsidRDefault="00D8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方正仿宋简体">
    <w:altName w:val="微软雅黑"/>
    <w:charset w:val="86"/>
    <w:family w:val="auto"/>
    <w:pitch w:val="default"/>
    <w:sig w:usb0="00000000" w:usb1="00000000" w:usb2="00000012" w:usb3="00000000" w:csb0="0004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Content>
      <w:p w14:paraId="4C0E80C2" w14:textId="77777777" w:rsidR="00B67C49"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3</w:t>
        </w:r>
        <w:r>
          <w:rPr>
            <w:lang w:val="zh-CN"/>
          </w:rPr>
          <w:fldChar w:fldCharType="end"/>
        </w:r>
      </w:p>
    </w:sdtContent>
  </w:sdt>
  <w:p w14:paraId="636E64F9" w14:textId="77777777" w:rsidR="00B67C49" w:rsidRDefault="00B67C49">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66251"/>
    </w:sdtPr>
    <w:sdtContent>
      <w:p w14:paraId="3C8DE255" w14:textId="77777777" w:rsidR="00B67C49"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89</w:t>
        </w:r>
        <w:r>
          <w:rPr>
            <w:lang w:val="zh-CN"/>
          </w:rPr>
          <w:fldChar w:fldCharType="end"/>
        </w:r>
      </w:p>
    </w:sdtContent>
  </w:sdt>
  <w:p w14:paraId="2A30B72A" w14:textId="77777777" w:rsidR="00B67C49" w:rsidRDefault="00B67C49">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00172"/>
    </w:sdtPr>
    <w:sdtContent>
      <w:p w14:paraId="4F034941" w14:textId="77777777" w:rsidR="00B67C49"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134</w:t>
        </w:r>
        <w:r>
          <w:rPr>
            <w:lang w:val="zh-CN"/>
          </w:rPr>
          <w:fldChar w:fldCharType="end"/>
        </w:r>
      </w:p>
    </w:sdtContent>
  </w:sdt>
  <w:p w14:paraId="4C1E328E" w14:textId="77777777" w:rsidR="00B67C49" w:rsidRDefault="00B67C49">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668774"/>
    </w:sdtPr>
    <w:sdtContent>
      <w:p w14:paraId="4FB7CAB7" w14:textId="77777777" w:rsidR="00B67C49"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136</w:t>
        </w:r>
        <w:r>
          <w:rPr>
            <w:lang w:val="zh-CN"/>
          </w:rPr>
          <w:fldChar w:fldCharType="end"/>
        </w:r>
      </w:p>
    </w:sdtContent>
  </w:sdt>
  <w:p w14:paraId="58E8ABEA" w14:textId="77777777" w:rsidR="00B67C49" w:rsidRDefault="00B67C4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90005"/>
    </w:sdtPr>
    <w:sdtContent>
      <w:p w14:paraId="5DD96AA2" w14:textId="77777777" w:rsidR="00B67C49"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4</w:t>
        </w:r>
        <w:r>
          <w:rPr>
            <w:lang w:val="zh-CN"/>
          </w:rPr>
          <w:fldChar w:fldCharType="end"/>
        </w:r>
      </w:p>
    </w:sdtContent>
  </w:sdt>
  <w:p w14:paraId="78DCB292" w14:textId="77777777" w:rsidR="00B67C49" w:rsidRDefault="00B67C4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7458"/>
    </w:sdtPr>
    <w:sdtContent>
      <w:p w14:paraId="76337A41" w14:textId="77777777" w:rsidR="00B67C49"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9</w:t>
        </w:r>
        <w:r>
          <w:rPr>
            <w:lang w:val="zh-CN"/>
          </w:rPr>
          <w:fldChar w:fldCharType="end"/>
        </w:r>
      </w:p>
    </w:sdtContent>
  </w:sdt>
  <w:p w14:paraId="2FE5FBE3" w14:textId="77777777" w:rsidR="00B67C49" w:rsidRDefault="00B67C49">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527"/>
    </w:sdtPr>
    <w:sdtContent>
      <w:p w14:paraId="62C0BB1C" w14:textId="77777777" w:rsidR="00B67C49"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14</w:t>
        </w:r>
        <w:r>
          <w:rPr>
            <w:lang w:val="zh-CN"/>
          </w:rPr>
          <w:fldChar w:fldCharType="end"/>
        </w:r>
      </w:p>
    </w:sdtContent>
  </w:sdt>
  <w:p w14:paraId="16D714F0" w14:textId="77777777" w:rsidR="00B67C49" w:rsidRDefault="00B67C49">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05945"/>
    </w:sdtPr>
    <w:sdtContent>
      <w:p w14:paraId="29C4BE66" w14:textId="77777777" w:rsidR="00B67C49"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33</w:t>
        </w:r>
        <w:r>
          <w:rPr>
            <w:lang w:val="zh-CN"/>
          </w:rPr>
          <w:fldChar w:fldCharType="end"/>
        </w:r>
      </w:p>
    </w:sdtContent>
  </w:sdt>
  <w:p w14:paraId="7BC92212" w14:textId="77777777" w:rsidR="00B67C49" w:rsidRDefault="00B67C49">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65260"/>
    </w:sdtPr>
    <w:sdtContent>
      <w:p w14:paraId="52AD222C" w14:textId="77777777" w:rsidR="00B67C49"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34</w:t>
        </w:r>
        <w:r>
          <w:rPr>
            <w:lang w:val="zh-CN"/>
          </w:rPr>
          <w:fldChar w:fldCharType="end"/>
        </w:r>
      </w:p>
    </w:sdtContent>
  </w:sdt>
  <w:p w14:paraId="5704C288" w14:textId="77777777" w:rsidR="00B67C49" w:rsidRDefault="00B67C49">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33424"/>
    </w:sdtPr>
    <w:sdtContent>
      <w:p w14:paraId="3FD3BE19" w14:textId="77777777" w:rsidR="00B67C49"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35</w:t>
        </w:r>
        <w:r>
          <w:rPr>
            <w:lang w:val="zh-CN"/>
          </w:rPr>
          <w:fldChar w:fldCharType="end"/>
        </w:r>
      </w:p>
    </w:sdtContent>
  </w:sdt>
  <w:p w14:paraId="3930AA03" w14:textId="77777777" w:rsidR="00B67C49" w:rsidRDefault="00B67C49">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FEF0" w14:textId="77777777" w:rsidR="00B67C49" w:rsidRDefault="00000000">
    <w:pPr>
      <w:pStyle w:val="af0"/>
      <w:jc w:val="center"/>
    </w:pPr>
    <w:r>
      <w:fldChar w:fldCharType="begin"/>
    </w:r>
    <w:r>
      <w:instrText xml:space="preserve"> PAGE   \* MERGEFORMAT </w:instrText>
    </w:r>
    <w:r>
      <w:fldChar w:fldCharType="separate"/>
    </w:r>
    <w:r>
      <w:rPr>
        <w:lang w:val="zh-CN"/>
      </w:rPr>
      <w:t>84</w:t>
    </w:r>
    <w:r>
      <w:rPr>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D4" w14:textId="77777777" w:rsidR="00B67C49" w:rsidRDefault="00000000">
    <w:pPr>
      <w:pStyle w:val="af0"/>
      <w:jc w:val="center"/>
    </w:pPr>
    <w:r>
      <w:fldChar w:fldCharType="begin"/>
    </w:r>
    <w:r>
      <w:instrText xml:space="preserve"> PAGE   \* MERGEFORMAT </w:instrText>
    </w:r>
    <w:r>
      <w:fldChar w:fldCharType="separate"/>
    </w:r>
    <w:r>
      <w:rPr>
        <w:lang w:val="zh-CN"/>
      </w:rPr>
      <w:t>36</w:t>
    </w:r>
    <w:r>
      <w:rPr>
        <w:lang w:val="zh-CN"/>
      </w:rPr>
      <w:fldChar w:fldCharType="end"/>
    </w:r>
  </w:p>
  <w:p w14:paraId="4C97B1C6" w14:textId="77777777" w:rsidR="00B67C49" w:rsidRDefault="00B67C4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7CF1" w14:textId="77777777" w:rsidR="00D84CBD" w:rsidRDefault="00D84CBD">
      <w:r>
        <w:separator/>
      </w:r>
    </w:p>
  </w:footnote>
  <w:footnote w:type="continuationSeparator" w:id="0">
    <w:p w14:paraId="2645E609" w14:textId="77777777" w:rsidR="00D84CBD" w:rsidRDefault="00D84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DC30" w14:textId="77777777" w:rsidR="00B67C49" w:rsidRDefault="00000000">
    <w:r>
      <w:pict w14:anchorId="5B80E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left:0;text-align:left;margin-left:0;margin-top:0;width:222.75pt;height:315.75pt;z-index:251688960;mso-position-horizontal:center;mso-position-horizontal-relative:page;mso-position-vertical:center;mso-position-vertical-relative:page;mso-width-relative:page;mso-height-relative:page">
          <v:imagedata r:id="rId1" o:title=""/>
          <o:lock v:ext="edit" aspectratio="f"/>
          <w10:wrap anchorx="page" anchory="page"/>
        </v:shape>
      </w:pict>
    </w:r>
  </w:p>
  <w:p w14:paraId="7B0A1B29" w14:textId="77777777" w:rsidR="00B67C49" w:rsidRDefault="00000000">
    <w:r>
      <w:pict w14:anchorId="4DC0DD05">
        <v:shape id="_x0000_s3078" type="#_x0000_t75" style="position:absolute;left:0;text-align:left;margin-left:0;margin-top:0;width:222.75pt;height:315.75pt;z-index:251661312;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A7D1" w14:textId="77777777" w:rsidR="00B67C49" w:rsidRDefault="00000000">
    <w:r>
      <w:pict w14:anchorId="30B1D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8" type="#_x0000_t75" style="position:absolute;left:0;text-align:left;margin-left:0;margin-top:0;width:222.75pt;height:315.75pt;z-index:251695104;mso-position-horizontal:center;mso-position-horizontal-relative:page;mso-position-vertical:center;mso-position-vertical-relative:page;mso-width-relative:page;mso-height-relative:page">
          <v:imagedata r:id="rId1" o:title=""/>
          <o:lock v:ext="edit" aspectratio="f"/>
          <w10:wrap anchorx="page" anchory="page"/>
        </v:shape>
      </w:pict>
    </w:r>
  </w:p>
  <w:p w14:paraId="49AE9770" w14:textId="77777777" w:rsidR="00B67C49" w:rsidRDefault="00000000">
    <w:r>
      <w:pict w14:anchorId="49F48B03">
        <v:shape id="_x0000_s3093" type="#_x0000_t75" style="position:absolute;left:0;text-align:left;margin-left:0;margin-top:0;width:222.75pt;height:315.75pt;z-index:251667456;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3A38" w14:textId="77777777" w:rsidR="00B67C49" w:rsidRDefault="00B67C49"/>
  <w:p w14:paraId="11277533" w14:textId="77777777" w:rsidR="00B67C49" w:rsidRDefault="00B67C4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DB68" w14:textId="77777777" w:rsidR="00B67C49" w:rsidRDefault="00000000">
    <w:r>
      <w:pict w14:anchorId="60761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7" type="#_x0000_t75" style="position:absolute;left:0;text-align:left;margin-left:0;margin-top:0;width:222.75pt;height:315.75pt;z-index:251694080;mso-position-horizontal:center;mso-position-horizontal-relative:page;mso-position-vertical:center;mso-position-vertical-relative:page;mso-width-relative:page;mso-height-relative:page">
          <v:imagedata r:id="rId1" o:title=""/>
          <o:lock v:ext="edit" aspectratio="f"/>
          <w10:wrap anchorx="page" anchory="page"/>
        </v:shape>
      </w:pict>
    </w:r>
  </w:p>
  <w:p w14:paraId="0535822C" w14:textId="77777777" w:rsidR="00B67C49" w:rsidRDefault="00000000">
    <w:r>
      <w:pict w14:anchorId="70CF86BB">
        <v:shape id="_x0000_s3090" type="#_x0000_t75" style="position:absolute;left:0;text-align:left;margin-left:0;margin-top:0;width:222.75pt;height:315.75pt;z-index:251666432;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1DEE" w14:textId="77777777" w:rsidR="00B67C49" w:rsidRDefault="00000000">
    <w:r>
      <w:pict w14:anchorId="5844E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1" type="#_x0000_t75" style="position:absolute;left:0;text-align:left;margin-left:0;margin-top:0;width:222.75pt;height:315.75pt;z-index:251697152;mso-position-horizontal:center;mso-position-horizontal-relative:page;mso-position-vertical:center;mso-position-vertical-relative:page;mso-width-relative:page;mso-height-relative:page">
          <v:imagedata r:id="rId1" o:title=""/>
          <o:lock v:ext="edit" aspectratio="f"/>
          <w10:wrap anchorx="page" anchory="page"/>
        </v:shape>
      </w:pict>
    </w:r>
  </w:p>
  <w:p w14:paraId="466367C0" w14:textId="77777777" w:rsidR="00B67C49" w:rsidRDefault="00000000">
    <w:r>
      <w:pict w14:anchorId="6E8FFD79">
        <v:shape id="_x0000_s3098" type="#_x0000_t75" style="position:absolute;left:0;text-align:left;margin-left:0;margin-top:0;width:222.75pt;height:315.75pt;z-index:251669504;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C78C" w14:textId="77777777" w:rsidR="00B67C49" w:rsidRDefault="00B67C49"/>
  <w:p w14:paraId="067E350F" w14:textId="77777777" w:rsidR="00B67C49" w:rsidRDefault="00B67C4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A700" w14:textId="77777777" w:rsidR="00B67C49" w:rsidRDefault="00000000">
    <w:r>
      <w:pict w14:anchorId="0C5F6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0" type="#_x0000_t75" style="position:absolute;left:0;text-align:left;margin-left:0;margin-top:0;width:222.75pt;height:315.75pt;z-index:251696128;mso-position-horizontal:center;mso-position-horizontal-relative:page;mso-position-vertical:center;mso-position-vertical-relative:page;mso-width-relative:page;mso-height-relative:page">
          <v:imagedata r:id="rId1" o:title=""/>
          <o:lock v:ext="edit" aspectratio="f"/>
          <w10:wrap anchorx="page" anchory="page"/>
        </v:shape>
      </w:pict>
    </w:r>
  </w:p>
  <w:p w14:paraId="6FD6F432" w14:textId="77777777" w:rsidR="00B67C49" w:rsidRDefault="00000000">
    <w:r>
      <w:pict w14:anchorId="24631B1A">
        <v:shape id="_x0000_s3095" type="#_x0000_t75" style="position:absolute;left:0;text-align:left;margin-left:0;margin-top:0;width:222.75pt;height:315.75pt;z-index:251668480;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F766" w14:textId="77777777" w:rsidR="00B67C49" w:rsidRDefault="00000000">
    <w:r>
      <w:pict w14:anchorId="3917E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4" type="#_x0000_t75" style="position:absolute;left:0;text-align:left;margin-left:0;margin-top:0;width:222.75pt;height:315.75pt;z-index:251699200;mso-position-horizontal:center;mso-position-horizontal-relative:page;mso-position-vertical:center;mso-position-vertical-relative:page;mso-width-relative:page;mso-height-relative:page">
          <v:imagedata r:id="rId1" o:title=""/>
          <o:lock v:ext="edit" aspectratio="f"/>
          <w10:wrap anchorx="page" anchory="page"/>
        </v:shape>
      </w:pict>
    </w:r>
  </w:p>
  <w:p w14:paraId="1BF8F86A" w14:textId="77777777" w:rsidR="00B67C49" w:rsidRDefault="00000000">
    <w:r>
      <w:pict w14:anchorId="395EB0FB">
        <v:shape id="_x0000_s3103" type="#_x0000_t75" style="position:absolute;left:0;text-align:left;margin-left:0;margin-top:0;width:222.75pt;height:315.75pt;z-index:251671552;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3B5C" w14:textId="77777777" w:rsidR="00B67C49" w:rsidRDefault="00B67C49"/>
  <w:p w14:paraId="672D02C0" w14:textId="77777777" w:rsidR="00B67C49" w:rsidRDefault="00B67C4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D3F6" w14:textId="77777777" w:rsidR="00B67C49" w:rsidRDefault="00000000">
    <w:r>
      <w:pict w14:anchorId="433D5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3" type="#_x0000_t75" style="position:absolute;left:0;text-align:left;margin-left:0;margin-top:0;width:222.75pt;height:315.75pt;z-index:251698176;mso-position-horizontal:center;mso-position-horizontal-relative:page;mso-position-vertical:center;mso-position-vertical-relative:page;mso-width-relative:page;mso-height-relative:page">
          <v:imagedata r:id="rId1" o:title=""/>
          <o:lock v:ext="edit" aspectratio="f"/>
          <w10:wrap anchorx="page" anchory="page"/>
        </v:shape>
      </w:pict>
    </w:r>
  </w:p>
  <w:p w14:paraId="7580A0DB" w14:textId="77777777" w:rsidR="00B67C49" w:rsidRDefault="00000000">
    <w:r>
      <w:pict w14:anchorId="62A7E58C">
        <v:shape id="_x0000_s3100" type="#_x0000_t75" style="position:absolute;left:0;text-align:left;margin-left:0;margin-top:0;width:222.75pt;height:315.75pt;z-index:251670528;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15B3" w14:textId="77777777" w:rsidR="00B67C49" w:rsidRDefault="00000000">
    <w:r>
      <w:pict w14:anchorId="2DAF4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7" type="#_x0000_t75" style="position:absolute;left:0;text-align:left;margin-left:0;margin-top:0;width:222.75pt;height:315.75pt;z-index:251701248;mso-position-horizontal:center;mso-position-horizontal-relative:page;mso-position-vertical:center;mso-position-vertical-relative:page;mso-width-relative:page;mso-height-relative:page">
          <v:imagedata r:id="rId1" o:title=""/>
          <o:lock v:ext="edit" aspectratio="f"/>
          <w10:wrap anchorx="page" anchory="page"/>
        </v:shape>
      </w:pict>
    </w:r>
  </w:p>
  <w:p w14:paraId="567DEE9D" w14:textId="77777777" w:rsidR="00B67C49" w:rsidRDefault="00000000">
    <w:r>
      <w:pict w14:anchorId="3837F020">
        <v:shape id="_x0000_s3108" type="#_x0000_t75" style="position:absolute;left:0;text-align:left;margin-left:0;margin-top:0;width:222.75pt;height:315.75pt;z-index:251673600;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CC21" w14:textId="77777777" w:rsidR="00B67C49" w:rsidRDefault="00000000">
    <w:pPr>
      <w:pStyle w:val="af2"/>
      <w:jc w:val="both"/>
    </w:pPr>
    <w:r>
      <w:rPr>
        <w:rFonts w:ascii="Arial" w:hAnsi="Arial" w:cs="Arial" w:hint="eastAsia"/>
        <w:szCs w:val="21"/>
      </w:rPr>
      <w:t>富荣福耀混合型证券投资基金更新的招募说明书（</w:t>
    </w:r>
    <w:r>
      <w:rPr>
        <w:rFonts w:ascii="Arial" w:hAnsi="Arial" w:cs="Arial" w:hint="eastAsia"/>
        <w:szCs w:val="21"/>
      </w:rPr>
      <w:t>2023</w:t>
    </w:r>
    <w:r>
      <w:rPr>
        <w:rFonts w:ascii="Arial" w:hAnsi="Arial" w:cs="Arial" w:hint="eastAsia"/>
        <w:szCs w:val="21"/>
      </w:rPr>
      <w:t>年第</w:t>
    </w:r>
    <w:r>
      <w:rPr>
        <w:rFonts w:ascii="Arial" w:hAnsi="Arial" w:cs="Arial" w:hint="eastAsia"/>
        <w:szCs w:val="21"/>
      </w:rPr>
      <w:t>1</w:t>
    </w:r>
    <w:r>
      <w:rPr>
        <w:rFonts w:ascii="Arial" w:hAnsi="Arial" w:cs="Arial" w:hint="eastAsia"/>
        <w:szCs w:val="21"/>
      </w:rPr>
      <w:t>号）</w:t>
    </w:r>
  </w:p>
  <w:p w14:paraId="05970CC5" w14:textId="77777777" w:rsidR="00B67C49" w:rsidRDefault="00000000">
    <w:r>
      <w:pict w14:anchorId="0ED1A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left:0;text-align:left;margin-left:0;margin-top:0;width:222.75pt;height:315.75pt;z-index:251687936;mso-position-horizontal:center;mso-position-horizontal-relative:page;mso-position-vertical:center;mso-position-vertical-relative:page;mso-width-relative:page;mso-height-relative:page">
          <v:imagedata r:id="rId1" o:title=""/>
          <o:lock v:ext="edit" aspectratio="f"/>
          <w10:wrap anchorx="page" anchory="page"/>
        </v:shape>
      </w:pict>
    </w:r>
  </w:p>
  <w:p w14:paraId="34EFD6B5" w14:textId="77777777" w:rsidR="00B67C49" w:rsidRDefault="00000000">
    <w:r>
      <w:pict w14:anchorId="700C9FB0">
        <v:shape id="_x0000_s3076" type="#_x0000_t75" style="position:absolute;left:0;text-align:left;margin-left:0;margin-top:0;width:222.75pt;height:315.75pt;z-index:251660288;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6325" w14:textId="77777777" w:rsidR="00B67C49" w:rsidRDefault="00B67C49"/>
  <w:p w14:paraId="64AE4DE4" w14:textId="77777777" w:rsidR="00B67C49" w:rsidRDefault="00B67C4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89D9" w14:textId="77777777" w:rsidR="00B67C49" w:rsidRDefault="00000000">
    <w:r>
      <w:pict w14:anchorId="5BB41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6" type="#_x0000_t75" style="position:absolute;left:0;text-align:left;margin-left:0;margin-top:0;width:222.75pt;height:315.75pt;z-index:251700224;mso-position-horizontal:center;mso-position-horizontal-relative:page;mso-position-vertical:center;mso-position-vertical-relative:page;mso-width-relative:page;mso-height-relative:page">
          <v:imagedata r:id="rId1" o:title=""/>
          <o:lock v:ext="edit" aspectratio="f"/>
          <w10:wrap anchorx="page" anchory="page"/>
        </v:shape>
      </w:pict>
    </w:r>
  </w:p>
  <w:p w14:paraId="0D587036" w14:textId="77777777" w:rsidR="00B67C49" w:rsidRDefault="00000000">
    <w:r>
      <w:pict w14:anchorId="14D592C6">
        <v:shape id="_x0000_s3105" type="#_x0000_t75" style="position:absolute;left:0;text-align:left;margin-left:0;margin-top:0;width:222.75pt;height:315.75pt;z-index:251672576;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1219" w14:textId="77777777" w:rsidR="00B67C49" w:rsidRDefault="00000000">
    <w:r>
      <w:pict w14:anchorId="12743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0" type="#_x0000_t75" style="position:absolute;left:0;text-align:left;margin-left:0;margin-top:0;width:222.75pt;height:315.75pt;z-index:251703296;mso-position-horizontal:center;mso-position-horizontal-relative:page;mso-position-vertical:center;mso-position-vertical-relative:page;mso-width-relative:page;mso-height-relative:page">
          <v:imagedata r:id="rId1" o:title=""/>
          <o:lock v:ext="edit" aspectratio="f"/>
          <w10:wrap anchorx="page" anchory="page"/>
        </v:shape>
      </w:pict>
    </w:r>
  </w:p>
  <w:p w14:paraId="6BA67CB4" w14:textId="77777777" w:rsidR="00B67C49" w:rsidRDefault="00000000">
    <w:r>
      <w:pict w14:anchorId="6D0B06CA">
        <v:shape id="_x0000_s3113" type="#_x0000_t75" style="position:absolute;left:0;text-align:left;margin-left:0;margin-top:0;width:222.75pt;height:315.75pt;z-index:251675648;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A384" w14:textId="77777777" w:rsidR="00B67C49" w:rsidRDefault="00B67C49"/>
  <w:p w14:paraId="5DC6C23D" w14:textId="77777777" w:rsidR="00B67C49" w:rsidRDefault="00B67C4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B603" w14:textId="77777777" w:rsidR="00B67C49" w:rsidRDefault="00000000">
    <w:r>
      <w:pict w14:anchorId="68666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9" type="#_x0000_t75" style="position:absolute;left:0;text-align:left;margin-left:0;margin-top:0;width:222.75pt;height:315.75pt;z-index:251702272;mso-position-horizontal:center;mso-position-horizontal-relative:page;mso-position-vertical:center;mso-position-vertical-relative:page;mso-width-relative:page;mso-height-relative:page">
          <v:imagedata r:id="rId1" o:title=""/>
          <o:lock v:ext="edit" aspectratio="f"/>
          <w10:wrap anchorx="page" anchory="page"/>
        </v:shape>
      </w:pict>
    </w:r>
  </w:p>
  <w:p w14:paraId="41079C9C" w14:textId="77777777" w:rsidR="00B67C49" w:rsidRDefault="00000000">
    <w:r>
      <w:pict w14:anchorId="5C0FDA72">
        <v:shape id="_x0000_s3110" type="#_x0000_t75" style="position:absolute;left:0;text-align:left;margin-left:0;margin-top:0;width:222.75pt;height:315.75pt;z-index:251674624;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C7FE" w14:textId="77777777" w:rsidR="00B67C49" w:rsidRDefault="00000000">
    <w:r>
      <w:pict w14:anchorId="64EB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3" type="#_x0000_t75" style="position:absolute;left:0;text-align:left;margin-left:0;margin-top:0;width:222.75pt;height:315.75pt;z-index:251705344;mso-position-horizontal:center;mso-position-horizontal-relative:page;mso-position-vertical:center;mso-position-vertical-relative:page;mso-width-relative:page;mso-height-relative:page">
          <v:imagedata r:id="rId1" o:title=""/>
          <o:lock v:ext="edit" aspectratio="f"/>
          <w10:wrap anchorx="page" anchory="page"/>
        </v:shape>
      </w:pict>
    </w:r>
  </w:p>
  <w:p w14:paraId="4F9B13A4" w14:textId="77777777" w:rsidR="00B67C49" w:rsidRDefault="00000000">
    <w:r>
      <w:pict w14:anchorId="0B4D6428">
        <v:shape id="_x0000_s3118" type="#_x0000_t75" style="position:absolute;left:0;text-align:left;margin-left:0;margin-top:0;width:222.75pt;height:315.75pt;z-index:251677696;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5130" w14:textId="77777777" w:rsidR="00B67C49" w:rsidRDefault="00B67C49"/>
  <w:p w14:paraId="000F91E8" w14:textId="77777777" w:rsidR="00B67C49" w:rsidRDefault="00B67C49"/>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C699" w14:textId="77777777" w:rsidR="00B67C49" w:rsidRDefault="00000000">
    <w:r>
      <w:pict w14:anchorId="77C8A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2" type="#_x0000_t75" style="position:absolute;left:0;text-align:left;margin-left:0;margin-top:0;width:222.75pt;height:315.75pt;z-index:251704320;mso-position-horizontal:center;mso-position-horizontal-relative:page;mso-position-vertical:center;mso-position-vertical-relative:page;mso-width-relative:page;mso-height-relative:page">
          <v:imagedata r:id="rId1" o:title=""/>
          <o:lock v:ext="edit" aspectratio="f"/>
          <w10:wrap anchorx="page" anchory="page"/>
        </v:shape>
      </w:pict>
    </w:r>
  </w:p>
  <w:p w14:paraId="7E8C6388" w14:textId="77777777" w:rsidR="00B67C49" w:rsidRDefault="00000000">
    <w:r>
      <w:pict w14:anchorId="6AD344E6">
        <v:shape id="_x0000_s3115" type="#_x0000_t75" style="position:absolute;left:0;text-align:left;margin-left:0;margin-top:0;width:222.75pt;height:315.75pt;z-index:251676672;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B2AE" w14:textId="77777777" w:rsidR="00B67C49" w:rsidRDefault="00000000">
    <w:r>
      <w:pict w14:anchorId="26D68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6" type="#_x0000_t75" style="position:absolute;left:0;text-align:left;margin-left:0;margin-top:0;width:222.75pt;height:315.75pt;z-index:251706368;mso-position-horizontal:center;mso-position-horizontal-relative:page;mso-position-vertical:center;mso-position-vertical-relative:page;mso-width-relative:page;mso-height-relative:page">
          <v:imagedata r:id="rId1" o:title=""/>
          <o:lock v:ext="edit" aspectratio="f"/>
          <w10:wrap anchorx="page" anchory="page"/>
        </v:shape>
      </w:pict>
    </w:r>
  </w:p>
  <w:p w14:paraId="4F989416" w14:textId="77777777" w:rsidR="00B67C49" w:rsidRDefault="00000000">
    <w:r>
      <w:pict w14:anchorId="2B75F4C6">
        <v:shape id="_x0000_s3122" type="#_x0000_t75" style="position:absolute;left:0;text-align:left;margin-left:0;margin-top:0;width:222.75pt;height:315.75pt;z-index:251678720;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9C10" w14:textId="77777777" w:rsidR="00B67C49" w:rsidRDefault="00B67C49"/>
  <w:p w14:paraId="55340653" w14:textId="77777777" w:rsidR="00B67C49" w:rsidRDefault="00B67C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ADD2" w14:textId="22981201" w:rsidR="00B67C49" w:rsidRDefault="00000000">
    <w:pPr>
      <w:pStyle w:val="af2"/>
      <w:jc w:val="both"/>
    </w:pPr>
    <w:r>
      <w:rPr>
        <w:rFonts w:ascii="Arial" w:hAnsi="Arial" w:cs="Arial" w:hint="eastAsia"/>
        <w:szCs w:val="21"/>
      </w:rPr>
      <w:t>富荣福耀混合型证券投资基金更新的招募说明书（</w:t>
    </w:r>
    <w:r>
      <w:rPr>
        <w:rFonts w:ascii="Arial" w:hAnsi="Arial" w:cs="Arial" w:hint="eastAsia"/>
        <w:szCs w:val="21"/>
      </w:rPr>
      <w:t>2024</w:t>
    </w:r>
    <w:r>
      <w:rPr>
        <w:rFonts w:ascii="Arial" w:hAnsi="Arial" w:cs="Arial" w:hint="eastAsia"/>
        <w:szCs w:val="21"/>
      </w:rPr>
      <w:t>年第</w:t>
    </w:r>
    <w:r>
      <w:rPr>
        <w:rFonts w:ascii="Arial" w:hAnsi="Arial" w:cs="Arial" w:hint="eastAsia"/>
        <w:szCs w:val="21"/>
      </w:rPr>
      <w:t>1</w:t>
    </w:r>
    <w:r>
      <w:rPr>
        <w:rFonts w:ascii="Arial" w:hAnsi="Arial" w:cs="Arial" w:hint="eastAsia"/>
        <w:szCs w:val="21"/>
      </w:rPr>
      <w:t>号）</w:t>
    </w:r>
  </w:p>
  <w:p w14:paraId="16B43492" w14:textId="77777777" w:rsidR="00B67C49" w:rsidRDefault="00000000">
    <w:r>
      <w:pict w14:anchorId="1A519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904.65pt;margin-top:345.55pt;width:222.75pt;height:315.75pt;z-index:251659264;mso-position-horizontal-relative:page;mso-position-vertical-relative:page;mso-width-relative:page;mso-height-relative:page">
          <v:imagedata r:id="rId1" o:title=""/>
          <o:lock v:ext="edit" aspectratio="f"/>
          <w10:wrap anchorx="page" anchory="page"/>
        </v:shape>
      </w:pict>
    </w:r>
  </w:p>
  <w:p w14:paraId="4668E502" w14:textId="77777777" w:rsidR="00B67C49" w:rsidRDefault="00B67C49"/>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EED0" w14:textId="77777777" w:rsidR="00B67C49" w:rsidRDefault="00B67C49"/>
  <w:p w14:paraId="4EFB9ADF" w14:textId="77777777" w:rsidR="00B67C49" w:rsidRDefault="00B67C49"/>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B7F0" w14:textId="77777777" w:rsidR="00B67C49" w:rsidRDefault="00000000">
    <w:r>
      <w:pict w14:anchorId="167B6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9" type="#_x0000_t75" style="position:absolute;left:0;text-align:left;margin-left:0;margin-top:0;width:222.75pt;height:315.75pt;z-index:251708416;mso-position-horizontal:center;mso-position-horizontal-relative:page;mso-position-vertical:center;mso-position-vertical-relative:page;mso-width-relative:page;mso-height-relative:page">
          <v:imagedata r:id="rId1" o:title=""/>
          <o:lock v:ext="edit" aspectratio="f"/>
          <w10:wrap anchorx="page" anchory="page"/>
        </v:shape>
      </w:pict>
    </w:r>
  </w:p>
  <w:p w14:paraId="55A1294D" w14:textId="77777777" w:rsidR="00B67C49" w:rsidRDefault="00000000">
    <w:r>
      <w:pict w14:anchorId="22BA5780">
        <v:shape id="_x0000_s3127" type="#_x0000_t75" style="position:absolute;left:0;text-align:left;margin-left:0;margin-top:0;width:222.75pt;height:315.75pt;z-index:251680768;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C12E" w14:textId="77777777" w:rsidR="00B67C49" w:rsidRDefault="00B67C49"/>
  <w:p w14:paraId="6697DF25" w14:textId="77777777" w:rsidR="00B67C49" w:rsidRDefault="00B67C49"/>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F8EA" w14:textId="77777777" w:rsidR="00B67C49" w:rsidRDefault="00000000">
    <w:r>
      <w:pict w14:anchorId="1B753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8" type="#_x0000_t75" style="position:absolute;left:0;text-align:left;margin-left:0;margin-top:0;width:222.75pt;height:315.75pt;z-index:251707392;mso-position-horizontal:center;mso-position-horizontal-relative:page;mso-position-vertical:center;mso-position-vertical-relative:page;mso-width-relative:page;mso-height-relative:page">
          <v:imagedata r:id="rId1" o:title=""/>
          <o:lock v:ext="edit" aspectratio="f"/>
          <w10:wrap anchorx="page" anchory="page"/>
        </v:shape>
      </w:pict>
    </w:r>
  </w:p>
  <w:p w14:paraId="2199D6FE" w14:textId="77777777" w:rsidR="00B67C49" w:rsidRDefault="00000000">
    <w:r>
      <w:pict w14:anchorId="25D9983B">
        <v:shape id="_x0000_s3124" type="#_x0000_t75" style="position:absolute;left:0;text-align:left;margin-left:0;margin-top:0;width:222.75pt;height:315.75pt;z-index:251679744;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8DB2" w14:textId="77777777" w:rsidR="00B67C49" w:rsidRDefault="00000000">
    <w:r>
      <w:pict w14:anchorId="098AD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2" type="#_x0000_t75" style="position:absolute;left:0;text-align:left;margin-left:0;margin-top:0;width:222.75pt;height:315.75pt;z-index:251710464;mso-position-horizontal:center;mso-position-horizontal-relative:page;mso-position-vertical:center;mso-position-vertical-relative:page;mso-width-relative:page;mso-height-relative:page">
          <v:imagedata r:id="rId1" o:title=""/>
          <o:lock v:ext="edit" aspectratio="f"/>
          <w10:wrap anchorx="page" anchory="page"/>
        </v:shape>
      </w:pict>
    </w:r>
  </w:p>
  <w:p w14:paraId="2AD095CC" w14:textId="77777777" w:rsidR="00B67C49" w:rsidRDefault="00000000">
    <w:r>
      <w:pict w14:anchorId="1F0F7D24">
        <v:shape id="_x0000_s3132" type="#_x0000_t75" style="position:absolute;left:0;text-align:left;margin-left:0;margin-top:0;width:222.75pt;height:315.75pt;z-index:251682816;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D5E2" w14:textId="77777777" w:rsidR="00B67C49" w:rsidRDefault="00B67C49"/>
  <w:p w14:paraId="44991FAF" w14:textId="77777777" w:rsidR="00B67C49" w:rsidRDefault="00B67C49"/>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EDEC" w14:textId="77777777" w:rsidR="00B67C49" w:rsidRDefault="00000000">
    <w:r>
      <w:pict w14:anchorId="5B793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1" type="#_x0000_t75" style="position:absolute;left:0;text-align:left;margin-left:0;margin-top:0;width:222.75pt;height:315.75pt;z-index:251709440;mso-position-horizontal:center;mso-position-horizontal-relative:page;mso-position-vertical:center;mso-position-vertical-relative:page;mso-width-relative:page;mso-height-relative:page">
          <v:imagedata r:id="rId1" o:title=""/>
          <o:lock v:ext="edit" aspectratio="f"/>
          <w10:wrap anchorx="page" anchory="page"/>
        </v:shape>
      </w:pict>
    </w:r>
  </w:p>
  <w:p w14:paraId="37FF071B" w14:textId="77777777" w:rsidR="00B67C49" w:rsidRDefault="00000000">
    <w:r>
      <w:pict w14:anchorId="4DC06183">
        <v:shape id="_x0000_s3129" type="#_x0000_t75" style="position:absolute;left:0;text-align:left;margin-left:0;margin-top:0;width:222.75pt;height:315.75pt;z-index:251681792;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1A02" w14:textId="77777777" w:rsidR="00B67C49" w:rsidRDefault="00000000">
    <w:r>
      <w:pict w14:anchorId="081D9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5" type="#_x0000_t75" style="position:absolute;left:0;text-align:left;margin-left:0;margin-top:0;width:222.75pt;height:315.75pt;z-index:251712512;mso-position-horizontal:center;mso-position-horizontal-relative:page;mso-position-vertical:center;mso-position-vertical-relative:page;mso-width-relative:page;mso-height-relative:page">
          <v:imagedata r:id="rId1" o:title=""/>
          <o:lock v:ext="edit" aspectratio="f"/>
          <w10:wrap anchorx="page" anchory="page"/>
        </v:shape>
      </w:pict>
    </w:r>
  </w:p>
  <w:p w14:paraId="438AF652" w14:textId="77777777" w:rsidR="00B67C49" w:rsidRDefault="00000000">
    <w:r>
      <w:pict w14:anchorId="45186FF2">
        <v:shape id="_x0000_s3137" type="#_x0000_t75" style="position:absolute;left:0;text-align:left;margin-left:0;margin-top:0;width:222.75pt;height:315.75pt;z-index:251684864;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1EEF" w14:textId="77777777" w:rsidR="00B67C49" w:rsidRDefault="00B67C49"/>
  <w:p w14:paraId="59319B60" w14:textId="77777777" w:rsidR="00B67C49" w:rsidRDefault="00B67C49"/>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3391" w14:textId="77777777" w:rsidR="00B67C49" w:rsidRDefault="00000000">
    <w:r>
      <w:pict w14:anchorId="6EA90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4" type="#_x0000_t75" style="position:absolute;left:0;text-align:left;margin-left:0;margin-top:0;width:222.75pt;height:315.75pt;z-index:251711488;mso-position-horizontal:center;mso-position-horizontal-relative:page;mso-position-vertical:center;mso-position-vertical-relative:page;mso-width-relative:page;mso-height-relative:page">
          <v:imagedata r:id="rId1" o:title=""/>
          <o:lock v:ext="edit" aspectratio="f"/>
          <w10:wrap anchorx="page" anchory="page"/>
        </v:shape>
      </w:pict>
    </w:r>
  </w:p>
  <w:p w14:paraId="72C46748" w14:textId="77777777" w:rsidR="00B67C49" w:rsidRDefault="00000000">
    <w:r>
      <w:pict w14:anchorId="73BB2565">
        <v:shape id="_x0000_s3134" type="#_x0000_t75" style="position:absolute;left:0;text-align:left;margin-left:0;margin-top:0;width:222.75pt;height:315.75pt;z-index:251683840;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FC2F" w14:textId="77777777" w:rsidR="00B67C49" w:rsidRDefault="00000000">
    <w:r>
      <w:pict w14:anchorId="4D799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left:0;text-align:left;margin-left:0;margin-top:0;width:222.75pt;height:315.75pt;z-index:251691008;mso-position-horizontal:center;mso-position-horizontal-relative:page;mso-position-vertical:center;mso-position-vertical-relative:page;mso-width-relative:page;mso-height-relative:page">
          <v:imagedata r:id="rId1" o:title=""/>
          <o:lock v:ext="edit" aspectratio="f"/>
          <w10:wrap anchorx="page" anchory="page"/>
        </v:shape>
      </w:pict>
    </w:r>
  </w:p>
  <w:p w14:paraId="7AE9F944" w14:textId="77777777" w:rsidR="00B67C49" w:rsidRDefault="00000000">
    <w:r>
      <w:pict w14:anchorId="7D0CA54D">
        <v:shape id="_x0000_s3083" type="#_x0000_t75" style="position:absolute;left:0;text-align:left;margin-left:0;margin-top:0;width:222.75pt;height:315.75pt;z-index:251663360;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65A4" w14:textId="77777777" w:rsidR="00B67C49" w:rsidRDefault="00000000">
    <w:r>
      <w:pict w14:anchorId="2A530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8" type="#_x0000_t75" style="position:absolute;left:0;text-align:left;margin-left:0;margin-top:0;width:222.75pt;height:315.75pt;z-index:251714560;mso-position-horizontal:center;mso-position-horizontal-relative:page;mso-position-vertical:center;mso-position-vertical-relative:page;mso-width-relative:page;mso-height-relative:page">
          <v:imagedata r:id="rId1" o:title=""/>
          <o:lock v:ext="edit" aspectratio="f"/>
          <w10:wrap anchorx="page" anchory="page"/>
        </v:shape>
      </w:pict>
    </w:r>
  </w:p>
  <w:p w14:paraId="695BF99E" w14:textId="77777777" w:rsidR="00B67C49" w:rsidRDefault="00000000">
    <w:r>
      <w:pict w14:anchorId="08841A96">
        <v:shape id="_x0000_s3142" type="#_x0000_t75" style="position:absolute;left:0;text-align:left;margin-left:0;margin-top:0;width:222.75pt;height:315.75pt;z-index:251686912;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2595" w14:textId="77777777" w:rsidR="00B67C49" w:rsidRDefault="00B67C49"/>
  <w:p w14:paraId="57FEC27C" w14:textId="77777777" w:rsidR="00B67C49" w:rsidRDefault="00B67C49"/>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E9C0" w14:textId="77777777" w:rsidR="00B67C49" w:rsidRDefault="00000000">
    <w:r>
      <w:pict w14:anchorId="64374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7" type="#_x0000_t75" style="position:absolute;left:0;text-align:left;margin-left:0;margin-top:0;width:222.75pt;height:315.75pt;z-index:251713536;mso-position-horizontal:center;mso-position-horizontal-relative:page;mso-position-vertical:center;mso-position-vertical-relative:page;mso-width-relative:page;mso-height-relative:page">
          <v:imagedata r:id="rId1" o:title=""/>
          <o:lock v:ext="edit" aspectratio="f"/>
          <w10:wrap anchorx="page" anchory="page"/>
        </v:shape>
      </w:pict>
    </w:r>
  </w:p>
  <w:p w14:paraId="5EE56842" w14:textId="77777777" w:rsidR="00B67C49" w:rsidRDefault="00000000">
    <w:r>
      <w:pict w14:anchorId="21DD9374">
        <v:shape id="_x0000_s3139" type="#_x0000_t75" style="position:absolute;left:0;text-align:left;margin-left:0;margin-top:0;width:222.75pt;height:315.75pt;z-index:251685888;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F8D" w14:textId="77777777" w:rsidR="00B67C49" w:rsidRDefault="00B67C49"/>
  <w:p w14:paraId="65A2C0C3" w14:textId="77777777" w:rsidR="00B67C49" w:rsidRDefault="00B67C4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F2AD" w14:textId="77777777" w:rsidR="00B67C49" w:rsidRDefault="00000000">
    <w:r>
      <w:pict w14:anchorId="5725A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left:0;text-align:left;margin-left:0;margin-top:0;width:222.75pt;height:315.75pt;z-index:251689984;mso-position-horizontal:center;mso-position-horizontal-relative:page;mso-position-vertical:center;mso-position-vertical-relative:page;mso-width-relative:page;mso-height-relative:page">
          <v:imagedata r:id="rId1" o:title=""/>
          <o:lock v:ext="edit" aspectratio="f"/>
          <w10:wrap anchorx="page" anchory="page"/>
        </v:shape>
      </w:pict>
    </w:r>
  </w:p>
  <w:p w14:paraId="4793BE0F" w14:textId="77777777" w:rsidR="00B67C49" w:rsidRDefault="00000000">
    <w:r>
      <w:pict w14:anchorId="09EF2210">
        <v:shape id="_x0000_s3080" type="#_x0000_t75" style="position:absolute;left:0;text-align:left;margin-left:0;margin-top:0;width:222.75pt;height:315.75pt;z-index:251662336;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E536" w14:textId="77777777" w:rsidR="00B67C49" w:rsidRDefault="00000000">
    <w:r>
      <w:pict w14:anchorId="1DFD2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5" type="#_x0000_t75" style="position:absolute;left:0;text-align:left;margin-left:0;margin-top:0;width:222.75pt;height:315.75pt;z-index:251693056;mso-position-horizontal:center;mso-position-horizontal-relative:page;mso-position-vertical:center;mso-position-vertical-relative:page;mso-width-relative:page;mso-height-relative:page">
          <v:imagedata r:id="rId1" o:title=""/>
          <o:lock v:ext="edit" aspectratio="f"/>
          <w10:wrap anchorx="page" anchory="page"/>
        </v:shape>
      </w:pict>
    </w:r>
  </w:p>
  <w:p w14:paraId="7D50875C" w14:textId="77777777" w:rsidR="00B67C49" w:rsidRDefault="00000000">
    <w:r>
      <w:pict w14:anchorId="1565D800">
        <v:shape id="_x0000_s3088" type="#_x0000_t75" style="position:absolute;left:0;text-align:left;margin-left:0;margin-top:0;width:222.75pt;height:315.75pt;z-index:251665408;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9A9F" w14:textId="77777777" w:rsidR="00B67C49" w:rsidRDefault="00B67C49"/>
  <w:p w14:paraId="2BE0C9B6" w14:textId="77777777" w:rsidR="00B67C49" w:rsidRDefault="00B67C4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8C8C" w14:textId="77777777" w:rsidR="00B67C49" w:rsidRDefault="00000000">
    <w:r>
      <w:pict w14:anchorId="4B90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left:0;text-align:left;margin-left:0;margin-top:0;width:222.75pt;height:315.75pt;z-index:251692032;mso-position-horizontal:center;mso-position-horizontal-relative:page;mso-position-vertical:center;mso-position-vertical-relative:page;mso-width-relative:page;mso-height-relative:page">
          <v:imagedata r:id="rId1" o:title=""/>
          <o:lock v:ext="edit" aspectratio="f"/>
          <w10:wrap anchorx="page" anchory="page"/>
        </v:shape>
      </w:pict>
    </w:r>
  </w:p>
  <w:p w14:paraId="12068B22" w14:textId="77777777" w:rsidR="00B67C49" w:rsidRDefault="00000000">
    <w:r>
      <w:pict w14:anchorId="2014424A">
        <v:shape id="_x0000_s3085" type="#_x0000_t75" style="position:absolute;left:0;text-align:left;margin-left:0;margin-top:0;width:222.75pt;height:315.75pt;z-index:251664384;mso-position-horizontal:center;mso-position-horizontal-relative:page;mso-position-vertical:center;mso-position-vertical-relative:page;mso-width-relative:page;mso-height-relative:page">
          <v:imagedata r:id="rId1" o:title=""/>
          <o:lock v:ext="edit" aspectratio="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5615095"/>
    <w:multiLevelType w:val="multilevel"/>
    <w:tmpl w:val="1561509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9BE1F2A"/>
    <w:multiLevelType w:val="multilevel"/>
    <w:tmpl w:val="59BE1F2A"/>
    <w:lvl w:ilvl="0">
      <w:start w:val="1"/>
      <w:numFmt w:val="decimal"/>
      <w:lvlText w:val="%1、"/>
      <w:lvlJc w:val="left"/>
      <w:pPr>
        <w:ind w:left="375" w:hanging="360"/>
      </w:pPr>
      <w:rPr>
        <w:rFonts w:hint="default"/>
      </w:rPr>
    </w:lvl>
    <w:lvl w:ilvl="1">
      <w:start w:val="1"/>
      <w:numFmt w:val="lowerLetter"/>
      <w:lvlText w:val="%2)"/>
      <w:lvlJc w:val="left"/>
      <w:pPr>
        <w:ind w:left="855" w:hanging="420"/>
      </w:pPr>
    </w:lvl>
    <w:lvl w:ilvl="2">
      <w:start w:val="1"/>
      <w:numFmt w:val="lowerRoman"/>
      <w:lvlText w:val="%3."/>
      <w:lvlJc w:val="right"/>
      <w:pPr>
        <w:ind w:left="1275" w:hanging="420"/>
      </w:pPr>
    </w:lvl>
    <w:lvl w:ilvl="3">
      <w:start w:val="1"/>
      <w:numFmt w:val="decimal"/>
      <w:lvlText w:val="%4."/>
      <w:lvlJc w:val="left"/>
      <w:pPr>
        <w:ind w:left="1695" w:hanging="420"/>
      </w:pPr>
    </w:lvl>
    <w:lvl w:ilvl="4">
      <w:start w:val="1"/>
      <w:numFmt w:val="lowerLetter"/>
      <w:lvlText w:val="%5)"/>
      <w:lvlJc w:val="left"/>
      <w:pPr>
        <w:ind w:left="2115" w:hanging="420"/>
      </w:pPr>
    </w:lvl>
    <w:lvl w:ilvl="5">
      <w:start w:val="1"/>
      <w:numFmt w:val="lowerRoman"/>
      <w:lvlText w:val="%6."/>
      <w:lvlJc w:val="right"/>
      <w:pPr>
        <w:ind w:left="2535" w:hanging="420"/>
      </w:pPr>
    </w:lvl>
    <w:lvl w:ilvl="6">
      <w:start w:val="1"/>
      <w:numFmt w:val="decimal"/>
      <w:lvlText w:val="%7."/>
      <w:lvlJc w:val="left"/>
      <w:pPr>
        <w:ind w:left="2955" w:hanging="420"/>
      </w:pPr>
    </w:lvl>
    <w:lvl w:ilvl="7">
      <w:start w:val="1"/>
      <w:numFmt w:val="lowerLetter"/>
      <w:lvlText w:val="%8)"/>
      <w:lvlJc w:val="left"/>
      <w:pPr>
        <w:ind w:left="3375" w:hanging="420"/>
      </w:pPr>
    </w:lvl>
    <w:lvl w:ilvl="8">
      <w:start w:val="1"/>
      <w:numFmt w:val="lowerRoman"/>
      <w:lvlText w:val="%9."/>
      <w:lvlJc w:val="right"/>
      <w:pPr>
        <w:ind w:left="3795" w:hanging="420"/>
      </w:pPr>
    </w:lvl>
  </w:abstractNum>
  <w:num w:numId="1" w16cid:durableId="2109621022">
    <w:abstractNumId w:val="0"/>
  </w:num>
  <w:num w:numId="2" w16cid:durableId="166331454">
    <w:abstractNumId w:val="1"/>
  </w:num>
  <w:num w:numId="3" w16cid:durableId="331108643">
    <w:abstractNumId w:val="3"/>
  </w:num>
  <w:num w:numId="4" w16cid:durableId="374815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39"/>
    <o:shapelayout v:ext="edit">
      <o:idmap v:ext="edit" data="1,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Y2ODUzNGVlMWY5MTdmYzk4NTgyYTQzMDZkYWUyOTUifQ=="/>
  </w:docVars>
  <w:rsids>
    <w:rsidRoot w:val="000233F5"/>
    <w:rsid w:val="000233F5"/>
    <w:rsid w:val="000369E6"/>
    <w:rsid w:val="000A79E6"/>
    <w:rsid w:val="001A6C66"/>
    <w:rsid w:val="00270C84"/>
    <w:rsid w:val="00395CEF"/>
    <w:rsid w:val="004164CD"/>
    <w:rsid w:val="00444AC4"/>
    <w:rsid w:val="00473C36"/>
    <w:rsid w:val="00500468"/>
    <w:rsid w:val="00571AA7"/>
    <w:rsid w:val="00602C1D"/>
    <w:rsid w:val="0061153E"/>
    <w:rsid w:val="00637380"/>
    <w:rsid w:val="00667417"/>
    <w:rsid w:val="006F096F"/>
    <w:rsid w:val="00712892"/>
    <w:rsid w:val="007159AF"/>
    <w:rsid w:val="00717D54"/>
    <w:rsid w:val="007260BE"/>
    <w:rsid w:val="007E6B39"/>
    <w:rsid w:val="00804883"/>
    <w:rsid w:val="0082435C"/>
    <w:rsid w:val="008D223B"/>
    <w:rsid w:val="009127CF"/>
    <w:rsid w:val="009511BD"/>
    <w:rsid w:val="009617D2"/>
    <w:rsid w:val="009C4E42"/>
    <w:rsid w:val="00A06B28"/>
    <w:rsid w:val="00A43A06"/>
    <w:rsid w:val="00B26DB7"/>
    <w:rsid w:val="00B67C49"/>
    <w:rsid w:val="00BA5823"/>
    <w:rsid w:val="00C06C38"/>
    <w:rsid w:val="00C131FA"/>
    <w:rsid w:val="00C338F4"/>
    <w:rsid w:val="00D84CBD"/>
    <w:rsid w:val="00E53CF6"/>
    <w:rsid w:val="00EA688E"/>
    <w:rsid w:val="00F15997"/>
    <w:rsid w:val="00F25D44"/>
    <w:rsid w:val="00F71F89"/>
    <w:rsid w:val="00FA618F"/>
    <w:rsid w:val="00FB56F5"/>
    <w:rsid w:val="00FB5944"/>
    <w:rsid w:val="00FE3C3A"/>
    <w:rsid w:val="21123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39"/>
    <o:shapelayout v:ext="edit">
      <o:idmap v:ext="edit" data="2"/>
    </o:shapelayout>
  </w:shapeDefaults>
  <w:decimalSymbol w:val="."/>
  <w:listSeparator w:val=","/>
  <w14:docId w14:val="0EB21247"/>
  <w15:docId w15:val="{1E02380B-D7B8-47C2-B18D-D108744F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autoRedefine/>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autoRedefine/>
    <w:uiPriority w:val="99"/>
    <w:semiHidden/>
    <w:unhideWhenUsed/>
    <w:qFormat/>
    <w:pPr>
      <w:spacing w:after="120"/>
      <w:ind w:leftChars="200" w:left="420"/>
    </w:pPr>
  </w:style>
  <w:style w:type="paragraph" w:styleId="TOC3">
    <w:name w:val="toc 3"/>
    <w:basedOn w:val="a"/>
    <w:next w:val="a"/>
    <w:autoRedefine/>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autoRedefine/>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autoRedefine/>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qFormat/>
    <w:rPr>
      <w:b/>
    </w:rPr>
  </w:style>
  <w:style w:type="table" w:styleId="afa">
    <w:name w:val="Table Grid"/>
    <w:basedOn w:val="a1"/>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uiPriority w:val="99"/>
    <w:unhideWhenUsed/>
    <w:qFormat/>
    <w:rPr>
      <w:color w:val="0000FF"/>
      <w:u w:val="single"/>
    </w:rPr>
  </w:style>
  <w:style w:type="character" w:styleId="afd">
    <w:name w:val="annotation reference"/>
    <w:uiPriority w:val="99"/>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autoRedefine/>
    <w:semiHidden/>
    <w:qFormat/>
    <w:rPr>
      <w:rFonts w:ascii="宋体" w:eastAsia="宋体" w:hAnsi="Calibri" w:cs="Times New Roman"/>
      <w:kern w:val="0"/>
    </w:rPr>
  </w:style>
  <w:style w:type="character" w:customStyle="1" w:styleId="22">
    <w:name w:val="正文文本缩进 2 字符"/>
    <w:basedOn w:val="a0"/>
    <w:link w:val="21"/>
    <w:autoRedefine/>
    <w:semiHidden/>
    <w:qFormat/>
    <w:rPr>
      <w:rFonts w:ascii="仿宋_GB2312" w:eastAsia="仿宋_GB2312" w:hAnsi="Times New Roman" w:cs="Times New Roman"/>
      <w:sz w:val="28"/>
      <w:szCs w:val="20"/>
    </w:rPr>
  </w:style>
  <w:style w:type="character" w:customStyle="1" w:styleId="32">
    <w:name w:val="正文文本缩进 3 字符"/>
    <w:basedOn w:val="a0"/>
    <w:link w:val="31"/>
    <w:autoRedefine/>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autoRedefine/>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autoRedefine/>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qFormat/>
    <w:rPr>
      <w:rFonts w:ascii="宋体" w:eastAsia="宋体" w:hAnsi="宋体" w:hint="eastAsia"/>
      <w:color w:val="000000"/>
      <w:sz w:val="24"/>
      <w:szCs w:val="24"/>
    </w:rPr>
  </w:style>
  <w:style w:type="character" w:customStyle="1" w:styleId="ab">
    <w:name w:val="正文文本缩进 字符"/>
    <w:basedOn w:val="a0"/>
    <w:link w:val="aa"/>
    <w:uiPriority w:val="99"/>
    <w:semiHidden/>
    <w:qFormat/>
  </w:style>
  <w:style w:type="paragraph" w:customStyle="1" w:styleId="zhangjiep">
    <w:name w:val="zhangjie_p"/>
    <w:basedOn w:val="a"/>
    <w:qFormat/>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qFormat/>
    <w:rPr>
      <w:rFonts w:asciiTheme="minorHAnsi" w:eastAsiaTheme="minorEastAsia" w:hAnsiTheme="minorHAnsi" w:cstheme="minorBidi"/>
      <w:kern w:val="2"/>
      <w:sz w:val="21"/>
      <w:szCs w:val="22"/>
    </w:rPr>
  </w:style>
  <w:style w:type="paragraph" w:customStyle="1" w:styleId="33">
    <w:name w:val="修订3"/>
    <w:hidden/>
    <w:uiPriority w:val="99"/>
    <w:unhideWhenUsed/>
    <w:qFormat/>
    <w:rPr>
      <w:rFonts w:asciiTheme="minorHAnsi" w:eastAsiaTheme="minorEastAsia" w:hAnsiTheme="minorHAnsi" w:cstheme="minorBidi"/>
      <w:kern w:val="2"/>
      <w:sz w:val="21"/>
      <w:szCs w:val="22"/>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paragraph" w:customStyle="1" w:styleId="aff2">
    <w:name w:val="合同正文"/>
    <w:basedOn w:val="a"/>
    <w:qFormat/>
    <w:pPr>
      <w:spacing w:line="360" w:lineRule="auto"/>
      <w:ind w:firstLineChars="200" w:firstLine="200"/>
    </w:pPr>
    <w:rPr>
      <w:bCs/>
      <w:sz w:val="24"/>
    </w:rPr>
  </w:style>
  <w:style w:type="paragraph" w:customStyle="1" w:styleId="5">
    <w:name w:val="修订5"/>
    <w:hidden/>
    <w:uiPriority w:val="99"/>
    <w:semiHidden/>
    <w:qFormat/>
    <w:rPr>
      <w:rFonts w:asciiTheme="minorHAnsi" w:eastAsiaTheme="minorEastAsia" w:hAnsiTheme="minorHAnsi" w:cstheme="minorBidi"/>
      <w:kern w:val="2"/>
      <w:sz w:val="21"/>
      <w:szCs w:val="22"/>
    </w:rPr>
  </w:style>
  <w:style w:type="paragraph" w:customStyle="1" w:styleId="6">
    <w:name w:val="修订6"/>
    <w:hidden/>
    <w:uiPriority w:val="99"/>
    <w:unhideWhenUsed/>
    <w:rPr>
      <w:rFonts w:asciiTheme="minorHAnsi" w:eastAsiaTheme="minorEastAsia" w:hAnsiTheme="minorHAnsi" w:cstheme="minorBidi"/>
      <w:kern w:val="2"/>
      <w:sz w:val="21"/>
      <w:szCs w:val="22"/>
    </w:rPr>
  </w:style>
  <w:style w:type="paragraph" w:styleId="aff3">
    <w:name w:val="Revision"/>
    <w:hidden/>
    <w:uiPriority w:val="99"/>
    <w:unhideWhenUsed/>
    <w:rsid w:val="009617D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footer" Target="footer2.xml"/><Relationship Id="rId42" Type="http://schemas.openxmlformats.org/officeDocument/2006/relationships/hyperlink" Target="http://www.5ifund.com" TargetMode="External"/><Relationship Id="rId47" Type="http://schemas.openxmlformats.org/officeDocument/2006/relationships/header" Target="header22.xml"/><Relationship Id="rId63" Type="http://schemas.openxmlformats.org/officeDocument/2006/relationships/header" Target="header32.xml"/><Relationship Id="rId68" Type="http://schemas.openxmlformats.org/officeDocument/2006/relationships/footer" Target="footer11.xml"/><Relationship Id="rId16" Type="http://schemas.openxmlformats.org/officeDocument/2006/relationships/header" Target="header7.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yperlink" Target="http://www.zlfund.cn" TargetMode="External"/><Relationship Id="rId37" Type="http://schemas.openxmlformats.org/officeDocument/2006/relationships/hyperlink" Target="http://www.txfund.com" TargetMode="External"/><Relationship Id="rId40" Type="http://schemas.openxmlformats.org/officeDocument/2006/relationships/hyperlink" Target="https://www.zzfund.com" TargetMode="External"/><Relationship Id="rId45" Type="http://schemas.openxmlformats.org/officeDocument/2006/relationships/footer" Target="footer5.xml"/><Relationship Id="rId53" Type="http://schemas.openxmlformats.org/officeDocument/2006/relationships/footer" Target="footer7.xml"/><Relationship Id="rId58" Type="http://schemas.openxmlformats.org/officeDocument/2006/relationships/header" Target="header29.xml"/><Relationship Id="rId66" Type="http://schemas.openxmlformats.org/officeDocument/2006/relationships/header" Target="header34.xml"/><Relationship Id="rId74" Type="http://schemas.openxmlformats.org/officeDocument/2006/relationships/header" Target="header40.xml"/><Relationship Id="rId5" Type="http://schemas.openxmlformats.org/officeDocument/2006/relationships/settings" Target="settings.xml"/><Relationship Id="rId61" Type="http://schemas.openxmlformats.org/officeDocument/2006/relationships/footer" Target="footer9.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yperlink" Target="http://www.wacaijijin.com" TargetMode="Externa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image" Target="media/image3.jpeg"/><Relationship Id="rId64" Type="http://schemas.openxmlformats.org/officeDocument/2006/relationships/footer" Target="footer10.xml"/><Relationship Id="rId69" Type="http://schemas.openxmlformats.org/officeDocument/2006/relationships/header" Target="header36.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5.xml"/><Relationship Id="rId72" Type="http://schemas.openxmlformats.org/officeDocument/2006/relationships/footer" Target="footer12.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3.xml"/><Relationship Id="rId33" Type="http://schemas.openxmlformats.org/officeDocument/2006/relationships/hyperlink" Target="http://www.jjmmw.com" TargetMode="External"/><Relationship Id="rId38" Type="http://schemas.openxmlformats.org/officeDocument/2006/relationships/hyperlink" Target="http://www.puyifund.com" TargetMode="External"/><Relationship Id="rId46" Type="http://schemas.openxmlformats.org/officeDocument/2006/relationships/header" Target="header21.xml"/><Relationship Id="rId59" Type="http://schemas.openxmlformats.org/officeDocument/2006/relationships/footer" Target="footer8.xml"/><Relationship Id="rId67" Type="http://schemas.openxmlformats.org/officeDocument/2006/relationships/header" Target="header35.xml"/><Relationship Id="rId20" Type="http://schemas.openxmlformats.org/officeDocument/2006/relationships/header" Target="header11.xml"/><Relationship Id="rId41" Type="http://schemas.openxmlformats.org/officeDocument/2006/relationships/hyperlink" Target="http://www.licaike.com" TargetMode="External"/><Relationship Id="rId54" Type="http://schemas.openxmlformats.org/officeDocument/2006/relationships/header" Target="header27.xml"/><Relationship Id="rId62" Type="http://schemas.openxmlformats.org/officeDocument/2006/relationships/header" Target="header31.xml"/><Relationship Id="rId70" Type="http://schemas.openxmlformats.org/officeDocument/2006/relationships/header" Target="header37.xml"/><Relationship Id="rId75"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yperlink" Target="http://www.taixincf.com" TargetMode="External"/><Relationship Id="rId49" Type="http://schemas.openxmlformats.org/officeDocument/2006/relationships/footer" Target="footer6.xml"/><Relationship Id="rId57" Type="http://schemas.openxmlformats.org/officeDocument/2006/relationships/header" Target="header28.xml"/><Relationship Id="rId10" Type="http://schemas.openxmlformats.org/officeDocument/2006/relationships/header" Target="header2.xml"/><Relationship Id="rId31" Type="http://schemas.openxmlformats.org/officeDocument/2006/relationships/hyperlink" Target="http://www.yingmi.cn" TargetMode="Externa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header" Target="header30.xml"/><Relationship Id="rId65" Type="http://schemas.openxmlformats.org/officeDocument/2006/relationships/header" Target="header33.xml"/><Relationship Id="rId73" Type="http://schemas.openxmlformats.org/officeDocument/2006/relationships/header" Target="header39.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yperlink" Target="https://www.gw.com.cn/" TargetMode="External"/><Relationship Id="rId34" Type="http://schemas.openxmlformats.org/officeDocument/2006/relationships/hyperlink" Target="http://danjuanapp.com/" TargetMode="External"/><Relationship Id="rId50" Type="http://schemas.openxmlformats.org/officeDocument/2006/relationships/header" Target="header24.xml"/><Relationship Id="rId55" Type="http://schemas.openxmlformats.org/officeDocument/2006/relationships/image" Target="media/image2.jpeg"/><Relationship Id="rId76" Type="http://schemas.openxmlformats.org/officeDocument/2006/relationships/header" Target="header42.xml"/><Relationship Id="rId7" Type="http://schemas.openxmlformats.org/officeDocument/2006/relationships/footnotes" Target="footnotes.xml"/><Relationship Id="rId71" Type="http://schemas.openxmlformats.org/officeDocument/2006/relationships/header" Target="header38.xml"/><Relationship Id="rId2" Type="http://schemas.openxmlformats.org/officeDocument/2006/relationships/customXml" Target="../customXml/item2.xml"/><Relationship Id="rId29"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8"/>
    <customShpInfo spid="_x0000_s3076"/>
    <customShpInfo spid="_x0000_s4099"/>
    <customShpInfo spid="_x0000_s3078"/>
    <customShpInfo spid="_x0000_s4097"/>
    <customShpInfo spid="_x0000_s4102"/>
    <customShpInfo spid="_x0000_s3083"/>
    <customShpInfo spid="_x0000_s4101"/>
    <customShpInfo spid="_x0000_s3080"/>
    <customShpInfo spid="_x0000_s4105"/>
    <customShpInfo spid="_x0000_s3088"/>
    <customShpInfo spid="_x0000_s4104"/>
    <customShpInfo spid="_x0000_s3085"/>
    <customShpInfo spid="_x0000_s4108"/>
    <customShpInfo spid="_x0000_s3093"/>
    <customShpInfo spid="_x0000_s4107"/>
    <customShpInfo spid="_x0000_s3090"/>
    <customShpInfo spid="_x0000_s4111"/>
    <customShpInfo spid="_x0000_s3098"/>
    <customShpInfo spid="_x0000_s4110"/>
    <customShpInfo spid="_x0000_s3095"/>
    <customShpInfo spid="_x0000_s4114"/>
    <customShpInfo spid="_x0000_s3103"/>
    <customShpInfo spid="_x0000_s4113"/>
    <customShpInfo spid="_x0000_s3100"/>
    <customShpInfo spid="_x0000_s4117"/>
    <customShpInfo spid="_x0000_s3108"/>
    <customShpInfo spid="_x0000_s4116"/>
    <customShpInfo spid="_x0000_s3105"/>
    <customShpInfo spid="_x0000_s4120"/>
    <customShpInfo spid="_x0000_s3113"/>
    <customShpInfo spid="_x0000_s4119"/>
    <customShpInfo spid="_x0000_s3110"/>
    <customShpInfo spid="_x0000_s4123"/>
    <customShpInfo spid="_x0000_s3118"/>
    <customShpInfo spid="_x0000_s4122"/>
    <customShpInfo spid="_x0000_s3115"/>
    <customShpInfo spid="_x0000_s4126"/>
    <customShpInfo spid="_x0000_s3122"/>
    <customShpInfo spid="_x0000_s4129"/>
    <customShpInfo spid="_x0000_s3127"/>
    <customShpInfo spid="_x0000_s4128"/>
    <customShpInfo spid="_x0000_s3124"/>
    <customShpInfo spid="_x0000_s4132"/>
    <customShpInfo spid="_x0000_s3132"/>
    <customShpInfo spid="_x0000_s4131"/>
    <customShpInfo spid="_x0000_s3129"/>
    <customShpInfo spid="_x0000_s4135"/>
    <customShpInfo spid="_x0000_s3137"/>
    <customShpInfo spid="_x0000_s4134"/>
    <customShpInfo spid="_x0000_s3134"/>
    <customShpInfo spid="_x0000_s4138"/>
    <customShpInfo spid="_x0000_s3142"/>
    <customShpInfo spid="_x0000_s4137"/>
    <customShpInfo spid="_x0000_s3139"/>
  </customShpExts>
</s:customData>
</file>

<file path=customXml/itemProps1.xml><?xml version="1.0" encoding="utf-8"?>
<ds:datastoreItem xmlns:ds="http://schemas.openxmlformats.org/officeDocument/2006/customXml" ds:itemID="{50314DBA-1270-4E03-B70A-D700299A13F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136</Pages>
  <Words>15016</Words>
  <Characters>85597</Characters>
  <Application>Microsoft Office Word</Application>
  <DocSecurity>0</DocSecurity>
  <Lines>713</Lines>
  <Paragraphs>200</Paragraphs>
  <ScaleCrop>false</ScaleCrop>
  <Company/>
  <LinksUpToDate>false</LinksUpToDate>
  <CharactersWithSpaces>100413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何一雷</dc:creator>
  <cp:lastModifiedBy>徐铮</cp:lastModifiedBy>
  <cp:revision>6</cp:revision>
  <cp:lastPrinted>2021-06-24T07:11:00Z</cp:lastPrinted>
  <dcterms:created xsi:type="dcterms:W3CDTF">2024-04-18T01:20:00Z</dcterms:created>
  <dcterms:modified xsi:type="dcterms:W3CDTF">2024-04-19T06:25:00Z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EFF66533051A47768AC04D6EC510769B_13</vt:lpwstr>
  </property>
  <property fmtid="{D5CDD505-2E9C-101B-9397-08002B2CF9AE}" pid="3" name="KSOProductBuildVer">
    <vt:lpwstr>2052-12.1.0.16417</vt:lpwstr>
  </property>
</Properties>
</file>