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3A17" w14:textId="77777777" w:rsidR="009214AE" w:rsidRDefault="009214AE">
      <w:pPr>
        <w:tabs>
          <w:tab w:val="left" w:pos="6660"/>
        </w:tabs>
        <w:spacing w:line="360" w:lineRule="auto"/>
        <w:jc w:val="center"/>
        <w:rPr>
          <w:rFonts w:asciiTheme="minorEastAsia" w:hAnsiTheme="minorEastAsia" w:cs="Times New Roman"/>
          <w:bCs/>
          <w:sz w:val="48"/>
          <w:szCs w:val="48"/>
        </w:rPr>
      </w:pPr>
    </w:p>
    <w:p w14:paraId="67FD3E46" w14:textId="77777777" w:rsidR="009214AE" w:rsidRDefault="009214AE">
      <w:pPr>
        <w:spacing w:line="360" w:lineRule="auto"/>
        <w:jc w:val="center"/>
        <w:rPr>
          <w:rFonts w:asciiTheme="minorEastAsia" w:hAnsiTheme="minorEastAsia" w:cs="Times New Roman"/>
          <w:b/>
          <w:sz w:val="48"/>
          <w:szCs w:val="48"/>
        </w:rPr>
      </w:pPr>
    </w:p>
    <w:p w14:paraId="794AECED" w14:textId="77777777" w:rsidR="009214AE" w:rsidRDefault="009214AE">
      <w:pPr>
        <w:adjustRightInd w:val="0"/>
        <w:snapToGrid w:val="0"/>
        <w:spacing w:line="360" w:lineRule="auto"/>
        <w:jc w:val="center"/>
        <w:rPr>
          <w:rFonts w:asciiTheme="minorEastAsia" w:hAnsiTheme="minorEastAsia" w:cs="Arial"/>
          <w:sz w:val="48"/>
          <w:szCs w:val="48"/>
        </w:rPr>
      </w:pPr>
      <w:bookmarkStart w:id="0" w:name="_Toc123701386"/>
      <w:bookmarkStart w:id="1" w:name="_Toc123112266"/>
      <w:bookmarkStart w:id="2" w:name="_Toc139991729"/>
      <w:bookmarkStart w:id="3" w:name="_Toc123112227"/>
    </w:p>
    <w:p w14:paraId="4A7036B5" w14:textId="77777777" w:rsidR="009214AE" w:rsidRDefault="00C6633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富荣量化精选混合型发起式</w:t>
      </w:r>
    </w:p>
    <w:p w14:paraId="4DEFAC46" w14:textId="77777777" w:rsidR="009214AE" w:rsidRDefault="00C6633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证券投资基金更新的招募说明书</w:t>
      </w:r>
    </w:p>
    <w:p w14:paraId="7EB0D031" w14:textId="6E379654" w:rsidR="009214AE" w:rsidRDefault="00C6633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2024</w:t>
      </w:r>
      <w:r>
        <w:rPr>
          <w:rFonts w:ascii="Arial" w:eastAsia="宋体" w:hAnsi="宋体" w:cs="Arial" w:hint="eastAsia"/>
          <w:b/>
          <w:sz w:val="48"/>
          <w:szCs w:val="48"/>
        </w:rPr>
        <w:t>年第</w:t>
      </w:r>
      <w:r>
        <w:rPr>
          <w:rFonts w:ascii="Arial" w:eastAsia="宋体" w:hAnsi="宋体" w:cs="Arial" w:hint="eastAsia"/>
          <w:b/>
          <w:sz w:val="48"/>
          <w:szCs w:val="48"/>
        </w:rPr>
        <w:t>3</w:t>
      </w:r>
      <w:r>
        <w:rPr>
          <w:rFonts w:ascii="Arial" w:eastAsia="宋体" w:hAnsi="宋体" w:cs="Arial" w:hint="eastAsia"/>
          <w:b/>
          <w:sz w:val="48"/>
          <w:szCs w:val="48"/>
        </w:rPr>
        <w:t>号）</w:t>
      </w:r>
    </w:p>
    <w:p w14:paraId="602FF50A" w14:textId="77777777" w:rsidR="009214AE" w:rsidRDefault="009214AE">
      <w:pPr>
        <w:adjustRightInd w:val="0"/>
        <w:snapToGrid w:val="0"/>
        <w:spacing w:line="360" w:lineRule="auto"/>
        <w:jc w:val="center"/>
        <w:rPr>
          <w:rFonts w:asciiTheme="minorEastAsia" w:hAnsiTheme="minorEastAsia" w:cs="Times New Roman"/>
          <w:b/>
          <w:sz w:val="36"/>
          <w:szCs w:val="36"/>
        </w:rPr>
      </w:pPr>
    </w:p>
    <w:p w14:paraId="2AD8699C" w14:textId="77777777" w:rsidR="009214AE" w:rsidRDefault="009214AE">
      <w:pPr>
        <w:adjustRightInd w:val="0"/>
        <w:snapToGrid w:val="0"/>
        <w:spacing w:line="360" w:lineRule="auto"/>
        <w:jc w:val="center"/>
        <w:rPr>
          <w:rFonts w:asciiTheme="minorEastAsia" w:hAnsiTheme="minorEastAsia" w:cs="Arial"/>
          <w:sz w:val="36"/>
          <w:szCs w:val="36"/>
        </w:rPr>
      </w:pPr>
    </w:p>
    <w:p w14:paraId="4B584B81" w14:textId="77777777" w:rsidR="009214AE" w:rsidRDefault="009214AE">
      <w:pPr>
        <w:adjustRightInd w:val="0"/>
        <w:snapToGrid w:val="0"/>
        <w:spacing w:line="360" w:lineRule="auto"/>
        <w:jc w:val="center"/>
        <w:rPr>
          <w:rFonts w:asciiTheme="minorEastAsia" w:hAnsiTheme="minorEastAsia" w:cs="Arial"/>
          <w:sz w:val="36"/>
          <w:szCs w:val="36"/>
        </w:rPr>
      </w:pPr>
    </w:p>
    <w:p w14:paraId="155578CB" w14:textId="77777777" w:rsidR="009214AE" w:rsidRDefault="009214AE">
      <w:pPr>
        <w:adjustRightInd w:val="0"/>
        <w:snapToGrid w:val="0"/>
        <w:spacing w:line="360" w:lineRule="auto"/>
        <w:jc w:val="center"/>
        <w:rPr>
          <w:rFonts w:asciiTheme="minorEastAsia" w:hAnsiTheme="minorEastAsia" w:cs="Arial"/>
          <w:sz w:val="36"/>
          <w:szCs w:val="36"/>
        </w:rPr>
      </w:pPr>
    </w:p>
    <w:p w14:paraId="0B07D0ED" w14:textId="77777777" w:rsidR="009214AE" w:rsidRDefault="009214AE">
      <w:pPr>
        <w:adjustRightInd w:val="0"/>
        <w:snapToGrid w:val="0"/>
        <w:spacing w:line="360" w:lineRule="auto"/>
        <w:jc w:val="center"/>
        <w:rPr>
          <w:rFonts w:asciiTheme="minorEastAsia" w:hAnsiTheme="minorEastAsia" w:cs="Arial"/>
          <w:sz w:val="36"/>
          <w:szCs w:val="36"/>
        </w:rPr>
      </w:pPr>
    </w:p>
    <w:p w14:paraId="45E6CB05" w14:textId="77777777" w:rsidR="009214AE" w:rsidRDefault="009214AE">
      <w:pPr>
        <w:adjustRightInd w:val="0"/>
        <w:snapToGrid w:val="0"/>
        <w:spacing w:line="360" w:lineRule="auto"/>
        <w:jc w:val="center"/>
        <w:rPr>
          <w:rFonts w:asciiTheme="minorEastAsia" w:hAnsiTheme="minorEastAsia" w:cs="Arial"/>
          <w:sz w:val="36"/>
          <w:szCs w:val="36"/>
        </w:rPr>
      </w:pPr>
    </w:p>
    <w:p w14:paraId="42075E20" w14:textId="77777777" w:rsidR="009214AE" w:rsidRDefault="009214AE">
      <w:pPr>
        <w:adjustRightInd w:val="0"/>
        <w:snapToGrid w:val="0"/>
        <w:spacing w:line="360" w:lineRule="auto"/>
        <w:jc w:val="center"/>
        <w:rPr>
          <w:rFonts w:asciiTheme="minorEastAsia" w:hAnsiTheme="minorEastAsia" w:cs="Arial"/>
          <w:sz w:val="36"/>
          <w:szCs w:val="36"/>
        </w:rPr>
      </w:pPr>
    </w:p>
    <w:p w14:paraId="2FB2CD43" w14:textId="77777777" w:rsidR="009214AE" w:rsidRDefault="00C66335">
      <w:pPr>
        <w:snapToGrid w:val="0"/>
        <w:spacing w:line="360" w:lineRule="auto"/>
        <w:jc w:val="center"/>
        <w:rPr>
          <w:rFonts w:ascii="Arial" w:eastAsia="宋体" w:hAnsi="Arial" w:cs="Times New Roman"/>
          <w:b/>
          <w:sz w:val="36"/>
          <w:szCs w:val="36"/>
        </w:rPr>
      </w:pPr>
      <w:bookmarkStart w:id="4" w:name="_Toc123112224"/>
      <w:bookmarkStart w:id="5" w:name="_Toc139991726"/>
      <w:bookmarkStart w:id="6" w:name="_Toc123701383"/>
      <w:bookmarkStart w:id="7" w:name="_Toc139992301"/>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797962CC" w14:textId="77777777" w:rsidR="009214AE" w:rsidRDefault="00C66335">
      <w:pPr>
        <w:autoSpaceDE w:val="0"/>
        <w:autoSpaceDN w:val="0"/>
        <w:adjustRightInd w:val="0"/>
        <w:snapToGrid w:val="0"/>
        <w:spacing w:line="360" w:lineRule="auto"/>
        <w:jc w:val="center"/>
        <w:rPr>
          <w:rFonts w:ascii="Arial" w:eastAsia="宋体" w:hAnsi="Arial" w:cs="Arial"/>
          <w:b/>
          <w:bCs/>
          <w:sz w:val="36"/>
          <w:szCs w:val="36"/>
        </w:rPr>
      </w:pPr>
      <w:bookmarkStart w:id="9" w:name="_Toc139991727"/>
      <w:bookmarkStart w:id="10" w:name="_Toc123701384"/>
      <w:bookmarkStart w:id="11" w:name="_Toc123112225"/>
      <w:bookmarkStart w:id="12" w:name="_Toc139992302"/>
      <w:bookmarkStart w:id="13" w:name="_Toc12311226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中国工商银行股份有限公司</w:t>
      </w:r>
    </w:p>
    <w:p w14:paraId="40D015AF" w14:textId="77777777" w:rsidR="009214AE" w:rsidRDefault="009214AE">
      <w:pPr>
        <w:autoSpaceDE w:val="0"/>
        <w:autoSpaceDN w:val="0"/>
        <w:adjustRightInd w:val="0"/>
        <w:snapToGrid w:val="0"/>
        <w:spacing w:line="360" w:lineRule="auto"/>
        <w:jc w:val="center"/>
        <w:rPr>
          <w:rFonts w:asciiTheme="minorEastAsia" w:hAnsiTheme="minorEastAsia" w:cs="Arial"/>
          <w:b/>
          <w:bCs/>
          <w:sz w:val="28"/>
          <w:szCs w:val="28"/>
        </w:rPr>
      </w:pPr>
    </w:p>
    <w:p w14:paraId="09DCB1DF" w14:textId="77777777" w:rsidR="009214AE" w:rsidRDefault="009214AE">
      <w:pPr>
        <w:autoSpaceDE w:val="0"/>
        <w:autoSpaceDN w:val="0"/>
        <w:adjustRightInd w:val="0"/>
        <w:snapToGrid w:val="0"/>
        <w:spacing w:line="360" w:lineRule="auto"/>
        <w:jc w:val="center"/>
        <w:rPr>
          <w:rFonts w:asciiTheme="minorEastAsia" w:hAnsiTheme="minorEastAsia" w:cs="Arial"/>
          <w:b/>
          <w:bCs/>
          <w:sz w:val="28"/>
          <w:szCs w:val="28"/>
        </w:rPr>
      </w:pPr>
    </w:p>
    <w:p w14:paraId="2137876D" w14:textId="77777777" w:rsidR="009214AE" w:rsidRDefault="009214AE">
      <w:pPr>
        <w:widowControl/>
        <w:spacing w:line="360" w:lineRule="auto"/>
        <w:rPr>
          <w:rFonts w:ascii="Arial" w:eastAsia="宋体" w:hAnsi="Arial" w:cs="Arial"/>
          <w:b/>
          <w:bCs/>
          <w:kern w:val="0"/>
          <w:sz w:val="28"/>
          <w:szCs w:val="28"/>
        </w:rPr>
        <w:sectPr w:rsidR="009214AE" w:rsidSect="004C0C2D">
          <w:headerReference w:type="default" r:id="rId8"/>
          <w:footerReference w:type="default" r:id="rId9"/>
          <w:pgSz w:w="11906" w:h="16838"/>
          <w:pgMar w:top="1440" w:right="1800" w:bottom="1440" w:left="1800" w:header="851" w:footer="992" w:gutter="0"/>
          <w:pgNumType w:start="1"/>
          <w:cols w:space="720"/>
          <w:titlePg/>
          <w:docGrid w:type="lines" w:linePitch="312"/>
        </w:sectPr>
      </w:pPr>
    </w:p>
    <w:p w14:paraId="6A5312DF" w14:textId="77777777" w:rsidR="009214AE" w:rsidRDefault="00C66335">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1007F0A6" w14:textId="77777777" w:rsidR="009214AE" w:rsidRDefault="009214AE">
      <w:pPr>
        <w:autoSpaceDE w:val="0"/>
        <w:autoSpaceDN w:val="0"/>
        <w:adjustRightInd w:val="0"/>
        <w:snapToGrid w:val="0"/>
        <w:spacing w:line="360" w:lineRule="auto"/>
        <w:jc w:val="center"/>
        <w:rPr>
          <w:rFonts w:ascii="Arial" w:eastAsia="宋体" w:hAnsi="Arial" w:cs="Arial"/>
          <w:b/>
          <w:bCs/>
          <w:szCs w:val="21"/>
        </w:rPr>
      </w:pPr>
    </w:p>
    <w:p w14:paraId="1BA7B88B"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1、本基金根据</w:t>
      </w:r>
      <w:r>
        <w:rPr>
          <w:rFonts w:asciiTheme="minorEastAsia" w:hAnsiTheme="minorEastAsia" w:cs="Arial" w:hint="eastAsia"/>
          <w:bCs/>
          <w:color w:val="000000"/>
          <w:sz w:val="24"/>
          <w:szCs w:val="24"/>
        </w:rPr>
        <w:t>2</w:t>
      </w:r>
      <w:r>
        <w:rPr>
          <w:rFonts w:asciiTheme="minorEastAsia" w:hAnsiTheme="minorEastAsia" w:cs="Arial"/>
          <w:bCs/>
          <w:color w:val="000000"/>
          <w:sz w:val="24"/>
          <w:szCs w:val="24"/>
        </w:rPr>
        <w:t>021</w:t>
      </w:r>
      <w:r>
        <w:rPr>
          <w:rFonts w:asciiTheme="minorEastAsia" w:hAnsiTheme="minorEastAsia" w:cs="Arial" w:hint="eastAsia"/>
          <w:bCs/>
          <w:color w:val="000000"/>
          <w:sz w:val="24"/>
          <w:szCs w:val="24"/>
        </w:rPr>
        <w:t>年</w:t>
      </w:r>
      <w:r>
        <w:rPr>
          <w:rFonts w:asciiTheme="minorEastAsia" w:hAnsiTheme="minorEastAsia" w:cs="Arial"/>
          <w:bCs/>
          <w:color w:val="000000"/>
          <w:sz w:val="24"/>
          <w:szCs w:val="24"/>
        </w:rPr>
        <w:t>11</w:t>
      </w:r>
      <w:r>
        <w:rPr>
          <w:rFonts w:asciiTheme="minorEastAsia" w:hAnsiTheme="minorEastAsia" w:cs="Arial" w:hint="eastAsia"/>
          <w:bCs/>
          <w:color w:val="000000"/>
          <w:sz w:val="24"/>
          <w:szCs w:val="24"/>
        </w:rPr>
        <w:t>月</w:t>
      </w:r>
      <w:r>
        <w:rPr>
          <w:rFonts w:asciiTheme="minorEastAsia" w:hAnsiTheme="minorEastAsia" w:cs="Arial"/>
          <w:bCs/>
          <w:color w:val="000000"/>
          <w:sz w:val="24"/>
          <w:szCs w:val="24"/>
        </w:rPr>
        <w:t>19</w:t>
      </w:r>
      <w:r>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中国证券监督管理委员会（以下简称“中国证监会”）《关于准予富荣量化精选混合型发起式证券投资基金注册的批复》（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3691</w:t>
      </w:r>
      <w:r>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p>
    <w:p w14:paraId="0C5F74BB"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450DE14E"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投资于证券市场，基金净值会因为证券市场波动等因素产生波动，投资者根据所持有的基金份额享受基金收益，同时承担相应的投资风险。本基金投资中的风险包括：市场风险、信用风险、管理风险、操作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风险、投资于本基金的特有风险及其他风险等。本基金为混合型证券投资基金，其预期风险收益水平高于</w:t>
      </w:r>
      <w:r>
        <w:rPr>
          <w:rFonts w:asciiTheme="minorEastAsia" w:hAnsiTheme="minorEastAsia" w:cs="Arial" w:hint="eastAsia"/>
          <w:bCs/>
          <w:sz w:val="24"/>
          <w:szCs w:val="24"/>
        </w:rPr>
        <w:t>债券型基金及货币市场基金，低于股票型基金</w:t>
      </w:r>
      <w:r>
        <w:rPr>
          <w:rFonts w:asciiTheme="minorEastAsia" w:hAnsiTheme="minorEastAsia" w:cs="Arial" w:hint="eastAsia"/>
          <w:sz w:val="24"/>
          <w:szCs w:val="24"/>
        </w:rPr>
        <w:t>。</w:t>
      </w:r>
    </w:p>
    <w:p w14:paraId="40895017"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Pr>
          <w:rFonts w:asciiTheme="minorEastAsia" w:hAnsiTheme="minorEastAsia" w:cs="Arial" w:hint="eastAsia"/>
          <w:sz w:val="24"/>
          <w:szCs w:val="24"/>
        </w:rPr>
        <w:t>流预测</w:t>
      </w:r>
      <w:proofErr w:type="gramEnd"/>
      <w:r>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6ED26BA1"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977E133"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本基金的投资范围包括股指期货、国债期货、股票期权，可能面临市场风险、流动性风险、</w:t>
      </w:r>
      <w:proofErr w:type="gramStart"/>
      <w:r>
        <w:rPr>
          <w:rFonts w:asciiTheme="minorEastAsia" w:hAnsiTheme="minorEastAsia" w:cs="Arial" w:hint="eastAsia"/>
          <w:sz w:val="24"/>
          <w:szCs w:val="24"/>
        </w:rPr>
        <w:t>基差风险</w:t>
      </w:r>
      <w:proofErr w:type="gramEnd"/>
      <w:r>
        <w:rPr>
          <w:rFonts w:asciiTheme="minorEastAsia" w:hAnsiTheme="minorEastAsia" w:cs="Arial" w:hint="eastAsia"/>
          <w:sz w:val="24"/>
          <w:szCs w:val="24"/>
        </w:rPr>
        <w:t>、保证金风险、信用风险和操作风险等。</w:t>
      </w:r>
    </w:p>
    <w:p w14:paraId="27070F9C"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金合同生效日起不少于3年。本基金发起资金提供方对本基金的发起认购，并不代表对本基金的风险或收益的任何判断、预测、推荐和保证，发起资金也并不用</w:t>
      </w:r>
      <w:r>
        <w:rPr>
          <w:rFonts w:asciiTheme="minorEastAsia" w:hAnsiTheme="minorEastAsia" w:cs="Arial" w:hint="eastAsia"/>
          <w:sz w:val="24"/>
          <w:szCs w:val="24"/>
        </w:rPr>
        <w:lastRenderedPageBreak/>
        <w:t>于对投资人投资亏损的补偿，投资人及发起资金认购人均自行承担投资风险。</w:t>
      </w:r>
    </w:p>
    <w:p w14:paraId="54EEA258"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61D6FF88" w14:textId="77777777" w:rsidR="009214AE" w:rsidRDefault="00C66335">
      <w:pPr>
        <w:pStyle w:val="ac"/>
        <w:spacing w:line="360" w:lineRule="auto"/>
        <w:ind w:firstLineChars="200" w:firstLine="48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5、当本基金持有特定资产且存在或潜在大额赎回申请时，基金管理人履行相应程序后，可以</w:t>
      </w:r>
      <w:proofErr w:type="gramStart"/>
      <w:r>
        <w:rPr>
          <w:rFonts w:asciiTheme="minorEastAsia" w:eastAsiaTheme="minorEastAsia" w:hAnsiTheme="minorEastAsia" w:cs="Arial" w:hint="eastAsia"/>
          <w:kern w:val="2"/>
          <w:sz w:val="24"/>
          <w:szCs w:val="24"/>
        </w:rPr>
        <w:t>启用侧袋机制</w:t>
      </w:r>
      <w:proofErr w:type="gramEnd"/>
      <w:r>
        <w:rPr>
          <w:rFonts w:asciiTheme="minorEastAsia" w:eastAsiaTheme="minorEastAsia" w:hAnsiTheme="minorEastAsia" w:cs="Arial" w:hint="eastAsia"/>
          <w:kern w:val="2"/>
          <w:sz w:val="24"/>
          <w:szCs w:val="24"/>
        </w:rPr>
        <w:t>，具体详见基金合同和本招募说明书的有关章节。</w:t>
      </w:r>
      <w:proofErr w:type="gramStart"/>
      <w:r>
        <w:rPr>
          <w:rFonts w:asciiTheme="minorEastAsia" w:eastAsiaTheme="minorEastAsia" w:hAnsiTheme="minorEastAsia" w:cs="Arial" w:hint="eastAsia"/>
          <w:kern w:val="2"/>
          <w:sz w:val="24"/>
          <w:szCs w:val="24"/>
        </w:rPr>
        <w:t>侧袋机制</w:t>
      </w:r>
      <w:proofErr w:type="gramEnd"/>
      <w:r>
        <w:rPr>
          <w:rFonts w:asciiTheme="minorEastAsia" w:eastAsiaTheme="minorEastAsia" w:hAnsiTheme="minorEastAsia" w:cs="Arial" w:hint="eastAsia"/>
          <w:kern w:val="2"/>
          <w:sz w:val="24"/>
          <w:szCs w:val="24"/>
        </w:rPr>
        <w:t>实施期间，基金管理人将对基金简称进行特殊标识，并不</w:t>
      </w:r>
      <w:proofErr w:type="gramStart"/>
      <w:r>
        <w:rPr>
          <w:rFonts w:asciiTheme="minorEastAsia" w:eastAsiaTheme="minorEastAsia" w:hAnsiTheme="minorEastAsia" w:cs="Arial" w:hint="eastAsia"/>
          <w:kern w:val="2"/>
          <w:sz w:val="24"/>
          <w:szCs w:val="24"/>
        </w:rPr>
        <w:t>办理侧袋账户</w:t>
      </w:r>
      <w:proofErr w:type="gramEnd"/>
      <w:r>
        <w:rPr>
          <w:rFonts w:asciiTheme="minorEastAsia" w:eastAsiaTheme="minorEastAsia" w:hAnsiTheme="minorEastAsia" w:cs="Arial" w:hint="eastAsia"/>
          <w:kern w:val="2"/>
          <w:sz w:val="24"/>
          <w:szCs w:val="24"/>
        </w:rPr>
        <w:t>的申购赎回。</w:t>
      </w:r>
      <w:proofErr w:type="gramStart"/>
      <w:r>
        <w:rPr>
          <w:rFonts w:asciiTheme="minorEastAsia" w:eastAsiaTheme="minorEastAsia" w:hAnsiTheme="minorEastAsia" w:cs="Arial" w:hint="eastAsia"/>
          <w:kern w:val="2"/>
          <w:sz w:val="24"/>
          <w:szCs w:val="24"/>
        </w:rPr>
        <w:t>请基金</w:t>
      </w:r>
      <w:proofErr w:type="gramEnd"/>
      <w:r>
        <w:rPr>
          <w:rFonts w:asciiTheme="minorEastAsia" w:eastAsiaTheme="minorEastAsia" w:hAnsiTheme="minorEastAsia" w:cs="Arial" w:hint="eastAsia"/>
          <w:kern w:val="2"/>
          <w:sz w:val="24"/>
          <w:szCs w:val="24"/>
        </w:rPr>
        <w:t>份额持有人仔细阅读相关内容并关注本基金启用</w:t>
      </w:r>
      <w:proofErr w:type="gramStart"/>
      <w:r>
        <w:rPr>
          <w:rFonts w:asciiTheme="minorEastAsia" w:eastAsiaTheme="minorEastAsia" w:hAnsiTheme="minorEastAsia" w:cs="Arial" w:hint="eastAsia"/>
          <w:kern w:val="2"/>
          <w:sz w:val="24"/>
          <w:szCs w:val="24"/>
        </w:rPr>
        <w:t>侧袋机制</w:t>
      </w:r>
      <w:proofErr w:type="gramEnd"/>
      <w:r>
        <w:rPr>
          <w:rFonts w:asciiTheme="minorEastAsia" w:eastAsiaTheme="minorEastAsia" w:hAnsiTheme="minorEastAsia" w:cs="Arial" w:hint="eastAsia"/>
          <w:kern w:val="2"/>
          <w:sz w:val="24"/>
          <w:szCs w:val="24"/>
        </w:rPr>
        <w:t>时的特定风险。</w:t>
      </w:r>
    </w:p>
    <w:p w14:paraId="1015DE06"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31F348F3"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Pr>
          <w:rFonts w:asciiTheme="minorEastAsia" w:hAnsiTheme="minorEastAsia" w:cs="Arial" w:hint="eastAsia"/>
          <w:sz w:val="24"/>
          <w:szCs w:val="24"/>
        </w:rPr>
        <w:t>、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w:t>
      </w:r>
    </w:p>
    <w:p w14:paraId="5D4251AA"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5443DA39" w14:textId="658F0D86" w:rsidR="009214AE" w:rsidRDefault="00C66335">
      <w:pPr>
        <w:autoSpaceDE w:val="0"/>
        <w:autoSpaceDN w:val="0"/>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本次招募说明书仅对“基金管理人”部分进行更新，</w:t>
      </w:r>
      <w:r>
        <w:rPr>
          <w:rFonts w:asciiTheme="minorEastAsia" w:hAnsiTheme="minorEastAsia" w:cs="Arial" w:hint="eastAsia"/>
          <w:sz w:val="24"/>
          <w:szCs w:val="24"/>
        </w:rPr>
        <w:t>本招募说明书所载其他内容截止日为</w:t>
      </w:r>
      <w:r>
        <w:rPr>
          <w:rFonts w:asciiTheme="minorEastAsia" w:hAnsiTheme="minorEastAsia" w:cs="Arial"/>
          <w:sz w:val="24"/>
          <w:szCs w:val="24"/>
        </w:rPr>
        <w:t>202</w:t>
      </w:r>
      <w:r>
        <w:rPr>
          <w:rFonts w:asciiTheme="minorEastAsia" w:hAnsiTheme="minorEastAsia" w:cs="Arial" w:hint="eastAsia"/>
          <w:sz w:val="24"/>
          <w:szCs w:val="24"/>
        </w:rPr>
        <w:t>4</w:t>
      </w:r>
      <w:r>
        <w:rPr>
          <w:rFonts w:asciiTheme="minorEastAsia" w:hAnsiTheme="minorEastAsia" w:cs="Arial"/>
          <w:sz w:val="24"/>
          <w:szCs w:val="24"/>
        </w:rPr>
        <w:t>年3</w:t>
      </w:r>
      <w:r>
        <w:rPr>
          <w:rFonts w:asciiTheme="minorEastAsia" w:hAnsiTheme="minorEastAsia" w:cs="Arial" w:hint="eastAsia"/>
          <w:sz w:val="24"/>
          <w:szCs w:val="24"/>
        </w:rPr>
        <w:t>月</w:t>
      </w:r>
      <w:r>
        <w:rPr>
          <w:rFonts w:asciiTheme="minorEastAsia" w:hAnsiTheme="minorEastAsia" w:cs="Arial"/>
          <w:sz w:val="24"/>
          <w:szCs w:val="24"/>
        </w:rPr>
        <w:t>22</w:t>
      </w:r>
      <w:r>
        <w:rPr>
          <w:rFonts w:asciiTheme="minorEastAsia" w:hAnsiTheme="minorEastAsia" w:cs="Arial" w:hint="eastAsia"/>
          <w:sz w:val="24"/>
          <w:szCs w:val="24"/>
        </w:rPr>
        <w:t>日，有关财务数据截止日为</w:t>
      </w:r>
      <w:r>
        <w:rPr>
          <w:rFonts w:asciiTheme="minorEastAsia" w:hAnsiTheme="minorEastAsia" w:cs="Arial"/>
          <w:sz w:val="24"/>
          <w:szCs w:val="24"/>
        </w:rPr>
        <w:t>202</w:t>
      </w:r>
      <w:r>
        <w:rPr>
          <w:rFonts w:asciiTheme="minorEastAsia" w:hAnsiTheme="minorEastAsia" w:cs="Arial" w:hint="eastAsia"/>
          <w:sz w:val="24"/>
          <w:szCs w:val="24"/>
        </w:rPr>
        <w:t>3</w:t>
      </w:r>
      <w:r>
        <w:rPr>
          <w:rFonts w:asciiTheme="minorEastAsia" w:hAnsiTheme="minorEastAsia" w:cs="Arial"/>
          <w:sz w:val="24"/>
          <w:szCs w:val="24"/>
        </w:rPr>
        <w:t>年12月31日，净值表现截止日为202</w:t>
      </w:r>
      <w:r>
        <w:rPr>
          <w:rFonts w:asciiTheme="minorEastAsia" w:hAnsiTheme="minorEastAsia" w:cs="Arial" w:hint="eastAsia"/>
          <w:sz w:val="24"/>
          <w:szCs w:val="24"/>
        </w:rPr>
        <w:t>3</w:t>
      </w:r>
      <w:r>
        <w:rPr>
          <w:rFonts w:asciiTheme="minorEastAsia" w:hAnsiTheme="minorEastAsia" w:cs="Arial"/>
          <w:sz w:val="24"/>
          <w:szCs w:val="24"/>
        </w:rPr>
        <w:t>年12月31日，本报告中所列财务数据未经审计。</w:t>
      </w:r>
    </w:p>
    <w:p w14:paraId="4A179306" w14:textId="3C06B502" w:rsidR="009214AE" w:rsidRDefault="009214AE">
      <w:pPr>
        <w:autoSpaceDE w:val="0"/>
        <w:autoSpaceDN w:val="0"/>
        <w:adjustRightInd w:val="0"/>
        <w:snapToGrid w:val="0"/>
        <w:spacing w:line="360" w:lineRule="auto"/>
        <w:ind w:firstLineChars="200" w:firstLine="480"/>
        <w:rPr>
          <w:rFonts w:asciiTheme="minorEastAsia" w:hAnsiTheme="minorEastAsia" w:cs="Arial"/>
          <w:sz w:val="24"/>
          <w:szCs w:val="24"/>
        </w:rPr>
      </w:pPr>
    </w:p>
    <w:p w14:paraId="0570309D" w14:textId="77777777" w:rsidR="009214AE" w:rsidRDefault="009214AE">
      <w:pPr>
        <w:widowControl/>
        <w:spacing w:line="360" w:lineRule="auto"/>
        <w:jc w:val="left"/>
        <w:rPr>
          <w:rFonts w:ascii="Times New Roman" w:eastAsia="宋体" w:hAnsi="Times New Roman" w:cs="Times New Roman"/>
          <w:b/>
          <w:kern w:val="0"/>
          <w:sz w:val="30"/>
          <w:szCs w:val="30"/>
        </w:rPr>
        <w:sectPr w:rsidR="009214AE" w:rsidSect="004C0C2D">
          <w:pgSz w:w="11906" w:h="16838"/>
          <w:pgMar w:top="1440" w:right="1800" w:bottom="1440" w:left="1800" w:header="851" w:footer="992" w:gutter="0"/>
          <w:pgNumType w:start="1"/>
          <w:cols w:space="720"/>
          <w:docGrid w:type="lines" w:linePitch="312"/>
        </w:sectPr>
      </w:pPr>
      <w:bookmarkStart w:id="14" w:name="_Toc11660"/>
      <w:bookmarkStart w:id="15" w:name="_Toc352229746"/>
      <w:bookmarkStart w:id="16" w:name="_Toc8727"/>
      <w:bookmarkStart w:id="17" w:name="_Toc30935"/>
      <w:bookmarkStart w:id="18" w:name="_Toc139991730"/>
      <w:bookmarkStart w:id="19" w:name="_Toc23386"/>
      <w:bookmarkStart w:id="20" w:name="_Toc123112229"/>
      <w:bookmarkStart w:id="21" w:name="_Toc4966"/>
      <w:bookmarkStart w:id="22" w:name="_Toc26897"/>
      <w:bookmarkStart w:id="23" w:name="_Toc123112268"/>
      <w:bookmarkStart w:id="24" w:name="_Toc4867"/>
      <w:bookmarkStart w:id="25" w:name="_Toc29629"/>
      <w:bookmarkStart w:id="26" w:name="_Toc6306"/>
      <w:bookmarkStart w:id="27" w:name="_Toc15517"/>
      <w:bookmarkStart w:id="28" w:name="_Toc141703880"/>
      <w:bookmarkStart w:id="29" w:name="_Toc123701389"/>
      <w:bookmarkStart w:id="30" w:name="_Toc32639"/>
      <w:bookmarkStart w:id="31" w:name="_Toc233456271"/>
      <w:bookmarkEnd w:id="0"/>
      <w:bookmarkEnd w:id="1"/>
      <w:bookmarkEnd w:id="2"/>
      <w:bookmarkEnd w:id="3"/>
    </w:p>
    <w:p w14:paraId="3C05ABEF" w14:textId="77777777" w:rsidR="009214AE" w:rsidRDefault="00C66335">
      <w:pPr>
        <w:jc w:val="center"/>
        <w:rPr>
          <w:b/>
          <w:bCs/>
          <w:sz w:val="24"/>
        </w:rPr>
      </w:pPr>
      <w:r>
        <w:rPr>
          <w:b/>
          <w:bCs/>
          <w:sz w:val="24"/>
        </w:rPr>
        <w:lastRenderedPageBreak/>
        <w:t>目</w:t>
      </w:r>
      <w:r>
        <w:rPr>
          <w:b/>
          <w:bCs/>
          <w:sz w:val="24"/>
        </w:rPr>
        <w:t xml:space="preserve">    </w:t>
      </w:r>
      <w:r>
        <w:rPr>
          <w:b/>
          <w:bCs/>
          <w:sz w:val="24"/>
        </w:rPr>
        <w:t>录</w:t>
      </w:r>
    </w:p>
    <w:p w14:paraId="154CDE3B" w14:textId="1C3E9405" w:rsidR="0088357C" w:rsidRDefault="00C66335">
      <w:pPr>
        <w:pStyle w:val="TOC1"/>
        <w:rPr>
          <w:rFonts w:asciiTheme="minorHAnsi" w:eastAsiaTheme="minorEastAsia" w:hAnsiTheme="minorHAnsi" w:cstheme="minorBidi"/>
          <w:noProof/>
          <w:szCs w:val="22"/>
          <w14:ligatures w14:val="standardContextual"/>
        </w:rPr>
      </w:pPr>
      <w:r>
        <w:rPr>
          <w:bCs/>
        </w:rPr>
        <w:fldChar w:fldCharType="begin"/>
      </w:r>
      <w:r>
        <w:rPr>
          <w:bCs/>
        </w:rPr>
        <w:instrText xml:space="preserve"> TOC \o "1-1" \h \z \u </w:instrText>
      </w:r>
      <w:r>
        <w:rPr>
          <w:bCs/>
        </w:rPr>
        <w:fldChar w:fldCharType="separate"/>
      </w:r>
      <w:hyperlink w:anchor="_Toc164429414" w:history="1">
        <w:r w:rsidR="0088357C" w:rsidRPr="0009718F">
          <w:rPr>
            <w:rStyle w:val="afd"/>
            <w:noProof/>
          </w:rPr>
          <w:t>第一部分</w:t>
        </w:r>
        <w:r w:rsidR="0088357C" w:rsidRPr="0009718F">
          <w:rPr>
            <w:rStyle w:val="afd"/>
            <w:noProof/>
          </w:rPr>
          <w:t xml:space="preserve">  </w:t>
        </w:r>
        <w:r w:rsidR="0088357C" w:rsidRPr="0009718F">
          <w:rPr>
            <w:rStyle w:val="afd"/>
            <w:noProof/>
          </w:rPr>
          <w:t>绪言</w:t>
        </w:r>
        <w:r w:rsidR="0088357C">
          <w:rPr>
            <w:noProof/>
            <w:webHidden/>
          </w:rPr>
          <w:tab/>
        </w:r>
        <w:r w:rsidR="0088357C">
          <w:rPr>
            <w:noProof/>
            <w:webHidden/>
          </w:rPr>
          <w:fldChar w:fldCharType="begin"/>
        </w:r>
        <w:r w:rsidR="0088357C">
          <w:rPr>
            <w:noProof/>
            <w:webHidden/>
          </w:rPr>
          <w:instrText xml:space="preserve"> PAGEREF _Toc164429414 \h </w:instrText>
        </w:r>
        <w:r w:rsidR="0088357C">
          <w:rPr>
            <w:noProof/>
            <w:webHidden/>
          </w:rPr>
        </w:r>
        <w:r w:rsidR="0088357C">
          <w:rPr>
            <w:noProof/>
            <w:webHidden/>
          </w:rPr>
          <w:fldChar w:fldCharType="separate"/>
        </w:r>
        <w:r w:rsidR="0088357C">
          <w:rPr>
            <w:noProof/>
            <w:webHidden/>
          </w:rPr>
          <w:t>4</w:t>
        </w:r>
        <w:r w:rsidR="0088357C">
          <w:rPr>
            <w:noProof/>
            <w:webHidden/>
          </w:rPr>
          <w:fldChar w:fldCharType="end"/>
        </w:r>
      </w:hyperlink>
    </w:p>
    <w:p w14:paraId="40F647D6" w14:textId="3DB4A46A" w:rsidR="0088357C" w:rsidRDefault="0088357C">
      <w:pPr>
        <w:pStyle w:val="TOC1"/>
        <w:rPr>
          <w:rFonts w:asciiTheme="minorHAnsi" w:eastAsiaTheme="minorEastAsia" w:hAnsiTheme="minorHAnsi" w:cstheme="minorBidi"/>
          <w:noProof/>
          <w:szCs w:val="22"/>
          <w14:ligatures w14:val="standardContextual"/>
        </w:rPr>
      </w:pPr>
      <w:hyperlink w:anchor="_Toc164429415" w:history="1">
        <w:r w:rsidRPr="0009718F">
          <w:rPr>
            <w:rStyle w:val="afd"/>
            <w:noProof/>
          </w:rPr>
          <w:t>第二部分</w:t>
        </w:r>
        <w:r w:rsidRPr="0009718F">
          <w:rPr>
            <w:rStyle w:val="afd"/>
            <w:noProof/>
          </w:rPr>
          <w:t xml:space="preserve">  </w:t>
        </w:r>
        <w:r w:rsidRPr="0009718F">
          <w:rPr>
            <w:rStyle w:val="afd"/>
            <w:noProof/>
          </w:rPr>
          <w:t>释义</w:t>
        </w:r>
        <w:r>
          <w:rPr>
            <w:noProof/>
            <w:webHidden/>
          </w:rPr>
          <w:tab/>
        </w:r>
        <w:r>
          <w:rPr>
            <w:noProof/>
            <w:webHidden/>
          </w:rPr>
          <w:fldChar w:fldCharType="begin"/>
        </w:r>
        <w:r>
          <w:rPr>
            <w:noProof/>
            <w:webHidden/>
          </w:rPr>
          <w:instrText xml:space="preserve"> PAGEREF _Toc164429415 \h </w:instrText>
        </w:r>
        <w:r>
          <w:rPr>
            <w:noProof/>
            <w:webHidden/>
          </w:rPr>
        </w:r>
        <w:r>
          <w:rPr>
            <w:noProof/>
            <w:webHidden/>
          </w:rPr>
          <w:fldChar w:fldCharType="separate"/>
        </w:r>
        <w:r>
          <w:rPr>
            <w:noProof/>
            <w:webHidden/>
          </w:rPr>
          <w:t>5</w:t>
        </w:r>
        <w:r>
          <w:rPr>
            <w:noProof/>
            <w:webHidden/>
          </w:rPr>
          <w:fldChar w:fldCharType="end"/>
        </w:r>
      </w:hyperlink>
    </w:p>
    <w:p w14:paraId="432EC4BE" w14:textId="6369C2DE" w:rsidR="0088357C" w:rsidRDefault="0088357C">
      <w:pPr>
        <w:pStyle w:val="TOC1"/>
        <w:rPr>
          <w:rFonts w:asciiTheme="minorHAnsi" w:eastAsiaTheme="minorEastAsia" w:hAnsiTheme="minorHAnsi" w:cstheme="minorBidi"/>
          <w:noProof/>
          <w:szCs w:val="22"/>
          <w14:ligatures w14:val="standardContextual"/>
        </w:rPr>
      </w:pPr>
      <w:hyperlink w:anchor="_Toc164429416" w:history="1">
        <w:r w:rsidRPr="0009718F">
          <w:rPr>
            <w:rStyle w:val="afd"/>
            <w:noProof/>
          </w:rPr>
          <w:t>第三部分</w:t>
        </w:r>
        <w:r w:rsidRPr="0009718F">
          <w:rPr>
            <w:rStyle w:val="afd"/>
            <w:noProof/>
          </w:rPr>
          <w:t xml:space="preserve">  </w:t>
        </w:r>
        <w:r w:rsidRPr="0009718F">
          <w:rPr>
            <w:rStyle w:val="afd"/>
            <w:noProof/>
          </w:rPr>
          <w:t>基金管理人</w:t>
        </w:r>
        <w:r>
          <w:rPr>
            <w:noProof/>
            <w:webHidden/>
          </w:rPr>
          <w:tab/>
        </w:r>
        <w:r>
          <w:rPr>
            <w:noProof/>
            <w:webHidden/>
          </w:rPr>
          <w:fldChar w:fldCharType="begin"/>
        </w:r>
        <w:r>
          <w:rPr>
            <w:noProof/>
            <w:webHidden/>
          </w:rPr>
          <w:instrText xml:space="preserve"> PAGEREF _Toc164429416 \h </w:instrText>
        </w:r>
        <w:r>
          <w:rPr>
            <w:noProof/>
            <w:webHidden/>
          </w:rPr>
        </w:r>
        <w:r>
          <w:rPr>
            <w:noProof/>
            <w:webHidden/>
          </w:rPr>
          <w:fldChar w:fldCharType="separate"/>
        </w:r>
        <w:r>
          <w:rPr>
            <w:noProof/>
            <w:webHidden/>
          </w:rPr>
          <w:t>11</w:t>
        </w:r>
        <w:r>
          <w:rPr>
            <w:noProof/>
            <w:webHidden/>
          </w:rPr>
          <w:fldChar w:fldCharType="end"/>
        </w:r>
      </w:hyperlink>
    </w:p>
    <w:p w14:paraId="743E8B5B" w14:textId="33A9044F" w:rsidR="0088357C" w:rsidRDefault="0088357C">
      <w:pPr>
        <w:pStyle w:val="TOC1"/>
        <w:rPr>
          <w:rFonts w:asciiTheme="minorHAnsi" w:eastAsiaTheme="minorEastAsia" w:hAnsiTheme="minorHAnsi" w:cstheme="minorBidi"/>
          <w:noProof/>
          <w:szCs w:val="22"/>
          <w14:ligatures w14:val="standardContextual"/>
        </w:rPr>
      </w:pPr>
      <w:hyperlink w:anchor="_Toc164429417" w:history="1">
        <w:r w:rsidRPr="0009718F">
          <w:rPr>
            <w:rStyle w:val="afd"/>
            <w:noProof/>
          </w:rPr>
          <w:t>第四部分</w:t>
        </w:r>
        <w:r w:rsidRPr="0009718F">
          <w:rPr>
            <w:rStyle w:val="afd"/>
            <w:noProof/>
          </w:rPr>
          <w:t xml:space="preserve">  </w:t>
        </w:r>
        <w:r w:rsidRPr="0009718F">
          <w:rPr>
            <w:rStyle w:val="afd"/>
            <w:noProof/>
          </w:rPr>
          <w:t>基金托管人</w:t>
        </w:r>
        <w:r>
          <w:rPr>
            <w:noProof/>
            <w:webHidden/>
          </w:rPr>
          <w:tab/>
        </w:r>
        <w:r>
          <w:rPr>
            <w:noProof/>
            <w:webHidden/>
          </w:rPr>
          <w:fldChar w:fldCharType="begin"/>
        </w:r>
        <w:r>
          <w:rPr>
            <w:noProof/>
            <w:webHidden/>
          </w:rPr>
          <w:instrText xml:space="preserve"> PAGEREF _Toc164429417 \h </w:instrText>
        </w:r>
        <w:r>
          <w:rPr>
            <w:noProof/>
            <w:webHidden/>
          </w:rPr>
        </w:r>
        <w:r>
          <w:rPr>
            <w:noProof/>
            <w:webHidden/>
          </w:rPr>
          <w:fldChar w:fldCharType="separate"/>
        </w:r>
        <w:r>
          <w:rPr>
            <w:noProof/>
            <w:webHidden/>
          </w:rPr>
          <w:t>22</w:t>
        </w:r>
        <w:r>
          <w:rPr>
            <w:noProof/>
            <w:webHidden/>
          </w:rPr>
          <w:fldChar w:fldCharType="end"/>
        </w:r>
      </w:hyperlink>
    </w:p>
    <w:p w14:paraId="1E751633" w14:textId="6D1BBF41" w:rsidR="0088357C" w:rsidRDefault="0088357C">
      <w:pPr>
        <w:pStyle w:val="TOC1"/>
        <w:rPr>
          <w:rFonts w:asciiTheme="minorHAnsi" w:eastAsiaTheme="minorEastAsia" w:hAnsiTheme="minorHAnsi" w:cstheme="minorBidi"/>
          <w:noProof/>
          <w:szCs w:val="22"/>
          <w14:ligatures w14:val="standardContextual"/>
        </w:rPr>
      </w:pPr>
      <w:hyperlink w:anchor="_Toc164429418" w:history="1">
        <w:r w:rsidRPr="0009718F">
          <w:rPr>
            <w:rStyle w:val="afd"/>
            <w:noProof/>
          </w:rPr>
          <w:t>第五部分</w:t>
        </w:r>
        <w:r w:rsidRPr="0009718F">
          <w:rPr>
            <w:rStyle w:val="afd"/>
            <w:noProof/>
          </w:rPr>
          <w:t xml:space="preserve">  </w:t>
        </w:r>
        <w:r w:rsidRPr="0009718F">
          <w:rPr>
            <w:rStyle w:val="afd"/>
            <w:noProof/>
          </w:rPr>
          <w:t>相关服务机构</w:t>
        </w:r>
        <w:r>
          <w:rPr>
            <w:noProof/>
            <w:webHidden/>
          </w:rPr>
          <w:tab/>
        </w:r>
        <w:r>
          <w:rPr>
            <w:noProof/>
            <w:webHidden/>
          </w:rPr>
          <w:fldChar w:fldCharType="begin"/>
        </w:r>
        <w:r>
          <w:rPr>
            <w:noProof/>
            <w:webHidden/>
          </w:rPr>
          <w:instrText xml:space="preserve"> PAGEREF _Toc164429418 \h </w:instrText>
        </w:r>
        <w:r>
          <w:rPr>
            <w:noProof/>
            <w:webHidden/>
          </w:rPr>
        </w:r>
        <w:r>
          <w:rPr>
            <w:noProof/>
            <w:webHidden/>
          </w:rPr>
          <w:fldChar w:fldCharType="separate"/>
        </w:r>
        <w:r>
          <w:rPr>
            <w:noProof/>
            <w:webHidden/>
          </w:rPr>
          <w:t>27</w:t>
        </w:r>
        <w:r>
          <w:rPr>
            <w:noProof/>
            <w:webHidden/>
          </w:rPr>
          <w:fldChar w:fldCharType="end"/>
        </w:r>
      </w:hyperlink>
    </w:p>
    <w:p w14:paraId="0CE16AFD" w14:textId="7AC73DFB" w:rsidR="0088357C" w:rsidRDefault="0088357C">
      <w:pPr>
        <w:pStyle w:val="TOC1"/>
        <w:rPr>
          <w:rFonts w:asciiTheme="minorHAnsi" w:eastAsiaTheme="minorEastAsia" w:hAnsiTheme="minorHAnsi" w:cstheme="minorBidi"/>
          <w:noProof/>
          <w:szCs w:val="22"/>
          <w14:ligatures w14:val="standardContextual"/>
        </w:rPr>
      </w:pPr>
      <w:hyperlink w:anchor="_Toc164429419" w:history="1">
        <w:r w:rsidRPr="0009718F">
          <w:rPr>
            <w:rStyle w:val="afd"/>
            <w:noProof/>
          </w:rPr>
          <w:t>第六部分</w:t>
        </w:r>
        <w:r w:rsidRPr="0009718F">
          <w:rPr>
            <w:rStyle w:val="afd"/>
            <w:noProof/>
          </w:rPr>
          <w:t xml:space="preserve">  </w:t>
        </w:r>
        <w:r w:rsidRPr="0009718F">
          <w:rPr>
            <w:rStyle w:val="afd"/>
            <w:noProof/>
          </w:rPr>
          <w:t>基金的募集</w:t>
        </w:r>
        <w:r>
          <w:rPr>
            <w:noProof/>
            <w:webHidden/>
          </w:rPr>
          <w:tab/>
        </w:r>
        <w:r>
          <w:rPr>
            <w:noProof/>
            <w:webHidden/>
          </w:rPr>
          <w:fldChar w:fldCharType="begin"/>
        </w:r>
        <w:r>
          <w:rPr>
            <w:noProof/>
            <w:webHidden/>
          </w:rPr>
          <w:instrText xml:space="preserve"> PAGEREF _Toc164429419 \h </w:instrText>
        </w:r>
        <w:r>
          <w:rPr>
            <w:noProof/>
            <w:webHidden/>
          </w:rPr>
        </w:r>
        <w:r>
          <w:rPr>
            <w:noProof/>
            <w:webHidden/>
          </w:rPr>
          <w:fldChar w:fldCharType="separate"/>
        </w:r>
        <w:r>
          <w:rPr>
            <w:noProof/>
            <w:webHidden/>
          </w:rPr>
          <w:t>34</w:t>
        </w:r>
        <w:r>
          <w:rPr>
            <w:noProof/>
            <w:webHidden/>
          </w:rPr>
          <w:fldChar w:fldCharType="end"/>
        </w:r>
      </w:hyperlink>
    </w:p>
    <w:p w14:paraId="3ED211D3" w14:textId="7E115AA4" w:rsidR="0088357C" w:rsidRDefault="0088357C">
      <w:pPr>
        <w:pStyle w:val="TOC1"/>
        <w:rPr>
          <w:rFonts w:asciiTheme="minorHAnsi" w:eastAsiaTheme="minorEastAsia" w:hAnsiTheme="minorHAnsi" w:cstheme="minorBidi"/>
          <w:noProof/>
          <w:szCs w:val="22"/>
          <w14:ligatures w14:val="standardContextual"/>
        </w:rPr>
      </w:pPr>
      <w:hyperlink w:anchor="_Toc164429420" w:history="1">
        <w:r w:rsidRPr="0009718F">
          <w:rPr>
            <w:rStyle w:val="afd"/>
            <w:noProof/>
          </w:rPr>
          <w:t>第七部分</w:t>
        </w:r>
        <w:r w:rsidRPr="0009718F">
          <w:rPr>
            <w:rStyle w:val="afd"/>
            <w:noProof/>
          </w:rPr>
          <w:t xml:space="preserve">  </w:t>
        </w:r>
        <w:r w:rsidRPr="0009718F">
          <w:rPr>
            <w:rStyle w:val="afd"/>
            <w:noProof/>
          </w:rPr>
          <w:t>基金合同的生效</w:t>
        </w:r>
        <w:r>
          <w:rPr>
            <w:noProof/>
            <w:webHidden/>
          </w:rPr>
          <w:tab/>
        </w:r>
        <w:r>
          <w:rPr>
            <w:noProof/>
            <w:webHidden/>
          </w:rPr>
          <w:fldChar w:fldCharType="begin"/>
        </w:r>
        <w:r>
          <w:rPr>
            <w:noProof/>
            <w:webHidden/>
          </w:rPr>
          <w:instrText xml:space="preserve"> PAGEREF _Toc164429420 \h </w:instrText>
        </w:r>
        <w:r>
          <w:rPr>
            <w:noProof/>
            <w:webHidden/>
          </w:rPr>
        </w:r>
        <w:r>
          <w:rPr>
            <w:noProof/>
            <w:webHidden/>
          </w:rPr>
          <w:fldChar w:fldCharType="separate"/>
        </w:r>
        <w:r>
          <w:rPr>
            <w:noProof/>
            <w:webHidden/>
          </w:rPr>
          <w:t>35</w:t>
        </w:r>
        <w:r>
          <w:rPr>
            <w:noProof/>
            <w:webHidden/>
          </w:rPr>
          <w:fldChar w:fldCharType="end"/>
        </w:r>
      </w:hyperlink>
    </w:p>
    <w:p w14:paraId="1C02A20C" w14:textId="7C83FDAC" w:rsidR="0088357C" w:rsidRDefault="0088357C">
      <w:pPr>
        <w:pStyle w:val="TOC1"/>
        <w:rPr>
          <w:rFonts w:asciiTheme="minorHAnsi" w:eastAsiaTheme="minorEastAsia" w:hAnsiTheme="minorHAnsi" w:cstheme="minorBidi"/>
          <w:noProof/>
          <w:szCs w:val="22"/>
          <w14:ligatures w14:val="standardContextual"/>
        </w:rPr>
      </w:pPr>
      <w:hyperlink w:anchor="_Toc164429421" w:history="1">
        <w:r w:rsidRPr="0009718F">
          <w:rPr>
            <w:rStyle w:val="afd"/>
            <w:noProof/>
          </w:rPr>
          <w:t>第八部分</w:t>
        </w:r>
        <w:r w:rsidRPr="0009718F">
          <w:rPr>
            <w:rStyle w:val="afd"/>
            <w:noProof/>
          </w:rPr>
          <w:t xml:space="preserve">  </w:t>
        </w:r>
        <w:r w:rsidRPr="0009718F">
          <w:rPr>
            <w:rStyle w:val="afd"/>
            <w:noProof/>
          </w:rPr>
          <w:t>基金份额的申购与赎回</w:t>
        </w:r>
        <w:r>
          <w:rPr>
            <w:noProof/>
            <w:webHidden/>
          </w:rPr>
          <w:tab/>
        </w:r>
        <w:r>
          <w:rPr>
            <w:noProof/>
            <w:webHidden/>
          </w:rPr>
          <w:fldChar w:fldCharType="begin"/>
        </w:r>
        <w:r>
          <w:rPr>
            <w:noProof/>
            <w:webHidden/>
          </w:rPr>
          <w:instrText xml:space="preserve"> PAGEREF _Toc164429421 \h </w:instrText>
        </w:r>
        <w:r>
          <w:rPr>
            <w:noProof/>
            <w:webHidden/>
          </w:rPr>
        </w:r>
        <w:r>
          <w:rPr>
            <w:noProof/>
            <w:webHidden/>
          </w:rPr>
          <w:fldChar w:fldCharType="separate"/>
        </w:r>
        <w:r>
          <w:rPr>
            <w:noProof/>
            <w:webHidden/>
          </w:rPr>
          <w:t>36</w:t>
        </w:r>
        <w:r>
          <w:rPr>
            <w:noProof/>
            <w:webHidden/>
          </w:rPr>
          <w:fldChar w:fldCharType="end"/>
        </w:r>
      </w:hyperlink>
    </w:p>
    <w:p w14:paraId="2C0F6A65" w14:textId="331438CA" w:rsidR="0088357C" w:rsidRDefault="0088357C">
      <w:pPr>
        <w:pStyle w:val="TOC1"/>
        <w:rPr>
          <w:rFonts w:asciiTheme="minorHAnsi" w:eastAsiaTheme="minorEastAsia" w:hAnsiTheme="minorHAnsi" w:cstheme="minorBidi"/>
          <w:noProof/>
          <w:szCs w:val="22"/>
          <w14:ligatures w14:val="standardContextual"/>
        </w:rPr>
      </w:pPr>
      <w:hyperlink w:anchor="_Toc164429422" w:history="1">
        <w:r w:rsidRPr="0009718F">
          <w:rPr>
            <w:rStyle w:val="afd"/>
            <w:noProof/>
          </w:rPr>
          <w:t>第九部分</w:t>
        </w:r>
        <w:r w:rsidRPr="0009718F">
          <w:rPr>
            <w:rStyle w:val="afd"/>
            <w:noProof/>
          </w:rPr>
          <w:t xml:space="preserve">  </w:t>
        </w:r>
        <w:r w:rsidRPr="0009718F">
          <w:rPr>
            <w:rStyle w:val="afd"/>
            <w:noProof/>
          </w:rPr>
          <w:t>基金的投资</w:t>
        </w:r>
        <w:r>
          <w:rPr>
            <w:noProof/>
            <w:webHidden/>
          </w:rPr>
          <w:tab/>
        </w:r>
        <w:r>
          <w:rPr>
            <w:noProof/>
            <w:webHidden/>
          </w:rPr>
          <w:fldChar w:fldCharType="begin"/>
        </w:r>
        <w:r>
          <w:rPr>
            <w:noProof/>
            <w:webHidden/>
          </w:rPr>
          <w:instrText xml:space="preserve"> PAGEREF _Toc164429422 \h </w:instrText>
        </w:r>
        <w:r>
          <w:rPr>
            <w:noProof/>
            <w:webHidden/>
          </w:rPr>
        </w:r>
        <w:r>
          <w:rPr>
            <w:noProof/>
            <w:webHidden/>
          </w:rPr>
          <w:fldChar w:fldCharType="separate"/>
        </w:r>
        <w:r>
          <w:rPr>
            <w:noProof/>
            <w:webHidden/>
          </w:rPr>
          <w:t>48</w:t>
        </w:r>
        <w:r>
          <w:rPr>
            <w:noProof/>
            <w:webHidden/>
          </w:rPr>
          <w:fldChar w:fldCharType="end"/>
        </w:r>
      </w:hyperlink>
    </w:p>
    <w:p w14:paraId="66717BD5" w14:textId="2C7B4674" w:rsidR="0088357C" w:rsidRDefault="0088357C">
      <w:pPr>
        <w:pStyle w:val="TOC1"/>
        <w:rPr>
          <w:rFonts w:asciiTheme="minorHAnsi" w:eastAsiaTheme="minorEastAsia" w:hAnsiTheme="minorHAnsi" w:cstheme="minorBidi"/>
          <w:noProof/>
          <w:szCs w:val="22"/>
          <w14:ligatures w14:val="standardContextual"/>
        </w:rPr>
      </w:pPr>
      <w:hyperlink w:anchor="_Toc164429423" w:history="1">
        <w:r w:rsidRPr="0009718F">
          <w:rPr>
            <w:rStyle w:val="afd"/>
            <w:noProof/>
          </w:rPr>
          <w:t>第十部分</w:t>
        </w:r>
        <w:r w:rsidRPr="0009718F">
          <w:rPr>
            <w:rStyle w:val="afd"/>
            <w:noProof/>
          </w:rPr>
          <w:t xml:space="preserve">  </w:t>
        </w:r>
        <w:r w:rsidRPr="0009718F">
          <w:rPr>
            <w:rStyle w:val="afd"/>
            <w:noProof/>
          </w:rPr>
          <w:t>基金的财产</w:t>
        </w:r>
        <w:r>
          <w:rPr>
            <w:noProof/>
            <w:webHidden/>
          </w:rPr>
          <w:tab/>
        </w:r>
        <w:r>
          <w:rPr>
            <w:noProof/>
            <w:webHidden/>
          </w:rPr>
          <w:fldChar w:fldCharType="begin"/>
        </w:r>
        <w:r>
          <w:rPr>
            <w:noProof/>
            <w:webHidden/>
          </w:rPr>
          <w:instrText xml:space="preserve"> PAGEREF _Toc164429423 \h </w:instrText>
        </w:r>
        <w:r>
          <w:rPr>
            <w:noProof/>
            <w:webHidden/>
          </w:rPr>
        </w:r>
        <w:r>
          <w:rPr>
            <w:noProof/>
            <w:webHidden/>
          </w:rPr>
          <w:fldChar w:fldCharType="separate"/>
        </w:r>
        <w:r>
          <w:rPr>
            <w:noProof/>
            <w:webHidden/>
          </w:rPr>
          <w:t>63</w:t>
        </w:r>
        <w:r>
          <w:rPr>
            <w:noProof/>
            <w:webHidden/>
          </w:rPr>
          <w:fldChar w:fldCharType="end"/>
        </w:r>
      </w:hyperlink>
    </w:p>
    <w:p w14:paraId="2AA87DBC" w14:textId="1BEC0DE9" w:rsidR="0088357C" w:rsidRDefault="0088357C">
      <w:pPr>
        <w:pStyle w:val="TOC1"/>
        <w:rPr>
          <w:rFonts w:asciiTheme="minorHAnsi" w:eastAsiaTheme="minorEastAsia" w:hAnsiTheme="minorHAnsi" w:cstheme="minorBidi"/>
          <w:noProof/>
          <w:szCs w:val="22"/>
          <w14:ligatures w14:val="standardContextual"/>
        </w:rPr>
      </w:pPr>
      <w:hyperlink w:anchor="_Toc164429424" w:history="1">
        <w:r w:rsidRPr="0009718F">
          <w:rPr>
            <w:rStyle w:val="afd"/>
            <w:noProof/>
          </w:rPr>
          <w:t>第十一部分</w:t>
        </w:r>
        <w:r w:rsidRPr="0009718F">
          <w:rPr>
            <w:rStyle w:val="afd"/>
            <w:noProof/>
          </w:rPr>
          <w:t xml:space="preserve">  </w:t>
        </w:r>
        <w:r w:rsidRPr="0009718F">
          <w:rPr>
            <w:rStyle w:val="afd"/>
            <w:noProof/>
          </w:rPr>
          <w:t>基金资产的估值</w:t>
        </w:r>
        <w:r>
          <w:rPr>
            <w:noProof/>
            <w:webHidden/>
          </w:rPr>
          <w:tab/>
        </w:r>
        <w:r>
          <w:rPr>
            <w:noProof/>
            <w:webHidden/>
          </w:rPr>
          <w:fldChar w:fldCharType="begin"/>
        </w:r>
        <w:r>
          <w:rPr>
            <w:noProof/>
            <w:webHidden/>
          </w:rPr>
          <w:instrText xml:space="preserve"> PAGEREF _Toc164429424 \h </w:instrText>
        </w:r>
        <w:r>
          <w:rPr>
            <w:noProof/>
            <w:webHidden/>
          </w:rPr>
        </w:r>
        <w:r>
          <w:rPr>
            <w:noProof/>
            <w:webHidden/>
          </w:rPr>
          <w:fldChar w:fldCharType="separate"/>
        </w:r>
        <w:r>
          <w:rPr>
            <w:noProof/>
            <w:webHidden/>
          </w:rPr>
          <w:t>64</w:t>
        </w:r>
        <w:r>
          <w:rPr>
            <w:noProof/>
            <w:webHidden/>
          </w:rPr>
          <w:fldChar w:fldCharType="end"/>
        </w:r>
      </w:hyperlink>
    </w:p>
    <w:p w14:paraId="1CEC6998" w14:textId="72060ED4" w:rsidR="0088357C" w:rsidRDefault="0088357C">
      <w:pPr>
        <w:pStyle w:val="TOC1"/>
        <w:rPr>
          <w:rFonts w:asciiTheme="minorHAnsi" w:eastAsiaTheme="minorEastAsia" w:hAnsiTheme="minorHAnsi" w:cstheme="minorBidi"/>
          <w:noProof/>
          <w:szCs w:val="22"/>
          <w14:ligatures w14:val="standardContextual"/>
        </w:rPr>
      </w:pPr>
      <w:hyperlink w:anchor="_Toc164429425" w:history="1">
        <w:r w:rsidRPr="0009718F">
          <w:rPr>
            <w:rStyle w:val="afd"/>
            <w:noProof/>
          </w:rPr>
          <w:t>第十二部分</w:t>
        </w:r>
        <w:r w:rsidRPr="0009718F">
          <w:rPr>
            <w:rStyle w:val="afd"/>
            <w:noProof/>
          </w:rPr>
          <w:t xml:space="preserve">  </w:t>
        </w:r>
        <w:r w:rsidRPr="0009718F">
          <w:rPr>
            <w:rStyle w:val="afd"/>
            <w:noProof/>
          </w:rPr>
          <w:t>基金的收益分配</w:t>
        </w:r>
        <w:r>
          <w:rPr>
            <w:noProof/>
            <w:webHidden/>
          </w:rPr>
          <w:tab/>
        </w:r>
        <w:r>
          <w:rPr>
            <w:noProof/>
            <w:webHidden/>
          </w:rPr>
          <w:fldChar w:fldCharType="begin"/>
        </w:r>
        <w:r>
          <w:rPr>
            <w:noProof/>
            <w:webHidden/>
          </w:rPr>
          <w:instrText xml:space="preserve"> PAGEREF _Toc164429425 \h </w:instrText>
        </w:r>
        <w:r>
          <w:rPr>
            <w:noProof/>
            <w:webHidden/>
          </w:rPr>
        </w:r>
        <w:r>
          <w:rPr>
            <w:noProof/>
            <w:webHidden/>
          </w:rPr>
          <w:fldChar w:fldCharType="separate"/>
        </w:r>
        <w:r>
          <w:rPr>
            <w:noProof/>
            <w:webHidden/>
          </w:rPr>
          <w:t>70</w:t>
        </w:r>
        <w:r>
          <w:rPr>
            <w:noProof/>
            <w:webHidden/>
          </w:rPr>
          <w:fldChar w:fldCharType="end"/>
        </w:r>
      </w:hyperlink>
    </w:p>
    <w:p w14:paraId="349BACF5" w14:textId="0D49AC26" w:rsidR="0088357C" w:rsidRDefault="0088357C">
      <w:pPr>
        <w:pStyle w:val="TOC1"/>
        <w:rPr>
          <w:rFonts w:asciiTheme="minorHAnsi" w:eastAsiaTheme="minorEastAsia" w:hAnsiTheme="minorHAnsi" w:cstheme="minorBidi"/>
          <w:noProof/>
          <w:szCs w:val="22"/>
          <w14:ligatures w14:val="standardContextual"/>
        </w:rPr>
      </w:pPr>
      <w:hyperlink w:anchor="_Toc164429426" w:history="1">
        <w:r w:rsidRPr="0009718F">
          <w:rPr>
            <w:rStyle w:val="afd"/>
            <w:noProof/>
          </w:rPr>
          <w:t>第十三部分</w:t>
        </w:r>
        <w:r w:rsidRPr="0009718F">
          <w:rPr>
            <w:rStyle w:val="afd"/>
            <w:noProof/>
          </w:rPr>
          <w:t xml:space="preserve">  </w:t>
        </w:r>
        <w:r w:rsidRPr="0009718F">
          <w:rPr>
            <w:rStyle w:val="afd"/>
            <w:noProof/>
          </w:rPr>
          <w:t>基金费用与税收</w:t>
        </w:r>
        <w:r>
          <w:rPr>
            <w:noProof/>
            <w:webHidden/>
          </w:rPr>
          <w:tab/>
        </w:r>
        <w:r>
          <w:rPr>
            <w:noProof/>
            <w:webHidden/>
          </w:rPr>
          <w:fldChar w:fldCharType="begin"/>
        </w:r>
        <w:r>
          <w:rPr>
            <w:noProof/>
            <w:webHidden/>
          </w:rPr>
          <w:instrText xml:space="preserve"> PAGEREF _Toc164429426 \h </w:instrText>
        </w:r>
        <w:r>
          <w:rPr>
            <w:noProof/>
            <w:webHidden/>
          </w:rPr>
        </w:r>
        <w:r>
          <w:rPr>
            <w:noProof/>
            <w:webHidden/>
          </w:rPr>
          <w:fldChar w:fldCharType="separate"/>
        </w:r>
        <w:r>
          <w:rPr>
            <w:noProof/>
            <w:webHidden/>
          </w:rPr>
          <w:t>72</w:t>
        </w:r>
        <w:r>
          <w:rPr>
            <w:noProof/>
            <w:webHidden/>
          </w:rPr>
          <w:fldChar w:fldCharType="end"/>
        </w:r>
      </w:hyperlink>
    </w:p>
    <w:p w14:paraId="53470A72" w14:textId="561EF038" w:rsidR="0088357C" w:rsidRDefault="0088357C">
      <w:pPr>
        <w:pStyle w:val="TOC1"/>
        <w:rPr>
          <w:rFonts w:asciiTheme="minorHAnsi" w:eastAsiaTheme="minorEastAsia" w:hAnsiTheme="minorHAnsi" w:cstheme="minorBidi"/>
          <w:noProof/>
          <w:szCs w:val="22"/>
          <w14:ligatures w14:val="standardContextual"/>
        </w:rPr>
      </w:pPr>
      <w:hyperlink w:anchor="_Toc164429427" w:history="1">
        <w:r w:rsidRPr="0009718F">
          <w:rPr>
            <w:rStyle w:val="afd"/>
            <w:noProof/>
          </w:rPr>
          <w:t>第十四部分</w:t>
        </w:r>
        <w:r w:rsidRPr="0009718F">
          <w:rPr>
            <w:rStyle w:val="afd"/>
            <w:noProof/>
          </w:rPr>
          <w:t xml:space="preserve">  </w:t>
        </w:r>
        <w:r w:rsidRPr="0009718F">
          <w:rPr>
            <w:rStyle w:val="afd"/>
            <w:noProof/>
          </w:rPr>
          <w:t>基金的会计与审计</w:t>
        </w:r>
        <w:r>
          <w:rPr>
            <w:noProof/>
            <w:webHidden/>
          </w:rPr>
          <w:tab/>
        </w:r>
        <w:r>
          <w:rPr>
            <w:noProof/>
            <w:webHidden/>
          </w:rPr>
          <w:fldChar w:fldCharType="begin"/>
        </w:r>
        <w:r>
          <w:rPr>
            <w:noProof/>
            <w:webHidden/>
          </w:rPr>
          <w:instrText xml:space="preserve"> PAGEREF _Toc164429427 \h </w:instrText>
        </w:r>
        <w:r>
          <w:rPr>
            <w:noProof/>
            <w:webHidden/>
          </w:rPr>
        </w:r>
        <w:r>
          <w:rPr>
            <w:noProof/>
            <w:webHidden/>
          </w:rPr>
          <w:fldChar w:fldCharType="separate"/>
        </w:r>
        <w:r>
          <w:rPr>
            <w:noProof/>
            <w:webHidden/>
          </w:rPr>
          <w:t>75</w:t>
        </w:r>
        <w:r>
          <w:rPr>
            <w:noProof/>
            <w:webHidden/>
          </w:rPr>
          <w:fldChar w:fldCharType="end"/>
        </w:r>
      </w:hyperlink>
    </w:p>
    <w:p w14:paraId="67689047" w14:textId="1FF541AD" w:rsidR="0088357C" w:rsidRDefault="0088357C">
      <w:pPr>
        <w:pStyle w:val="TOC1"/>
        <w:rPr>
          <w:rFonts w:asciiTheme="minorHAnsi" w:eastAsiaTheme="minorEastAsia" w:hAnsiTheme="minorHAnsi" w:cstheme="minorBidi"/>
          <w:noProof/>
          <w:szCs w:val="22"/>
          <w14:ligatures w14:val="standardContextual"/>
        </w:rPr>
      </w:pPr>
      <w:hyperlink w:anchor="_Toc164429428" w:history="1">
        <w:r w:rsidRPr="0009718F">
          <w:rPr>
            <w:rStyle w:val="afd"/>
            <w:noProof/>
          </w:rPr>
          <w:t>第十五部分</w:t>
        </w:r>
        <w:r w:rsidRPr="0009718F">
          <w:rPr>
            <w:rStyle w:val="afd"/>
            <w:noProof/>
          </w:rPr>
          <w:t xml:space="preserve">  </w:t>
        </w:r>
        <w:r w:rsidRPr="0009718F">
          <w:rPr>
            <w:rStyle w:val="afd"/>
            <w:noProof/>
          </w:rPr>
          <w:t>基金的信息披露</w:t>
        </w:r>
        <w:r>
          <w:rPr>
            <w:noProof/>
            <w:webHidden/>
          </w:rPr>
          <w:tab/>
        </w:r>
        <w:r>
          <w:rPr>
            <w:noProof/>
            <w:webHidden/>
          </w:rPr>
          <w:fldChar w:fldCharType="begin"/>
        </w:r>
        <w:r>
          <w:rPr>
            <w:noProof/>
            <w:webHidden/>
          </w:rPr>
          <w:instrText xml:space="preserve"> PAGEREF _Toc164429428 \h </w:instrText>
        </w:r>
        <w:r>
          <w:rPr>
            <w:noProof/>
            <w:webHidden/>
          </w:rPr>
        </w:r>
        <w:r>
          <w:rPr>
            <w:noProof/>
            <w:webHidden/>
          </w:rPr>
          <w:fldChar w:fldCharType="separate"/>
        </w:r>
        <w:r>
          <w:rPr>
            <w:noProof/>
            <w:webHidden/>
          </w:rPr>
          <w:t>76</w:t>
        </w:r>
        <w:r>
          <w:rPr>
            <w:noProof/>
            <w:webHidden/>
          </w:rPr>
          <w:fldChar w:fldCharType="end"/>
        </w:r>
      </w:hyperlink>
    </w:p>
    <w:p w14:paraId="3173DDF8" w14:textId="601A3506" w:rsidR="0088357C" w:rsidRDefault="0088357C">
      <w:pPr>
        <w:pStyle w:val="TOC1"/>
        <w:rPr>
          <w:rFonts w:asciiTheme="minorHAnsi" w:eastAsiaTheme="minorEastAsia" w:hAnsiTheme="minorHAnsi" w:cstheme="minorBidi"/>
          <w:noProof/>
          <w:szCs w:val="22"/>
          <w14:ligatures w14:val="standardContextual"/>
        </w:rPr>
      </w:pPr>
      <w:hyperlink w:anchor="_Toc164429429" w:history="1">
        <w:r w:rsidRPr="0009718F">
          <w:rPr>
            <w:rStyle w:val="afd"/>
            <w:noProof/>
          </w:rPr>
          <w:t>第十六部分</w:t>
        </w:r>
        <w:r w:rsidRPr="0009718F">
          <w:rPr>
            <w:rStyle w:val="afd"/>
            <w:noProof/>
          </w:rPr>
          <w:t xml:space="preserve">  </w:t>
        </w:r>
        <w:r w:rsidRPr="0009718F">
          <w:rPr>
            <w:rStyle w:val="afd"/>
            <w:noProof/>
          </w:rPr>
          <w:t>侧袋机制</w:t>
        </w:r>
        <w:r>
          <w:rPr>
            <w:noProof/>
            <w:webHidden/>
          </w:rPr>
          <w:tab/>
        </w:r>
        <w:r>
          <w:rPr>
            <w:noProof/>
            <w:webHidden/>
          </w:rPr>
          <w:fldChar w:fldCharType="begin"/>
        </w:r>
        <w:r>
          <w:rPr>
            <w:noProof/>
            <w:webHidden/>
          </w:rPr>
          <w:instrText xml:space="preserve"> PAGEREF _Toc164429429 \h </w:instrText>
        </w:r>
        <w:r>
          <w:rPr>
            <w:noProof/>
            <w:webHidden/>
          </w:rPr>
        </w:r>
        <w:r>
          <w:rPr>
            <w:noProof/>
            <w:webHidden/>
          </w:rPr>
          <w:fldChar w:fldCharType="separate"/>
        </w:r>
        <w:r>
          <w:rPr>
            <w:noProof/>
            <w:webHidden/>
          </w:rPr>
          <w:t>84</w:t>
        </w:r>
        <w:r>
          <w:rPr>
            <w:noProof/>
            <w:webHidden/>
          </w:rPr>
          <w:fldChar w:fldCharType="end"/>
        </w:r>
      </w:hyperlink>
    </w:p>
    <w:p w14:paraId="45173555" w14:textId="53FB9A92" w:rsidR="0088357C" w:rsidRDefault="0088357C">
      <w:pPr>
        <w:pStyle w:val="TOC1"/>
        <w:rPr>
          <w:rFonts w:asciiTheme="minorHAnsi" w:eastAsiaTheme="minorEastAsia" w:hAnsiTheme="minorHAnsi" w:cstheme="minorBidi"/>
          <w:noProof/>
          <w:szCs w:val="22"/>
          <w14:ligatures w14:val="standardContextual"/>
        </w:rPr>
      </w:pPr>
      <w:hyperlink w:anchor="_Toc164429430" w:history="1">
        <w:r w:rsidRPr="0009718F">
          <w:rPr>
            <w:rStyle w:val="afd"/>
            <w:noProof/>
          </w:rPr>
          <w:t>第十七部分</w:t>
        </w:r>
        <w:r w:rsidRPr="0009718F">
          <w:rPr>
            <w:rStyle w:val="afd"/>
            <w:noProof/>
          </w:rPr>
          <w:t xml:space="preserve">  </w:t>
        </w:r>
        <w:r w:rsidRPr="0009718F">
          <w:rPr>
            <w:rStyle w:val="afd"/>
            <w:noProof/>
          </w:rPr>
          <w:t>风险揭示</w:t>
        </w:r>
        <w:r>
          <w:rPr>
            <w:noProof/>
            <w:webHidden/>
          </w:rPr>
          <w:tab/>
        </w:r>
        <w:r>
          <w:rPr>
            <w:noProof/>
            <w:webHidden/>
          </w:rPr>
          <w:fldChar w:fldCharType="begin"/>
        </w:r>
        <w:r>
          <w:rPr>
            <w:noProof/>
            <w:webHidden/>
          </w:rPr>
          <w:instrText xml:space="preserve"> PAGEREF _Toc164429430 \h </w:instrText>
        </w:r>
        <w:r>
          <w:rPr>
            <w:noProof/>
            <w:webHidden/>
          </w:rPr>
        </w:r>
        <w:r>
          <w:rPr>
            <w:noProof/>
            <w:webHidden/>
          </w:rPr>
          <w:fldChar w:fldCharType="separate"/>
        </w:r>
        <w:r>
          <w:rPr>
            <w:noProof/>
            <w:webHidden/>
          </w:rPr>
          <w:t>87</w:t>
        </w:r>
        <w:r>
          <w:rPr>
            <w:noProof/>
            <w:webHidden/>
          </w:rPr>
          <w:fldChar w:fldCharType="end"/>
        </w:r>
      </w:hyperlink>
    </w:p>
    <w:p w14:paraId="2665C73C" w14:textId="383567ED" w:rsidR="0088357C" w:rsidRDefault="0088357C">
      <w:pPr>
        <w:pStyle w:val="TOC1"/>
        <w:rPr>
          <w:rFonts w:asciiTheme="minorHAnsi" w:eastAsiaTheme="minorEastAsia" w:hAnsiTheme="minorHAnsi" w:cstheme="minorBidi"/>
          <w:noProof/>
          <w:szCs w:val="22"/>
          <w14:ligatures w14:val="standardContextual"/>
        </w:rPr>
      </w:pPr>
      <w:hyperlink w:anchor="_Toc164429431" w:history="1">
        <w:r w:rsidRPr="0009718F">
          <w:rPr>
            <w:rStyle w:val="afd"/>
            <w:noProof/>
          </w:rPr>
          <w:t>第十八部分</w:t>
        </w:r>
        <w:r w:rsidRPr="0009718F">
          <w:rPr>
            <w:rStyle w:val="afd"/>
            <w:noProof/>
          </w:rPr>
          <w:t xml:space="preserve">  </w:t>
        </w:r>
        <w:r w:rsidRPr="0009718F">
          <w:rPr>
            <w:rStyle w:val="afd"/>
            <w:noProof/>
          </w:rPr>
          <w:t>基金合同的变更、终止与基金财产的清算</w:t>
        </w:r>
        <w:r>
          <w:rPr>
            <w:noProof/>
            <w:webHidden/>
          </w:rPr>
          <w:tab/>
        </w:r>
        <w:r>
          <w:rPr>
            <w:noProof/>
            <w:webHidden/>
          </w:rPr>
          <w:fldChar w:fldCharType="begin"/>
        </w:r>
        <w:r>
          <w:rPr>
            <w:noProof/>
            <w:webHidden/>
          </w:rPr>
          <w:instrText xml:space="preserve"> PAGEREF _Toc164429431 \h </w:instrText>
        </w:r>
        <w:r>
          <w:rPr>
            <w:noProof/>
            <w:webHidden/>
          </w:rPr>
        </w:r>
        <w:r>
          <w:rPr>
            <w:noProof/>
            <w:webHidden/>
          </w:rPr>
          <w:fldChar w:fldCharType="separate"/>
        </w:r>
        <w:r>
          <w:rPr>
            <w:noProof/>
            <w:webHidden/>
          </w:rPr>
          <w:t>92</w:t>
        </w:r>
        <w:r>
          <w:rPr>
            <w:noProof/>
            <w:webHidden/>
          </w:rPr>
          <w:fldChar w:fldCharType="end"/>
        </w:r>
      </w:hyperlink>
    </w:p>
    <w:p w14:paraId="29991BF8" w14:textId="0EA991F8" w:rsidR="0088357C" w:rsidRDefault="0088357C">
      <w:pPr>
        <w:pStyle w:val="TOC1"/>
        <w:rPr>
          <w:rFonts w:asciiTheme="minorHAnsi" w:eastAsiaTheme="minorEastAsia" w:hAnsiTheme="minorHAnsi" w:cstheme="minorBidi"/>
          <w:noProof/>
          <w:szCs w:val="22"/>
          <w14:ligatures w14:val="standardContextual"/>
        </w:rPr>
      </w:pPr>
      <w:hyperlink w:anchor="_Toc164429432" w:history="1">
        <w:r w:rsidRPr="0009718F">
          <w:rPr>
            <w:rStyle w:val="afd"/>
            <w:noProof/>
          </w:rPr>
          <w:t>第十九部分</w:t>
        </w:r>
        <w:r w:rsidRPr="0009718F">
          <w:rPr>
            <w:rStyle w:val="afd"/>
            <w:noProof/>
          </w:rPr>
          <w:t xml:space="preserve">  </w:t>
        </w:r>
        <w:r w:rsidRPr="0009718F">
          <w:rPr>
            <w:rStyle w:val="afd"/>
            <w:noProof/>
          </w:rPr>
          <w:t>基金合同的内容摘要</w:t>
        </w:r>
        <w:r>
          <w:rPr>
            <w:noProof/>
            <w:webHidden/>
          </w:rPr>
          <w:tab/>
        </w:r>
        <w:r>
          <w:rPr>
            <w:noProof/>
            <w:webHidden/>
          </w:rPr>
          <w:fldChar w:fldCharType="begin"/>
        </w:r>
        <w:r>
          <w:rPr>
            <w:noProof/>
            <w:webHidden/>
          </w:rPr>
          <w:instrText xml:space="preserve"> PAGEREF _Toc164429432 \h </w:instrText>
        </w:r>
        <w:r>
          <w:rPr>
            <w:noProof/>
            <w:webHidden/>
          </w:rPr>
        </w:r>
        <w:r>
          <w:rPr>
            <w:noProof/>
            <w:webHidden/>
          </w:rPr>
          <w:fldChar w:fldCharType="separate"/>
        </w:r>
        <w:r>
          <w:rPr>
            <w:noProof/>
            <w:webHidden/>
          </w:rPr>
          <w:t>94</w:t>
        </w:r>
        <w:r>
          <w:rPr>
            <w:noProof/>
            <w:webHidden/>
          </w:rPr>
          <w:fldChar w:fldCharType="end"/>
        </w:r>
      </w:hyperlink>
    </w:p>
    <w:p w14:paraId="71D2C465" w14:textId="4812341F" w:rsidR="0088357C" w:rsidRDefault="0088357C">
      <w:pPr>
        <w:pStyle w:val="TOC1"/>
        <w:rPr>
          <w:rFonts w:asciiTheme="minorHAnsi" w:eastAsiaTheme="minorEastAsia" w:hAnsiTheme="minorHAnsi" w:cstheme="minorBidi"/>
          <w:noProof/>
          <w:szCs w:val="22"/>
          <w14:ligatures w14:val="standardContextual"/>
        </w:rPr>
      </w:pPr>
      <w:hyperlink w:anchor="_Toc164429433" w:history="1">
        <w:r w:rsidRPr="0009718F">
          <w:rPr>
            <w:rStyle w:val="afd"/>
            <w:noProof/>
          </w:rPr>
          <w:t>第二十部分</w:t>
        </w:r>
        <w:r w:rsidRPr="0009718F">
          <w:rPr>
            <w:rStyle w:val="afd"/>
            <w:noProof/>
          </w:rPr>
          <w:t xml:space="preserve">  </w:t>
        </w:r>
        <w:r w:rsidRPr="0009718F">
          <w:rPr>
            <w:rStyle w:val="afd"/>
            <w:noProof/>
          </w:rPr>
          <w:t>基金托管协议的内容摘要</w:t>
        </w:r>
        <w:r>
          <w:rPr>
            <w:noProof/>
            <w:webHidden/>
          </w:rPr>
          <w:tab/>
        </w:r>
        <w:r>
          <w:rPr>
            <w:noProof/>
            <w:webHidden/>
          </w:rPr>
          <w:fldChar w:fldCharType="begin"/>
        </w:r>
        <w:r>
          <w:rPr>
            <w:noProof/>
            <w:webHidden/>
          </w:rPr>
          <w:instrText xml:space="preserve"> PAGEREF _Toc164429433 \h </w:instrText>
        </w:r>
        <w:r>
          <w:rPr>
            <w:noProof/>
            <w:webHidden/>
          </w:rPr>
        </w:r>
        <w:r>
          <w:rPr>
            <w:noProof/>
            <w:webHidden/>
          </w:rPr>
          <w:fldChar w:fldCharType="separate"/>
        </w:r>
        <w:r>
          <w:rPr>
            <w:noProof/>
            <w:webHidden/>
          </w:rPr>
          <w:t>112</w:t>
        </w:r>
        <w:r>
          <w:rPr>
            <w:noProof/>
            <w:webHidden/>
          </w:rPr>
          <w:fldChar w:fldCharType="end"/>
        </w:r>
      </w:hyperlink>
    </w:p>
    <w:p w14:paraId="3DC54596" w14:textId="5B7BF38C" w:rsidR="0088357C" w:rsidRDefault="0088357C">
      <w:pPr>
        <w:pStyle w:val="TOC1"/>
        <w:rPr>
          <w:rFonts w:asciiTheme="minorHAnsi" w:eastAsiaTheme="minorEastAsia" w:hAnsiTheme="minorHAnsi" w:cstheme="minorBidi"/>
          <w:noProof/>
          <w:szCs w:val="22"/>
          <w14:ligatures w14:val="standardContextual"/>
        </w:rPr>
      </w:pPr>
      <w:hyperlink w:anchor="_Toc164429434" w:history="1">
        <w:r w:rsidRPr="0009718F">
          <w:rPr>
            <w:rStyle w:val="afd"/>
            <w:noProof/>
          </w:rPr>
          <w:t>第二十一部分</w:t>
        </w:r>
        <w:r w:rsidRPr="0009718F">
          <w:rPr>
            <w:rStyle w:val="afd"/>
            <w:noProof/>
          </w:rPr>
          <w:t xml:space="preserve">  </w:t>
        </w:r>
        <w:r w:rsidRPr="0009718F">
          <w:rPr>
            <w:rStyle w:val="afd"/>
            <w:noProof/>
          </w:rPr>
          <w:t>对基金份额持有人的服务</w:t>
        </w:r>
        <w:r>
          <w:rPr>
            <w:noProof/>
            <w:webHidden/>
          </w:rPr>
          <w:tab/>
        </w:r>
        <w:r>
          <w:rPr>
            <w:noProof/>
            <w:webHidden/>
          </w:rPr>
          <w:fldChar w:fldCharType="begin"/>
        </w:r>
        <w:r>
          <w:rPr>
            <w:noProof/>
            <w:webHidden/>
          </w:rPr>
          <w:instrText xml:space="preserve"> PAGEREF _Toc164429434 \h </w:instrText>
        </w:r>
        <w:r>
          <w:rPr>
            <w:noProof/>
            <w:webHidden/>
          </w:rPr>
        </w:r>
        <w:r>
          <w:rPr>
            <w:noProof/>
            <w:webHidden/>
          </w:rPr>
          <w:fldChar w:fldCharType="separate"/>
        </w:r>
        <w:r>
          <w:rPr>
            <w:noProof/>
            <w:webHidden/>
          </w:rPr>
          <w:t>131</w:t>
        </w:r>
        <w:r>
          <w:rPr>
            <w:noProof/>
            <w:webHidden/>
          </w:rPr>
          <w:fldChar w:fldCharType="end"/>
        </w:r>
      </w:hyperlink>
    </w:p>
    <w:p w14:paraId="540B5EBD" w14:textId="22825298" w:rsidR="0088357C" w:rsidRDefault="0088357C">
      <w:pPr>
        <w:pStyle w:val="TOC1"/>
        <w:rPr>
          <w:rFonts w:asciiTheme="minorHAnsi" w:eastAsiaTheme="minorEastAsia" w:hAnsiTheme="minorHAnsi" w:cstheme="minorBidi"/>
          <w:noProof/>
          <w:szCs w:val="22"/>
          <w14:ligatures w14:val="standardContextual"/>
        </w:rPr>
      </w:pPr>
      <w:hyperlink w:anchor="_Toc164429435" w:history="1">
        <w:r w:rsidRPr="0009718F">
          <w:rPr>
            <w:rStyle w:val="afd"/>
            <w:noProof/>
          </w:rPr>
          <w:t>第二十二部分</w:t>
        </w:r>
        <w:r w:rsidRPr="0009718F">
          <w:rPr>
            <w:rStyle w:val="afd"/>
            <w:noProof/>
          </w:rPr>
          <w:t xml:space="preserve">  </w:t>
        </w:r>
        <w:r w:rsidRPr="0009718F">
          <w:rPr>
            <w:rStyle w:val="afd"/>
            <w:noProof/>
          </w:rPr>
          <w:t>其他应披露事项</w:t>
        </w:r>
        <w:r>
          <w:rPr>
            <w:noProof/>
            <w:webHidden/>
          </w:rPr>
          <w:tab/>
        </w:r>
        <w:r>
          <w:rPr>
            <w:noProof/>
            <w:webHidden/>
          </w:rPr>
          <w:fldChar w:fldCharType="begin"/>
        </w:r>
        <w:r>
          <w:rPr>
            <w:noProof/>
            <w:webHidden/>
          </w:rPr>
          <w:instrText xml:space="preserve"> PAGEREF _Toc164429435 \h </w:instrText>
        </w:r>
        <w:r>
          <w:rPr>
            <w:noProof/>
            <w:webHidden/>
          </w:rPr>
        </w:r>
        <w:r>
          <w:rPr>
            <w:noProof/>
            <w:webHidden/>
          </w:rPr>
          <w:fldChar w:fldCharType="separate"/>
        </w:r>
        <w:r>
          <w:rPr>
            <w:noProof/>
            <w:webHidden/>
          </w:rPr>
          <w:t>133</w:t>
        </w:r>
        <w:r>
          <w:rPr>
            <w:noProof/>
            <w:webHidden/>
          </w:rPr>
          <w:fldChar w:fldCharType="end"/>
        </w:r>
      </w:hyperlink>
    </w:p>
    <w:p w14:paraId="533E4AEE" w14:textId="3AD1D201" w:rsidR="0088357C" w:rsidRDefault="0088357C">
      <w:pPr>
        <w:pStyle w:val="TOC1"/>
        <w:rPr>
          <w:rFonts w:asciiTheme="minorHAnsi" w:eastAsiaTheme="minorEastAsia" w:hAnsiTheme="minorHAnsi" w:cstheme="minorBidi"/>
          <w:noProof/>
          <w:szCs w:val="22"/>
          <w14:ligatures w14:val="standardContextual"/>
        </w:rPr>
      </w:pPr>
      <w:hyperlink w:anchor="_Toc164429436" w:history="1">
        <w:r w:rsidRPr="0009718F">
          <w:rPr>
            <w:rStyle w:val="afd"/>
            <w:noProof/>
          </w:rPr>
          <w:t>第二十三部分</w:t>
        </w:r>
        <w:r w:rsidRPr="0009718F">
          <w:rPr>
            <w:rStyle w:val="afd"/>
            <w:noProof/>
          </w:rPr>
          <w:t xml:space="preserve">  </w:t>
        </w:r>
        <w:r w:rsidRPr="0009718F">
          <w:rPr>
            <w:rStyle w:val="afd"/>
            <w:noProof/>
          </w:rPr>
          <w:t>招募说明书存放及查阅方式</w:t>
        </w:r>
        <w:r>
          <w:rPr>
            <w:noProof/>
            <w:webHidden/>
          </w:rPr>
          <w:tab/>
        </w:r>
        <w:r>
          <w:rPr>
            <w:noProof/>
            <w:webHidden/>
          </w:rPr>
          <w:fldChar w:fldCharType="begin"/>
        </w:r>
        <w:r>
          <w:rPr>
            <w:noProof/>
            <w:webHidden/>
          </w:rPr>
          <w:instrText xml:space="preserve"> PAGEREF _Toc164429436 \h </w:instrText>
        </w:r>
        <w:r>
          <w:rPr>
            <w:noProof/>
            <w:webHidden/>
          </w:rPr>
        </w:r>
        <w:r>
          <w:rPr>
            <w:noProof/>
            <w:webHidden/>
          </w:rPr>
          <w:fldChar w:fldCharType="separate"/>
        </w:r>
        <w:r>
          <w:rPr>
            <w:noProof/>
            <w:webHidden/>
          </w:rPr>
          <w:t>134</w:t>
        </w:r>
        <w:r>
          <w:rPr>
            <w:noProof/>
            <w:webHidden/>
          </w:rPr>
          <w:fldChar w:fldCharType="end"/>
        </w:r>
      </w:hyperlink>
    </w:p>
    <w:p w14:paraId="17CD773D" w14:textId="2258F5C5" w:rsidR="0088357C" w:rsidRDefault="0088357C">
      <w:pPr>
        <w:pStyle w:val="TOC1"/>
        <w:rPr>
          <w:rFonts w:asciiTheme="minorHAnsi" w:eastAsiaTheme="minorEastAsia" w:hAnsiTheme="minorHAnsi" w:cstheme="minorBidi"/>
          <w:noProof/>
          <w:szCs w:val="22"/>
          <w14:ligatures w14:val="standardContextual"/>
        </w:rPr>
      </w:pPr>
      <w:hyperlink w:anchor="_Toc164429437" w:history="1">
        <w:r w:rsidRPr="0009718F">
          <w:rPr>
            <w:rStyle w:val="afd"/>
            <w:noProof/>
          </w:rPr>
          <w:t>第二十四部分</w:t>
        </w:r>
        <w:r w:rsidRPr="0009718F">
          <w:rPr>
            <w:rStyle w:val="afd"/>
            <w:noProof/>
          </w:rPr>
          <w:t xml:space="preserve">  </w:t>
        </w:r>
        <w:r w:rsidRPr="0009718F">
          <w:rPr>
            <w:rStyle w:val="afd"/>
            <w:noProof/>
          </w:rPr>
          <w:t>备</w:t>
        </w:r>
        <w:r w:rsidRPr="0009718F">
          <w:rPr>
            <w:rStyle w:val="afd"/>
            <w:noProof/>
          </w:rPr>
          <w:t>查</w:t>
        </w:r>
        <w:r w:rsidRPr="0009718F">
          <w:rPr>
            <w:rStyle w:val="afd"/>
            <w:noProof/>
          </w:rPr>
          <w:t>文件</w:t>
        </w:r>
        <w:r>
          <w:rPr>
            <w:noProof/>
            <w:webHidden/>
          </w:rPr>
          <w:tab/>
        </w:r>
        <w:r>
          <w:rPr>
            <w:noProof/>
            <w:webHidden/>
          </w:rPr>
          <w:fldChar w:fldCharType="begin"/>
        </w:r>
        <w:r>
          <w:rPr>
            <w:noProof/>
            <w:webHidden/>
          </w:rPr>
          <w:instrText xml:space="preserve"> PAGEREF _Toc164429437 \h </w:instrText>
        </w:r>
        <w:r>
          <w:rPr>
            <w:noProof/>
            <w:webHidden/>
          </w:rPr>
        </w:r>
        <w:r>
          <w:rPr>
            <w:noProof/>
            <w:webHidden/>
          </w:rPr>
          <w:fldChar w:fldCharType="separate"/>
        </w:r>
        <w:r>
          <w:rPr>
            <w:noProof/>
            <w:webHidden/>
          </w:rPr>
          <w:t>135</w:t>
        </w:r>
        <w:r>
          <w:rPr>
            <w:noProof/>
            <w:webHidden/>
          </w:rPr>
          <w:fldChar w:fldCharType="end"/>
        </w:r>
      </w:hyperlink>
    </w:p>
    <w:p w14:paraId="0DFFC888" w14:textId="40640C6B" w:rsidR="009214AE" w:rsidRDefault="00C66335">
      <w:r>
        <w:fldChar w:fldCharType="end"/>
      </w:r>
      <w:bookmarkStart w:id="32" w:name="_Toc263092309"/>
      <w:bookmarkStart w:id="33" w:name="_Toc416264537"/>
      <w:bookmarkStart w:id="34" w:name="_Toc22864"/>
      <w:bookmarkStart w:id="35" w:name="_Toc21301"/>
      <w:bookmarkStart w:id="36" w:name="_Toc352229747"/>
      <w:bookmarkStart w:id="37" w:name="_Toc6617"/>
      <w:bookmarkStart w:id="38" w:name="_Toc2465"/>
      <w:bookmarkStart w:id="39" w:name="_Toc3224"/>
      <w:bookmarkStart w:id="40" w:name="_Toc819"/>
      <w:bookmarkStart w:id="41" w:name="_Toc13020"/>
      <w:bookmarkStart w:id="42" w:name="_Toc19592"/>
      <w:bookmarkStart w:id="43" w:name="_Toc258829399"/>
      <w:bookmarkStart w:id="44" w:name="_Toc15067"/>
      <w:bookmarkStart w:id="45" w:name="_Toc31551"/>
      <w:bookmarkStart w:id="46" w:name="_Toc248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8BCBA30" w14:textId="77777777" w:rsidR="009214AE" w:rsidRDefault="009214AE"/>
    <w:p w14:paraId="6B3F806D" w14:textId="77777777" w:rsidR="009214AE" w:rsidRDefault="009214AE"/>
    <w:p w14:paraId="7E2ED040" w14:textId="77777777" w:rsidR="009214AE" w:rsidRDefault="009214AE"/>
    <w:p w14:paraId="64F834CA" w14:textId="77777777" w:rsidR="009214AE" w:rsidRDefault="00C66335">
      <w:pPr>
        <w:tabs>
          <w:tab w:val="left" w:pos="5370"/>
        </w:tabs>
      </w:pPr>
      <w:r>
        <w:tab/>
      </w:r>
    </w:p>
    <w:p w14:paraId="210E07DF" w14:textId="77777777" w:rsidR="009214AE" w:rsidRDefault="00C66335">
      <w:pPr>
        <w:tabs>
          <w:tab w:val="left" w:pos="5370"/>
        </w:tabs>
        <w:sectPr w:rsidR="009214AE" w:rsidSect="004C0C2D">
          <w:pgSz w:w="11906" w:h="16838"/>
          <w:pgMar w:top="1440" w:right="1800" w:bottom="1440" w:left="1800" w:header="851" w:footer="992" w:gutter="0"/>
          <w:pgNumType w:chapStyle="1"/>
          <w:cols w:space="720"/>
          <w:docGrid w:type="lines" w:linePitch="312"/>
        </w:sectPr>
      </w:pPr>
      <w:r>
        <w:tab/>
      </w:r>
    </w:p>
    <w:p w14:paraId="3250AB5D" w14:textId="77777777" w:rsidR="009214AE" w:rsidRDefault="00C66335">
      <w:pPr>
        <w:pStyle w:val="1"/>
        <w:jc w:val="center"/>
        <w:rPr>
          <w:sz w:val="30"/>
          <w:szCs w:val="30"/>
        </w:rPr>
      </w:pPr>
      <w:bookmarkStart w:id="47" w:name="_Toc164429414"/>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5BCACED9"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量化精选混合型发起式证券投资基金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流动性风险管理规定》”）等有关法律法规以及《富荣量化精选混合型发起式证券投资基金基金合同》（以下简称“基金合同”）编写。</w:t>
      </w:r>
    </w:p>
    <w:p w14:paraId="0E6E404A"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36A5081D"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量化精选混合型发起式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743500F8"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094AEE1" w14:textId="77777777" w:rsidR="009214AE" w:rsidRDefault="009214AE">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214AE" w:rsidSect="004C0C2D">
          <w:footerReference w:type="default" r:id="rId10"/>
          <w:pgSz w:w="11906" w:h="16838"/>
          <w:pgMar w:top="1440" w:right="1800" w:bottom="1440" w:left="1800" w:header="851" w:footer="992" w:gutter="0"/>
          <w:pgNumType w:chapStyle="1"/>
          <w:cols w:space="720"/>
          <w:docGrid w:type="lines" w:linePitch="312"/>
        </w:sectPr>
      </w:pPr>
      <w:bookmarkStart w:id="48" w:name="_Toc22708"/>
      <w:bookmarkStart w:id="49" w:name="_Toc20627"/>
      <w:bookmarkStart w:id="50" w:name="_Toc545"/>
      <w:bookmarkStart w:id="51" w:name="_Toc24571"/>
      <w:bookmarkStart w:id="52" w:name="_Toc6683"/>
      <w:bookmarkStart w:id="53" w:name="_Toc18631"/>
      <w:bookmarkStart w:id="54" w:name="_Toc352229748"/>
      <w:bookmarkStart w:id="55" w:name="_Toc20318"/>
      <w:bookmarkStart w:id="56" w:name="_Toc5246"/>
      <w:bookmarkStart w:id="57" w:name="_Toc733"/>
      <w:bookmarkStart w:id="58" w:name="_Toc6149"/>
      <w:bookmarkStart w:id="59" w:name="_Toc13288"/>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630596DF" w14:textId="77777777" w:rsidR="009214AE" w:rsidRDefault="00C66335">
      <w:pPr>
        <w:pStyle w:val="1"/>
        <w:jc w:val="center"/>
        <w:rPr>
          <w:sz w:val="30"/>
          <w:szCs w:val="30"/>
        </w:rPr>
      </w:pPr>
      <w:bookmarkStart w:id="62" w:name="_Toc164429415"/>
      <w:r>
        <w:rPr>
          <w:rFonts w:hint="eastAsia"/>
          <w:sz w:val="30"/>
          <w:szCs w:val="30"/>
        </w:rPr>
        <w:lastRenderedPageBreak/>
        <w:t>第二部分</w:t>
      </w:r>
      <w:r>
        <w:rPr>
          <w:sz w:val="30"/>
          <w:szCs w:val="30"/>
        </w:rPr>
        <w:t xml:space="preserve">  </w:t>
      </w:r>
      <w:r>
        <w:rPr>
          <w:rFonts w:hint="eastAsia"/>
          <w:sz w:val="30"/>
          <w:szCs w:val="30"/>
        </w:rPr>
        <w:t>释义</w:t>
      </w:r>
      <w:bookmarkEnd w:id="62"/>
    </w:p>
    <w:p w14:paraId="6879DE80"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2659B29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1、基金或本基金：指富荣量化精选混合型发起式证券投资基金</w:t>
      </w:r>
    </w:p>
    <w:p w14:paraId="5A25E9E8"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2、基金管理人：指富荣基金管理有限公司    </w:t>
      </w:r>
    </w:p>
    <w:p w14:paraId="7B8B3DF2"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3、基金托管人：指中国工商银行股份有限公司</w:t>
      </w:r>
    </w:p>
    <w:p w14:paraId="27D476DC"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4、基金合同：指《富荣量化精选混合型发起式证券投资基金基金合同》及对基金合同的任何有效修订和补充</w:t>
      </w:r>
    </w:p>
    <w:p w14:paraId="1CE098D6"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5、托管协议：指基金管理人与基金托管人就本基金签订之《富荣量化精选混合型发起式证券投资基金托管协议》及对该托管协议的任何有效修订和补充</w:t>
      </w:r>
    </w:p>
    <w:p w14:paraId="6F540515"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6、招募说明书或本招募说明书：指《富荣量化精选混合型发起式证券投资基金招募说明书》及其更新</w:t>
      </w:r>
    </w:p>
    <w:p w14:paraId="0553F171"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7、基金份额发售公告：指《富荣量化精选混合型发起式证券投资基金基金份额发售公告》</w:t>
      </w:r>
    </w:p>
    <w:p w14:paraId="00622471"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8、法律法规：指中国现行有效并公布实施的法律、行政法规、规范性文件、司法解释、行政规章以及其他对基金合同当事人有约束力的决定、决议、通知等</w:t>
      </w:r>
    </w:p>
    <w:p w14:paraId="501CB2DB"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7806510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10、《销售办法》：指中国证监会2020年8月28日颁布、同年10月1日实施的《公开募集证券投资基金销售机构监督管理办法》及颁布机关对其不时做出的修订</w:t>
      </w:r>
    </w:p>
    <w:p w14:paraId="2560519E"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7B27D178"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12、《运作办法》：指中国证监会2014年7月7日颁布、同年8月8日实施</w:t>
      </w:r>
      <w:r>
        <w:rPr>
          <w:rFonts w:asciiTheme="minorEastAsia" w:hAnsiTheme="minorEastAsia" w:cs="Times New Roman" w:hint="eastAsia"/>
          <w:sz w:val="24"/>
          <w:szCs w:val="24"/>
        </w:rPr>
        <w:lastRenderedPageBreak/>
        <w:t>的《公开募集证券投资基金运作管理办法》及颁布机关对其不时做出的修订</w:t>
      </w:r>
    </w:p>
    <w:p w14:paraId="419BD5D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13、《流动性风险管理规定》：指中国证监会2017年8月31日颁布、同年10月1日实施的《公开募集开放式证券投资基金流动性风险管理规定》及颁布机关对其不时做出的修订</w:t>
      </w:r>
    </w:p>
    <w:p w14:paraId="12676CA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14、中国证监会：指中国证券监督管理委员会</w:t>
      </w:r>
    </w:p>
    <w:p w14:paraId="24C00A74"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15、银行业监督管理机构：指中国人民银行和/或中国银行保险监督管理委员会</w:t>
      </w:r>
    </w:p>
    <w:p w14:paraId="765DB810"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16、基金合同当事人：指受基金合同约束，根据基金合同享有权利并承担义务的法律主体，包括基金管理人、基金托管人和基金份额持有人</w:t>
      </w:r>
    </w:p>
    <w:p w14:paraId="046B394C"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17、个人投资者：指依据有关法律法规规定可投资于证券投资基金的自然人</w:t>
      </w:r>
    </w:p>
    <w:p w14:paraId="2081D946"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18、机构投资者：指依法可以投资证券投资基金的、在中华人民共和国境内合法登记并存续或经有关政府部门批准设立并存续的企业法人、事业法人、社会团体或其他组织</w:t>
      </w:r>
    </w:p>
    <w:p w14:paraId="307922E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合格境外机构投资者：指符合《合格境外机构投资者和人民币合格境外机构投资者境内证券期货投资管理办法》（包括颁布机关对其不时做出的修订）及相关法律法规规定使用来自境外的资金进行境内证券期货投资的境外机构投资者</w:t>
      </w:r>
    </w:p>
    <w:p w14:paraId="323CD4E8"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人民币合格境外机构投资者：指按照《合格境外机构投资者和人民币合格境外机构投资者境内证券期货投资管理办法》（包括颁布机关对其不时做出的修订）及相关法律法规规定，运用来自境外的人民币资金进行境内证券期货投资的境外机构投资者</w:t>
      </w:r>
    </w:p>
    <w:p w14:paraId="62C08BB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21、投资人、投资者：指个人投资者、机构投资者、合格境外机构投资者、人民币合格境外机构投资者和发起</w:t>
      </w:r>
      <w:proofErr w:type="gramStart"/>
      <w:r>
        <w:rPr>
          <w:rFonts w:asciiTheme="minorEastAsia" w:hAnsiTheme="minorEastAsia" w:cs="Times New Roman" w:hint="eastAsia"/>
          <w:sz w:val="24"/>
          <w:szCs w:val="24"/>
        </w:rPr>
        <w:t>式资金</w:t>
      </w:r>
      <w:proofErr w:type="gramEnd"/>
      <w:r>
        <w:rPr>
          <w:rFonts w:asciiTheme="minorEastAsia" w:hAnsiTheme="minorEastAsia" w:cs="Times New Roman" w:hint="eastAsia"/>
          <w:sz w:val="24"/>
          <w:szCs w:val="24"/>
        </w:rPr>
        <w:t>提供方以及法律法规或中国证监会允许购买证券投资基金的其他投资人的合称</w:t>
      </w:r>
    </w:p>
    <w:p w14:paraId="0FBCD79B"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22、发起式基金：指符合《运作办法》和中国证监会有关规定，由基金管理人、基金管理人股东、基金管理人高级管理人员或基金经理（包括基金经理之外的投</w:t>
      </w:r>
      <w:proofErr w:type="gramStart"/>
      <w:r>
        <w:rPr>
          <w:rFonts w:asciiTheme="minorEastAsia" w:hAnsiTheme="minorEastAsia" w:cs="Times New Roman" w:hint="eastAsia"/>
          <w:sz w:val="24"/>
          <w:szCs w:val="24"/>
        </w:rPr>
        <w:t>研</w:t>
      </w:r>
      <w:proofErr w:type="gramEnd"/>
      <w:r>
        <w:rPr>
          <w:rFonts w:asciiTheme="minorEastAsia" w:hAnsiTheme="minorEastAsia" w:cs="Times New Roman" w:hint="eastAsia"/>
          <w:sz w:val="24"/>
          <w:szCs w:val="24"/>
        </w:rPr>
        <w:t>人员，下同）等人员承诺认购一定金额并持有一定期限的证券投资基金</w:t>
      </w:r>
    </w:p>
    <w:p w14:paraId="5AA80CE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23、发起资金：指用于认购发起</w:t>
      </w:r>
      <w:proofErr w:type="gramStart"/>
      <w:r>
        <w:rPr>
          <w:rFonts w:asciiTheme="minorEastAsia" w:hAnsiTheme="minorEastAsia" w:cs="Times New Roman" w:hint="eastAsia"/>
          <w:sz w:val="24"/>
          <w:szCs w:val="24"/>
        </w:rPr>
        <w:t>式基金</w:t>
      </w:r>
      <w:proofErr w:type="gramEnd"/>
      <w:r>
        <w:rPr>
          <w:rFonts w:asciiTheme="minorEastAsia" w:hAnsiTheme="minorEastAsia" w:cs="Times New Roman" w:hint="eastAsia"/>
          <w:sz w:val="24"/>
          <w:szCs w:val="24"/>
        </w:rPr>
        <w:t>且资金来源于基金管理人的股东资金、基金管理人固有资金、基金管理人高级管理人员或基金经理等人员的资金。发起资金认购本基金的金额不低于1,000万元，且发起资金认购的基金份额持有期限</w:t>
      </w:r>
      <w:r>
        <w:rPr>
          <w:rFonts w:asciiTheme="minorEastAsia" w:hAnsiTheme="minorEastAsia" w:cs="Times New Roman" w:hint="eastAsia"/>
          <w:sz w:val="24"/>
          <w:szCs w:val="24"/>
        </w:rPr>
        <w:lastRenderedPageBreak/>
        <w:t>不低于3年</w:t>
      </w:r>
    </w:p>
    <w:p w14:paraId="7C03F19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24、发起资金提供方：指提供用于认购发起</w:t>
      </w:r>
      <w:proofErr w:type="gramStart"/>
      <w:r>
        <w:rPr>
          <w:rFonts w:asciiTheme="minorEastAsia" w:hAnsiTheme="minorEastAsia" w:cs="Times New Roman" w:hint="eastAsia"/>
          <w:sz w:val="24"/>
          <w:szCs w:val="24"/>
        </w:rPr>
        <w:t>式基金</w:t>
      </w:r>
      <w:proofErr w:type="gramEnd"/>
      <w:r>
        <w:rPr>
          <w:rFonts w:asciiTheme="minorEastAsia" w:hAnsiTheme="minorEastAsia" w:cs="Times New Roman" w:hint="eastAsia"/>
          <w:sz w:val="24"/>
          <w:szCs w:val="24"/>
        </w:rPr>
        <w:t>资金且承诺以发起资金认购的基金份额持有期限不少于三年的机构或人员，包括基金管理人、基金管理人股东、基金管理人高级管理人员或基金经理等人员</w:t>
      </w:r>
    </w:p>
    <w:p w14:paraId="3E5797A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25、基金份额持有人：指依基金合同和招募说明书合法取得基金份额的投资人</w:t>
      </w:r>
    </w:p>
    <w:p w14:paraId="4162AAAE"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26、基金销售业务：指基金管理人或销售机构宣传推介基金，发售基金份额，办理基金份额的申购、赎回、转换、转托管及定期定额投资等业务</w:t>
      </w:r>
    </w:p>
    <w:p w14:paraId="013A9F18"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27、销售机构：指富荣基金管理有限公司以及符合《销售办法》和中国证监会规定的其他条件，取得基金销售业务资格并与基金管理人签订了基金销售服务协议，办理基金销售业务的机构</w:t>
      </w:r>
    </w:p>
    <w:p w14:paraId="40F612F1"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28、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3B417C5F"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29、登记机构：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登记业务的机构。基金的登记机构为富荣基金管理有限公司或接受富荣基金管理有限公司委托代为办理登记业务的机构</w:t>
      </w:r>
    </w:p>
    <w:p w14:paraId="5A4D1F21"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30、基金账户：指登记机构为投资人开立的、记录其持有的、基金管理人所管理的基金份额余额及其变动情况的账户</w:t>
      </w:r>
    </w:p>
    <w:p w14:paraId="5BB00DE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31、基金交易账户：指销售机构为投资人开立的、记录投资人通过该销售机构办理认购、申购、赎回、转换、转托管及定期定额投资等业务而引起的基金份额变动及结余情况的账户</w:t>
      </w:r>
    </w:p>
    <w:p w14:paraId="0C132E3E"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32、基金合同生效日：指基金募集达到法律法规规定及基金合同规定的条件，基金管理人向中国证监会办理基金备案手续完毕，并获得中国证监会书面确认的日期</w:t>
      </w:r>
    </w:p>
    <w:p w14:paraId="56E1BEA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33、基金合同终止日：指基金合同规定的基金合同终止事由出现后，基金财产清算完毕，清算结果报中国证监会备案并予以公告的日期</w:t>
      </w:r>
    </w:p>
    <w:p w14:paraId="2D5B634F"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34、基金募集期：指自基金份额发售之日起至发售结束之日止的期间，最长不得超过3个月</w:t>
      </w:r>
    </w:p>
    <w:p w14:paraId="25FD9D5A"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35、存续期：指基金合同生效至终止之间的不定期期限</w:t>
      </w:r>
    </w:p>
    <w:p w14:paraId="0D8A3C65"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36、工作日：指上海证券交易所、深圳证券交易所的正常交易日</w:t>
      </w:r>
    </w:p>
    <w:p w14:paraId="0B3BB919"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37、T日：指销售机构在规定时间受理投资人申购、赎回或其他业务申请的开放日</w:t>
      </w:r>
    </w:p>
    <w:p w14:paraId="0D38B5B9"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38、</w:t>
      </w:r>
      <w:proofErr w:type="spellStart"/>
      <w:r>
        <w:rPr>
          <w:rFonts w:asciiTheme="minorEastAsia" w:hAnsiTheme="minorEastAsia" w:cs="Times New Roman" w:hint="eastAsia"/>
          <w:sz w:val="24"/>
          <w:szCs w:val="24"/>
        </w:rPr>
        <w:t>T+n</w:t>
      </w:r>
      <w:proofErr w:type="spellEnd"/>
      <w:r>
        <w:rPr>
          <w:rFonts w:asciiTheme="minorEastAsia" w:hAnsiTheme="minorEastAsia" w:cs="Times New Roman" w:hint="eastAsia"/>
          <w:sz w:val="24"/>
          <w:szCs w:val="24"/>
        </w:rPr>
        <w:t>日：指自T日起第n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工作日(不包含T日)</w:t>
      </w:r>
    </w:p>
    <w:p w14:paraId="53A0322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39、开放日：指为投资人办理基金份额申购、赎回或其他业务的工作日</w:t>
      </w:r>
    </w:p>
    <w:p w14:paraId="43B1DC7D"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40、开放时间：指开放日基金接受申购、赎回或其他交易的时间段</w:t>
      </w:r>
    </w:p>
    <w:p w14:paraId="19646FB8"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41、《业务规则》：指《富荣基金管理有限公司开放式基金业务规则》，是规范基金管理人所管理的开放式证券投资基金登记方面的业务规则，由基金管理人和投资人共同遵守</w:t>
      </w:r>
    </w:p>
    <w:p w14:paraId="3D1EA42F"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42、认购：指在基金募集期内，投资人根据基金合同和招募说明书的规定申请购买基金份额的行为</w:t>
      </w:r>
    </w:p>
    <w:p w14:paraId="5B8D7DB5"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43、申购：指基金合同生效后，投资人根据基金合同和招募说明书的规定申请购买基金份额的行为</w:t>
      </w:r>
    </w:p>
    <w:p w14:paraId="5E1C726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44、赎回：指基金合同生效后，基金份额持有人按基金合同和招募说明书规定的条件要求将基金份额兑换为现金的行为</w:t>
      </w:r>
    </w:p>
    <w:p w14:paraId="045DB79B"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45、基金转换：指基金份额持有人按照基金合同和基金管理人届时有效公告规定的条件，申请将其持有基金管理人管理的、某一基金的基金份额转换为基金管理人管理的其他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1A597526"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46、转托管：指基金份额持有人在本基金的不同销售机构之间实施的变更所持基金份额销售机构的操作</w:t>
      </w:r>
    </w:p>
    <w:p w14:paraId="74F0035A"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6BD77A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14:paraId="1DA40122"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49、元：指人民币元</w:t>
      </w:r>
    </w:p>
    <w:p w14:paraId="37CC496C"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50、基金收益：指基金投资所得红利、股息、债券利息、买卖证券价差、银行存款利息、已实现的其他合法收入及因运用基金财产带来的成本和费用的节约</w:t>
      </w:r>
    </w:p>
    <w:p w14:paraId="3329866F"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51、基金利润：指基金利息收入、投资收益、公允价值变动收益和其他收入扣除相关费用后的余额</w:t>
      </w:r>
    </w:p>
    <w:p w14:paraId="5B170DC4"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52、基金资产总值：指基金拥有的各类有价证券、银行存款本息、基金应收款项及其他资产的价值总和</w:t>
      </w:r>
    </w:p>
    <w:p w14:paraId="1E77EFF2"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53、基金资产净值：指基金资产总值减去基金负债后的价值</w:t>
      </w:r>
    </w:p>
    <w:p w14:paraId="7A3CE549"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54、基金份额净值：指计算日基金资产净值除以计算日基金份额总数</w:t>
      </w:r>
    </w:p>
    <w:p w14:paraId="0D35219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55、基金资产估值：指计算评估基金资产和负债的价值，以确定基金资产净值和基金份额净值的过程</w:t>
      </w:r>
    </w:p>
    <w:p w14:paraId="4A55C836"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56、规定媒介：指符合中国证监会规定条件的用以进行信息披露的全国性报刊及《信息披露办法》规定的互联网网站（包括基金管理人网站、基金托管人网站、中国证监会基金电子披露网站）等媒介</w:t>
      </w:r>
    </w:p>
    <w:p w14:paraId="57EEA837"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57、流动性受限资产：指由于法律法规、监管、合同或操作障碍等原因无法以合理价格予以变现的资产，包括但不限于到期日在10个交易日以上的逆回购与银行定期存款（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Times New Roman" w:hint="eastAsia"/>
          <w:sz w:val="24"/>
          <w:szCs w:val="24"/>
        </w:rPr>
        <w:t>含协议</w:t>
      </w:r>
      <w:proofErr w:type="gramEnd"/>
      <w:r>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79B835B2"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AF0E73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59、基金份额类别：指根据认购/申购费用、赎回费用、销售服务费用收取方式的不同将本</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份额分为不同的类别，各基金份额类别分别设置代码，并分别计算和公告基金份额净值</w:t>
      </w:r>
    </w:p>
    <w:p w14:paraId="76E25AFA"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60、A类基金份额：指在投资人认购/申购时收取认购/申购费用但不从本类别基金资产中计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服务费、赎回时根据持有期限收取赎回费用的基金份额类别</w:t>
      </w:r>
    </w:p>
    <w:p w14:paraId="64C925A6"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61、C类基金份额：指从本类别基金资产中计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服务费而不收取认购/申购费用、赎回时根据持有期限收取赎回费用的基金份额类别</w:t>
      </w:r>
    </w:p>
    <w:p w14:paraId="13B642D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62、销售服务费：指从基金资产中计提的，用于本基金市场推广、销售以及基金份额持有人服务的费用</w:t>
      </w:r>
    </w:p>
    <w:p w14:paraId="522E533F"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63、不可抗力：指基金合同当事人不能预见、不能避免且不能克服的客观事件</w:t>
      </w:r>
    </w:p>
    <w:p w14:paraId="563C7360"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64、基金产品资料概要：指《富荣量化精选混合型发起式证券投资基金基金产品资料概要》及其更新</w:t>
      </w:r>
    </w:p>
    <w:p w14:paraId="6822FB65"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65、</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实施期间，原有账户称为主袋账户，专门账户</w:t>
      </w:r>
      <w:proofErr w:type="gramStart"/>
      <w:r>
        <w:rPr>
          <w:rFonts w:asciiTheme="minorEastAsia" w:hAnsiTheme="minorEastAsia" w:cs="Times New Roman" w:hint="eastAsia"/>
          <w:sz w:val="24"/>
          <w:szCs w:val="24"/>
        </w:rPr>
        <w:t>称为侧袋账户</w:t>
      </w:r>
      <w:proofErr w:type="gramEnd"/>
    </w:p>
    <w:p w14:paraId="21134382"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66、特定资产：包括：（一）无可参考的活跃市场价格且采用估值技术</w:t>
      </w:r>
      <w:proofErr w:type="gramStart"/>
      <w:r>
        <w:rPr>
          <w:rFonts w:asciiTheme="minorEastAsia" w:hAnsiTheme="minorEastAsia" w:cs="Times New Roman" w:hint="eastAsia"/>
          <w:sz w:val="24"/>
          <w:szCs w:val="24"/>
        </w:rPr>
        <w:t>仍导致</w:t>
      </w:r>
      <w:proofErr w:type="gramEnd"/>
      <w:r>
        <w:rPr>
          <w:rFonts w:asciiTheme="minorEastAsia" w:hAnsiTheme="minorEastAsia" w:cs="Times New Roman" w:hint="eastAsia"/>
          <w:sz w:val="24"/>
          <w:szCs w:val="24"/>
        </w:rPr>
        <w:t>公允价值存在重大不确定性的资产；（二）</w:t>
      </w:r>
      <w:proofErr w:type="gramStart"/>
      <w:r>
        <w:rPr>
          <w:rFonts w:asciiTheme="minorEastAsia" w:hAnsiTheme="minorEastAsia" w:cs="Times New Roman" w:hint="eastAsia"/>
          <w:sz w:val="24"/>
          <w:szCs w:val="24"/>
        </w:rPr>
        <w:t>按摊余成本</w:t>
      </w:r>
      <w:proofErr w:type="gramEnd"/>
      <w:r>
        <w:rPr>
          <w:rFonts w:asciiTheme="minorEastAsia" w:hAnsiTheme="minorEastAsia" w:cs="Times New Roman" w:hint="eastAsia"/>
          <w:sz w:val="24"/>
          <w:szCs w:val="24"/>
        </w:rPr>
        <w:t>计量且计提资产减值</w:t>
      </w:r>
      <w:proofErr w:type="gramStart"/>
      <w:r>
        <w:rPr>
          <w:rFonts w:asciiTheme="minorEastAsia" w:hAnsiTheme="minorEastAsia" w:cs="Times New Roman" w:hint="eastAsia"/>
          <w:sz w:val="24"/>
          <w:szCs w:val="24"/>
        </w:rPr>
        <w:t>准备仍导致</w:t>
      </w:r>
      <w:proofErr w:type="gramEnd"/>
      <w:r>
        <w:rPr>
          <w:rFonts w:asciiTheme="minorEastAsia" w:hAnsiTheme="minorEastAsia" w:cs="Times New Roman" w:hint="eastAsia"/>
          <w:sz w:val="24"/>
          <w:szCs w:val="24"/>
        </w:rPr>
        <w:t>资产价值存在重大不确定性的资产；（三）其他资产价值存在重大不确定性的资产</w:t>
      </w:r>
    </w:p>
    <w:p w14:paraId="7B11A8B1" w14:textId="77777777" w:rsidR="009214AE" w:rsidRDefault="00C6633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F817FAA" w14:textId="77777777" w:rsidR="009214AE" w:rsidRDefault="00C66335">
      <w:pPr>
        <w:pStyle w:val="1"/>
        <w:jc w:val="center"/>
        <w:rPr>
          <w:sz w:val="30"/>
          <w:szCs w:val="30"/>
        </w:rPr>
      </w:pPr>
      <w:bookmarkStart w:id="63" w:name="_Toc263092311"/>
      <w:bookmarkStart w:id="64" w:name="_Toc416264539"/>
      <w:bookmarkStart w:id="65" w:name="_Toc352229749"/>
      <w:bookmarkStart w:id="66" w:name="_Toc410197817"/>
      <w:bookmarkStart w:id="67" w:name="_Toc24682"/>
      <w:bookmarkStart w:id="68" w:name="_Toc22074"/>
      <w:bookmarkStart w:id="69" w:name="_Toc90742688"/>
      <w:bookmarkStart w:id="70" w:name="_Toc15203"/>
      <w:bookmarkStart w:id="71" w:name="_Toc90742321"/>
      <w:bookmarkStart w:id="72" w:name="_Toc16265"/>
      <w:bookmarkStart w:id="73" w:name="_Toc29948"/>
      <w:bookmarkStart w:id="74" w:name="_Toc27189"/>
      <w:bookmarkStart w:id="75" w:name="_Toc6714"/>
      <w:bookmarkStart w:id="76" w:name="_Toc29784"/>
      <w:bookmarkStart w:id="77" w:name="_Toc3266"/>
      <w:bookmarkStart w:id="78" w:name="_Toc90742390"/>
      <w:bookmarkStart w:id="79" w:name="_Toc7151"/>
      <w:bookmarkStart w:id="80" w:name="_Toc27226"/>
      <w:bookmarkStart w:id="81" w:name="_Toc164429416"/>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81"/>
    </w:p>
    <w:p w14:paraId="158EA6C2" w14:textId="77777777" w:rsidR="009214AE" w:rsidRDefault="00C6633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1CA00DBC"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433BB40C"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住所：广东省广州市南沙区横</w:t>
      </w:r>
      <w:proofErr w:type="gramStart"/>
      <w:r>
        <w:rPr>
          <w:rFonts w:asciiTheme="minorEastAsia" w:hAnsiTheme="minorEastAsia" w:cs="Times New Roman" w:hint="eastAsia"/>
          <w:kern w:val="0"/>
          <w:sz w:val="24"/>
          <w:szCs w:val="24"/>
        </w:rPr>
        <w:t>沥</w:t>
      </w:r>
      <w:proofErr w:type="gramEnd"/>
      <w:r>
        <w:rPr>
          <w:rFonts w:asciiTheme="minorEastAsia" w:hAnsiTheme="minorEastAsia" w:cs="Times New Roman" w:hint="eastAsia"/>
          <w:kern w:val="0"/>
          <w:sz w:val="24"/>
          <w:szCs w:val="24"/>
        </w:rPr>
        <w:t>镇汇通二街2号3110房</w:t>
      </w:r>
    </w:p>
    <w:p w14:paraId="64770686"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45423E89"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Theme="minorEastAsia" w:hAnsiTheme="minorEastAsia" w:cs="Arial" w:hint="eastAsia"/>
          <w:kern w:val="0"/>
          <w:sz w:val="24"/>
          <w:szCs w:val="24"/>
        </w:rPr>
        <w:t>王亦伟</w:t>
      </w:r>
    </w:p>
    <w:p w14:paraId="1965F147"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6E5ECA8"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6DB4EE40"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存续期间：永续经营</w:t>
      </w:r>
    </w:p>
    <w:p w14:paraId="51250BF4"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联系人：罗艳</w:t>
      </w:r>
    </w:p>
    <w:p w14:paraId="15486F7A" w14:textId="77777777" w:rsidR="009214AE" w:rsidRDefault="00C6633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6637</w:t>
      </w:r>
    </w:p>
    <w:p w14:paraId="16E95B03" w14:textId="77777777" w:rsidR="009214AE" w:rsidRDefault="00C66335">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9214AE" w14:paraId="2A0636A3"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15544B4"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F39733A"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9214AE" w14:paraId="56D3D35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B6AD864"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5CFC519D"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9214AE" w14:paraId="218A1FC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175FB29C"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4D53C3C4"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9214AE" w14:paraId="4C12EE6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AF1EC82" w14:textId="77777777" w:rsidR="009214AE" w:rsidRDefault="00C66335">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E0B218D" w14:textId="77777777" w:rsidR="009214AE" w:rsidRDefault="00C6633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0D50802C" w14:textId="77777777" w:rsidR="009214AE" w:rsidRDefault="009214AE">
      <w:pPr>
        <w:adjustRightInd w:val="0"/>
        <w:snapToGrid w:val="0"/>
        <w:spacing w:line="360" w:lineRule="auto"/>
        <w:ind w:firstLineChars="200" w:firstLine="480"/>
        <w:rPr>
          <w:rFonts w:asciiTheme="minorEastAsia" w:hAnsiTheme="minorEastAsia" w:cs="Arial"/>
          <w:kern w:val="0"/>
          <w:sz w:val="24"/>
          <w:szCs w:val="24"/>
        </w:rPr>
      </w:pPr>
    </w:p>
    <w:p w14:paraId="6451C58A" w14:textId="77777777" w:rsidR="009214AE" w:rsidRDefault="00C6633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301429C2"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1092BD2A" w14:textId="5324D0C6" w:rsidR="009214AE" w:rsidRDefault="00C66335">
      <w:pPr>
        <w:adjustRightInd w:val="0"/>
        <w:snapToGrid w:val="0"/>
        <w:spacing w:line="360" w:lineRule="auto"/>
        <w:ind w:firstLineChars="200" w:firstLine="480"/>
        <w:rPr>
          <w:rFonts w:asciiTheme="minorEastAsia" w:hAnsiTheme="minorEastAsia" w:cs="Arial"/>
          <w:kern w:val="0"/>
          <w:sz w:val="24"/>
          <w:szCs w:val="24"/>
        </w:rPr>
      </w:pPr>
      <w:bookmarkStart w:id="82" w:name="_Hlk132025114"/>
      <w:r>
        <w:rPr>
          <w:rFonts w:asciiTheme="minorEastAsia" w:hAnsiTheme="minorEastAsia" w:cs="Arial" w:hint="eastAsia"/>
          <w:kern w:val="0"/>
          <w:sz w:val="24"/>
          <w:szCs w:val="24"/>
        </w:rPr>
        <w:t>王亦伟</w:t>
      </w:r>
      <w:bookmarkEnd w:id="82"/>
      <w:r>
        <w:rPr>
          <w:rFonts w:asciiTheme="minorEastAsia" w:hAnsiTheme="minorEastAsia" w:cs="Arial" w:hint="eastAsia"/>
          <w:kern w:val="0"/>
          <w:sz w:val="24"/>
          <w:szCs w:val="24"/>
        </w:rPr>
        <w:t>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投资有限公司总经理、党支部书记、董事、董事长，广州新中轴建设有限公司财务总监、董事长、法人代表。现任广州产业投资基金管理有限公司党委书记、董事长、法定代表人，广州城</w:t>
      </w:r>
      <w:proofErr w:type="gramStart"/>
      <w:r>
        <w:rPr>
          <w:rFonts w:asciiTheme="minorEastAsia" w:hAnsiTheme="minorEastAsia" w:cs="Arial" w:hint="eastAsia"/>
          <w:kern w:val="0"/>
          <w:sz w:val="24"/>
          <w:szCs w:val="24"/>
        </w:rPr>
        <w:t>恒</w:t>
      </w:r>
      <w:proofErr w:type="gramEnd"/>
      <w:r>
        <w:rPr>
          <w:rFonts w:asciiTheme="minorEastAsia" w:hAnsiTheme="minorEastAsia" w:cs="Arial" w:hint="eastAsia"/>
          <w:kern w:val="0"/>
          <w:sz w:val="24"/>
          <w:szCs w:val="24"/>
        </w:rPr>
        <w:t>城市更新投资有限公司董事长、法定代表人，广州市城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 xml:space="preserve">投资有限公司董事，富荣基金管理有限公司董事长，法定代表人。 </w:t>
      </w:r>
    </w:p>
    <w:p w14:paraId="686FA4E2"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w:t>
      </w:r>
      <w:r>
        <w:rPr>
          <w:rFonts w:asciiTheme="minorEastAsia" w:hAnsiTheme="minorEastAsia" w:cs="Arial" w:hint="eastAsia"/>
          <w:kern w:val="0"/>
          <w:sz w:val="24"/>
          <w:szCs w:val="24"/>
        </w:rPr>
        <w:lastRenderedPageBreak/>
        <w:t>行长、广发银行沈阳直属支行行长助理、副行长、行长兼党委书记、广发银行沈阳分行行长兼党委书记、广发银行深圳分行行长兼党委书记、富荣基金管理有限公司董事长，现任富荣基金管理有限公司总经理。</w:t>
      </w:r>
    </w:p>
    <w:p w14:paraId="1E156DE3" w14:textId="6F9E0F0E"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赵宏伟先生，董事，对外经济贸易大学硕士。历任北京大成律师事务所证券律师、当代北方（北京）投资有限公司总裁、黑龙江北美工业大麻科技有限公司总裁，广州产业投资基金管理有限公司风险管理部总经理、法</w:t>
      </w:r>
      <w:proofErr w:type="gramStart"/>
      <w:r>
        <w:rPr>
          <w:rFonts w:asciiTheme="minorEastAsia" w:hAnsiTheme="minorEastAsia" w:cs="Arial"/>
          <w:kern w:val="0"/>
          <w:sz w:val="24"/>
          <w:szCs w:val="24"/>
        </w:rPr>
        <w:t>务风控部</w:t>
      </w:r>
      <w:proofErr w:type="gramEnd"/>
      <w:r>
        <w:rPr>
          <w:rFonts w:asciiTheme="minorEastAsia" w:hAnsiTheme="minorEastAsia" w:cs="Arial"/>
          <w:kern w:val="0"/>
          <w:sz w:val="24"/>
          <w:szCs w:val="24"/>
        </w:rPr>
        <w:t>总经理，现任</w:t>
      </w:r>
      <w:r>
        <w:rPr>
          <w:rFonts w:asciiTheme="minorEastAsia" w:hAnsiTheme="minorEastAsia" w:cs="Arial" w:hint="eastAsia"/>
          <w:kern w:val="0"/>
          <w:sz w:val="24"/>
          <w:szCs w:val="24"/>
        </w:rPr>
        <w:t>广州产业投资基金管理有限公司投资管理部总经理，广州基金国际股权投资基金管理有限公司党支部副书记、总经理，富荣基金管理有限公司董事。</w:t>
      </w:r>
    </w:p>
    <w:p w14:paraId="372553A4" w14:textId="1DB473CA"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郭涛先生，董事，上海交通大学高级管理人员工商管理专业硕士。现任</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t>投资有限公司总经理、执行董事，</w:t>
      </w:r>
      <w:proofErr w:type="gramStart"/>
      <w:r>
        <w:rPr>
          <w:rFonts w:asciiTheme="minorEastAsia" w:hAnsiTheme="minorEastAsia" w:cs="Arial" w:hint="eastAsia"/>
          <w:kern w:val="0"/>
          <w:sz w:val="24"/>
          <w:szCs w:val="24"/>
        </w:rPr>
        <w:t>微愿数智</w:t>
      </w:r>
      <w:proofErr w:type="gramEnd"/>
      <w:r>
        <w:rPr>
          <w:rFonts w:asciiTheme="minorEastAsia" w:hAnsiTheme="minorEastAsia" w:cs="Arial" w:hint="eastAsia"/>
          <w:kern w:val="0"/>
          <w:sz w:val="24"/>
          <w:szCs w:val="24"/>
        </w:rPr>
        <w:t>（深圳）健康科技有限公司总经理、执行董事，</w:t>
      </w:r>
      <w:proofErr w:type="gramStart"/>
      <w:r>
        <w:rPr>
          <w:rFonts w:asciiTheme="minorEastAsia" w:hAnsiTheme="minorEastAsia" w:cs="Arial" w:hint="eastAsia"/>
          <w:kern w:val="0"/>
          <w:sz w:val="24"/>
          <w:szCs w:val="24"/>
        </w:rPr>
        <w:t>深圳市盈投荣达</w:t>
      </w:r>
      <w:proofErr w:type="gramEnd"/>
      <w:r>
        <w:rPr>
          <w:rFonts w:asciiTheme="minorEastAsia" w:hAnsiTheme="minorEastAsia" w:cs="Arial" w:hint="eastAsia"/>
          <w:kern w:val="0"/>
          <w:sz w:val="24"/>
          <w:szCs w:val="24"/>
        </w:rPr>
        <w:t>科技有限公司董事长、总经理，深圳市嘉年印</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有限公司董事长，深圳市盈实发展有限公司董事长，深圳市</w:t>
      </w:r>
      <w:proofErr w:type="gramStart"/>
      <w:r>
        <w:rPr>
          <w:rFonts w:asciiTheme="minorEastAsia" w:hAnsiTheme="minorEastAsia" w:cs="Arial" w:hint="eastAsia"/>
          <w:kern w:val="0"/>
          <w:sz w:val="24"/>
          <w:szCs w:val="24"/>
        </w:rPr>
        <w:t>盈致未来文创管理</w:t>
      </w:r>
      <w:proofErr w:type="gramEnd"/>
      <w:r>
        <w:rPr>
          <w:rFonts w:asciiTheme="minorEastAsia" w:hAnsiTheme="minorEastAsia" w:cs="Arial" w:hint="eastAsia"/>
          <w:kern w:val="0"/>
          <w:sz w:val="24"/>
          <w:szCs w:val="24"/>
        </w:rPr>
        <w:t>有限公司董事长，深圳市益德置业有限公司总经理、董事，</w:t>
      </w:r>
      <w:proofErr w:type="gramStart"/>
      <w:r>
        <w:rPr>
          <w:rFonts w:asciiTheme="minorEastAsia" w:hAnsiTheme="minorEastAsia" w:cs="Arial" w:hint="eastAsia"/>
          <w:kern w:val="0"/>
          <w:sz w:val="24"/>
          <w:szCs w:val="24"/>
        </w:rPr>
        <w:t>盈投控股</w:t>
      </w:r>
      <w:proofErr w:type="gramEnd"/>
      <w:r>
        <w:rPr>
          <w:rFonts w:asciiTheme="minorEastAsia" w:hAnsiTheme="minorEastAsia" w:cs="Arial" w:hint="eastAsia"/>
          <w:kern w:val="0"/>
          <w:sz w:val="24"/>
          <w:szCs w:val="24"/>
        </w:rPr>
        <w:t>有限公司总经理、董事，深圳市铭嘉达信息咨询有限公司董事，深圳市理得文化发展有限公司董事，乐百氏（广东）饮用水有限公司董事，深圳安吉尔饮水产业集团有限公司董事，</w:t>
      </w:r>
      <w:proofErr w:type="gramStart"/>
      <w:r>
        <w:rPr>
          <w:rFonts w:asciiTheme="minorEastAsia" w:hAnsiTheme="minorEastAsia" w:cs="Arial" w:hint="eastAsia"/>
          <w:kern w:val="0"/>
          <w:sz w:val="24"/>
          <w:szCs w:val="24"/>
        </w:rPr>
        <w:t>昊</w:t>
      </w:r>
      <w:proofErr w:type="gramEnd"/>
      <w:r>
        <w:rPr>
          <w:rFonts w:asciiTheme="minorEastAsia" w:hAnsiTheme="minorEastAsia" w:cs="Arial" w:hint="eastAsia"/>
          <w:kern w:val="0"/>
          <w:sz w:val="24"/>
          <w:szCs w:val="24"/>
        </w:rPr>
        <w:t>华化工科技集团股份有限公司董事，深圳嘉年实业股份有限公司董事；深圳市</w:t>
      </w:r>
      <w:proofErr w:type="gramStart"/>
      <w:r>
        <w:rPr>
          <w:rFonts w:asciiTheme="minorEastAsia" w:hAnsiTheme="minorEastAsia" w:cs="Arial" w:hint="eastAsia"/>
          <w:kern w:val="0"/>
          <w:sz w:val="24"/>
          <w:szCs w:val="24"/>
        </w:rPr>
        <w:t>盈投发展</w:t>
      </w:r>
      <w:proofErr w:type="gramEnd"/>
      <w:r>
        <w:rPr>
          <w:rFonts w:asciiTheme="minorEastAsia" w:hAnsiTheme="minorEastAsia" w:cs="Arial" w:hint="eastAsia"/>
          <w:kern w:val="0"/>
          <w:sz w:val="24"/>
          <w:szCs w:val="24"/>
        </w:rPr>
        <w:t>有限公司董事，绍兴安吉尔环境科技有限公司董事，深圳市银珠塑料制品有限公司董事，深圳安吉尔服务营销有限公司董事，深圳市润丰不动产运营服务有限公司董事，乐百氏（深圳）饮用水有限公司董事，深圳市安吉尔饮水事业发展有限公司董事，绍兴安吉尔私募基金管理有限公司董事，深圳市益景德实业有限公司董事，乐百氏（成都）饮用水有限公司董事，乐百氏（广东）饮品有限公司董事，乐百氏（沈阳）饮品有限公司董事，津沪深生物医药科技有限公司董事，深圳上合高金投资管理有限公司监事，富荣基金管理有限公司董事。</w:t>
      </w:r>
    </w:p>
    <w:p w14:paraId="2E067A91"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w:t>
      </w:r>
      <w:proofErr w:type="gramStart"/>
      <w:r>
        <w:rPr>
          <w:rFonts w:asciiTheme="minorEastAsia" w:hAnsiTheme="minorEastAsia" w:cs="Arial" w:hint="eastAsia"/>
          <w:kern w:val="0"/>
          <w:sz w:val="24"/>
          <w:szCs w:val="24"/>
        </w:rPr>
        <w:t>关健</w:t>
      </w:r>
      <w:proofErr w:type="gramEnd"/>
      <w:r>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szCs w:val="24"/>
        </w:rPr>
        <w:t>邦</w:t>
      </w:r>
      <w:proofErr w:type="gramEnd"/>
      <w:r>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4998EB29"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刘宝瑞先生，独立董事，历任中国人民银行宝坻支行会计、中国农业银行天津分行人力资源部副处长、中国农业银行天津分行国际业务部副总经理、总经理、</w:t>
      </w:r>
      <w:r>
        <w:rPr>
          <w:rFonts w:asciiTheme="minorEastAsia" w:hAnsiTheme="minorEastAsia" w:cs="Arial" w:hint="eastAsia"/>
          <w:kern w:val="0"/>
          <w:sz w:val="24"/>
          <w:szCs w:val="24"/>
        </w:rPr>
        <w:lastRenderedPageBreak/>
        <w:t>中国农业银行天津分行资金计划处处长、深圳发展银行总行行长助理、副行长、党委委员、中国金融国际投资有限公司执行董事，现任深圳第一金融服务有限公司董事长、湖南银行独立董事、天津银行监事、富荣基金管理有限公司独立董事。</w:t>
      </w:r>
    </w:p>
    <w:p w14:paraId="0A825F9C"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张刚先生，独立董事，内蒙古大学民</w:t>
      </w:r>
      <w:proofErr w:type="gramStart"/>
      <w:r>
        <w:rPr>
          <w:rFonts w:asciiTheme="minorEastAsia" w:hAnsiTheme="minorEastAsia" w:cs="Arial" w:hint="eastAsia"/>
          <w:kern w:val="0"/>
          <w:sz w:val="24"/>
          <w:szCs w:val="24"/>
        </w:rPr>
        <w:t>商法学</w:t>
      </w:r>
      <w:proofErr w:type="gramEnd"/>
      <w:r>
        <w:rPr>
          <w:rFonts w:asciiTheme="minorEastAsia" w:hAnsiTheme="minorEastAsia" w:cs="Arial" w:hint="eastAsia"/>
          <w:kern w:val="0"/>
          <w:sz w:val="24"/>
          <w:szCs w:val="24"/>
        </w:rPr>
        <w:t>硕士研究生。曾任内蒙古大学教师、北京王玉梅律师事务所律师、北京建元律师事务所合伙人、宁夏中银绒业股份有限公司独立董事。现任北京大成律师事务所高级合伙人、富荣基金管理有限公司独立董事。</w:t>
      </w:r>
    </w:p>
    <w:p w14:paraId="469AA3BC"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358848C0"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485BC557"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冯晓霖女士，监事，硕士。曾任深圳市嘉</w:t>
      </w:r>
      <w:proofErr w:type="gramStart"/>
      <w:r>
        <w:rPr>
          <w:rFonts w:asciiTheme="minorEastAsia" w:hAnsiTheme="minorEastAsia" w:cs="Arial" w:hint="eastAsia"/>
          <w:kern w:val="0"/>
          <w:sz w:val="24"/>
          <w:szCs w:val="24"/>
        </w:rPr>
        <w:t>霖</w:t>
      </w:r>
      <w:proofErr w:type="gramEnd"/>
      <w:r>
        <w:rPr>
          <w:rFonts w:asciiTheme="minorEastAsia" w:hAnsiTheme="minorEastAsia" w:cs="Arial" w:hint="eastAsia"/>
          <w:kern w:val="0"/>
          <w:sz w:val="24"/>
          <w:szCs w:val="24"/>
        </w:rPr>
        <w:t>置业集团有限公司法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w:t>
      </w:r>
      <w:proofErr w:type="gramStart"/>
      <w:r>
        <w:rPr>
          <w:rFonts w:asciiTheme="minorEastAsia" w:hAnsiTheme="minorEastAsia" w:cs="Arial" w:hint="eastAsia"/>
          <w:kern w:val="0"/>
          <w:sz w:val="24"/>
          <w:szCs w:val="24"/>
        </w:rPr>
        <w:t>现任盈投控股</w:t>
      </w:r>
      <w:proofErr w:type="gramEnd"/>
      <w:r>
        <w:rPr>
          <w:rFonts w:asciiTheme="minorEastAsia" w:hAnsiTheme="minorEastAsia" w:cs="Arial" w:hint="eastAsia"/>
          <w:kern w:val="0"/>
          <w:sz w:val="24"/>
          <w:szCs w:val="24"/>
        </w:rPr>
        <w:t>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主管、富荣基金管理有限公司监事。</w:t>
      </w:r>
    </w:p>
    <w:p w14:paraId="03AE8169"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58A754B6"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669B378"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总经理，代行首席信息官，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富荣基金管理有限公司董事长、现任富荣基金管理有限公司总经理。</w:t>
      </w:r>
    </w:p>
    <w:p w14:paraId="4016C4E8"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w:t>
      </w:r>
      <w:proofErr w:type="gramStart"/>
      <w:r>
        <w:rPr>
          <w:rFonts w:asciiTheme="minorEastAsia" w:hAnsiTheme="minorEastAsia" w:cs="Arial" w:hint="eastAsia"/>
          <w:kern w:val="0"/>
          <w:sz w:val="24"/>
          <w:szCs w:val="24"/>
        </w:rPr>
        <w:t>安基金</w:t>
      </w:r>
      <w:proofErr w:type="gramEnd"/>
      <w:r>
        <w:rPr>
          <w:rFonts w:asciiTheme="minorEastAsia" w:hAnsiTheme="minorEastAsia" w:cs="Arial" w:hint="eastAsia"/>
          <w:kern w:val="0"/>
          <w:sz w:val="24"/>
          <w:szCs w:val="24"/>
        </w:rPr>
        <w:t>管理有限公司董事，金元证券股份有限公司经纪管理总部总经理，金元证券股份有限公司深圳分公司总经理，金元证券股份有限公司互联网创新专项办公室总经理等。现任富荣基金管理有限公司副总经理。</w:t>
      </w:r>
    </w:p>
    <w:p w14:paraId="448CC89B"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7F8B15B"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31C6C475"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李黄海先生，美国南加州大学博士，CFA（特许金融分析师），深圳市地方</w:t>
      </w:r>
      <w:r>
        <w:rPr>
          <w:rFonts w:asciiTheme="minorEastAsia" w:hAnsiTheme="minorEastAsia" w:cs="Arial" w:hint="eastAsia"/>
          <w:kern w:val="0"/>
          <w:sz w:val="24"/>
          <w:szCs w:val="24"/>
        </w:rPr>
        <w:lastRenderedPageBreak/>
        <w:t>级领军人才。曾任摩根士丹利华</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基金数量化投资部投资经理、平安基金量化投资部总监、富荣基金管理有限公司专户部投资经理等职。现任富荣基金管理有限公司投资决策委员会委员、富荣医药健康混合型发起式证券投资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经理（自2022年06月28日起任职）、富荣价值精选灵活配置混合型发起式证券投资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经理（自2023年7月31日起任职）、</w:t>
      </w:r>
      <w:proofErr w:type="gramStart"/>
      <w:r>
        <w:rPr>
          <w:rFonts w:asciiTheme="minorEastAsia" w:hAnsiTheme="minorEastAsia" w:cs="Arial" w:hint="eastAsia"/>
          <w:kern w:val="0"/>
          <w:sz w:val="24"/>
          <w:szCs w:val="24"/>
        </w:rPr>
        <w:t>富荣富乾债券</w:t>
      </w:r>
      <w:proofErr w:type="gramEnd"/>
      <w:r>
        <w:rPr>
          <w:rFonts w:asciiTheme="minorEastAsia" w:hAnsiTheme="minorEastAsia" w:cs="Arial" w:hint="eastAsia"/>
          <w:kern w:val="0"/>
          <w:sz w:val="24"/>
          <w:szCs w:val="24"/>
        </w:rPr>
        <w:t>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经理（自2023年12月12日起任职）、富荣福耀混合型证券投资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经理（自2023年12月12日起任职）、富荣量化精选混合型发起式证券投资基金（自2024年1月8日起任职）。</w:t>
      </w:r>
    </w:p>
    <w:p w14:paraId="316B7B25"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历任基金经理：邱紫华（自</w:t>
      </w:r>
      <w:r>
        <w:rPr>
          <w:rFonts w:asciiTheme="minorEastAsia" w:hAnsiTheme="minorEastAsia" w:cs="Arial" w:hint="eastAsia"/>
          <w:kern w:val="0"/>
          <w:sz w:val="24"/>
          <w:szCs w:val="24"/>
        </w:rPr>
        <w:t>2022年5月6日至2022年8月15日）、邓宇翔（自2022年8月5日至2024年4月18日）</w:t>
      </w:r>
    </w:p>
    <w:p w14:paraId="171C69A9"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380E31B7"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杨小舟先生，投资决策委员会主任委员、公司总经理、兼任首席信息官。</w:t>
      </w:r>
    </w:p>
    <w:p w14:paraId="13961199"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史克新先生，投资决策委员会委员、公司副总经理。</w:t>
      </w:r>
    </w:p>
    <w:p w14:paraId="7F2DE56F"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邓宇翔先生，投资决策委员会委员、权益投资部总经理、基金经理。</w:t>
      </w:r>
    </w:p>
    <w:p w14:paraId="1EC7BEC6"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郎骋成先生，投资决策委员会委员、研究部总经理、基金经理。</w:t>
      </w:r>
    </w:p>
    <w:p w14:paraId="6FEE77AF"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宋芳女士，投资决策委员会委员、固定收益部总经理、基金经理。</w:t>
      </w:r>
    </w:p>
    <w:p w14:paraId="2A7278E6"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孟飞先生，投资决策委员会委员、固定收益部副总经理、基金经理。</w:t>
      </w:r>
    </w:p>
    <w:p w14:paraId="0494E101"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王丹女士，投资决策委员会委员、固定收益部总经理助理、基金经理。</w:t>
      </w:r>
    </w:p>
    <w:p w14:paraId="5E88A7D9"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李黄海先生，投资决策委员会委员、基金经理。</w:t>
      </w:r>
    </w:p>
    <w:p w14:paraId="3B9C0A6C"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李延峥先生，投资决策委员会委员、投资决策委员会秘书、研究部总经理助理、基金经理。</w:t>
      </w:r>
    </w:p>
    <w:p w14:paraId="6C489BDC" w14:textId="77777777" w:rsidR="009214AE" w:rsidRDefault="00C66335">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389043D4" w14:textId="77777777" w:rsidR="009214AE" w:rsidRDefault="00C6633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1186EE11"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0067B1AF"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25184032"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2E638BCB"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3BF6B381"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5、建立健全内部风险控制、监察与稽核、财务管理及人事管理等制度，保证所管理的基金财产和基金管理人的财产相互独立，对所管理的不同基金分别管理，分别记账，进行证券投资；</w:t>
      </w:r>
    </w:p>
    <w:p w14:paraId="02511DA8"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7CEB5593"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6B3ED44D"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8、采取适当合理的措施使计算基金份额认购、申购、赎回和注销价格的方法符合《基金合同》等法律文件的规定，按有关规定计算并公告基金净值信息，确定基金份额申购、赎回的价格；</w:t>
      </w:r>
    </w:p>
    <w:p w14:paraId="64636E1B"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583DD72"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3ED33DE0"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48F97D96"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但因向审计、法律等外部专业顾问提供，以及依法律法规、监管要求向有权机关提供的情况除外；</w:t>
      </w:r>
    </w:p>
    <w:p w14:paraId="2653BAB6"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752E9C13"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8267B71"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175A5F51"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w:t>
      </w:r>
      <w:r>
        <w:rPr>
          <w:rFonts w:ascii="Arial" w:hAnsi="Arial" w:cs="Arial" w:hint="eastAsia"/>
          <w:bCs/>
          <w:sz w:val="24"/>
        </w:rPr>
        <w:t>，保存期限不低于法律法规规定的最低期限</w:t>
      </w:r>
      <w:r>
        <w:rPr>
          <w:rFonts w:asciiTheme="minorEastAsia" w:hAnsiTheme="minorEastAsia" w:cs="Times New Roman" w:hint="eastAsia"/>
          <w:sz w:val="24"/>
          <w:szCs w:val="24"/>
        </w:rPr>
        <w:t>；</w:t>
      </w:r>
    </w:p>
    <w:p w14:paraId="010761EC"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34456C1"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3FC0F08C"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19、面临解散、依法被撤销或者被依法宣告破产时，及时报告中国证监会并通知基金托管人；</w:t>
      </w:r>
    </w:p>
    <w:p w14:paraId="67D9064F"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0BD3E5F6"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B29B900"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6AAB1C66"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416D685F"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D49CCE5"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33463280"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270C3304"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1A0DE41E" w14:textId="77777777" w:rsidR="009214AE" w:rsidRDefault="00C6633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21F50733"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0220120"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4391FB0C"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5258CDB4"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33D86422"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0F863BDB"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2BB2E952"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09ADC170"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w:t>
      </w:r>
      <w:r>
        <w:rPr>
          <w:rFonts w:asciiTheme="minorEastAsia" w:hAnsiTheme="minorEastAsia" w:cs="Times New Roman" w:hint="eastAsia"/>
          <w:sz w:val="24"/>
          <w:szCs w:val="24"/>
        </w:rPr>
        <w:lastRenderedPageBreak/>
        <w:t>他人从事相关的交易活动；</w:t>
      </w:r>
    </w:p>
    <w:p w14:paraId="69E2A693"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371D3AC8"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7764DB47"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733D1DB6"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0AA9D71E"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30AE4116" w14:textId="77777777" w:rsidR="009214AE" w:rsidRDefault="00C6633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2803C2C2"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3353572E"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1F445D39"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CB9218F" w14:textId="77777777" w:rsidR="009214AE" w:rsidRDefault="00C6633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05493A3A" w14:textId="77777777" w:rsidR="009214AE" w:rsidRDefault="00C6633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654B7D4A"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263092312"/>
      <w:bookmarkStart w:id="84" w:name="_Toc410197818"/>
      <w:bookmarkStart w:id="85" w:name="_Toc352229750"/>
      <w:bookmarkStart w:id="86" w:name="_Toc416264540"/>
      <w:bookmarkEnd w:id="65"/>
      <w:bookmarkEnd w:id="66"/>
      <w:bookmarkEnd w:id="67"/>
      <w:r>
        <w:rPr>
          <w:rFonts w:asciiTheme="minorEastAsia" w:hAnsiTheme="minorEastAsia" w:cs="Arial" w:hint="eastAsia"/>
          <w:sz w:val="24"/>
          <w:szCs w:val="24"/>
        </w:rPr>
        <w:t>1、风险控制目标</w:t>
      </w:r>
    </w:p>
    <w:p w14:paraId="1C125EE5"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07CF36F6"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337C1E96"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3BAE2234"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22630A32"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C8AE9D1"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0838E5F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9DB3C48"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（2）审慎性原则：内部风险控制的核心是有效防范各种风险，公司组织体</w:t>
      </w:r>
      <w:r>
        <w:rPr>
          <w:rFonts w:asciiTheme="minorEastAsia" w:hAnsiTheme="minorEastAsia" w:cs="Arial" w:hint="eastAsia"/>
          <w:sz w:val="24"/>
          <w:szCs w:val="24"/>
        </w:rPr>
        <w:lastRenderedPageBreak/>
        <w:t>系的构成、内部管理制度的建立都要以防范风险、审慎经营为出发点；</w:t>
      </w:r>
    </w:p>
    <w:p w14:paraId="3AA439D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494B18D0"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6103B02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（5）适时性原则：内部风险控制应随着公司经营战略、经营方针、经营理念等内部环境的变化和国家法律、法规、政策制度等外部环境的改变及时进行相应的修改和完善</w:t>
      </w:r>
      <w:r>
        <w:rPr>
          <w:rFonts w:asciiTheme="minorEastAsia" w:hAnsiTheme="minorEastAsia" w:cs="Arial"/>
          <w:sz w:val="24"/>
          <w:szCs w:val="24"/>
        </w:rPr>
        <w:t>。</w:t>
      </w:r>
    </w:p>
    <w:p w14:paraId="658920FB"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58C3171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4F59F2B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8C1787A"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4137AEEC"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103E5BF8"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435AF077"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2C7E7FD"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1A1B97D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2F9C34FF" w14:textId="77777777" w:rsidR="009214AE" w:rsidRDefault="00C66335">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w:t>
      </w:r>
      <w:r>
        <w:rPr>
          <w:rFonts w:asciiTheme="minorEastAsia" w:hAnsiTheme="minorEastAsia" w:cs="Arial" w:hint="eastAsia"/>
          <w:sz w:val="24"/>
          <w:szCs w:val="24"/>
        </w:rPr>
        <w:lastRenderedPageBreak/>
        <w:t>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6A9EF15"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1045C74F"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5FFBCA8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5995C362"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617569BB"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06610AF"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69AFD0B"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2EA3F06"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7F80B39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07760BE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56B3A6B6"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450F6F61"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7C30BF37"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75249F28"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18FABD3E"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63AA2CD"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728483E9"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0C581FF"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w:t>
      </w:r>
      <w:r>
        <w:rPr>
          <w:rFonts w:asciiTheme="minorEastAsia" w:hAnsiTheme="minorEastAsia" w:cs="Arial" w:hint="eastAsia"/>
          <w:sz w:val="24"/>
          <w:szCs w:val="24"/>
        </w:rPr>
        <w:lastRenderedPageBreak/>
        <w:t>经营管理活动的有效运行；公司董事会和经营管理层充分重视和支持监察稽核工作，对违反法律、法规和公司内部控制制度的，追究相关部门和人员的责任。</w:t>
      </w:r>
    </w:p>
    <w:p w14:paraId="1418F35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1C3B68E8"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2E345723"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28FF9ECD"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17BE414"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38E9C9A7"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BE9E534"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70AFE6A" w14:textId="77777777" w:rsidR="009214AE" w:rsidRDefault="00C6633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5BCF1288" w14:textId="77777777" w:rsidR="009214AE" w:rsidRDefault="00C66335">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7" w:name="_Toc238013745"/>
      <w:bookmarkStart w:id="88" w:name="_Toc238027832"/>
      <w:bookmarkEnd w:id="87"/>
      <w:bookmarkEnd w:id="88"/>
    </w:p>
    <w:p w14:paraId="459CC010" w14:textId="77777777" w:rsidR="009214AE" w:rsidRDefault="009214AE">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9214AE" w:rsidSect="004C0C2D">
          <w:footerReference w:type="default" r:id="rId11"/>
          <w:pgSz w:w="11906" w:h="16838"/>
          <w:pgMar w:top="1440" w:right="1800" w:bottom="1440" w:left="1800" w:header="851" w:footer="992" w:gutter="0"/>
          <w:pgNumType w:chapStyle="1"/>
          <w:cols w:space="720"/>
          <w:docGrid w:type="lines" w:linePitch="312"/>
        </w:sectPr>
      </w:pPr>
    </w:p>
    <w:p w14:paraId="2980F131" w14:textId="77777777" w:rsidR="009214AE" w:rsidRDefault="00C66335">
      <w:pPr>
        <w:pStyle w:val="1"/>
        <w:jc w:val="center"/>
        <w:rPr>
          <w:sz w:val="30"/>
          <w:szCs w:val="30"/>
        </w:rPr>
      </w:pPr>
      <w:bookmarkStart w:id="89" w:name="_Toc164429417"/>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34357E68" w14:textId="77777777" w:rsidR="00782781" w:rsidRPr="00B70B2A" w:rsidRDefault="00782781" w:rsidP="00782781">
      <w:pPr>
        <w:tabs>
          <w:tab w:val="left" w:pos="1110"/>
        </w:tabs>
        <w:adjustRightInd w:val="0"/>
        <w:snapToGrid w:val="0"/>
        <w:spacing w:line="360" w:lineRule="auto"/>
        <w:ind w:firstLineChars="200" w:firstLine="482"/>
        <w:rPr>
          <w:rFonts w:asciiTheme="minorEastAsia" w:hAnsiTheme="minorEastAsia" w:cs="Arial"/>
          <w:b/>
          <w:sz w:val="24"/>
          <w:szCs w:val="24"/>
        </w:rPr>
      </w:pPr>
      <w:r w:rsidRPr="00B70B2A">
        <w:rPr>
          <w:rFonts w:asciiTheme="minorEastAsia" w:hAnsiTheme="minorEastAsia" w:cs="Arial" w:hint="eastAsia"/>
          <w:b/>
          <w:sz w:val="24"/>
          <w:szCs w:val="24"/>
        </w:rPr>
        <w:t xml:space="preserve">（一）基金托管人基本情况 </w:t>
      </w:r>
    </w:p>
    <w:p w14:paraId="033F2CC8"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名称：中国工商银行股份有限公司</w:t>
      </w:r>
    </w:p>
    <w:p w14:paraId="29A5B5B2"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注册地址：北京市西城区复兴门内大街55号</w:t>
      </w:r>
    </w:p>
    <w:p w14:paraId="55383A9E"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成立时间：1984年1月1日</w:t>
      </w:r>
    </w:p>
    <w:p w14:paraId="692D9EC8"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法定代表人： 廖林</w:t>
      </w:r>
    </w:p>
    <w:p w14:paraId="16314144"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注册资本：人民币35,640,625.7089万元</w:t>
      </w:r>
    </w:p>
    <w:p w14:paraId="7AA182AD"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联系电话：010-66105799</w:t>
      </w:r>
    </w:p>
    <w:p w14:paraId="211F10CC" w14:textId="77777777" w:rsidR="00782781" w:rsidRPr="00560DD8"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联系人：郭明</w:t>
      </w:r>
    </w:p>
    <w:p w14:paraId="3FD435F4" w14:textId="77777777" w:rsidR="00782781" w:rsidRPr="00B70B2A" w:rsidRDefault="00782781" w:rsidP="00782781">
      <w:pPr>
        <w:tabs>
          <w:tab w:val="left" w:pos="1110"/>
        </w:tabs>
        <w:adjustRightInd w:val="0"/>
        <w:snapToGrid w:val="0"/>
        <w:spacing w:line="360" w:lineRule="auto"/>
        <w:ind w:firstLineChars="200" w:firstLine="482"/>
        <w:rPr>
          <w:rFonts w:asciiTheme="minorEastAsia" w:hAnsiTheme="minorEastAsia" w:cs="Arial"/>
          <w:b/>
          <w:sz w:val="24"/>
          <w:szCs w:val="24"/>
        </w:rPr>
      </w:pPr>
      <w:r w:rsidRPr="00B70B2A">
        <w:rPr>
          <w:rFonts w:asciiTheme="minorEastAsia" w:hAnsiTheme="minorEastAsia" w:cs="Arial" w:hint="eastAsia"/>
          <w:b/>
          <w:sz w:val="24"/>
          <w:szCs w:val="24"/>
        </w:rPr>
        <w:t>（二）主要人员情况</w:t>
      </w:r>
    </w:p>
    <w:p w14:paraId="4B26B54B" w14:textId="77777777" w:rsidR="00782781" w:rsidRPr="00560DD8"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截至2024年3月，中国工商银行资产托管部共有员工210人，平均年龄38岁，99%以上员工拥有大学本科以上学历，高管人员均拥有研究生以上学历或高级技术职称。</w:t>
      </w:r>
    </w:p>
    <w:p w14:paraId="2705EE6A" w14:textId="77777777" w:rsidR="00782781" w:rsidRPr="00B70B2A" w:rsidRDefault="00782781" w:rsidP="00782781">
      <w:pPr>
        <w:tabs>
          <w:tab w:val="left" w:pos="1110"/>
        </w:tabs>
        <w:adjustRightInd w:val="0"/>
        <w:snapToGrid w:val="0"/>
        <w:spacing w:line="360" w:lineRule="auto"/>
        <w:ind w:firstLineChars="200" w:firstLine="482"/>
        <w:rPr>
          <w:rFonts w:asciiTheme="minorEastAsia" w:hAnsiTheme="minorEastAsia" w:cs="Arial"/>
          <w:b/>
          <w:sz w:val="24"/>
          <w:szCs w:val="24"/>
        </w:rPr>
      </w:pPr>
      <w:r w:rsidRPr="00B70B2A">
        <w:rPr>
          <w:rFonts w:asciiTheme="minorEastAsia" w:hAnsiTheme="minorEastAsia" w:cs="Arial" w:hint="eastAsia"/>
          <w:b/>
          <w:sz w:val="24"/>
          <w:szCs w:val="24"/>
        </w:rPr>
        <w:t>（三）基金托管业务经营情况</w:t>
      </w:r>
    </w:p>
    <w:p w14:paraId="29982F20" w14:textId="77777777" w:rsidR="00782781"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w:t>
      </w:r>
      <w:r w:rsidRPr="00BA4799">
        <w:rPr>
          <w:rFonts w:asciiTheme="minorEastAsia" w:hAnsiTheme="minorEastAsia" w:cs="Arial" w:hint="eastAsia"/>
          <w:bCs/>
          <w:sz w:val="24"/>
          <w:szCs w:val="24"/>
        </w:rPr>
        <w:lastRenderedPageBreak/>
        <w:t>评。</w:t>
      </w:r>
    </w:p>
    <w:p w14:paraId="4E54B790" w14:textId="77777777" w:rsidR="00782781" w:rsidRPr="00002CAE" w:rsidRDefault="00782781" w:rsidP="00782781">
      <w:pPr>
        <w:tabs>
          <w:tab w:val="left" w:pos="1110"/>
        </w:tabs>
        <w:adjustRightInd w:val="0"/>
        <w:snapToGrid w:val="0"/>
        <w:spacing w:line="360" w:lineRule="auto"/>
        <w:ind w:firstLineChars="200" w:firstLine="482"/>
        <w:rPr>
          <w:rFonts w:asciiTheme="minorEastAsia" w:hAnsiTheme="minorEastAsia" w:cs="Arial"/>
          <w:b/>
          <w:sz w:val="24"/>
          <w:szCs w:val="24"/>
        </w:rPr>
      </w:pPr>
      <w:r w:rsidRPr="00002CAE">
        <w:rPr>
          <w:rFonts w:asciiTheme="minorEastAsia" w:hAnsiTheme="minorEastAsia" w:cs="Arial" w:hint="eastAsia"/>
          <w:b/>
          <w:sz w:val="24"/>
          <w:szCs w:val="24"/>
        </w:rPr>
        <w:t>（四）基金托管人的内部控制制度</w:t>
      </w:r>
    </w:p>
    <w:p w14:paraId="23130075"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七次顺利通过评估组织内部控制和安全措施</w:t>
      </w:r>
      <w:proofErr w:type="gramStart"/>
      <w:r w:rsidRPr="00BA4799">
        <w:rPr>
          <w:rFonts w:asciiTheme="minorEastAsia" w:hAnsiTheme="minorEastAsia" w:cs="Arial" w:hint="eastAsia"/>
          <w:bCs/>
          <w:sz w:val="24"/>
          <w:szCs w:val="24"/>
        </w:rPr>
        <w:t>最</w:t>
      </w:r>
      <w:proofErr w:type="gramEnd"/>
      <w:r w:rsidRPr="00BA4799">
        <w:rPr>
          <w:rFonts w:asciiTheme="minorEastAsia" w:hAnsiTheme="minorEastAsia" w:cs="Arial" w:hint="eastAsia"/>
          <w:bCs/>
          <w:sz w:val="24"/>
          <w:szCs w:val="24"/>
        </w:rPr>
        <w:t>权威的ISAE3402审阅，全部获得无保留意见的控制及有效性报告。充分表明</w:t>
      </w:r>
      <w:proofErr w:type="gramStart"/>
      <w:r w:rsidRPr="00BA4799">
        <w:rPr>
          <w:rFonts w:asciiTheme="minorEastAsia" w:hAnsiTheme="minorEastAsia" w:cs="Arial" w:hint="eastAsia"/>
          <w:bCs/>
          <w:sz w:val="24"/>
          <w:szCs w:val="24"/>
        </w:rPr>
        <w:t>独立第三</w:t>
      </w:r>
      <w:proofErr w:type="gramEnd"/>
      <w:r w:rsidRPr="00BA4799">
        <w:rPr>
          <w:rFonts w:asciiTheme="minorEastAsia" w:hAnsiTheme="minorEastAsia" w:cs="Arial" w:hint="eastAsia"/>
          <w:bCs/>
          <w:sz w:val="24"/>
          <w:szCs w:val="24"/>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2B05469F"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1、内部风险控制目标</w:t>
      </w:r>
    </w:p>
    <w:p w14:paraId="04730B7F"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C8CB06C"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2、内部风险控制组织结构</w:t>
      </w:r>
    </w:p>
    <w:p w14:paraId="4C58FC4B"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中国工商银行资产托管业务内部风险控制组织结构由中国工商银行稽核监察部门（内控合</w:t>
      </w:r>
      <w:proofErr w:type="gramStart"/>
      <w:r w:rsidRPr="00BA4799">
        <w:rPr>
          <w:rFonts w:asciiTheme="minorEastAsia" w:hAnsiTheme="minorEastAsia" w:cs="Arial" w:hint="eastAsia"/>
          <w:bCs/>
          <w:sz w:val="24"/>
          <w:szCs w:val="24"/>
        </w:rPr>
        <w:t>规</w:t>
      </w:r>
      <w:proofErr w:type="gramEnd"/>
      <w:r w:rsidRPr="00BA4799">
        <w:rPr>
          <w:rFonts w:asciiTheme="minorEastAsia" w:hAnsiTheme="minorEastAsia" w:cs="Arial" w:hint="eastAsia"/>
          <w:bCs/>
          <w:sz w:val="24"/>
          <w:szCs w:val="24"/>
        </w:rPr>
        <w:t>部、内部审计局）、资产托管部内设风险控制处及资产托管部各业务处室共同组成。总行稽核监察部门负责制定全行风险管理政策，对各业务部</w:t>
      </w:r>
      <w:proofErr w:type="gramStart"/>
      <w:r w:rsidRPr="00BA4799">
        <w:rPr>
          <w:rFonts w:asciiTheme="minorEastAsia" w:hAnsiTheme="minorEastAsia" w:cs="Arial" w:hint="eastAsia"/>
          <w:bCs/>
          <w:sz w:val="24"/>
          <w:szCs w:val="24"/>
        </w:rPr>
        <w:t>门风险</w:t>
      </w:r>
      <w:proofErr w:type="gramEnd"/>
      <w:r w:rsidRPr="00BA4799">
        <w:rPr>
          <w:rFonts w:asciiTheme="minorEastAsia" w:hAnsiTheme="minorEastAsia" w:cs="Arial" w:hint="eastAsia"/>
          <w:bCs/>
          <w:sz w:val="24"/>
          <w:szCs w:val="24"/>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0CD3BA04"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3、内部风险控制原则</w:t>
      </w:r>
    </w:p>
    <w:p w14:paraId="3193ED17"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（1）合法性原则。内控制度应当符合国家法律法规及监管机构的监管要求，并贯穿于托管业务经营管理活动的始终。</w:t>
      </w:r>
    </w:p>
    <w:p w14:paraId="12FB69B1"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（2）完整性原则。托管业务的各项经营管理活动都必须有相应的规范程序和监督制约；监督制约应渗透到托管业务的全过程和各个操作环节，覆盖所有的</w:t>
      </w:r>
      <w:r w:rsidRPr="00BA4799">
        <w:rPr>
          <w:rFonts w:asciiTheme="minorEastAsia" w:hAnsiTheme="minorEastAsia" w:cs="Arial" w:hint="eastAsia"/>
          <w:bCs/>
          <w:sz w:val="24"/>
          <w:szCs w:val="24"/>
        </w:rPr>
        <w:lastRenderedPageBreak/>
        <w:t>部门、岗位和人员。</w:t>
      </w:r>
    </w:p>
    <w:p w14:paraId="52127913"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（3）及时性原则。托管业务经营活动必须在发生时能准确及时地记录；按照“内控优先”的原则，新设机构或新增业务品种时，必须做到已建立相关的规章制度。</w:t>
      </w:r>
    </w:p>
    <w:p w14:paraId="29BBBC93"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（4）审慎性原则。各项业务经营活动必须防范风险，审慎经营，保证基金资产和其他委托资产的安全与完整。</w:t>
      </w:r>
    </w:p>
    <w:p w14:paraId="223E11BF"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（5）有效性原则。内控制度应根据国家政策、法律及经营管理的需要适时修改完善，并保证得到全面落实执行，不得有任何空间、时限及人员的例外。</w:t>
      </w:r>
    </w:p>
    <w:p w14:paraId="423B84A8"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（6）独立性原则。设立专门履行托管人职责的管理部门；直接操作人员和控制人员必须相对独立，适当分离；内控制度的检查、评价部门必须独立于内控制度的制定和执行部门。</w:t>
      </w:r>
    </w:p>
    <w:p w14:paraId="005D0AAF"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4、内部风险控制措施实施</w:t>
      </w:r>
    </w:p>
    <w:p w14:paraId="0C6F9366"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2F766FE5"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6DAF831D"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145E5D0"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（4）经营控制。资产托管部通过制定计划、编制预算等方法开展各种业务营销活动、处理各项事务，从而有效地控制和配置组织资源，达到资源利用和效益最大化目的。</w:t>
      </w:r>
    </w:p>
    <w:p w14:paraId="718E1894"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（5）内部风险管理。资产托管部通过稽核监察、风险评估等方式加强内部风险管理，定期或不定期地对业务运作状况进行检查、监控，指导业务部门进行</w:t>
      </w:r>
      <w:r w:rsidRPr="00BA4799">
        <w:rPr>
          <w:rFonts w:asciiTheme="minorEastAsia" w:hAnsiTheme="minorEastAsia" w:cs="Arial" w:hint="eastAsia"/>
          <w:bCs/>
          <w:sz w:val="24"/>
          <w:szCs w:val="24"/>
        </w:rPr>
        <w:lastRenderedPageBreak/>
        <w:t>风险识别、评估，制定并实施风险控制措施，排查风险隐患。</w:t>
      </w:r>
    </w:p>
    <w:p w14:paraId="7351D28F"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（6）数据安全控制。我们通过业务</w:t>
      </w:r>
      <w:proofErr w:type="gramStart"/>
      <w:r w:rsidRPr="00BA4799">
        <w:rPr>
          <w:rFonts w:asciiTheme="minorEastAsia" w:hAnsiTheme="minorEastAsia" w:cs="Arial" w:hint="eastAsia"/>
          <w:bCs/>
          <w:sz w:val="24"/>
          <w:szCs w:val="24"/>
        </w:rPr>
        <w:t>操作区</w:t>
      </w:r>
      <w:proofErr w:type="gramEnd"/>
      <w:r w:rsidRPr="00BA4799">
        <w:rPr>
          <w:rFonts w:asciiTheme="minorEastAsia" w:hAnsiTheme="minorEastAsia" w:cs="Arial" w:hint="eastAsia"/>
          <w:bCs/>
          <w:sz w:val="24"/>
          <w:szCs w:val="24"/>
        </w:rPr>
        <w:t>相对独立、数据和传真加密、数据传输线路的冗余备份、监控设施的运用和保障等措施来保障数据安全。</w:t>
      </w:r>
    </w:p>
    <w:p w14:paraId="2507B9CD"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346FBF12"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5、资产托管部内部风险控制情况</w:t>
      </w:r>
    </w:p>
    <w:p w14:paraId="3E01E7F6"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（1）资产托管部内部设置专职稽核监察部门，配备专职稽核监察人员，在总经理的直接领导下，依照有关法律规章，全面贯彻落实全程监控思想，确保资产托管业务健康、稳定地发展。</w:t>
      </w:r>
    </w:p>
    <w:p w14:paraId="6A2C9AB6"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BA4799">
        <w:rPr>
          <w:rFonts w:asciiTheme="minorEastAsia" w:hAnsiTheme="minorEastAsia" w:cs="Arial" w:hint="eastAsia"/>
          <w:bCs/>
          <w:sz w:val="24"/>
          <w:szCs w:val="24"/>
        </w:rPr>
        <w:t>人制</w:t>
      </w:r>
      <w:proofErr w:type="gramEnd"/>
      <w:r w:rsidRPr="00BA4799">
        <w:rPr>
          <w:rFonts w:asciiTheme="minorEastAsia" w:hAnsiTheme="minorEastAsia" w:cs="Arial" w:hint="eastAsia"/>
          <w:bCs/>
          <w:sz w:val="24"/>
          <w:szCs w:val="24"/>
        </w:rPr>
        <w:t>、横向多部门制的内部组织结构，形成不同部门、不同岗位相互制衡的组织结构。</w:t>
      </w:r>
    </w:p>
    <w:p w14:paraId="4C3829DC"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21AAAC6C"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BA4799">
        <w:rPr>
          <w:rFonts w:asciiTheme="minorEastAsia" w:hAnsiTheme="minorEastAsia" w:cs="Arial" w:hint="eastAsia"/>
          <w:bCs/>
          <w:sz w:val="24"/>
          <w:szCs w:val="24"/>
        </w:rPr>
        <w:t>视风险</w:t>
      </w:r>
      <w:proofErr w:type="gramEnd"/>
      <w:r w:rsidRPr="00BA4799">
        <w:rPr>
          <w:rFonts w:asciiTheme="minorEastAsia" w:hAnsiTheme="minorEastAsia" w:cs="Arial" w:hint="eastAsia"/>
          <w:bCs/>
          <w:sz w:val="24"/>
          <w:szCs w:val="24"/>
        </w:rPr>
        <w:t>防范和控制为托管业务生存和发展的生命线。</w:t>
      </w:r>
    </w:p>
    <w:p w14:paraId="2BA57A5C" w14:textId="77777777" w:rsidR="00782781" w:rsidRPr="00002CAE" w:rsidRDefault="00782781" w:rsidP="00782781">
      <w:pPr>
        <w:tabs>
          <w:tab w:val="left" w:pos="1110"/>
        </w:tabs>
        <w:adjustRightInd w:val="0"/>
        <w:snapToGrid w:val="0"/>
        <w:spacing w:line="360" w:lineRule="auto"/>
        <w:ind w:firstLineChars="200" w:firstLine="482"/>
        <w:rPr>
          <w:rFonts w:asciiTheme="minorEastAsia" w:hAnsiTheme="minorEastAsia" w:cs="Arial"/>
          <w:b/>
          <w:sz w:val="24"/>
          <w:szCs w:val="24"/>
        </w:rPr>
      </w:pPr>
      <w:r w:rsidRPr="00002CAE">
        <w:rPr>
          <w:rFonts w:asciiTheme="minorEastAsia" w:hAnsiTheme="minorEastAsia" w:cs="Arial" w:hint="eastAsia"/>
          <w:b/>
          <w:sz w:val="24"/>
          <w:szCs w:val="24"/>
        </w:rPr>
        <w:t>（五）基金托管人对基金管理人运作基金进行监督的方法和程序</w:t>
      </w:r>
    </w:p>
    <w:p w14:paraId="0653EE12"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根据《基金法》、基金合同、托管协议和有关基金法规的规定，基金托管人</w:t>
      </w:r>
      <w:r w:rsidRPr="00BA4799">
        <w:rPr>
          <w:rFonts w:asciiTheme="minorEastAsia" w:hAnsiTheme="minorEastAsia" w:cs="Arial" w:hint="eastAsia"/>
          <w:bCs/>
          <w:sz w:val="24"/>
          <w:szCs w:val="24"/>
        </w:rPr>
        <w:lastRenderedPageBreak/>
        <w:t>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BA4799">
        <w:rPr>
          <w:rFonts w:asciiTheme="minorEastAsia" w:hAnsiTheme="minorEastAsia" w:cs="Arial" w:hint="eastAsia"/>
          <w:bCs/>
          <w:sz w:val="24"/>
          <w:szCs w:val="24"/>
        </w:rPr>
        <w:t>核查自</w:t>
      </w:r>
      <w:proofErr w:type="gramEnd"/>
      <w:r w:rsidRPr="00BA4799">
        <w:rPr>
          <w:rFonts w:asciiTheme="minorEastAsia" w:hAnsiTheme="minorEastAsia" w:cs="Arial" w:hint="eastAsia"/>
          <w:bCs/>
          <w:sz w:val="24"/>
          <w:szCs w:val="24"/>
        </w:rPr>
        <w:t>基金合同生效之后六个月开始。</w:t>
      </w:r>
    </w:p>
    <w:p w14:paraId="5CE0E96D" w14:textId="77777777" w:rsidR="00782781" w:rsidRPr="00BA4799" w:rsidRDefault="00782781" w:rsidP="00782781">
      <w:pPr>
        <w:tabs>
          <w:tab w:val="left" w:pos="1110"/>
        </w:tabs>
        <w:adjustRightInd w:val="0"/>
        <w:snapToGrid w:val="0"/>
        <w:spacing w:line="360" w:lineRule="auto"/>
        <w:ind w:firstLineChars="200" w:firstLine="480"/>
        <w:rPr>
          <w:rFonts w:asciiTheme="minorEastAsia" w:hAnsiTheme="minorEastAsia" w:cs="Arial"/>
          <w:bCs/>
          <w:sz w:val="24"/>
          <w:szCs w:val="24"/>
        </w:rPr>
      </w:pPr>
      <w:r w:rsidRPr="00BA4799">
        <w:rPr>
          <w:rFonts w:asciiTheme="minorEastAsia" w:hAnsiTheme="minorEastAsia" w:cs="Arial" w:hint="eastAsia"/>
          <w:bCs/>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305F84D3" w14:textId="4EDD2177" w:rsidR="009214AE" w:rsidRDefault="00782781">
      <w:pPr>
        <w:tabs>
          <w:tab w:val="left" w:pos="390"/>
        </w:tabs>
        <w:adjustRightInd w:val="0"/>
        <w:snapToGrid w:val="0"/>
        <w:spacing w:line="360" w:lineRule="auto"/>
        <w:rPr>
          <w:rFonts w:asciiTheme="minorEastAsia" w:hAnsiTheme="minorEastAsia" w:cs="Arial"/>
          <w:bCs/>
          <w:sz w:val="24"/>
          <w:szCs w:val="24"/>
        </w:rPr>
      </w:pPr>
      <w:r>
        <w:rPr>
          <w:rFonts w:asciiTheme="minorEastAsia" w:hAnsiTheme="minorEastAsia" w:cs="Arial"/>
          <w:bCs/>
          <w:sz w:val="24"/>
          <w:szCs w:val="24"/>
        </w:rPr>
        <w:tab/>
      </w:r>
      <w:r w:rsidRPr="00BA4799">
        <w:rPr>
          <w:rFonts w:asciiTheme="minorEastAsia" w:hAnsiTheme="minorEastAsia" w:cs="Arial" w:hint="eastAsia"/>
          <w:bCs/>
          <w:sz w:val="24"/>
          <w:szCs w:val="24"/>
        </w:rPr>
        <w:t>基金托管人发现基金管理人有重大违规行为，应立即报告中国证监会，同时通知基金管理人限期纠正。</w:t>
      </w:r>
    </w:p>
    <w:p w14:paraId="5B77526A" w14:textId="77777777" w:rsidR="009214AE" w:rsidRDefault="00C66335">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0BA19C74" w14:textId="77777777" w:rsidR="009214AE" w:rsidRDefault="00C66335">
      <w:pPr>
        <w:pStyle w:val="1"/>
        <w:jc w:val="center"/>
        <w:rPr>
          <w:sz w:val="30"/>
          <w:szCs w:val="30"/>
        </w:rPr>
      </w:pPr>
      <w:bookmarkStart w:id="90" w:name="_Toc214873594"/>
      <w:bookmarkStart w:id="91" w:name="_Toc416264541"/>
      <w:bookmarkStart w:id="92" w:name="_Toc263092313"/>
      <w:bookmarkStart w:id="93" w:name="_Toc11081"/>
      <w:bookmarkStart w:id="94" w:name="_Toc10463"/>
      <w:bookmarkStart w:id="95" w:name="_Toc139991736"/>
      <w:bookmarkStart w:id="96" w:name="_Toc48649707"/>
      <w:bookmarkStart w:id="97" w:name="_Toc141703886"/>
      <w:bookmarkStart w:id="98" w:name="_Toc1427"/>
      <w:bookmarkStart w:id="99" w:name="_Toc123051452"/>
      <w:bookmarkStart w:id="100" w:name="_Toc23261"/>
      <w:bookmarkStart w:id="101" w:name="_Toc123102453"/>
      <w:bookmarkStart w:id="102" w:name="_Toc352229752"/>
      <w:bookmarkStart w:id="103" w:name="_Toc17244"/>
      <w:bookmarkStart w:id="104" w:name="_Toc1270"/>
      <w:bookmarkStart w:id="105" w:name="_Toc20733"/>
      <w:bookmarkStart w:id="106" w:name="_Toc23822"/>
      <w:bookmarkStart w:id="107" w:name="_Toc4003"/>
      <w:bookmarkStart w:id="108" w:name="_Toc123112234"/>
      <w:bookmarkStart w:id="109" w:name="_Toc79392606"/>
      <w:bookmarkStart w:id="110" w:name="_Toc610"/>
      <w:bookmarkStart w:id="111" w:name="_Toc352229751"/>
      <w:bookmarkStart w:id="112" w:name="_Toc98560352"/>
      <w:bookmarkStart w:id="113" w:name="_Toc7920"/>
      <w:bookmarkStart w:id="114" w:name="_Toc164429418"/>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4"/>
      <w:bookmarkEnd w:id="85"/>
      <w:bookmarkEnd w:id="86"/>
      <w:r>
        <w:rPr>
          <w:rFonts w:hint="eastAsia"/>
          <w:sz w:val="30"/>
          <w:szCs w:val="30"/>
        </w:rPr>
        <w:lastRenderedPageBreak/>
        <w:t>第五部分</w:t>
      </w:r>
      <w:r>
        <w:rPr>
          <w:sz w:val="30"/>
          <w:szCs w:val="30"/>
        </w:rPr>
        <w:t xml:space="preserve">  </w:t>
      </w:r>
      <w:r>
        <w:rPr>
          <w:rFonts w:hint="eastAsia"/>
          <w:sz w:val="30"/>
          <w:szCs w:val="30"/>
        </w:rPr>
        <w:t>相关服务机构</w:t>
      </w:r>
      <w:bookmarkEnd w:id="90"/>
      <w:bookmarkEnd w:id="91"/>
      <w:bookmarkEnd w:id="92"/>
      <w:bookmarkEnd w:id="114"/>
    </w:p>
    <w:p w14:paraId="51FBCFDA" w14:textId="77777777" w:rsidR="009214AE" w:rsidRDefault="00C6633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461C380"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7595CF27"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注册地址：广东省广州市南沙区横</w:t>
      </w:r>
      <w:proofErr w:type="gramStart"/>
      <w:r>
        <w:rPr>
          <w:rFonts w:asciiTheme="minorEastAsia" w:hAnsiTheme="minorEastAsia" w:cs="Arial" w:hint="eastAsia"/>
          <w:sz w:val="24"/>
          <w:szCs w:val="24"/>
        </w:rPr>
        <w:t>沥</w:t>
      </w:r>
      <w:proofErr w:type="gramEnd"/>
      <w:r>
        <w:rPr>
          <w:rFonts w:asciiTheme="minorEastAsia" w:hAnsiTheme="minorEastAsia" w:cs="Arial" w:hint="eastAsia"/>
          <w:sz w:val="24"/>
          <w:szCs w:val="24"/>
        </w:rPr>
        <w:t xml:space="preserve">镇汇通二街2号3110房 </w:t>
      </w:r>
    </w:p>
    <w:p w14:paraId="0F38FA37"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17E3CAF4"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kern w:val="0"/>
          <w:sz w:val="24"/>
          <w:szCs w:val="24"/>
        </w:rPr>
        <w:t>王亦伟</w:t>
      </w:r>
    </w:p>
    <w:p w14:paraId="18EDA43F"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6FC2C1CD"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1D91C92A"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7CDF151D"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1539F6F8" w14:textId="77777777" w:rsidR="009214AE" w:rsidRDefault="00C6633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b"/>
        <w:tblW w:w="8789" w:type="dxa"/>
        <w:tblInd w:w="108" w:type="dxa"/>
        <w:tblLayout w:type="fixed"/>
        <w:tblLook w:val="04A0" w:firstRow="1" w:lastRow="0" w:firstColumn="1" w:lastColumn="0" w:noHBand="0" w:noVBand="1"/>
      </w:tblPr>
      <w:tblGrid>
        <w:gridCol w:w="562"/>
        <w:gridCol w:w="2660"/>
        <w:gridCol w:w="5455"/>
        <w:gridCol w:w="112"/>
      </w:tblGrid>
      <w:tr w:rsidR="009214AE" w14:paraId="27A37C7F" w14:textId="77777777">
        <w:trPr>
          <w:gridAfter w:val="1"/>
          <w:wAfter w:w="113" w:type="dxa"/>
        </w:trPr>
        <w:tc>
          <w:tcPr>
            <w:tcW w:w="567" w:type="dxa"/>
            <w:tcBorders>
              <w:top w:val="single" w:sz="4" w:space="0" w:color="000000"/>
              <w:left w:val="single" w:sz="4" w:space="0" w:color="000000"/>
              <w:bottom w:val="single" w:sz="4" w:space="0" w:color="000000"/>
              <w:right w:val="single" w:sz="4" w:space="0" w:color="000000"/>
            </w:tcBorders>
          </w:tcPr>
          <w:p w14:paraId="6BC43E44" w14:textId="77777777" w:rsidR="009214AE" w:rsidRDefault="00C66335">
            <w:pPr>
              <w:jc w:val="center"/>
              <w:rPr>
                <w:rFonts w:ascii="Arial Unicode MS" w:eastAsia="宋体" w:hAnsi="Arial Unicode MS" w:cs="Times New Roman"/>
                <w:bCs/>
                <w:szCs w:val="24"/>
              </w:rPr>
            </w:pPr>
            <w:r>
              <w:rPr>
                <w:rFonts w:asciiTheme="minorEastAsia" w:hAnsiTheme="minorEastAsia" w:cs="Arial" w:hint="eastAsia"/>
                <w:szCs w:val="20"/>
              </w:rPr>
              <w:t>序号</w:t>
            </w:r>
          </w:p>
        </w:tc>
        <w:tc>
          <w:tcPr>
            <w:tcW w:w="2694" w:type="dxa"/>
            <w:tcBorders>
              <w:top w:val="single" w:sz="4" w:space="0" w:color="000000"/>
              <w:left w:val="single" w:sz="4" w:space="0" w:color="000000"/>
              <w:bottom w:val="single" w:sz="4" w:space="0" w:color="000000"/>
              <w:right w:val="single" w:sz="4" w:space="0" w:color="000000"/>
            </w:tcBorders>
          </w:tcPr>
          <w:p w14:paraId="62959D0E" w14:textId="77777777" w:rsidR="009214AE" w:rsidRDefault="00C66335">
            <w:pPr>
              <w:jc w:val="center"/>
              <w:rPr>
                <w:rFonts w:ascii="Arial Unicode MS" w:hAnsi="Arial Unicode MS"/>
                <w:bCs/>
              </w:rPr>
            </w:pPr>
            <w:r>
              <w:rPr>
                <w:rFonts w:asciiTheme="minorEastAsia" w:hAnsiTheme="minorEastAsia" w:cs="Arial" w:hint="eastAsia"/>
                <w:szCs w:val="20"/>
              </w:rPr>
              <w:t>代销机构名称</w:t>
            </w:r>
          </w:p>
        </w:tc>
        <w:tc>
          <w:tcPr>
            <w:tcW w:w="5528" w:type="dxa"/>
            <w:tcBorders>
              <w:top w:val="single" w:sz="4" w:space="0" w:color="000000"/>
              <w:left w:val="single" w:sz="4" w:space="0" w:color="000000"/>
              <w:bottom w:val="single" w:sz="4" w:space="0" w:color="000000"/>
              <w:right w:val="single" w:sz="4" w:space="0" w:color="000000"/>
            </w:tcBorders>
          </w:tcPr>
          <w:p w14:paraId="20B700B9" w14:textId="77777777" w:rsidR="009214AE" w:rsidRDefault="00C66335">
            <w:pPr>
              <w:jc w:val="center"/>
              <w:rPr>
                <w:rFonts w:ascii="Arial Unicode MS" w:hAnsi="Arial Unicode MS"/>
                <w:bCs/>
              </w:rPr>
            </w:pPr>
            <w:r>
              <w:rPr>
                <w:rFonts w:asciiTheme="minorEastAsia" w:hAnsiTheme="minorEastAsia" w:cs="Arial" w:hint="eastAsia"/>
                <w:szCs w:val="20"/>
              </w:rPr>
              <w:t>代销机构信息</w:t>
            </w:r>
          </w:p>
        </w:tc>
      </w:tr>
      <w:tr w:rsidR="009214AE" w14:paraId="338EAE39" w14:textId="77777777">
        <w:trPr>
          <w:gridAfter w:val="1"/>
          <w:wAfter w:w="113" w:type="dxa"/>
        </w:trPr>
        <w:tc>
          <w:tcPr>
            <w:tcW w:w="567" w:type="dxa"/>
          </w:tcPr>
          <w:p w14:paraId="45EBCBF5" w14:textId="77777777" w:rsidR="009214AE" w:rsidRDefault="00C66335">
            <w:pPr>
              <w:jc w:val="left"/>
              <w:rPr>
                <w:rFonts w:asciiTheme="minorEastAsia" w:hAnsiTheme="minorEastAsia" w:cs="Arial"/>
                <w:szCs w:val="20"/>
              </w:rPr>
            </w:pPr>
            <w:r>
              <w:rPr>
                <w:rFonts w:asciiTheme="minorEastAsia" w:hAnsiTheme="minorEastAsia" w:cs="Arial" w:hint="eastAsia"/>
                <w:szCs w:val="20"/>
              </w:rPr>
              <w:t>1</w:t>
            </w:r>
          </w:p>
        </w:tc>
        <w:tc>
          <w:tcPr>
            <w:tcW w:w="2694" w:type="dxa"/>
          </w:tcPr>
          <w:p w14:paraId="01FC5C36" w14:textId="77777777" w:rsidR="009214AE" w:rsidRDefault="00C66335">
            <w:pPr>
              <w:jc w:val="left"/>
              <w:rPr>
                <w:rFonts w:asciiTheme="minorEastAsia" w:hAnsiTheme="minorEastAsia" w:cs="Arial"/>
                <w:szCs w:val="20"/>
              </w:rPr>
            </w:pPr>
            <w:r>
              <w:rPr>
                <w:rFonts w:ascii="宋体" w:hAnsi="宋体" w:cs="Calibri" w:hint="eastAsia"/>
                <w:color w:val="000000"/>
                <w:szCs w:val="21"/>
              </w:rPr>
              <w:t>东方财富证券股份有限公司</w:t>
            </w:r>
          </w:p>
        </w:tc>
        <w:tc>
          <w:tcPr>
            <w:tcW w:w="5528" w:type="dxa"/>
          </w:tcPr>
          <w:p w14:paraId="496A2DCD"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096BF56F"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客户服务电话：95357</w:t>
            </w:r>
          </w:p>
          <w:p w14:paraId="0DB35348"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9214AE" w14:paraId="450ECFD7" w14:textId="77777777">
        <w:trPr>
          <w:gridAfter w:val="1"/>
          <w:wAfter w:w="113" w:type="dxa"/>
        </w:trPr>
        <w:tc>
          <w:tcPr>
            <w:tcW w:w="567" w:type="dxa"/>
          </w:tcPr>
          <w:p w14:paraId="03BE9BF9" w14:textId="77777777" w:rsidR="009214AE" w:rsidRDefault="00C66335">
            <w:pPr>
              <w:jc w:val="left"/>
              <w:rPr>
                <w:rFonts w:asciiTheme="minorEastAsia" w:hAnsiTheme="minorEastAsia" w:cs="Arial"/>
                <w:szCs w:val="20"/>
              </w:rPr>
            </w:pPr>
            <w:r>
              <w:rPr>
                <w:rFonts w:asciiTheme="minorEastAsia" w:hAnsiTheme="minorEastAsia" w:cs="Arial" w:hint="eastAsia"/>
                <w:szCs w:val="20"/>
              </w:rPr>
              <w:t>2</w:t>
            </w:r>
          </w:p>
        </w:tc>
        <w:tc>
          <w:tcPr>
            <w:tcW w:w="2694" w:type="dxa"/>
          </w:tcPr>
          <w:p w14:paraId="42725C13"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上海基</w:t>
            </w:r>
            <w:proofErr w:type="gramStart"/>
            <w:r>
              <w:rPr>
                <w:rFonts w:ascii="宋体" w:hAnsi="宋体" w:cs="Calibri" w:hint="eastAsia"/>
                <w:color w:val="000000"/>
                <w:szCs w:val="21"/>
              </w:rPr>
              <w:t>煜</w:t>
            </w:r>
            <w:proofErr w:type="gramEnd"/>
            <w:r>
              <w:rPr>
                <w:rFonts w:ascii="宋体" w:hAnsi="宋体" w:cs="Calibri" w:hint="eastAsia"/>
                <w:color w:val="000000"/>
                <w:szCs w:val="21"/>
              </w:rPr>
              <w:t>基金销售有限公司</w:t>
            </w:r>
          </w:p>
        </w:tc>
        <w:tc>
          <w:tcPr>
            <w:tcW w:w="5528" w:type="dxa"/>
          </w:tcPr>
          <w:p w14:paraId="38431CB8" w14:textId="77777777" w:rsidR="009214AE" w:rsidRDefault="00C66335">
            <w:pPr>
              <w:snapToGrid w:val="0"/>
              <w:rPr>
                <w:rFonts w:ascii="宋体" w:hAnsi="宋体" w:cs="Calibri"/>
                <w:color w:val="000000"/>
                <w:szCs w:val="21"/>
              </w:rPr>
            </w:pPr>
            <w:r>
              <w:rPr>
                <w:rFonts w:ascii="宋体" w:hAnsi="宋体" w:cs="Calibri" w:hint="eastAsia"/>
                <w:color w:val="000000"/>
                <w:szCs w:val="21"/>
              </w:rPr>
              <w:t>注册(办公)地址：上海市浦东</w:t>
            </w:r>
            <w:proofErr w:type="gramStart"/>
            <w:r>
              <w:rPr>
                <w:rFonts w:ascii="宋体" w:hAnsi="宋体" w:cs="Calibri" w:hint="eastAsia"/>
                <w:color w:val="000000"/>
                <w:szCs w:val="21"/>
              </w:rPr>
              <w:t>新区银</w:t>
            </w:r>
            <w:proofErr w:type="gramEnd"/>
            <w:r>
              <w:rPr>
                <w:rFonts w:ascii="宋体" w:hAnsi="宋体" w:cs="Calibri" w:hint="eastAsia"/>
                <w:color w:val="000000"/>
                <w:szCs w:val="21"/>
              </w:rPr>
              <w:t>城中路488号太平金融大厦1503室</w:t>
            </w:r>
          </w:p>
          <w:p w14:paraId="01B19431"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客户服务电话：4008205369</w:t>
            </w:r>
          </w:p>
          <w:p w14:paraId="148ECB02"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网址：www.jiyufund.com.cn</w:t>
            </w:r>
          </w:p>
        </w:tc>
      </w:tr>
      <w:tr w:rsidR="009214AE" w14:paraId="3A42D2E4" w14:textId="77777777">
        <w:trPr>
          <w:gridAfter w:val="1"/>
          <w:wAfter w:w="113" w:type="dxa"/>
        </w:trPr>
        <w:tc>
          <w:tcPr>
            <w:tcW w:w="567" w:type="dxa"/>
          </w:tcPr>
          <w:p w14:paraId="644839DA" w14:textId="77777777" w:rsidR="009214AE" w:rsidRDefault="00C66335">
            <w:pPr>
              <w:jc w:val="left"/>
              <w:rPr>
                <w:rFonts w:asciiTheme="minorEastAsia" w:hAnsiTheme="minorEastAsia" w:cs="Arial"/>
                <w:szCs w:val="20"/>
              </w:rPr>
            </w:pPr>
            <w:r>
              <w:rPr>
                <w:rFonts w:asciiTheme="minorEastAsia" w:hAnsiTheme="minorEastAsia" w:cs="Arial" w:hint="eastAsia"/>
                <w:szCs w:val="20"/>
              </w:rPr>
              <w:t>3</w:t>
            </w:r>
          </w:p>
        </w:tc>
        <w:tc>
          <w:tcPr>
            <w:tcW w:w="2694" w:type="dxa"/>
          </w:tcPr>
          <w:p w14:paraId="41E05CBA" w14:textId="77777777" w:rsidR="009214AE" w:rsidRDefault="00C66335">
            <w:pPr>
              <w:jc w:val="left"/>
              <w:rPr>
                <w:rFonts w:asciiTheme="minorEastAsia" w:hAnsiTheme="minorEastAsia" w:cs="Arial"/>
                <w:szCs w:val="20"/>
              </w:rPr>
            </w:pPr>
            <w:r>
              <w:rPr>
                <w:rFonts w:asciiTheme="minorEastAsia" w:hAnsiTheme="minorEastAsia" w:cs="Arial" w:hint="eastAsia"/>
              </w:rPr>
              <w:t>奕丰金融销售有限公司</w:t>
            </w:r>
          </w:p>
        </w:tc>
        <w:tc>
          <w:tcPr>
            <w:tcW w:w="5528" w:type="dxa"/>
          </w:tcPr>
          <w:p w14:paraId="57522110"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w:t>
            </w:r>
            <w:r>
              <w:rPr>
                <w:rFonts w:ascii="宋体" w:hAnsi="宋体" w:cs="Calibri"/>
                <w:color w:val="000000"/>
                <w:szCs w:val="21"/>
              </w:rPr>
              <w:t xml:space="preserve">地址: </w:t>
            </w:r>
            <w:r>
              <w:rPr>
                <w:rFonts w:ascii="宋体" w:hAnsi="宋体" w:cs="Calibri" w:hint="eastAsia"/>
                <w:color w:val="000000"/>
                <w:szCs w:val="21"/>
              </w:rPr>
              <w:t>深圳市南山区海德三道航天科技广场A座17楼1704室</w:t>
            </w:r>
          </w:p>
          <w:p w14:paraId="04CB4652"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055573A9"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www.ifastps.com.cn</w:t>
            </w:r>
          </w:p>
        </w:tc>
      </w:tr>
      <w:tr w:rsidR="009214AE" w14:paraId="02E79D60" w14:textId="77777777">
        <w:trPr>
          <w:gridAfter w:val="1"/>
          <w:wAfter w:w="113" w:type="dxa"/>
        </w:trPr>
        <w:tc>
          <w:tcPr>
            <w:tcW w:w="567" w:type="dxa"/>
          </w:tcPr>
          <w:p w14:paraId="30A14D05" w14:textId="77777777" w:rsidR="009214AE" w:rsidRDefault="00C66335">
            <w:pPr>
              <w:jc w:val="left"/>
              <w:rPr>
                <w:rFonts w:asciiTheme="minorEastAsia" w:hAnsiTheme="minorEastAsia" w:cs="Arial"/>
                <w:szCs w:val="20"/>
              </w:rPr>
            </w:pPr>
            <w:r>
              <w:rPr>
                <w:rFonts w:asciiTheme="minorEastAsia" w:hAnsiTheme="minorEastAsia" w:cs="Arial" w:hint="eastAsia"/>
                <w:szCs w:val="20"/>
              </w:rPr>
              <w:t>4</w:t>
            </w:r>
          </w:p>
        </w:tc>
        <w:tc>
          <w:tcPr>
            <w:tcW w:w="2694" w:type="dxa"/>
          </w:tcPr>
          <w:p w14:paraId="37148AA4"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上海好买基金销售有限公司</w:t>
            </w:r>
          </w:p>
        </w:tc>
        <w:tc>
          <w:tcPr>
            <w:tcW w:w="5528" w:type="dxa"/>
          </w:tcPr>
          <w:p w14:paraId="2A17768B"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注册(办公)地址：上海市浦东新区张杨路500号华</w:t>
            </w:r>
            <w:proofErr w:type="gramStart"/>
            <w:r>
              <w:rPr>
                <w:rFonts w:ascii="宋体" w:hAnsi="宋体" w:cs="Calibri" w:hint="eastAsia"/>
                <w:color w:val="000000"/>
                <w:szCs w:val="21"/>
              </w:rPr>
              <w:t>润时代</w:t>
            </w:r>
            <w:proofErr w:type="gramEnd"/>
            <w:r>
              <w:rPr>
                <w:rFonts w:ascii="宋体" w:hAnsi="宋体" w:cs="Calibri" w:hint="eastAsia"/>
                <w:color w:val="000000"/>
                <w:szCs w:val="21"/>
              </w:rPr>
              <w:t>广场10、11、12、14层</w:t>
            </w:r>
          </w:p>
          <w:p w14:paraId="612B787A"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客服电话：400-700-9665</w:t>
            </w:r>
          </w:p>
          <w:p w14:paraId="5BB9D32F"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公司网址：www.ehowbuy.com</w:t>
            </w:r>
          </w:p>
        </w:tc>
      </w:tr>
      <w:tr w:rsidR="009214AE" w14:paraId="3F52F29A" w14:textId="77777777">
        <w:trPr>
          <w:gridAfter w:val="1"/>
          <w:wAfter w:w="113" w:type="dxa"/>
        </w:trPr>
        <w:tc>
          <w:tcPr>
            <w:tcW w:w="567" w:type="dxa"/>
          </w:tcPr>
          <w:p w14:paraId="0A8D238D" w14:textId="77777777" w:rsidR="009214AE" w:rsidRDefault="00C66335">
            <w:pPr>
              <w:jc w:val="left"/>
              <w:rPr>
                <w:rFonts w:asciiTheme="minorEastAsia" w:hAnsiTheme="minorEastAsia" w:cs="Arial"/>
                <w:szCs w:val="20"/>
              </w:rPr>
            </w:pPr>
            <w:r>
              <w:rPr>
                <w:rFonts w:asciiTheme="minorEastAsia" w:hAnsiTheme="minorEastAsia" w:cs="Arial" w:hint="eastAsia"/>
                <w:szCs w:val="20"/>
              </w:rPr>
              <w:t>5</w:t>
            </w:r>
          </w:p>
        </w:tc>
        <w:tc>
          <w:tcPr>
            <w:tcW w:w="2694" w:type="dxa"/>
          </w:tcPr>
          <w:p w14:paraId="63998A20" w14:textId="77777777" w:rsidR="009214AE" w:rsidRDefault="00C66335">
            <w:pPr>
              <w:jc w:val="left"/>
              <w:rPr>
                <w:rFonts w:asciiTheme="minorEastAsia" w:hAnsiTheme="minorEastAsia" w:cs="Arial"/>
                <w:szCs w:val="20"/>
              </w:rPr>
            </w:pPr>
            <w:r>
              <w:rPr>
                <w:rFonts w:ascii="宋体" w:hAnsi="宋体" w:cs="Calibri" w:hint="eastAsia"/>
                <w:color w:val="000000"/>
                <w:szCs w:val="21"/>
              </w:rPr>
              <w:t>京东肯特瑞基金销售有限公司</w:t>
            </w:r>
          </w:p>
        </w:tc>
        <w:tc>
          <w:tcPr>
            <w:tcW w:w="5528" w:type="dxa"/>
          </w:tcPr>
          <w:p w14:paraId="1454DD6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注册(办公)地址：北京市海淀区知春路76号(写字楼)1号楼4层1-7-2</w:t>
            </w:r>
          </w:p>
          <w:p w14:paraId="16BED000"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客户服务电话：95118</w:t>
            </w:r>
          </w:p>
          <w:p w14:paraId="313E551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网址：http://kenterui.jd.com/</w:t>
            </w:r>
          </w:p>
        </w:tc>
      </w:tr>
      <w:tr w:rsidR="009214AE" w14:paraId="4C8E699F" w14:textId="77777777">
        <w:trPr>
          <w:gridAfter w:val="1"/>
          <w:wAfter w:w="113" w:type="dxa"/>
        </w:trPr>
        <w:tc>
          <w:tcPr>
            <w:tcW w:w="567" w:type="dxa"/>
          </w:tcPr>
          <w:p w14:paraId="6C31CDF7" w14:textId="77777777" w:rsidR="009214AE" w:rsidRDefault="00C66335">
            <w:pPr>
              <w:jc w:val="left"/>
              <w:rPr>
                <w:rFonts w:asciiTheme="minorEastAsia" w:hAnsiTheme="minorEastAsia" w:cs="Arial"/>
                <w:szCs w:val="20"/>
              </w:rPr>
            </w:pPr>
            <w:r>
              <w:rPr>
                <w:rFonts w:asciiTheme="minorEastAsia" w:hAnsiTheme="minorEastAsia" w:cs="Arial" w:hint="eastAsia"/>
                <w:szCs w:val="20"/>
              </w:rPr>
              <w:t>6</w:t>
            </w:r>
          </w:p>
        </w:tc>
        <w:tc>
          <w:tcPr>
            <w:tcW w:w="2694" w:type="dxa"/>
          </w:tcPr>
          <w:p w14:paraId="4DB77CA2" w14:textId="77777777" w:rsidR="009214AE" w:rsidRDefault="00C66335">
            <w:pPr>
              <w:jc w:val="left"/>
              <w:rPr>
                <w:rFonts w:asciiTheme="minorEastAsia" w:hAnsiTheme="minorEastAsia" w:cs="Arial"/>
                <w:szCs w:val="20"/>
              </w:rPr>
            </w:pPr>
            <w:r>
              <w:rPr>
                <w:rFonts w:ascii="宋体" w:hAnsi="宋体" w:cs="Calibri" w:hint="eastAsia"/>
                <w:color w:val="000000"/>
                <w:szCs w:val="21"/>
              </w:rPr>
              <w:t>蚂蚁（杭州）基金销售有限公司</w:t>
            </w:r>
          </w:p>
        </w:tc>
        <w:tc>
          <w:tcPr>
            <w:tcW w:w="5528" w:type="dxa"/>
          </w:tcPr>
          <w:p w14:paraId="13352F17"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注册(办公)地址：浙江省杭州市余杭区五常街道文</w:t>
            </w:r>
            <w:proofErr w:type="gramStart"/>
            <w:r>
              <w:rPr>
                <w:rFonts w:ascii="宋体" w:hAnsi="宋体" w:cs="Calibri" w:hint="eastAsia"/>
                <w:color w:val="000000"/>
                <w:szCs w:val="21"/>
              </w:rPr>
              <w:t>一</w:t>
            </w:r>
            <w:proofErr w:type="gramEnd"/>
            <w:r>
              <w:rPr>
                <w:rFonts w:ascii="宋体" w:hAnsi="宋体" w:cs="Calibri" w:hint="eastAsia"/>
                <w:color w:val="000000"/>
                <w:szCs w:val="21"/>
              </w:rPr>
              <w:t>西路969号3幢5层599室</w:t>
            </w:r>
            <w:r>
              <w:rPr>
                <w:rFonts w:ascii="宋体" w:hAnsi="宋体" w:cs="Calibri"/>
                <w:color w:val="000000"/>
                <w:szCs w:val="21"/>
              </w:rPr>
              <w:t> </w:t>
            </w:r>
          </w:p>
          <w:p w14:paraId="7A5C4FD5"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95188</w:t>
            </w:r>
          </w:p>
          <w:p w14:paraId="426F8D59"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hyperlink r:id="rId12" w:history="1">
              <w:r>
                <w:rPr>
                  <w:rFonts w:ascii="宋体" w:hAnsi="宋体" w:cs="Calibri" w:hint="eastAsia"/>
                  <w:color w:val="000000"/>
                  <w:szCs w:val="21"/>
                </w:rPr>
                <w:t>www.fund123.cn</w:t>
              </w:r>
            </w:hyperlink>
          </w:p>
        </w:tc>
      </w:tr>
      <w:tr w:rsidR="009214AE" w14:paraId="4E146266" w14:textId="77777777">
        <w:trPr>
          <w:gridAfter w:val="1"/>
          <w:wAfter w:w="113" w:type="dxa"/>
        </w:trPr>
        <w:tc>
          <w:tcPr>
            <w:tcW w:w="567" w:type="dxa"/>
          </w:tcPr>
          <w:p w14:paraId="0E76CDE2" w14:textId="77777777" w:rsidR="009214AE" w:rsidRDefault="00C66335">
            <w:pPr>
              <w:jc w:val="left"/>
              <w:rPr>
                <w:rFonts w:asciiTheme="minorEastAsia" w:hAnsiTheme="minorEastAsia" w:cs="Arial"/>
                <w:szCs w:val="20"/>
              </w:rPr>
            </w:pPr>
            <w:r>
              <w:rPr>
                <w:rFonts w:asciiTheme="minorEastAsia" w:hAnsiTheme="minorEastAsia" w:cs="Arial" w:hint="eastAsia"/>
                <w:szCs w:val="20"/>
              </w:rPr>
              <w:t>7</w:t>
            </w:r>
          </w:p>
        </w:tc>
        <w:tc>
          <w:tcPr>
            <w:tcW w:w="2694" w:type="dxa"/>
          </w:tcPr>
          <w:p w14:paraId="7EC517C3" w14:textId="77777777" w:rsidR="009214AE" w:rsidRDefault="00C66335">
            <w:pPr>
              <w:jc w:val="left"/>
              <w:rPr>
                <w:rFonts w:asciiTheme="minorEastAsia" w:hAnsiTheme="minorEastAsia" w:cs="Arial"/>
                <w:szCs w:val="20"/>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528" w:type="dxa"/>
          </w:tcPr>
          <w:p w14:paraId="6A2D8AAD"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注册(办公)地址：杭州市西湖区文二西路1号元茂大厦903室</w:t>
            </w:r>
          </w:p>
          <w:p w14:paraId="702DEBFB"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952555</w:t>
            </w:r>
          </w:p>
          <w:p w14:paraId="2CC2F3EC" w14:textId="77777777" w:rsidR="009214AE" w:rsidRDefault="00C66335">
            <w:pPr>
              <w:jc w:val="left"/>
              <w:rPr>
                <w:rFonts w:asciiTheme="minorEastAsia" w:hAnsiTheme="minorEastAsia" w:cs="Arial"/>
                <w:szCs w:val="20"/>
              </w:rPr>
            </w:pPr>
            <w:r>
              <w:rPr>
                <w:rFonts w:ascii="宋体" w:hAnsi="宋体" w:cs="Calibri" w:hint="eastAsia"/>
                <w:color w:val="000000"/>
                <w:szCs w:val="21"/>
              </w:rPr>
              <w:lastRenderedPageBreak/>
              <w:t>网址：</w:t>
            </w:r>
            <w:hyperlink r:id="rId13" w:history="1">
              <w:r>
                <w:rPr>
                  <w:rFonts w:cs="Calibri" w:hint="eastAsia"/>
                  <w:color w:val="000000"/>
                  <w:szCs w:val="21"/>
                </w:rPr>
                <w:t>www.5ifund.com</w:t>
              </w:r>
            </w:hyperlink>
          </w:p>
        </w:tc>
      </w:tr>
      <w:tr w:rsidR="009214AE" w14:paraId="15DBEABB" w14:textId="77777777">
        <w:trPr>
          <w:gridAfter w:val="1"/>
          <w:wAfter w:w="113" w:type="dxa"/>
        </w:trPr>
        <w:tc>
          <w:tcPr>
            <w:tcW w:w="567" w:type="dxa"/>
          </w:tcPr>
          <w:p w14:paraId="7F0FCFB2" w14:textId="77777777" w:rsidR="009214AE" w:rsidRDefault="00C66335">
            <w:pPr>
              <w:jc w:val="left"/>
              <w:rPr>
                <w:rFonts w:asciiTheme="minorEastAsia" w:hAnsiTheme="minorEastAsia" w:cs="Arial"/>
                <w:szCs w:val="20"/>
              </w:rPr>
            </w:pPr>
            <w:r>
              <w:rPr>
                <w:rFonts w:asciiTheme="minorEastAsia" w:hAnsiTheme="minorEastAsia" w:cs="Arial" w:hint="eastAsia"/>
                <w:szCs w:val="20"/>
              </w:rPr>
              <w:lastRenderedPageBreak/>
              <w:t>8</w:t>
            </w:r>
          </w:p>
        </w:tc>
        <w:tc>
          <w:tcPr>
            <w:tcW w:w="2694" w:type="dxa"/>
          </w:tcPr>
          <w:p w14:paraId="1C9FEE68"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上海陆金</w:t>
            </w:r>
            <w:proofErr w:type="gramStart"/>
            <w:r>
              <w:rPr>
                <w:rFonts w:ascii="宋体" w:hAnsi="宋体" w:cs="Calibri" w:hint="eastAsia"/>
                <w:color w:val="000000"/>
                <w:szCs w:val="21"/>
              </w:rPr>
              <w:t>所基金</w:t>
            </w:r>
            <w:proofErr w:type="gramEnd"/>
            <w:r>
              <w:rPr>
                <w:rFonts w:ascii="宋体" w:hAnsi="宋体" w:cs="Calibri" w:hint="eastAsia"/>
                <w:color w:val="000000"/>
                <w:szCs w:val="21"/>
              </w:rPr>
              <w:t>销售有限公司</w:t>
            </w:r>
          </w:p>
        </w:tc>
        <w:tc>
          <w:tcPr>
            <w:tcW w:w="5528" w:type="dxa"/>
          </w:tcPr>
          <w:p w14:paraId="3E89C04E"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注册(办公)地址：中国（上海）自由贸易试验区源深路1088号7层</w:t>
            </w:r>
          </w:p>
          <w:p w14:paraId="45A356D6"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客服电话：4008219031</w:t>
            </w:r>
          </w:p>
          <w:p w14:paraId="26473C2A"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www.lufunds.com</w:t>
            </w:r>
          </w:p>
        </w:tc>
      </w:tr>
      <w:tr w:rsidR="009214AE" w14:paraId="524B168F" w14:textId="77777777">
        <w:trPr>
          <w:gridAfter w:val="1"/>
          <w:wAfter w:w="113" w:type="dxa"/>
        </w:trPr>
        <w:tc>
          <w:tcPr>
            <w:tcW w:w="567" w:type="dxa"/>
          </w:tcPr>
          <w:p w14:paraId="30C8C8BF" w14:textId="77777777" w:rsidR="009214AE" w:rsidRDefault="00C66335">
            <w:pPr>
              <w:jc w:val="left"/>
              <w:rPr>
                <w:rFonts w:asciiTheme="minorEastAsia" w:hAnsiTheme="minorEastAsia" w:cs="Arial"/>
                <w:szCs w:val="20"/>
              </w:rPr>
            </w:pPr>
            <w:r>
              <w:rPr>
                <w:rFonts w:asciiTheme="minorEastAsia" w:hAnsiTheme="minorEastAsia" w:cs="Arial" w:hint="eastAsia"/>
                <w:szCs w:val="20"/>
              </w:rPr>
              <w:t>9</w:t>
            </w:r>
          </w:p>
        </w:tc>
        <w:tc>
          <w:tcPr>
            <w:tcW w:w="2694" w:type="dxa"/>
          </w:tcPr>
          <w:p w14:paraId="21CA25CC"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上海联泰资产管理有限公司</w:t>
            </w:r>
          </w:p>
        </w:tc>
        <w:tc>
          <w:tcPr>
            <w:tcW w:w="5528" w:type="dxa"/>
          </w:tcPr>
          <w:p w14:paraId="6318D7DA"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注册(办公)地址：上海市虹口区北外滩</w:t>
            </w:r>
            <w:proofErr w:type="gramStart"/>
            <w:r>
              <w:rPr>
                <w:rFonts w:ascii="宋体" w:hAnsi="宋体" w:cs="Calibri" w:hint="eastAsia"/>
                <w:color w:val="000000"/>
                <w:szCs w:val="21"/>
              </w:rPr>
              <w:t>临潼路</w:t>
            </w:r>
            <w:proofErr w:type="gramEnd"/>
            <w:r>
              <w:rPr>
                <w:rFonts w:ascii="宋体" w:hAnsi="宋体" w:cs="Calibri" w:hint="eastAsia"/>
                <w:color w:val="000000"/>
                <w:szCs w:val="21"/>
              </w:rPr>
              <w:t>188号</w:t>
            </w:r>
          </w:p>
          <w:p w14:paraId="4B1DB0BE"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400-118-1188</w:t>
            </w:r>
          </w:p>
          <w:p w14:paraId="4D124E1A"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https://www.66liantai.com/</w:t>
            </w:r>
          </w:p>
        </w:tc>
      </w:tr>
      <w:tr w:rsidR="009214AE" w14:paraId="2133A74D" w14:textId="77777777">
        <w:trPr>
          <w:gridAfter w:val="1"/>
          <w:wAfter w:w="113" w:type="dxa"/>
        </w:trPr>
        <w:tc>
          <w:tcPr>
            <w:tcW w:w="567" w:type="dxa"/>
          </w:tcPr>
          <w:p w14:paraId="25AD40FF" w14:textId="77777777" w:rsidR="009214AE" w:rsidRDefault="00C66335">
            <w:pPr>
              <w:jc w:val="left"/>
              <w:rPr>
                <w:rFonts w:asciiTheme="minorEastAsia" w:hAnsiTheme="minorEastAsia" w:cs="Arial"/>
                <w:szCs w:val="20"/>
              </w:rPr>
            </w:pPr>
            <w:r>
              <w:rPr>
                <w:rFonts w:asciiTheme="minorEastAsia" w:hAnsiTheme="minorEastAsia" w:cs="Arial" w:hint="eastAsia"/>
                <w:szCs w:val="20"/>
              </w:rPr>
              <w:t>10</w:t>
            </w:r>
          </w:p>
        </w:tc>
        <w:tc>
          <w:tcPr>
            <w:tcW w:w="2694" w:type="dxa"/>
          </w:tcPr>
          <w:p w14:paraId="02A33056" w14:textId="77777777" w:rsidR="009214AE" w:rsidRDefault="00C66335">
            <w:pPr>
              <w:jc w:val="left"/>
              <w:rPr>
                <w:rFonts w:asciiTheme="minorEastAsia" w:hAnsiTheme="minorEastAsia" w:cs="Arial"/>
                <w:szCs w:val="20"/>
              </w:rPr>
            </w:pPr>
            <w:r>
              <w:rPr>
                <w:rFonts w:ascii="宋体" w:hAnsi="宋体" w:cs="Calibri" w:hint="eastAsia"/>
                <w:color w:val="000000"/>
                <w:szCs w:val="21"/>
              </w:rPr>
              <w:t>深圳市金斧子基金销售有限公司</w:t>
            </w:r>
          </w:p>
        </w:tc>
        <w:tc>
          <w:tcPr>
            <w:tcW w:w="5528" w:type="dxa"/>
          </w:tcPr>
          <w:p w14:paraId="4982017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注册(办公)地址：深圳市南山区粤海街道科技园社区科苑路15号科兴科学园B栋B3-1801</w:t>
            </w:r>
          </w:p>
          <w:p w14:paraId="1B7F5B93"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400-8224-888</w:t>
            </w:r>
          </w:p>
          <w:p w14:paraId="7FE8CDFF"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公司网址：www.jfzinv.com</w:t>
            </w:r>
          </w:p>
        </w:tc>
      </w:tr>
      <w:tr w:rsidR="009214AE" w14:paraId="1099958B" w14:textId="77777777">
        <w:trPr>
          <w:gridAfter w:val="1"/>
          <w:wAfter w:w="113" w:type="dxa"/>
        </w:trPr>
        <w:tc>
          <w:tcPr>
            <w:tcW w:w="567" w:type="dxa"/>
          </w:tcPr>
          <w:p w14:paraId="55A5EB98" w14:textId="77777777" w:rsidR="009214AE" w:rsidRDefault="00C66335">
            <w:pPr>
              <w:jc w:val="left"/>
              <w:rPr>
                <w:rFonts w:asciiTheme="minorEastAsia" w:hAnsiTheme="minorEastAsia" w:cs="Arial"/>
                <w:szCs w:val="20"/>
              </w:rPr>
            </w:pPr>
            <w:r>
              <w:rPr>
                <w:rFonts w:asciiTheme="minorEastAsia" w:hAnsiTheme="minorEastAsia" w:cs="Arial" w:hint="eastAsia"/>
                <w:szCs w:val="20"/>
              </w:rPr>
              <w:t>11</w:t>
            </w:r>
          </w:p>
        </w:tc>
        <w:tc>
          <w:tcPr>
            <w:tcW w:w="2694" w:type="dxa"/>
          </w:tcPr>
          <w:p w14:paraId="594C1004"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上海天天基金销售有限公司</w:t>
            </w:r>
          </w:p>
        </w:tc>
        <w:tc>
          <w:tcPr>
            <w:tcW w:w="5528" w:type="dxa"/>
          </w:tcPr>
          <w:p w14:paraId="560F5593"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注册(办公)地址：上海市徐汇区宛平南路88号东方财富大厦</w:t>
            </w:r>
          </w:p>
          <w:p w14:paraId="2552C65D"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95021</w:t>
            </w:r>
          </w:p>
          <w:p w14:paraId="7390AF14"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fund.eastmoney.com</w:t>
            </w:r>
          </w:p>
        </w:tc>
      </w:tr>
      <w:tr w:rsidR="009214AE" w14:paraId="07173CB5" w14:textId="77777777">
        <w:trPr>
          <w:gridAfter w:val="1"/>
          <w:wAfter w:w="113" w:type="dxa"/>
        </w:trPr>
        <w:tc>
          <w:tcPr>
            <w:tcW w:w="567" w:type="dxa"/>
          </w:tcPr>
          <w:p w14:paraId="6F0AB1F6" w14:textId="77777777" w:rsidR="009214AE" w:rsidRDefault="00C66335">
            <w:pPr>
              <w:jc w:val="left"/>
              <w:rPr>
                <w:rFonts w:asciiTheme="minorEastAsia" w:hAnsiTheme="minorEastAsia" w:cs="Arial"/>
                <w:szCs w:val="20"/>
              </w:rPr>
            </w:pPr>
            <w:r>
              <w:rPr>
                <w:rFonts w:asciiTheme="minorEastAsia" w:hAnsiTheme="minorEastAsia" w:cs="Arial" w:hint="eastAsia"/>
                <w:szCs w:val="20"/>
              </w:rPr>
              <w:t>12</w:t>
            </w:r>
          </w:p>
        </w:tc>
        <w:tc>
          <w:tcPr>
            <w:tcW w:w="2694" w:type="dxa"/>
          </w:tcPr>
          <w:p w14:paraId="085A1A9D" w14:textId="77777777" w:rsidR="009214AE" w:rsidRDefault="00C66335">
            <w:pPr>
              <w:jc w:val="left"/>
              <w:rPr>
                <w:rFonts w:asciiTheme="minorEastAsia" w:hAnsiTheme="minorEastAsia" w:cs="Arial"/>
                <w:szCs w:val="20"/>
              </w:rPr>
            </w:pPr>
            <w:r>
              <w:rPr>
                <w:rFonts w:ascii="宋体" w:hAnsi="宋体" w:cs="Calibri" w:hint="eastAsia"/>
                <w:color w:val="000000"/>
                <w:szCs w:val="21"/>
              </w:rPr>
              <w:t>珠海</w:t>
            </w:r>
            <w:proofErr w:type="gramStart"/>
            <w:r>
              <w:rPr>
                <w:rFonts w:ascii="宋体" w:hAnsi="宋体" w:cs="Calibri" w:hint="eastAsia"/>
                <w:color w:val="000000"/>
                <w:szCs w:val="21"/>
              </w:rPr>
              <w:t>盈米基金</w:t>
            </w:r>
            <w:proofErr w:type="gramEnd"/>
            <w:r>
              <w:rPr>
                <w:rFonts w:ascii="宋体" w:hAnsi="宋体" w:cs="Calibri" w:hint="eastAsia"/>
                <w:color w:val="000000"/>
                <w:szCs w:val="21"/>
              </w:rPr>
              <w:t>销售有限公司</w:t>
            </w:r>
          </w:p>
        </w:tc>
        <w:tc>
          <w:tcPr>
            <w:tcW w:w="5528" w:type="dxa"/>
          </w:tcPr>
          <w:p w14:paraId="03BBB06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注册(办公)地址：广州市海</w:t>
            </w:r>
            <w:proofErr w:type="gramStart"/>
            <w:r>
              <w:rPr>
                <w:rFonts w:ascii="宋体" w:hAnsi="宋体" w:cs="Calibri" w:hint="eastAsia"/>
                <w:color w:val="000000"/>
                <w:szCs w:val="21"/>
              </w:rPr>
              <w:t>珠区阅江</w:t>
            </w:r>
            <w:proofErr w:type="gramEnd"/>
            <w:r>
              <w:rPr>
                <w:rFonts w:ascii="宋体" w:hAnsi="宋体" w:cs="Calibri" w:hint="eastAsia"/>
                <w:color w:val="000000"/>
                <w:szCs w:val="21"/>
              </w:rPr>
              <w:t>中路688号保利国际广场北塔33楼、8楼</w:t>
            </w:r>
          </w:p>
          <w:p w14:paraId="526B688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客户服务电话：020-89629066</w:t>
            </w:r>
          </w:p>
          <w:p w14:paraId="7D96390A"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hyperlink r:id="rId14" w:history="1">
              <w:r>
                <w:rPr>
                  <w:rFonts w:ascii="宋体" w:hAnsi="宋体" w:cs="Calibri"/>
                  <w:color w:val="000000"/>
                  <w:szCs w:val="21"/>
                </w:rPr>
                <w:t>www.yingmi.cn</w:t>
              </w:r>
            </w:hyperlink>
          </w:p>
        </w:tc>
      </w:tr>
      <w:tr w:rsidR="009214AE" w14:paraId="2EB5E15D" w14:textId="77777777">
        <w:trPr>
          <w:gridAfter w:val="1"/>
          <w:wAfter w:w="113" w:type="dxa"/>
        </w:trPr>
        <w:tc>
          <w:tcPr>
            <w:tcW w:w="567" w:type="dxa"/>
          </w:tcPr>
          <w:p w14:paraId="218099D6" w14:textId="77777777" w:rsidR="009214AE" w:rsidRDefault="00C66335">
            <w:pPr>
              <w:jc w:val="left"/>
              <w:rPr>
                <w:rFonts w:asciiTheme="minorEastAsia" w:hAnsiTheme="minorEastAsia" w:cs="Arial"/>
                <w:szCs w:val="20"/>
              </w:rPr>
            </w:pPr>
            <w:r>
              <w:rPr>
                <w:rFonts w:asciiTheme="minorEastAsia" w:hAnsiTheme="minorEastAsia" w:cs="Arial" w:hint="eastAsia"/>
                <w:szCs w:val="20"/>
              </w:rPr>
              <w:t>13</w:t>
            </w:r>
          </w:p>
        </w:tc>
        <w:tc>
          <w:tcPr>
            <w:tcW w:w="2694" w:type="dxa"/>
          </w:tcPr>
          <w:p w14:paraId="5D9A756A"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上海长</w:t>
            </w:r>
            <w:proofErr w:type="gramStart"/>
            <w:r>
              <w:rPr>
                <w:rFonts w:ascii="宋体" w:hAnsi="宋体" w:cs="Calibri" w:hint="eastAsia"/>
                <w:color w:val="000000"/>
                <w:szCs w:val="21"/>
              </w:rPr>
              <w:t>量基金</w:t>
            </w:r>
            <w:proofErr w:type="gramEnd"/>
            <w:r>
              <w:rPr>
                <w:rFonts w:ascii="宋体" w:hAnsi="宋体" w:cs="Calibri" w:hint="eastAsia"/>
                <w:color w:val="000000"/>
                <w:szCs w:val="21"/>
              </w:rPr>
              <w:t>销售有限公司</w:t>
            </w:r>
          </w:p>
        </w:tc>
        <w:tc>
          <w:tcPr>
            <w:tcW w:w="5528" w:type="dxa"/>
          </w:tcPr>
          <w:p w14:paraId="09975913"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注册(办公)地址：上海市浦东新区东方路1267号陆家嘴金融服务广场二期11层</w:t>
            </w:r>
          </w:p>
          <w:p w14:paraId="0E40E128"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客服电话：400-820-2899</w:t>
            </w:r>
          </w:p>
          <w:p w14:paraId="6A0A784C"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9214AE" w14:paraId="73A4A908" w14:textId="77777777">
        <w:trPr>
          <w:gridAfter w:val="1"/>
          <w:wAfter w:w="113" w:type="dxa"/>
        </w:trPr>
        <w:tc>
          <w:tcPr>
            <w:tcW w:w="567" w:type="dxa"/>
          </w:tcPr>
          <w:p w14:paraId="129379E4" w14:textId="77777777" w:rsidR="009214AE" w:rsidRDefault="00C66335">
            <w:pPr>
              <w:jc w:val="left"/>
              <w:rPr>
                <w:rFonts w:asciiTheme="minorEastAsia" w:hAnsiTheme="minorEastAsia" w:cs="Arial"/>
                <w:szCs w:val="20"/>
              </w:rPr>
            </w:pPr>
            <w:r>
              <w:rPr>
                <w:rFonts w:asciiTheme="minorEastAsia" w:hAnsiTheme="minorEastAsia" w:cs="Arial" w:hint="eastAsia"/>
                <w:szCs w:val="20"/>
              </w:rPr>
              <w:t>14</w:t>
            </w:r>
          </w:p>
        </w:tc>
        <w:tc>
          <w:tcPr>
            <w:tcW w:w="2694" w:type="dxa"/>
          </w:tcPr>
          <w:p w14:paraId="3EB7CFC8" w14:textId="77777777" w:rsidR="009214AE" w:rsidRDefault="00C66335">
            <w:pPr>
              <w:jc w:val="left"/>
              <w:rPr>
                <w:rFonts w:asciiTheme="minorEastAsia" w:hAnsiTheme="minorEastAsia" w:cs="Arial"/>
                <w:szCs w:val="20"/>
              </w:rPr>
            </w:pPr>
            <w:r>
              <w:rPr>
                <w:rFonts w:ascii="宋体" w:hAnsi="宋体" w:cs="Calibri" w:hint="eastAsia"/>
                <w:color w:val="000000"/>
                <w:szCs w:val="21"/>
              </w:rPr>
              <w:t>北京汇成基金销售有限公司</w:t>
            </w:r>
          </w:p>
        </w:tc>
        <w:tc>
          <w:tcPr>
            <w:tcW w:w="5528" w:type="dxa"/>
          </w:tcPr>
          <w:p w14:paraId="2CAB0F16"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注册(办公)地址：北京市西城区宣武门外大街甲1号</w:t>
            </w:r>
            <w:proofErr w:type="gramStart"/>
            <w:r>
              <w:rPr>
                <w:rFonts w:ascii="宋体" w:hAnsi="宋体" w:cs="Calibri" w:hint="eastAsia"/>
                <w:color w:val="000000"/>
                <w:szCs w:val="21"/>
              </w:rPr>
              <w:t>环球财讯中心</w:t>
            </w:r>
            <w:proofErr w:type="gramEnd"/>
            <w:r>
              <w:rPr>
                <w:rFonts w:ascii="宋体" w:hAnsi="宋体" w:cs="Calibri" w:hint="eastAsia"/>
                <w:color w:val="000000"/>
                <w:szCs w:val="21"/>
              </w:rPr>
              <w:t>D座401</w:t>
            </w:r>
          </w:p>
          <w:p w14:paraId="396E9A41"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400-055-5728</w:t>
            </w:r>
          </w:p>
          <w:p w14:paraId="63209297"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www.hcjijin.com</w:t>
            </w:r>
          </w:p>
        </w:tc>
      </w:tr>
      <w:tr w:rsidR="009214AE" w14:paraId="7CAC53B0" w14:textId="77777777">
        <w:trPr>
          <w:gridAfter w:val="1"/>
          <w:wAfter w:w="113" w:type="dxa"/>
        </w:trPr>
        <w:tc>
          <w:tcPr>
            <w:tcW w:w="567" w:type="dxa"/>
          </w:tcPr>
          <w:p w14:paraId="0EF5939E" w14:textId="77777777" w:rsidR="009214AE" w:rsidRDefault="00C66335">
            <w:pPr>
              <w:jc w:val="left"/>
              <w:rPr>
                <w:rFonts w:asciiTheme="minorEastAsia" w:hAnsiTheme="minorEastAsia" w:cs="Arial"/>
                <w:szCs w:val="20"/>
              </w:rPr>
            </w:pPr>
            <w:r>
              <w:rPr>
                <w:rFonts w:asciiTheme="minorEastAsia" w:hAnsiTheme="minorEastAsia" w:cs="Arial" w:hint="eastAsia"/>
                <w:szCs w:val="20"/>
              </w:rPr>
              <w:t>15</w:t>
            </w:r>
          </w:p>
        </w:tc>
        <w:tc>
          <w:tcPr>
            <w:tcW w:w="2694" w:type="dxa"/>
          </w:tcPr>
          <w:p w14:paraId="7E2CC3AD" w14:textId="77777777" w:rsidR="009214AE" w:rsidRDefault="00C66335">
            <w:pPr>
              <w:jc w:val="left"/>
              <w:rPr>
                <w:rFonts w:asciiTheme="minorEastAsia" w:hAnsiTheme="minorEastAsia" w:cs="Arial"/>
                <w:szCs w:val="20"/>
              </w:rPr>
            </w:pPr>
            <w:r>
              <w:rPr>
                <w:rFonts w:ascii="宋体" w:hAnsi="宋体" w:cs="Calibri" w:hint="eastAsia"/>
                <w:color w:val="000000"/>
                <w:szCs w:val="21"/>
              </w:rPr>
              <w:t>深圳市新兰德证券投资咨询有限公司</w:t>
            </w:r>
          </w:p>
        </w:tc>
        <w:tc>
          <w:tcPr>
            <w:tcW w:w="5528" w:type="dxa"/>
          </w:tcPr>
          <w:p w14:paraId="165BB54B"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注册(办公)地址：深圳市福田区梅林</w:t>
            </w:r>
            <w:proofErr w:type="gramStart"/>
            <w:r>
              <w:rPr>
                <w:rFonts w:ascii="宋体" w:hAnsi="宋体" w:cs="Calibri" w:hint="eastAsia"/>
                <w:color w:val="000000"/>
                <w:szCs w:val="21"/>
              </w:rPr>
              <w:t>街道梅都社区</w:t>
            </w:r>
            <w:proofErr w:type="gramEnd"/>
            <w:r>
              <w:rPr>
                <w:rFonts w:ascii="宋体" w:hAnsi="宋体" w:cs="Calibri" w:hint="eastAsia"/>
                <w:color w:val="000000"/>
                <w:szCs w:val="21"/>
              </w:rPr>
              <w:t>中康路136号深圳新一代产业园2栋3401</w:t>
            </w:r>
          </w:p>
          <w:p w14:paraId="5746B205"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010-83275199</w:t>
            </w:r>
          </w:p>
          <w:p w14:paraId="4E28575C"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http://www.new-rand.cn/</w:t>
            </w:r>
          </w:p>
        </w:tc>
      </w:tr>
      <w:tr w:rsidR="009214AE" w14:paraId="0C8B48E9" w14:textId="77777777">
        <w:trPr>
          <w:gridAfter w:val="1"/>
          <w:wAfter w:w="113" w:type="dxa"/>
        </w:trPr>
        <w:tc>
          <w:tcPr>
            <w:tcW w:w="567" w:type="dxa"/>
          </w:tcPr>
          <w:p w14:paraId="7A137D05" w14:textId="77777777" w:rsidR="009214AE" w:rsidRDefault="00C66335">
            <w:pPr>
              <w:jc w:val="left"/>
              <w:rPr>
                <w:rFonts w:asciiTheme="minorEastAsia" w:hAnsiTheme="minorEastAsia" w:cs="Arial"/>
                <w:szCs w:val="20"/>
              </w:rPr>
            </w:pPr>
            <w:r>
              <w:rPr>
                <w:rFonts w:asciiTheme="minorEastAsia" w:hAnsiTheme="minorEastAsia" w:cs="Arial" w:hint="eastAsia"/>
                <w:szCs w:val="20"/>
              </w:rPr>
              <w:t>16</w:t>
            </w:r>
          </w:p>
        </w:tc>
        <w:tc>
          <w:tcPr>
            <w:tcW w:w="2694" w:type="dxa"/>
          </w:tcPr>
          <w:p w14:paraId="58B03335" w14:textId="77777777" w:rsidR="009214AE" w:rsidRDefault="00C66335">
            <w:pPr>
              <w:jc w:val="left"/>
              <w:rPr>
                <w:rFonts w:asciiTheme="minorEastAsia" w:hAnsiTheme="minorEastAsia" w:cs="Arial"/>
                <w:szCs w:val="20"/>
              </w:rPr>
            </w:pPr>
            <w:r>
              <w:rPr>
                <w:rFonts w:ascii="宋体" w:hAnsi="宋体" w:cs="Calibri" w:hint="eastAsia"/>
                <w:color w:val="000000"/>
                <w:szCs w:val="21"/>
              </w:rPr>
              <w:t>济安财富（北京）基金销售有限公司</w:t>
            </w:r>
          </w:p>
        </w:tc>
        <w:tc>
          <w:tcPr>
            <w:tcW w:w="5528" w:type="dxa"/>
          </w:tcPr>
          <w:p w14:paraId="7AA964F9"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注册(办公)地址：北京市朝阳区太阳宫中路16号院1号</w:t>
            </w:r>
            <w:proofErr w:type="gramStart"/>
            <w:r>
              <w:rPr>
                <w:rFonts w:ascii="宋体" w:hAnsi="宋体" w:cs="Calibri" w:hint="eastAsia"/>
                <w:color w:val="000000"/>
                <w:szCs w:val="21"/>
              </w:rPr>
              <w:t>楼冠捷大厦</w:t>
            </w:r>
            <w:proofErr w:type="gramEnd"/>
            <w:r>
              <w:rPr>
                <w:rFonts w:ascii="宋体" w:hAnsi="宋体" w:cs="Calibri" w:hint="eastAsia"/>
                <w:color w:val="000000"/>
                <w:szCs w:val="21"/>
              </w:rPr>
              <w:t>11层1105</w:t>
            </w:r>
          </w:p>
          <w:p w14:paraId="4F9393CD"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6B99F650"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hyperlink r:id="rId15" w:history="1">
              <w:r>
                <w:rPr>
                  <w:rFonts w:ascii="宋体" w:hAnsi="宋体" w:cs="Calibri"/>
                  <w:color w:val="000000"/>
                  <w:szCs w:val="21"/>
                </w:rPr>
                <w:t>www.jianfortune.com</w:t>
              </w:r>
            </w:hyperlink>
          </w:p>
        </w:tc>
      </w:tr>
      <w:tr w:rsidR="009214AE" w14:paraId="0BFDF857" w14:textId="77777777">
        <w:trPr>
          <w:gridAfter w:val="1"/>
          <w:wAfter w:w="113" w:type="dxa"/>
        </w:trPr>
        <w:tc>
          <w:tcPr>
            <w:tcW w:w="567" w:type="dxa"/>
          </w:tcPr>
          <w:p w14:paraId="5678D135" w14:textId="77777777" w:rsidR="009214AE" w:rsidRDefault="00C66335">
            <w:pPr>
              <w:jc w:val="left"/>
              <w:rPr>
                <w:rFonts w:asciiTheme="minorEastAsia" w:hAnsiTheme="minorEastAsia" w:cs="Arial"/>
                <w:szCs w:val="20"/>
              </w:rPr>
            </w:pPr>
            <w:r>
              <w:rPr>
                <w:rFonts w:asciiTheme="minorEastAsia" w:hAnsiTheme="minorEastAsia" w:cs="Arial" w:hint="eastAsia"/>
                <w:szCs w:val="20"/>
              </w:rPr>
              <w:t>17</w:t>
            </w:r>
          </w:p>
        </w:tc>
        <w:tc>
          <w:tcPr>
            <w:tcW w:w="2694" w:type="dxa"/>
          </w:tcPr>
          <w:p w14:paraId="73FED1CA" w14:textId="77777777" w:rsidR="009214AE" w:rsidRDefault="00C66335">
            <w:pPr>
              <w:jc w:val="left"/>
              <w:rPr>
                <w:rFonts w:asciiTheme="minorEastAsia" w:hAnsiTheme="minorEastAsia" w:cs="Arial"/>
                <w:szCs w:val="20"/>
              </w:rPr>
            </w:pPr>
            <w:r>
              <w:rPr>
                <w:rFonts w:ascii="宋体" w:hAnsi="宋体" w:cs="Calibri" w:hint="eastAsia"/>
                <w:color w:val="000000"/>
                <w:szCs w:val="21"/>
              </w:rPr>
              <w:t>深圳</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销售股份有限公司</w:t>
            </w:r>
          </w:p>
        </w:tc>
        <w:tc>
          <w:tcPr>
            <w:tcW w:w="5528" w:type="dxa"/>
          </w:tcPr>
          <w:p w14:paraId="11C33609"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注册（办公）地址：深圳市罗湖区梨园路Halo广场4楼</w:t>
            </w:r>
          </w:p>
          <w:p w14:paraId="08FCB04B"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6103E97D"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网址：</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网</w:t>
            </w:r>
            <w:r>
              <w:rPr>
                <w:rFonts w:ascii="宋体" w:hAnsi="宋体" w:cs="Calibri"/>
                <w:color w:val="000000"/>
                <w:szCs w:val="21"/>
              </w:rPr>
              <w:t xml:space="preserve"> </w:t>
            </w:r>
            <w:hyperlink r:id="rId16" w:history="1">
              <w:r>
                <w:rPr>
                  <w:rFonts w:ascii="宋体" w:hAnsi="宋体" w:cs="Calibri"/>
                  <w:color w:val="000000"/>
                  <w:szCs w:val="21"/>
                </w:rPr>
                <w:t>www.zlfund.cn</w:t>
              </w:r>
            </w:hyperlink>
          </w:p>
          <w:p w14:paraId="6E213BBF" w14:textId="77777777" w:rsidR="009214AE" w:rsidRDefault="00C66335">
            <w:pPr>
              <w:jc w:val="left"/>
              <w:rPr>
                <w:rFonts w:asciiTheme="minorEastAsia" w:hAnsiTheme="minorEastAsia" w:cs="Arial"/>
                <w:szCs w:val="20"/>
              </w:rPr>
            </w:pPr>
            <w:r>
              <w:rPr>
                <w:rFonts w:ascii="宋体" w:hAnsi="宋体" w:cs="Calibri" w:hint="eastAsia"/>
                <w:color w:val="000000"/>
                <w:szCs w:val="21"/>
              </w:rPr>
              <w:t>基金</w:t>
            </w:r>
            <w:proofErr w:type="gramStart"/>
            <w:r>
              <w:rPr>
                <w:rFonts w:ascii="宋体" w:hAnsi="宋体" w:cs="Calibri" w:hint="eastAsia"/>
                <w:color w:val="000000"/>
                <w:szCs w:val="21"/>
              </w:rPr>
              <w:t>买卖网</w:t>
            </w:r>
            <w:proofErr w:type="gramEnd"/>
            <w:r>
              <w:rPr>
                <w:rFonts w:ascii="宋体" w:hAnsi="宋体" w:cs="Calibri"/>
                <w:color w:val="000000"/>
                <w:szCs w:val="21"/>
              </w:rPr>
              <w:t xml:space="preserve"> </w:t>
            </w:r>
            <w:hyperlink r:id="rId17" w:history="1">
              <w:r>
                <w:rPr>
                  <w:rFonts w:ascii="宋体" w:hAnsi="宋体" w:cs="Calibri"/>
                  <w:color w:val="000000"/>
                  <w:szCs w:val="21"/>
                </w:rPr>
                <w:t>www.jjmmw.com</w:t>
              </w:r>
            </w:hyperlink>
          </w:p>
        </w:tc>
      </w:tr>
      <w:tr w:rsidR="009214AE" w14:paraId="71A9BCEE" w14:textId="77777777">
        <w:trPr>
          <w:gridAfter w:val="1"/>
          <w:wAfter w:w="113" w:type="dxa"/>
        </w:trPr>
        <w:tc>
          <w:tcPr>
            <w:tcW w:w="567" w:type="dxa"/>
          </w:tcPr>
          <w:p w14:paraId="292CCF17" w14:textId="77777777" w:rsidR="009214AE" w:rsidRDefault="00C66335">
            <w:pPr>
              <w:jc w:val="left"/>
              <w:rPr>
                <w:rFonts w:asciiTheme="minorEastAsia" w:hAnsiTheme="minorEastAsia" w:cs="Arial"/>
                <w:szCs w:val="20"/>
              </w:rPr>
            </w:pPr>
            <w:r>
              <w:rPr>
                <w:rFonts w:asciiTheme="minorEastAsia" w:hAnsiTheme="minorEastAsia" w:cs="Arial" w:hint="eastAsia"/>
                <w:szCs w:val="20"/>
              </w:rPr>
              <w:t>18</w:t>
            </w:r>
          </w:p>
        </w:tc>
        <w:tc>
          <w:tcPr>
            <w:tcW w:w="2694" w:type="dxa"/>
          </w:tcPr>
          <w:p w14:paraId="371162A6" w14:textId="77777777" w:rsidR="009214AE" w:rsidRDefault="00C66335">
            <w:pPr>
              <w:jc w:val="left"/>
              <w:rPr>
                <w:rFonts w:asciiTheme="minorEastAsia" w:hAnsiTheme="minorEastAsia" w:cs="Arial"/>
                <w:szCs w:val="20"/>
              </w:rPr>
            </w:pPr>
            <w:r>
              <w:rPr>
                <w:rFonts w:hint="eastAsia"/>
              </w:rPr>
              <w:t>北京雪球基金销售有限公司</w:t>
            </w:r>
          </w:p>
        </w:tc>
        <w:tc>
          <w:tcPr>
            <w:tcW w:w="5528" w:type="dxa"/>
          </w:tcPr>
          <w:p w14:paraId="3102441C" w14:textId="77777777" w:rsidR="009214AE" w:rsidRDefault="00C66335">
            <w:pPr>
              <w:jc w:val="left"/>
            </w:pPr>
            <w:r>
              <w:rPr>
                <w:rFonts w:hint="eastAsia"/>
              </w:rPr>
              <w:t>注册（办公）地址：北京市朝阳区创远路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3EFBBCCA" w14:textId="77777777" w:rsidR="009214AE" w:rsidRDefault="00C66335">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400-159-9288</w:t>
            </w:r>
          </w:p>
          <w:p w14:paraId="5A866A52"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hyperlink r:id="rId18" w:history="1">
              <w:r>
                <w:rPr>
                  <w:rFonts w:ascii="宋体" w:hAnsi="宋体" w:cs="Calibri"/>
                  <w:color w:val="000000"/>
                  <w:szCs w:val="21"/>
                </w:rPr>
                <w:t>http://danjuanapp.com/</w:t>
              </w:r>
            </w:hyperlink>
          </w:p>
        </w:tc>
      </w:tr>
      <w:tr w:rsidR="009214AE" w14:paraId="04E4C4AD" w14:textId="77777777">
        <w:trPr>
          <w:gridAfter w:val="1"/>
          <w:wAfter w:w="113" w:type="dxa"/>
        </w:trPr>
        <w:tc>
          <w:tcPr>
            <w:tcW w:w="567" w:type="dxa"/>
          </w:tcPr>
          <w:p w14:paraId="17C1DAF1" w14:textId="77777777" w:rsidR="009214AE" w:rsidRDefault="00C66335">
            <w:pPr>
              <w:jc w:val="left"/>
              <w:rPr>
                <w:rFonts w:asciiTheme="minorEastAsia" w:hAnsiTheme="minorEastAsia" w:cs="Arial"/>
                <w:szCs w:val="20"/>
              </w:rPr>
            </w:pPr>
            <w:r>
              <w:rPr>
                <w:rFonts w:asciiTheme="minorEastAsia" w:hAnsiTheme="minorEastAsia" w:cs="Arial" w:hint="eastAsia"/>
                <w:szCs w:val="20"/>
              </w:rPr>
              <w:t>19</w:t>
            </w:r>
          </w:p>
        </w:tc>
        <w:tc>
          <w:tcPr>
            <w:tcW w:w="2694" w:type="dxa"/>
          </w:tcPr>
          <w:p w14:paraId="02F9195C"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528" w:type="dxa"/>
          </w:tcPr>
          <w:p w14:paraId="294E8EAD"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注册(办公)地址：上海市浦东</w:t>
            </w:r>
            <w:proofErr w:type="gramStart"/>
            <w:r>
              <w:rPr>
                <w:rFonts w:ascii="宋体" w:hAnsi="宋体" w:cs="Calibri" w:hint="eastAsia"/>
                <w:color w:val="000000"/>
                <w:szCs w:val="21"/>
              </w:rPr>
              <w:t>新区杨</w:t>
            </w:r>
            <w:proofErr w:type="gramEnd"/>
            <w:r>
              <w:rPr>
                <w:rFonts w:ascii="宋体" w:hAnsi="宋体" w:cs="Calibri" w:hint="eastAsia"/>
                <w:color w:val="000000"/>
                <w:szCs w:val="21"/>
              </w:rPr>
              <w:t>高南路759号2号楼18层03单元</w:t>
            </w:r>
          </w:p>
          <w:p w14:paraId="45C45BCA"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021-50810673</w:t>
            </w:r>
          </w:p>
          <w:p w14:paraId="1902362B"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 </w:t>
            </w:r>
            <w:hyperlink r:id="rId19" w:history="1">
              <w:r>
                <w:rPr>
                  <w:rFonts w:ascii="宋体" w:hAnsi="宋体" w:cs="Calibri"/>
                  <w:color w:val="000000"/>
                  <w:szCs w:val="21"/>
                </w:rPr>
                <w:t>www.wacaijijin.com</w:t>
              </w:r>
            </w:hyperlink>
          </w:p>
        </w:tc>
      </w:tr>
      <w:tr w:rsidR="009214AE" w14:paraId="655F2901" w14:textId="77777777">
        <w:trPr>
          <w:gridAfter w:val="1"/>
          <w:wAfter w:w="113" w:type="dxa"/>
        </w:trPr>
        <w:tc>
          <w:tcPr>
            <w:tcW w:w="567" w:type="dxa"/>
          </w:tcPr>
          <w:p w14:paraId="5759C509" w14:textId="77777777" w:rsidR="009214AE" w:rsidRDefault="00C66335">
            <w:pPr>
              <w:jc w:val="left"/>
              <w:rPr>
                <w:rFonts w:asciiTheme="minorEastAsia" w:hAnsiTheme="minorEastAsia" w:cs="Arial"/>
                <w:szCs w:val="20"/>
              </w:rPr>
            </w:pPr>
            <w:r>
              <w:rPr>
                <w:rFonts w:asciiTheme="minorEastAsia" w:hAnsiTheme="minorEastAsia" w:cs="Arial" w:hint="eastAsia"/>
                <w:szCs w:val="20"/>
              </w:rPr>
              <w:lastRenderedPageBreak/>
              <w:t>20</w:t>
            </w:r>
          </w:p>
        </w:tc>
        <w:tc>
          <w:tcPr>
            <w:tcW w:w="2694" w:type="dxa"/>
          </w:tcPr>
          <w:p w14:paraId="29E8E035" w14:textId="77777777" w:rsidR="009214AE" w:rsidRDefault="00C66335">
            <w:pPr>
              <w:jc w:val="left"/>
              <w:rPr>
                <w:rFonts w:asciiTheme="minorEastAsia" w:hAnsiTheme="minorEastAsia" w:cs="Arial"/>
                <w:szCs w:val="20"/>
              </w:rPr>
            </w:pPr>
            <w:r>
              <w:rPr>
                <w:rFonts w:ascii="宋体" w:hAnsi="宋体" w:cs="Calibri" w:hint="eastAsia"/>
                <w:color w:val="000000"/>
                <w:szCs w:val="21"/>
              </w:rPr>
              <w:t>诺亚正</w:t>
            </w:r>
            <w:proofErr w:type="gramStart"/>
            <w:r>
              <w:rPr>
                <w:rFonts w:ascii="宋体" w:hAnsi="宋体" w:cs="Calibri" w:hint="eastAsia"/>
                <w:color w:val="000000"/>
                <w:szCs w:val="21"/>
              </w:rPr>
              <w:t>行基金</w:t>
            </w:r>
            <w:proofErr w:type="gramEnd"/>
            <w:r>
              <w:rPr>
                <w:rFonts w:ascii="宋体" w:hAnsi="宋体" w:cs="Calibri" w:hint="eastAsia"/>
                <w:color w:val="000000"/>
                <w:szCs w:val="21"/>
              </w:rPr>
              <w:t>销售有限公司</w:t>
            </w:r>
          </w:p>
        </w:tc>
        <w:tc>
          <w:tcPr>
            <w:tcW w:w="5528" w:type="dxa"/>
          </w:tcPr>
          <w:p w14:paraId="65EE2758"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w:t>
            </w:r>
            <w:proofErr w:type="gramStart"/>
            <w:r>
              <w:rPr>
                <w:rFonts w:ascii="宋体" w:hAnsi="宋体" w:cs="Calibri" w:hint="eastAsia"/>
                <w:color w:val="000000"/>
                <w:szCs w:val="21"/>
              </w:rPr>
              <w:t>闵行区申滨南路</w:t>
            </w:r>
            <w:proofErr w:type="gramEnd"/>
            <w:r>
              <w:rPr>
                <w:rFonts w:ascii="宋体" w:hAnsi="宋体" w:cs="Calibri" w:hint="eastAsia"/>
                <w:color w:val="000000"/>
                <w:szCs w:val="21"/>
              </w:rPr>
              <w:t>1226号诺亚财富中心</w:t>
            </w:r>
          </w:p>
          <w:p w14:paraId="7C684FDB"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48CC6C2F"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www.noah-fund.com</w:t>
            </w:r>
          </w:p>
        </w:tc>
      </w:tr>
      <w:tr w:rsidR="009214AE" w14:paraId="66C97F88" w14:textId="77777777">
        <w:trPr>
          <w:gridAfter w:val="1"/>
          <w:wAfter w:w="113" w:type="dxa"/>
        </w:trPr>
        <w:tc>
          <w:tcPr>
            <w:tcW w:w="567" w:type="dxa"/>
          </w:tcPr>
          <w:p w14:paraId="0EB4F4B7" w14:textId="77777777" w:rsidR="009214AE" w:rsidRDefault="00C66335">
            <w:pPr>
              <w:jc w:val="left"/>
              <w:rPr>
                <w:rFonts w:asciiTheme="minorEastAsia" w:hAnsiTheme="minorEastAsia" w:cs="Arial"/>
                <w:szCs w:val="20"/>
              </w:rPr>
            </w:pPr>
            <w:r>
              <w:rPr>
                <w:rFonts w:asciiTheme="minorEastAsia" w:hAnsiTheme="minorEastAsia" w:cs="Arial" w:hint="eastAsia"/>
                <w:szCs w:val="20"/>
              </w:rPr>
              <w:t>21</w:t>
            </w:r>
          </w:p>
        </w:tc>
        <w:tc>
          <w:tcPr>
            <w:tcW w:w="2694" w:type="dxa"/>
          </w:tcPr>
          <w:p w14:paraId="4F1CD2CB"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w:t>
            </w:r>
            <w:proofErr w:type="gramStart"/>
            <w:r>
              <w:rPr>
                <w:rFonts w:ascii="宋体" w:hAnsi="宋体" w:cs="Calibri" w:hint="eastAsia"/>
                <w:color w:val="000000"/>
                <w:szCs w:val="21"/>
              </w:rPr>
              <w:t>凯</w:t>
            </w:r>
            <w:proofErr w:type="gramEnd"/>
            <w:r>
              <w:rPr>
                <w:rFonts w:ascii="宋体" w:hAnsi="宋体" w:cs="Calibri" w:hint="eastAsia"/>
                <w:color w:val="000000"/>
                <w:szCs w:val="21"/>
              </w:rPr>
              <w:t>石财富基金销售有限公司</w:t>
            </w:r>
          </w:p>
        </w:tc>
        <w:tc>
          <w:tcPr>
            <w:tcW w:w="5528" w:type="dxa"/>
          </w:tcPr>
          <w:p w14:paraId="1FCF8612"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注册（办公）地址：上海市黄浦区延安东路1号</w:t>
            </w:r>
            <w:proofErr w:type="gramStart"/>
            <w:r>
              <w:rPr>
                <w:rFonts w:ascii="宋体" w:hAnsi="宋体" w:cs="Calibri" w:hint="eastAsia"/>
                <w:color w:val="000000"/>
                <w:szCs w:val="21"/>
              </w:rPr>
              <w:t>凯石大厦</w:t>
            </w:r>
            <w:proofErr w:type="gramEnd"/>
            <w:r>
              <w:rPr>
                <w:rFonts w:ascii="宋体" w:hAnsi="宋体" w:cs="Calibri" w:hint="eastAsia"/>
                <w:color w:val="000000"/>
                <w:szCs w:val="21"/>
              </w:rPr>
              <w:t>客户服务电话：</w:t>
            </w:r>
            <w:r>
              <w:rPr>
                <w:rFonts w:ascii="宋体" w:hAnsi="宋体" w:cs="Calibri"/>
                <w:color w:val="000000"/>
                <w:szCs w:val="21"/>
              </w:rPr>
              <w:t>400-643-3389</w:t>
            </w:r>
          </w:p>
          <w:p w14:paraId="77572F9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www.vstonewealth.com</w:t>
            </w:r>
          </w:p>
        </w:tc>
      </w:tr>
      <w:tr w:rsidR="009214AE" w14:paraId="20972740" w14:textId="77777777">
        <w:trPr>
          <w:gridAfter w:val="1"/>
          <w:wAfter w:w="113" w:type="dxa"/>
        </w:trPr>
        <w:tc>
          <w:tcPr>
            <w:tcW w:w="567" w:type="dxa"/>
          </w:tcPr>
          <w:p w14:paraId="5B2E6FED" w14:textId="77777777" w:rsidR="009214AE" w:rsidRDefault="00C66335">
            <w:pPr>
              <w:jc w:val="left"/>
              <w:rPr>
                <w:rFonts w:asciiTheme="minorEastAsia" w:hAnsiTheme="minorEastAsia" w:cs="Arial"/>
                <w:szCs w:val="20"/>
              </w:rPr>
            </w:pPr>
            <w:r>
              <w:rPr>
                <w:rFonts w:asciiTheme="minorEastAsia" w:hAnsiTheme="minorEastAsia" w:cs="Arial" w:hint="eastAsia"/>
                <w:szCs w:val="20"/>
              </w:rPr>
              <w:t>22</w:t>
            </w:r>
          </w:p>
        </w:tc>
        <w:tc>
          <w:tcPr>
            <w:tcW w:w="2694" w:type="dxa"/>
          </w:tcPr>
          <w:p w14:paraId="1F88CA0A" w14:textId="77777777" w:rsidR="009214AE" w:rsidRDefault="00C66335">
            <w:pPr>
              <w:jc w:val="left"/>
              <w:rPr>
                <w:rFonts w:asciiTheme="minorEastAsia" w:hAnsiTheme="minorEastAsia" w:cs="Arial"/>
                <w:szCs w:val="20"/>
              </w:rPr>
            </w:pPr>
            <w:proofErr w:type="gramStart"/>
            <w:r>
              <w:rPr>
                <w:rFonts w:ascii="宋体" w:hAnsi="宋体" w:cs="Calibri" w:hint="eastAsia"/>
                <w:bCs/>
                <w:color w:val="000000"/>
                <w:szCs w:val="21"/>
              </w:rPr>
              <w:t>泰信财富</w:t>
            </w:r>
            <w:proofErr w:type="gramEnd"/>
            <w:r>
              <w:rPr>
                <w:rFonts w:ascii="宋体" w:hAnsi="宋体" w:cs="Calibri" w:hint="eastAsia"/>
                <w:bCs/>
                <w:color w:val="000000"/>
                <w:szCs w:val="21"/>
              </w:rPr>
              <w:t>基金销售有限公司</w:t>
            </w:r>
          </w:p>
        </w:tc>
        <w:tc>
          <w:tcPr>
            <w:tcW w:w="5528" w:type="dxa"/>
          </w:tcPr>
          <w:p w14:paraId="5DBBAD8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w:t>
            </w:r>
            <w:proofErr w:type="gramStart"/>
            <w:r>
              <w:rPr>
                <w:rFonts w:ascii="宋体" w:hAnsi="宋体" w:cs="Calibri" w:hint="eastAsia"/>
                <w:color w:val="000000"/>
                <w:szCs w:val="21"/>
              </w:rPr>
              <w:t>建国路乙118号</w:t>
            </w:r>
            <w:proofErr w:type="gramEnd"/>
            <w:r>
              <w:rPr>
                <w:rFonts w:ascii="宋体" w:hAnsi="宋体" w:cs="Calibri" w:hint="eastAsia"/>
                <w:color w:val="000000"/>
                <w:szCs w:val="21"/>
              </w:rPr>
              <w:t>10层1206</w:t>
            </w:r>
          </w:p>
          <w:p w14:paraId="03FD3AB0"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24C12437"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www.taixincf.com</w:t>
            </w:r>
          </w:p>
        </w:tc>
      </w:tr>
      <w:tr w:rsidR="009214AE" w14:paraId="76592654" w14:textId="77777777">
        <w:trPr>
          <w:gridAfter w:val="1"/>
          <w:wAfter w:w="113" w:type="dxa"/>
        </w:trPr>
        <w:tc>
          <w:tcPr>
            <w:tcW w:w="567" w:type="dxa"/>
          </w:tcPr>
          <w:p w14:paraId="61C990D9" w14:textId="77777777" w:rsidR="009214AE" w:rsidRDefault="00C66335">
            <w:pPr>
              <w:jc w:val="left"/>
              <w:rPr>
                <w:rFonts w:asciiTheme="minorEastAsia" w:hAnsiTheme="minorEastAsia" w:cs="Arial"/>
                <w:szCs w:val="20"/>
              </w:rPr>
            </w:pPr>
            <w:r>
              <w:rPr>
                <w:rFonts w:asciiTheme="minorEastAsia" w:hAnsiTheme="minorEastAsia" w:cs="Arial" w:hint="eastAsia"/>
                <w:szCs w:val="20"/>
              </w:rPr>
              <w:t>23</w:t>
            </w:r>
          </w:p>
        </w:tc>
        <w:tc>
          <w:tcPr>
            <w:tcW w:w="2694" w:type="dxa"/>
          </w:tcPr>
          <w:p w14:paraId="0CC6C36E"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上海利得基金销售有限公司</w:t>
            </w:r>
          </w:p>
        </w:tc>
        <w:tc>
          <w:tcPr>
            <w:tcW w:w="5528" w:type="dxa"/>
          </w:tcPr>
          <w:p w14:paraId="40440A55"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注册（办公）地址：上海市虹口区东大名路1098号浦江国际金融广场53楼</w:t>
            </w:r>
          </w:p>
          <w:p w14:paraId="0D4D41A3"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400-032-5885</w:t>
            </w:r>
          </w:p>
          <w:p w14:paraId="67DBCD20"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www.leadfund.com.cn</w:t>
            </w:r>
          </w:p>
        </w:tc>
      </w:tr>
      <w:tr w:rsidR="009214AE" w14:paraId="4D3E5974" w14:textId="77777777">
        <w:trPr>
          <w:gridAfter w:val="1"/>
          <w:wAfter w:w="113" w:type="dxa"/>
        </w:trPr>
        <w:tc>
          <w:tcPr>
            <w:tcW w:w="567" w:type="dxa"/>
          </w:tcPr>
          <w:p w14:paraId="55205F52" w14:textId="77777777" w:rsidR="009214AE" w:rsidRDefault="00C66335">
            <w:pPr>
              <w:jc w:val="left"/>
              <w:rPr>
                <w:rFonts w:asciiTheme="minorEastAsia" w:hAnsiTheme="minorEastAsia" w:cs="Arial"/>
                <w:szCs w:val="20"/>
              </w:rPr>
            </w:pPr>
            <w:r>
              <w:rPr>
                <w:rFonts w:asciiTheme="minorEastAsia" w:hAnsiTheme="minorEastAsia" w:cs="Arial" w:hint="eastAsia"/>
                <w:szCs w:val="20"/>
              </w:rPr>
              <w:t>24</w:t>
            </w:r>
          </w:p>
        </w:tc>
        <w:tc>
          <w:tcPr>
            <w:tcW w:w="2694" w:type="dxa"/>
          </w:tcPr>
          <w:p w14:paraId="55F5C1E7" w14:textId="77777777" w:rsidR="009214AE" w:rsidRDefault="00C66335">
            <w:pPr>
              <w:jc w:val="left"/>
              <w:rPr>
                <w:rFonts w:asciiTheme="minorEastAsia" w:hAnsiTheme="minorEastAsia" w:cs="Arial"/>
                <w:szCs w:val="20"/>
              </w:rPr>
            </w:pPr>
            <w:r>
              <w:rPr>
                <w:rFonts w:ascii="宋体" w:hAnsi="宋体" w:cs="Calibri" w:hint="eastAsia"/>
                <w:color w:val="000000"/>
                <w:szCs w:val="21"/>
              </w:rPr>
              <w:t>南京苏宁基金销售有限公司</w:t>
            </w:r>
          </w:p>
        </w:tc>
        <w:tc>
          <w:tcPr>
            <w:tcW w:w="5528" w:type="dxa"/>
          </w:tcPr>
          <w:p w14:paraId="501C9116"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 :南京市玄武区苏宁大道1-5号</w:t>
            </w:r>
          </w:p>
          <w:p w14:paraId="72F6CE7C"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95177</w:t>
            </w:r>
          </w:p>
          <w:p w14:paraId="015C4E8E"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9214AE" w14:paraId="0BE35BF9" w14:textId="77777777">
        <w:trPr>
          <w:gridAfter w:val="1"/>
          <w:wAfter w:w="113" w:type="dxa"/>
        </w:trPr>
        <w:tc>
          <w:tcPr>
            <w:tcW w:w="567" w:type="dxa"/>
          </w:tcPr>
          <w:p w14:paraId="6BFA9600" w14:textId="77777777" w:rsidR="009214AE" w:rsidRDefault="00C66335">
            <w:pPr>
              <w:jc w:val="left"/>
              <w:rPr>
                <w:rFonts w:asciiTheme="minorEastAsia" w:hAnsiTheme="minorEastAsia" w:cs="Arial"/>
                <w:szCs w:val="20"/>
              </w:rPr>
            </w:pPr>
            <w:r>
              <w:rPr>
                <w:rFonts w:asciiTheme="minorEastAsia" w:hAnsiTheme="minorEastAsia" w:cs="Arial" w:hint="eastAsia"/>
                <w:szCs w:val="20"/>
              </w:rPr>
              <w:t>25</w:t>
            </w:r>
          </w:p>
        </w:tc>
        <w:tc>
          <w:tcPr>
            <w:tcW w:w="2694" w:type="dxa"/>
          </w:tcPr>
          <w:p w14:paraId="075961A9" w14:textId="77777777" w:rsidR="009214AE" w:rsidRDefault="00C66335">
            <w:pPr>
              <w:jc w:val="left"/>
              <w:rPr>
                <w:rFonts w:asciiTheme="minorEastAsia" w:hAnsiTheme="minorEastAsia" w:cs="Arial"/>
                <w:szCs w:val="20"/>
              </w:rPr>
            </w:pPr>
            <w:r>
              <w:rPr>
                <w:rFonts w:ascii="宋体" w:hAnsi="宋体" w:cs="Calibri" w:hint="eastAsia"/>
                <w:color w:val="000000"/>
                <w:szCs w:val="21"/>
              </w:rPr>
              <w:t>中证金牛（北京）投资咨询有限公司</w:t>
            </w:r>
          </w:p>
        </w:tc>
        <w:tc>
          <w:tcPr>
            <w:tcW w:w="5528" w:type="dxa"/>
          </w:tcPr>
          <w:p w14:paraId="0B0433FD"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 北京市丰台区丽泽金融商务</w:t>
            </w:r>
            <w:proofErr w:type="gramStart"/>
            <w:r>
              <w:rPr>
                <w:rFonts w:ascii="宋体" w:hAnsi="宋体" w:cs="Calibri" w:hint="eastAsia"/>
                <w:color w:val="000000"/>
                <w:szCs w:val="21"/>
              </w:rPr>
              <w:t>区铭丰</w:t>
            </w:r>
            <w:proofErr w:type="gramEnd"/>
            <w:r>
              <w:rPr>
                <w:rFonts w:ascii="宋体" w:hAnsi="宋体" w:cs="Calibri" w:hint="eastAsia"/>
                <w:color w:val="000000"/>
                <w:szCs w:val="21"/>
              </w:rPr>
              <w:t>大厦4层401</w:t>
            </w:r>
          </w:p>
          <w:p w14:paraId="3B4B2F1A"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客户服务电话：4008-909-998</w:t>
            </w:r>
          </w:p>
          <w:p w14:paraId="4E5AC924"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网址：www.jnlc.com</w:t>
            </w:r>
          </w:p>
        </w:tc>
      </w:tr>
      <w:tr w:rsidR="009214AE" w14:paraId="4C95F5AA" w14:textId="77777777">
        <w:trPr>
          <w:gridAfter w:val="1"/>
          <w:wAfter w:w="113" w:type="dxa"/>
        </w:trPr>
        <w:tc>
          <w:tcPr>
            <w:tcW w:w="567" w:type="dxa"/>
          </w:tcPr>
          <w:p w14:paraId="2C4C1688" w14:textId="77777777" w:rsidR="009214AE" w:rsidRDefault="00C66335">
            <w:pPr>
              <w:jc w:val="left"/>
              <w:rPr>
                <w:rFonts w:asciiTheme="minorEastAsia" w:hAnsiTheme="minorEastAsia" w:cs="Arial"/>
                <w:szCs w:val="20"/>
              </w:rPr>
            </w:pPr>
            <w:r>
              <w:rPr>
                <w:rFonts w:asciiTheme="minorEastAsia" w:hAnsiTheme="minorEastAsia" w:cs="Arial" w:hint="eastAsia"/>
                <w:szCs w:val="20"/>
              </w:rPr>
              <w:t>26</w:t>
            </w:r>
          </w:p>
        </w:tc>
        <w:tc>
          <w:tcPr>
            <w:tcW w:w="2694" w:type="dxa"/>
          </w:tcPr>
          <w:p w14:paraId="7E092649" w14:textId="77777777" w:rsidR="009214AE" w:rsidRDefault="00C66335">
            <w:pPr>
              <w:jc w:val="left"/>
              <w:rPr>
                <w:rFonts w:asciiTheme="minorEastAsia" w:hAnsiTheme="minorEastAsia" w:cs="Arial"/>
                <w:szCs w:val="20"/>
              </w:rPr>
            </w:pPr>
            <w:proofErr w:type="gramStart"/>
            <w:r>
              <w:rPr>
                <w:rFonts w:ascii="宋体" w:hAnsi="宋体" w:cs="Calibri" w:hint="eastAsia"/>
                <w:color w:val="000000"/>
                <w:szCs w:val="21"/>
              </w:rPr>
              <w:t>玄元保险</w:t>
            </w:r>
            <w:proofErr w:type="gramEnd"/>
            <w:r>
              <w:rPr>
                <w:rFonts w:ascii="宋体" w:hAnsi="宋体" w:cs="Calibri" w:hint="eastAsia"/>
                <w:color w:val="000000"/>
                <w:szCs w:val="21"/>
              </w:rPr>
              <w:t>代理有限公司</w:t>
            </w:r>
          </w:p>
        </w:tc>
        <w:tc>
          <w:tcPr>
            <w:tcW w:w="5528" w:type="dxa"/>
          </w:tcPr>
          <w:p w14:paraId="400EB847"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0FC05C14"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4000808208</w:t>
            </w:r>
          </w:p>
          <w:p w14:paraId="61992E6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www.licaimofang.cn</w:t>
            </w:r>
          </w:p>
        </w:tc>
      </w:tr>
      <w:tr w:rsidR="009214AE" w14:paraId="30C881EC" w14:textId="77777777">
        <w:trPr>
          <w:gridAfter w:val="1"/>
          <w:wAfter w:w="113" w:type="dxa"/>
        </w:trPr>
        <w:tc>
          <w:tcPr>
            <w:tcW w:w="567" w:type="dxa"/>
          </w:tcPr>
          <w:p w14:paraId="2FFE6934" w14:textId="77777777" w:rsidR="009214AE" w:rsidRDefault="00C66335">
            <w:pPr>
              <w:jc w:val="left"/>
              <w:rPr>
                <w:rFonts w:asciiTheme="minorEastAsia" w:hAnsiTheme="minorEastAsia" w:cs="Arial"/>
                <w:szCs w:val="20"/>
              </w:rPr>
            </w:pPr>
            <w:r>
              <w:rPr>
                <w:rFonts w:asciiTheme="minorEastAsia" w:hAnsiTheme="minorEastAsia" w:cs="Arial" w:hint="eastAsia"/>
                <w:szCs w:val="20"/>
              </w:rPr>
              <w:t>27</w:t>
            </w:r>
          </w:p>
        </w:tc>
        <w:tc>
          <w:tcPr>
            <w:tcW w:w="2694" w:type="dxa"/>
          </w:tcPr>
          <w:p w14:paraId="4E16BFB0" w14:textId="77777777" w:rsidR="009214AE" w:rsidRDefault="00C66335">
            <w:pPr>
              <w:jc w:val="left"/>
              <w:rPr>
                <w:rFonts w:asciiTheme="minorEastAsia" w:hAnsiTheme="minorEastAsia" w:cs="Arial"/>
                <w:szCs w:val="20"/>
              </w:rPr>
            </w:pPr>
            <w:proofErr w:type="gramStart"/>
            <w:r>
              <w:rPr>
                <w:rFonts w:ascii="宋体" w:hAnsi="宋体" w:cs="Calibri" w:hint="eastAsia"/>
                <w:color w:val="000000"/>
                <w:szCs w:val="21"/>
              </w:rPr>
              <w:t>宜信普</w:t>
            </w:r>
            <w:proofErr w:type="gramEnd"/>
            <w:r>
              <w:rPr>
                <w:rFonts w:ascii="宋体" w:hAnsi="宋体" w:cs="Calibri" w:hint="eastAsia"/>
                <w:color w:val="000000"/>
                <w:szCs w:val="21"/>
              </w:rPr>
              <w:t>泽（北京）基金销售有限公司</w:t>
            </w:r>
          </w:p>
        </w:tc>
        <w:tc>
          <w:tcPr>
            <w:tcW w:w="5528" w:type="dxa"/>
          </w:tcPr>
          <w:p w14:paraId="59C4ADEF"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 北京市朝阳区建国路118号招商局大厦24F</w:t>
            </w:r>
          </w:p>
          <w:p w14:paraId="6951925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79684914"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http://www.yixinfund.com/</w:t>
            </w:r>
          </w:p>
        </w:tc>
      </w:tr>
      <w:tr w:rsidR="009214AE" w14:paraId="3D06359F" w14:textId="77777777">
        <w:trPr>
          <w:gridAfter w:val="1"/>
          <w:wAfter w:w="113" w:type="dxa"/>
        </w:trPr>
        <w:tc>
          <w:tcPr>
            <w:tcW w:w="567" w:type="dxa"/>
          </w:tcPr>
          <w:p w14:paraId="172D05BE" w14:textId="77777777" w:rsidR="009214AE" w:rsidRDefault="00C66335">
            <w:pPr>
              <w:jc w:val="left"/>
              <w:rPr>
                <w:rFonts w:asciiTheme="minorEastAsia" w:hAnsiTheme="minorEastAsia" w:cs="Arial"/>
                <w:szCs w:val="20"/>
              </w:rPr>
            </w:pPr>
            <w:r>
              <w:rPr>
                <w:rFonts w:asciiTheme="minorEastAsia" w:hAnsiTheme="minorEastAsia" w:cs="Arial" w:hint="eastAsia"/>
                <w:szCs w:val="20"/>
              </w:rPr>
              <w:t>28</w:t>
            </w:r>
          </w:p>
        </w:tc>
        <w:tc>
          <w:tcPr>
            <w:tcW w:w="2694" w:type="dxa"/>
          </w:tcPr>
          <w:p w14:paraId="3541F6AF" w14:textId="77777777" w:rsidR="009214AE" w:rsidRDefault="00C66335">
            <w:pPr>
              <w:jc w:val="left"/>
              <w:rPr>
                <w:rFonts w:asciiTheme="minorEastAsia" w:hAnsiTheme="minorEastAsia" w:cs="Arial"/>
                <w:szCs w:val="20"/>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5528" w:type="dxa"/>
          </w:tcPr>
          <w:p w14:paraId="3EA154F1" w14:textId="77777777" w:rsidR="009214AE" w:rsidRDefault="00C66335">
            <w:pPr>
              <w:jc w:val="left"/>
              <w:rPr>
                <w:rFonts w:ascii="宋体" w:hAnsi="宋体" w:cs="Calibri"/>
                <w:color w:val="000000"/>
                <w:szCs w:val="21"/>
              </w:rPr>
            </w:pPr>
            <w:r>
              <w:rPr>
                <w:rFonts w:ascii="宋体" w:hAnsi="宋体" w:cs="Calibri" w:hint="eastAsia"/>
                <w:color w:val="000000"/>
                <w:szCs w:val="21"/>
              </w:rPr>
              <w:t>注册地址：河南自贸试验区郑州片区（郑东）东风南路东康宁街北6号楼5楼503</w:t>
            </w:r>
          </w:p>
          <w:p w14:paraId="4E447253"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4000-555-671</w:t>
            </w:r>
          </w:p>
          <w:p w14:paraId="32E2ACA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 hgccpb.com</w:t>
            </w:r>
          </w:p>
        </w:tc>
      </w:tr>
      <w:tr w:rsidR="009214AE" w14:paraId="5B5A8AAB" w14:textId="77777777">
        <w:trPr>
          <w:gridAfter w:val="1"/>
          <w:wAfter w:w="113" w:type="dxa"/>
        </w:trPr>
        <w:tc>
          <w:tcPr>
            <w:tcW w:w="567" w:type="dxa"/>
          </w:tcPr>
          <w:p w14:paraId="3243DC05" w14:textId="77777777" w:rsidR="009214AE" w:rsidRDefault="00C66335">
            <w:pPr>
              <w:jc w:val="left"/>
              <w:rPr>
                <w:rFonts w:asciiTheme="minorEastAsia" w:hAnsiTheme="minorEastAsia" w:cs="Arial"/>
                <w:szCs w:val="20"/>
              </w:rPr>
            </w:pPr>
            <w:r>
              <w:rPr>
                <w:rFonts w:asciiTheme="minorEastAsia" w:hAnsiTheme="minorEastAsia" w:cs="Arial" w:hint="eastAsia"/>
                <w:szCs w:val="20"/>
              </w:rPr>
              <w:t>29</w:t>
            </w:r>
          </w:p>
        </w:tc>
        <w:tc>
          <w:tcPr>
            <w:tcW w:w="2694" w:type="dxa"/>
          </w:tcPr>
          <w:p w14:paraId="705C7BB0" w14:textId="77777777" w:rsidR="009214AE" w:rsidRDefault="00C66335">
            <w:pPr>
              <w:jc w:val="left"/>
              <w:rPr>
                <w:rFonts w:asciiTheme="minorEastAsia" w:hAnsiTheme="minorEastAsia" w:cs="Arial"/>
                <w:szCs w:val="2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5528" w:type="dxa"/>
          </w:tcPr>
          <w:p w14:paraId="270200E8" w14:textId="77777777" w:rsidR="009214AE" w:rsidRDefault="00C66335">
            <w:pPr>
              <w:jc w:val="left"/>
              <w:rPr>
                <w:rFonts w:ascii="宋体" w:hAnsi="宋体" w:cs="Calibri"/>
                <w:color w:val="000000"/>
                <w:szCs w:val="21"/>
              </w:rPr>
            </w:pPr>
            <w:r>
              <w:rPr>
                <w:rFonts w:ascii="宋体" w:hAnsi="宋体" w:cs="Calibri" w:hint="eastAsia"/>
                <w:color w:val="000000"/>
                <w:szCs w:val="21"/>
              </w:rPr>
              <w:t>注册地址：北京市海淀区东北旺西路中关村软件园二期（西扩）N-1、N-2地块新浪总部科研楼5层518室</w:t>
            </w:r>
          </w:p>
          <w:p w14:paraId="12E98266"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客户服务电话：010-62675369</w:t>
            </w:r>
          </w:p>
          <w:p w14:paraId="233C4CC9"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网址：www.xincai.com</w:t>
            </w:r>
          </w:p>
        </w:tc>
      </w:tr>
      <w:tr w:rsidR="009214AE" w14:paraId="73E43CB9" w14:textId="77777777">
        <w:trPr>
          <w:gridAfter w:val="1"/>
          <w:wAfter w:w="113" w:type="dxa"/>
        </w:trPr>
        <w:tc>
          <w:tcPr>
            <w:tcW w:w="567" w:type="dxa"/>
          </w:tcPr>
          <w:p w14:paraId="3B869F2F" w14:textId="77777777" w:rsidR="009214AE" w:rsidRDefault="00C66335">
            <w:pPr>
              <w:jc w:val="left"/>
              <w:rPr>
                <w:rFonts w:asciiTheme="minorEastAsia" w:hAnsiTheme="minorEastAsia" w:cs="Arial"/>
                <w:szCs w:val="20"/>
              </w:rPr>
            </w:pPr>
            <w:r>
              <w:rPr>
                <w:rFonts w:asciiTheme="minorEastAsia" w:hAnsiTheme="minorEastAsia" w:cs="Arial" w:hint="eastAsia"/>
                <w:szCs w:val="20"/>
              </w:rPr>
              <w:t>30</w:t>
            </w:r>
          </w:p>
        </w:tc>
        <w:tc>
          <w:tcPr>
            <w:tcW w:w="2694" w:type="dxa"/>
          </w:tcPr>
          <w:p w14:paraId="3695987B" w14:textId="77777777" w:rsidR="009214AE" w:rsidRDefault="00C66335">
            <w:pPr>
              <w:jc w:val="left"/>
              <w:rPr>
                <w:rFonts w:asciiTheme="minorEastAsia" w:hAnsiTheme="minorEastAsia" w:cs="Arial"/>
                <w:szCs w:val="20"/>
              </w:rPr>
            </w:pPr>
            <w:r>
              <w:rPr>
                <w:rFonts w:ascii="宋体" w:hAnsi="宋体" w:cs="Calibri" w:hint="eastAsia"/>
                <w:bCs/>
                <w:color w:val="000000"/>
                <w:szCs w:val="21"/>
              </w:rPr>
              <w:t>财</w:t>
            </w:r>
            <w:proofErr w:type="gramStart"/>
            <w:r>
              <w:rPr>
                <w:rFonts w:ascii="宋体" w:hAnsi="宋体" w:cs="Calibri" w:hint="eastAsia"/>
                <w:bCs/>
                <w:color w:val="000000"/>
                <w:szCs w:val="21"/>
              </w:rPr>
              <w:t>咨</w:t>
            </w:r>
            <w:proofErr w:type="gramEnd"/>
            <w:r>
              <w:rPr>
                <w:rFonts w:ascii="宋体" w:hAnsi="宋体" w:cs="Calibri" w:hint="eastAsia"/>
                <w:bCs/>
                <w:color w:val="000000"/>
                <w:szCs w:val="21"/>
              </w:rPr>
              <w:t>道信息技术有限公司</w:t>
            </w:r>
          </w:p>
        </w:tc>
        <w:tc>
          <w:tcPr>
            <w:tcW w:w="5528" w:type="dxa"/>
          </w:tcPr>
          <w:p w14:paraId="24076853" w14:textId="77777777" w:rsidR="009214AE" w:rsidRDefault="00C66335">
            <w:pPr>
              <w:jc w:val="left"/>
              <w:rPr>
                <w:rFonts w:ascii="宋体" w:hAnsi="宋体" w:cs="Calibri"/>
                <w:color w:val="000000"/>
                <w:szCs w:val="21"/>
              </w:rPr>
            </w:pPr>
            <w:r>
              <w:rPr>
                <w:rFonts w:ascii="宋体" w:hAnsi="宋体" w:cs="Calibri" w:hint="eastAsia"/>
                <w:color w:val="000000"/>
                <w:szCs w:val="21"/>
              </w:rPr>
              <w:t>注册地址：辽宁省沈阳市</w:t>
            </w:r>
            <w:proofErr w:type="gramStart"/>
            <w:r>
              <w:rPr>
                <w:rFonts w:ascii="宋体" w:hAnsi="宋体" w:cs="Calibri" w:hint="eastAsia"/>
                <w:color w:val="000000"/>
                <w:szCs w:val="21"/>
              </w:rPr>
              <w:t>浑</w:t>
            </w:r>
            <w:proofErr w:type="gramEnd"/>
            <w:r>
              <w:rPr>
                <w:rFonts w:ascii="宋体" w:hAnsi="宋体" w:cs="Calibri" w:hint="eastAsia"/>
                <w:color w:val="000000"/>
                <w:szCs w:val="21"/>
              </w:rPr>
              <w:t>南区白塔二南街18-2号B座601</w:t>
            </w:r>
          </w:p>
          <w:p w14:paraId="4B39F020"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400-003-5811</w:t>
            </w:r>
          </w:p>
          <w:p w14:paraId="08BDC967"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www.caizidao.com.cn</w:t>
            </w:r>
          </w:p>
        </w:tc>
      </w:tr>
      <w:tr w:rsidR="009214AE" w14:paraId="3C06A88C" w14:textId="77777777">
        <w:trPr>
          <w:gridAfter w:val="1"/>
          <w:wAfter w:w="113" w:type="dxa"/>
        </w:trPr>
        <w:tc>
          <w:tcPr>
            <w:tcW w:w="567" w:type="dxa"/>
          </w:tcPr>
          <w:p w14:paraId="15FA69EA" w14:textId="77777777" w:rsidR="009214AE" w:rsidRDefault="00C66335">
            <w:pPr>
              <w:jc w:val="left"/>
              <w:rPr>
                <w:rFonts w:asciiTheme="minorEastAsia" w:hAnsiTheme="minorEastAsia" w:cs="Arial"/>
                <w:szCs w:val="20"/>
              </w:rPr>
            </w:pPr>
            <w:r>
              <w:rPr>
                <w:rFonts w:asciiTheme="minorEastAsia" w:hAnsiTheme="minorEastAsia" w:cs="Arial" w:hint="eastAsia"/>
                <w:szCs w:val="20"/>
              </w:rPr>
              <w:t>31</w:t>
            </w:r>
          </w:p>
        </w:tc>
        <w:tc>
          <w:tcPr>
            <w:tcW w:w="2694" w:type="dxa"/>
          </w:tcPr>
          <w:p w14:paraId="42BDEE47" w14:textId="77777777" w:rsidR="009214AE" w:rsidRDefault="00C66335">
            <w:pPr>
              <w:jc w:val="left"/>
              <w:rPr>
                <w:rFonts w:asciiTheme="minorEastAsia" w:hAnsiTheme="minorEastAsia" w:cs="Arial"/>
                <w:szCs w:val="20"/>
              </w:rPr>
            </w:pPr>
            <w:r>
              <w:rPr>
                <w:rFonts w:ascii="宋体" w:hAnsi="宋体" w:cs="Calibri" w:hint="eastAsia"/>
                <w:bCs/>
                <w:color w:val="000000"/>
                <w:szCs w:val="21"/>
              </w:rPr>
              <w:t>北京度小满基金销售有限公司</w:t>
            </w:r>
          </w:p>
        </w:tc>
        <w:tc>
          <w:tcPr>
            <w:tcW w:w="5528" w:type="dxa"/>
          </w:tcPr>
          <w:p w14:paraId="0B6B0372" w14:textId="77777777" w:rsidR="009214AE" w:rsidRDefault="00C66335">
            <w:pPr>
              <w:jc w:val="left"/>
              <w:rPr>
                <w:rFonts w:ascii="宋体" w:hAnsi="宋体" w:cs="Calibri"/>
                <w:color w:val="000000"/>
                <w:szCs w:val="21"/>
              </w:rPr>
            </w:pPr>
            <w:r>
              <w:rPr>
                <w:rFonts w:ascii="宋体" w:hAnsi="宋体" w:cs="Calibri" w:hint="eastAsia"/>
                <w:color w:val="000000"/>
                <w:szCs w:val="21"/>
              </w:rPr>
              <w:t>注册地址：北京市海淀区西北旺东路10号院西区4号楼1层103室</w:t>
            </w:r>
          </w:p>
          <w:p w14:paraId="236FE43D"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w:t>
            </w:r>
          </w:p>
          <w:p w14:paraId="1693B800"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www.duxiaoman.com</w:t>
            </w:r>
          </w:p>
        </w:tc>
      </w:tr>
      <w:tr w:rsidR="009214AE" w14:paraId="139F033E" w14:textId="77777777">
        <w:trPr>
          <w:gridAfter w:val="1"/>
          <w:wAfter w:w="113" w:type="dxa"/>
        </w:trPr>
        <w:tc>
          <w:tcPr>
            <w:tcW w:w="567" w:type="dxa"/>
          </w:tcPr>
          <w:p w14:paraId="667CE6D0" w14:textId="77777777" w:rsidR="009214AE" w:rsidRDefault="00C66335">
            <w:pPr>
              <w:jc w:val="left"/>
              <w:rPr>
                <w:rFonts w:asciiTheme="minorEastAsia" w:hAnsiTheme="minorEastAsia" w:cs="Arial"/>
                <w:szCs w:val="20"/>
              </w:rPr>
            </w:pPr>
            <w:r>
              <w:rPr>
                <w:rFonts w:asciiTheme="minorEastAsia" w:hAnsiTheme="minorEastAsia" w:cs="Arial" w:hint="eastAsia"/>
                <w:szCs w:val="20"/>
              </w:rPr>
              <w:t>32</w:t>
            </w:r>
          </w:p>
        </w:tc>
        <w:tc>
          <w:tcPr>
            <w:tcW w:w="2694" w:type="dxa"/>
          </w:tcPr>
          <w:p w14:paraId="60AF9F3D" w14:textId="77777777" w:rsidR="009214AE" w:rsidRDefault="00C66335">
            <w:pPr>
              <w:jc w:val="left"/>
              <w:rPr>
                <w:rFonts w:asciiTheme="minorEastAsia" w:hAnsiTheme="minorEastAsia" w:cs="Arial"/>
                <w:szCs w:val="20"/>
              </w:rPr>
            </w:pPr>
            <w:r>
              <w:rPr>
                <w:rFonts w:ascii="宋体" w:hAnsi="宋体" w:cs="Calibri" w:hint="eastAsia"/>
                <w:bCs/>
                <w:color w:val="000000"/>
                <w:szCs w:val="21"/>
              </w:rPr>
              <w:t>通华财富（上海）基金销售</w:t>
            </w:r>
            <w:r>
              <w:rPr>
                <w:rFonts w:ascii="宋体" w:hAnsi="宋体" w:cs="Calibri" w:hint="eastAsia"/>
                <w:bCs/>
                <w:color w:val="000000"/>
                <w:szCs w:val="21"/>
              </w:rPr>
              <w:lastRenderedPageBreak/>
              <w:t>有限公司</w:t>
            </w:r>
          </w:p>
        </w:tc>
        <w:tc>
          <w:tcPr>
            <w:tcW w:w="5528" w:type="dxa"/>
          </w:tcPr>
          <w:p w14:paraId="4C7CD3A8" w14:textId="77777777" w:rsidR="009214AE" w:rsidRDefault="00C66335">
            <w:pPr>
              <w:jc w:val="left"/>
              <w:rPr>
                <w:rFonts w:ascii="宋体" w:hAnsi="宋体" w:cs="Calibri"/>
                <w:color w:val="000000"/>
                <w:szCs w:val="21"/>
              </w:rPr>
            </w:pPr>
            <w:r>
              <w:rPr>
                <w:rFonts w:ascii="宋体" w:hAnsi="宋体" w:cs="Calibri" w:hint="eastAsia"/>
                <w:color w:val="000000"/>
                <w:szCs w:val="21"/>
              </w:rPr>
              <w:lastRenderedPageBreak/>
              <w:t>注册（办公）地址:上海市浦东新区</w:t>
            </w:r>
            <w:proofErr w:type="gramStart"/>
            <w:r>
              <w:rPr>
                <w:rFonts w:ascii="宋体" w:hAnsi="宋体" w:cs="Calibri" w:hint="eastAsia"/>
                <w:color w:val="000000"/>
                <w:szCs w:val="21"/>
              </w:rPr>
              <w:t>金沪路55号</w:t>
            </w:r>
            <w:proofErr w:type="gramEnd"/>
            <w:r>
              <w:rPr>
                <w:rFonts w:ascii="宋体" w:hAnsi="宋体" w:cs="Calibri" w:hint="eastAsia"/>
                <w:color w:val="000000"/>
                <w:szCs w:val="21"/>
              </w:rPr>
              <w:t>通华科技</w:t>
            </w:r>
            <w:r>
              <w:rPr>
                <w:rFonts w:ascii="宋体" w:hAnsi="宋体" w:cs="Calibri" w:hint="eastAsia"/>
                <w:color w:val="000000"/>
                <w:szCs w:val="21"/>
              </w:rPr>
              <w:lastRenderedPageBreak/>
              <w:t>大厦10层</w:t>
            </w:r>
          </w:p>
          <w:p w14:paraId="6BD0AE78"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400-101-9301</w:t>
            </w:r>
          </w:p>
          <w:p w14:paraId="3FC214A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www.tonghuafund.com</w:t>
            </w:r>
          </w:p>
        </w:tc>
      </w:tr>
      <w:tr w:rsidR="009214AE" w14:paraId="7B93F45C" w14:textId="77777777">
        <w:trPr>
          <w:gridAfter w:val="1"/>
          <w:wAfter w:w="113" w:type="dxa"/>
        </w:trPr>
        <w:tc>
          <w:tcPr>
            <w:tcW w:w="567" w:type="dxa"/>
          </w:tcPr>
          <w:p w14:paraId="564C1A51" w14:textId="77777777" w:rsidR="009214AE" w:rsidRDefault="00C66335">
            <w:pPr>
              <w:jc w:val="left"/>
              <w:rPr>
                <w:rFonts w:asciiTheme="minorEastAsia" w:hAnsiTheme="minorEastAsia" w:cs="Arial"/>
                <w:szCs w:val="20"/>
              </w:rPr>
            </w:pPr>
            <w:r>
              <w:rPr>
                <w:rFonts w:asciiTheme="minorEastAsia" w:hAnsiTheme="minorEastAsia" w:cs="Arial" w:hint="eastAsia"/>
                <w:szCs w:val="20"/>
              </w:rPr>
              <w:lastRenderedPageBreak/>
              <w:t>33</w:t>
            </w:r>
          </w:p>
        </w:tc>
        <w:tc>
          <w:tcPr>
            <w:tcW w:w="2694" w:type="dxa"/>
          </w:tcPr>
          <w:p w14:paraId="409A897D" w14:textId="77777777" w:rsidR="009214AE" w:rsidRDefault="00C66335">
            <w:pPr>
              <w:jc w:val="left"/>
              <w:rPr>
                <w:rFonts w:asciiTheme="minorEastAsia" w:hAnsiTheme="minorEastAsia" w:cs="Arial"/>
                <w:szCs w:val="20"/>
              </w:rPr>
            </w:pPr>
            <w:r>
              <w:rPr>
                <w:rFonts w:ascii="宋体" w:hAnsi="宋体" w:cs="Calibri" w:hint="eastAsia"/>
                <w:bCs/>
                <w:color w:val="000000"/>
                <w:szCs w:val="21"/>
              </w:rPr>
              <w:t>上海万得基金销售有限公司</w:t>
            </w:r>
          </w:p>
        </w:tc>
        <w:tc>
          <w:tcPr>
            <w:tcW w:w="5528" w:type="dxa"/>
          </w:tcPr>
          <w:p w14:paraId="0399681D" w14:textId="77777777" w:rsidR="009214AE" w:rsidRDefault="00C66335">
            <w:pPr>
              <w:jc w:val="left"/>
              <w:rPr>
                <w:rFonts w:ascii="宋体" w:hAnsi="宋体" w:cs="Calibri"/>
                <w:color w:val="000000"/>
                <w:szCs w:val="21"/>
              </w:rPr>
            </w:pPr>
            <w:r>
              <w:rPr>
                <w:rFonts w:ascii="宋体" w:hAnsi="宋体" w:cs="Calibri" w:hint="eastAsia"/>
                <w:color w:val="000000"/>
                <w:szCs w:val="21"/>
              </w:rPr>
              <w:t>注册（办公）地址：中国（上海）浦东新区浦明路1500号万得大厦11楼</w:t>
            </w:r>
          </w:p>
          <w:p w14:paraId="2F3BE2FF"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400-799-1888</w:t>
            </w:r>
          </w:p>
          <w:p w14:paraId="27802EE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www.520fund.com.cn</w:t>
            </w:r>
          </w:p>
        </w:tc>
      </w:tr>
      <w:tr w:rsidR="009214AE" w14:paraId="3B7E39D2" w14:textId="77777777">
        <w:trPr>
          <w:gridAfter w:val="1"/>
          <w:wAfter w:w="113" w:type="dxa"/>
        </w:trPr>
        <w:tc>
          <w:tcPr>
            <w:tcW w:w="567" w:type="dxa"/>
          </w:tcPr>
          <w:p w14:paraId="76126036" w14:textId="77777777" w:rsidR="009214AE" w:rsidRDefault="00C66335">
            <w:pPr>
              <w:jc w:val="left"/>
              <w:rPr>
                <w:rFonts w:asciiTheme="minorEastAsia" w:hAnsiTheme="minorEastAsia" w:cs="Arial"/>
                <w:szCs w:val="20"/>
              </w:rPr>
            </w:pPr>
            <w:r>
              <w:rPr>
                <w:rFonts w:asciiTheme="minorEastAsia" w:hAnsiTheme="minorEastAsia" w:cs="Arial" w:hint="eastAsia"/>
                <w:szCs w:val="20"/>
              </w:rPr>
              <w:t>34</w:t>
            </w:r>
          </w:p>
        </w:tc>
        <w:tc>
          <w:tcPr>
            <w:tcW w:w="2694" w:type="dxa"/>
          </w:tcPr>
          <w:p w14:paraId="3A01DBF2" w14:textId="77777777" w:rsidR="009214AE" w:rsidRDefault="00C66335">
            <w:pPr>
              <w:jc w:val="left"/>
              <w:rPr>
                <w:rFonts w:asciiTheme="minorEastAsia" w:hAnsiTheme="minorEastAsia" w:cs="Arial"/>
                <w:szCs w:val="20"/>
              </w:rPr>
            </w:pPr>
            <w:r>
              <w:rPr>
                <w:rFonts w:ascii="宋体" w:hAnsi="宋体" w:cs="Calibri" w:hint="eastAsia"/>
                <w:bCs/>
                <w:color w:val="000000"/>
                <w:szCs w:val="21"/>
              </w:rPr>
              <w:t>泛华</w:t>
            </w:r>
            <w:proofErr w:type="gramStart"/>
            <w:r>
              <w:rPr>
                <w:rFonts w:ascii="宋体" w:hAnsi="宋体" w:cs="Calibri" w:hint="eastAsia"/>
                <w:bCs/>
                <w:color w:val="000000"/>
                <w:szCs w:val="21"/>
              </w:rPr>
              <w:t>普益基金</w:t>
            </w:r>
            <w:proofErr w:type="gramEnd"/>
            <w:r>
              <w:rPr>
                <w:rFonts w:ascii="宋体" w:hAnsi="宋体" w:cs="Calibri" w:hint="eastAsia"/>
                <w:bCs/>
                <w:color w:val="000000"/>
                <w:szCs w:val="21"/>
              </w:rPr>
              <w:t>销售有限公司</w:t>
            </w:r>
          </w:p>
        </w:tc>
        <w:tc>
          <w:tcPr>
            <w:tcW w:w="5528" w:type="dxa"/>
          </w:tcPr>
          <w:p w14:paraId="745FB524" w14:textId="77777777" w:rsidR="009214AE" w:rsidRDefault="00C66335">
            <w:pPr>
              <w:jc w:val="left"/>
              <w:rPr>
                <w:rFonts w:ascii="宋体" w:hAnsi="宋体" w:cs="Calibri"/>
                <w:color w:val="000000"/>
                <w:szCs w:val="21"/>
              </w:rPr>
            </w:pPr>
            <w:r>
              <w:rPr>
                <w:rFonts w:ascii="宋体" w:hAnsi="宋体" w:cs="Calibri" w:hint="eastAsia"/>
                <w:color w:val="000000"/>
                <w:szCs w:val="21"/>
              </w:rPr>
              <w:t>注册地址：成都市成华区建设路9号高地中心1101室</w:t>
            </w:r>
          </w:p>
          <w:p w14:paraId="16B52B4E"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3F4B0150"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www.puyifund.com</w:t>
            </w:r>
          </w:p>
        </w:tc>
      </w:tr>
      <w:tr w:rsidR="009214AE" w14:paraId="63CF1219" w14:textId="77777777">
        <w:trPr>
          <w:gridAfter w:val="1"/>
          <w:wAfter w:w="113" w:type="dxa"/>
        </w:trPr>
        <w:tc>
          <w:tcPr>
            <w:tcW w:w="567" w:type="dxa"/>
          </w:tcPr>
          <w:p w14:paraId="747D0C5F" w14:textId="77777777" w:rsidR="009214AE" w:rsidRDefault="00C66335">
            <w:pPr>
              <w:jc w:val="left"/>
              <w:rPr>
                <w:rFonts w:asciiTheme="minorEastAsia" w:hAnsiTheme="minorEastAsia" w:cs="Arial"/>
                <w:szCs w:val="20"/>
              </w:rPr>
            </w:pPr>
            <w:r>
              <w:rPr>
                <w:rFonts w:asciiTheme="minorEastAsia" w:hAnsiTheme="minorEastAsia" w:cs="Arial" w:hint="eastAsia"/>
                <w:szCs w:val="20"/>
              </w:rPr>
              <w:t>35</w:t>
            </w:r>
          </w:p>
        </w:tc>
        <w:tc>
          <w:tcPr>
            <w:tcW w:w="2694" w:type="dxa"/>
          </w:tcPr>
          <w:p w14:paraId="7C50859B" w14:textId="77777777" w:rsidR="009214AE" w:rsidRDefault="00C66335">
            <w:pPr>
              <w:jc w:val="left"/>
              <w:rPr>
                <w:rFonts w:asciiTheme="minorEastAsia" w:hAnsiTheme="minorEastAsia" w:cs="Arial"/>
                <w:szCs w:val="20"/>
              </w:rPr>
            </w:pPr>
            <w:proofErr w:type="gramStart"/>
            <w:r>
              <w:rPr>
                <w:rFonts w:asciiTheme="minorEastAsia" w:hAnsiTheme="minorEastAsia" w:cs="Arial" w:hint="eastAsia"/>
                <w:szCs w:val="20"/>
              </w:rPr>
              <w:t>腾安基金</w:t>
            </w:r>
            <w:proofErr w:type="gramEnd"/>
            <w:r>
              <w:rPr>
                <w:rFonts w:asciiTheme="minorEastAsia" w:hAnsiTheme="minorEastAsia" w:cs="Arial" w:hint="eastAsia"/>
                <w:szCs w:val="20"/>
              </w:rPr>
              <w:t>销售（深圳）有限公司</w:t>
            </w:r>
          </w:p>
          <w:p w14:paraId="38227722" w14:textId="77777777" w:rsidR="009214AE" w:rsidRDefault="00C66335">
            <w:pPr>
              <w:jc w:val="left"/>
              <w:rPr>
                <w:rFonts w:asciiTheme="minorEastAsia" w:hAnsiTheme="minorEastAsia" w:cs="Arial"/>
                <w:szCs w:val="20"/>
              </w:rPr>
            </w:pPr>
            <w:r>
              <w:rPr>
                <w:rFonts w:asciiTheme="minorEastAsia" w:hAnsiTheme="minorEastAsia" w:cs="Arial" w:hint="eastAsia"/>
                <w:szCs w:val="20"/>
              </w:rPr>
              <w:tab/>
            </w:r>
          </w:p>
          <w:p w14:paraId="1D411584" w14:textId="77777777" w:rsidR="009214AE" w:rsidRDefault="009214AE">
            <w:pPr>
              <w:jc w:val="left"/>
              <w:rPr>
                <w:rFonts w:asciiTheme="minorEastAsia" w:hAnsiTheme="minorEastAsia" w:cs="Arial"/>
                <w:szCs w:val="20"/>
              </w:rPr>
            </w:pPr>
          </w:p>
        </w:tc>
        <w:tc>
          <w:tcPr>
            <w:tcW w:w="5528" w:type="dxa"/>
          </w:tcPr>
          <w:p w14:paraId="64E32B56" w14:textId="77777777" w:rsidR="009214AE" w:rsidRDefault="00C66335">
            <w:pPr>
              <w:jc w:val="left"/>
              <w:rPr>
                <w:rFonts w:ascii="宋体" w:hAnsi="宋体" w:cs="Calibri"/>
                <w:color w:val="000000"/>
                <w:szCs w:val="21"/>
              </w:rPr>
            </w:pPr>
            <w:r>
              <w:rPr>
                <w:rFonts w:ascii="宋体" w:hAnsi="宋体" w:cs="Calibri" w:hint="eastAsia"/>
                <w:color w:val="000000"/>
                <w:szCs w:val="21"/>
              </w:rPr>
              <w:t>注册（办公）地址：深圳市南山区海天二路</w:t>
            </w:r>
            <w:proofErr w:type="gramStart"/>
            <w:r>
              <w:rPr>
                <w:rFonts w:ascii="宋体" w:hAnsi="宋体" w:cs="Calibri" w:hint="eastAsia"/>
                <w:color w:val="000000"/>
                <w:szCs w:val="21"/>
              </w:rPr>
              <w:t>33号腾讯滨海</w:t>
            </w:r>
            <w:proofErr w:type="gramEnd"/>
            <w:r>
              <w:rPr>
                <w:rFonts w:ascii="宋体" w:hAnsi="宋体" w:cs="Calibri" w:hint="eastAsia"/>
                <w:color w:val="000000"/>
                <w:szCs w:val="21"/>
              </w:rPr>
              <w:t>大厦15楼</w:t>
            </w:r>
          </w:p>
          <w:p w14:paraId="7A027FE5" w14:textId="77777777" w:rsidR="009214AE" w:rsidRDefault="00C66335">
            <w:pPr>
              <w:jc w:val="left"/>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4000-890-555</w:t>
            </w:r>
            <w:r>
              <w:rPr>
                <w:rFonts w:ascii="宋体" w:hAnsi="宋体" w:cs="Calibri" w:hint="eastAsia"/>
                <w:color w:val="000000"/>
                <w:szCs w:val="21"/>
              </w:rPr>
              <w:t xml:space="preserve"> </w:t>
            </w:r>
          </w:p>
          <w:p w14:paraId="4CF1657C"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公司网站：www.txfund.com</w:t>
            </w:r>
          </w:p>
        </w:tc>
      </w:tr>
      <w:tr w:rsidR="009214AE" w14:paraId="32FA78FF" w14:textId="77777777">
        <w:trPr>
          <w:gridAfter w:val="1"/>
          <w:wAfter w:w="113" w:type="dxa"/>
        </w:trPr>
        <w:tc>
          <w:tcPr>
            <w:tcW w:w="567" w:type="dxa"/>
          </w:tcPr>
          <w:p w14:paraId="19F630EF" w14:textId="77777777" w:rsidR="009214AE" w:rsidRDefault="00C66335">
            <w:pPr>
              <w:jc w:val="left"/>
              <w:rPr>
                <w:rFonts w:asciiTheme="minorEastAsia" w:hAnsiTheme="minorEastAsia" w:cs="Arial"/>
                <w:szCs w:val="20"/>
              </w:rPr>
            </w:pPr>
            <w:r>
              <w:rPr>
                <w:rFonts w:asciiTheme="minorEastAsia" w:hAnsiTheme="minorEastAsia" w:cs="Arial" w:hint="eastAsia"/>
                <w:szCs w:val="20"/>
              </w:rPr>
              <w:t>36</w:t>
            </w:r>
          </w:p>
        </w:tc>
        <w:tc>
          <w:tcPr>
            <w:tcW w:w="2694" w:type="dxa"/>
          </w:tcPr>
          <w:p w14:paraId="14C0113A" w14:textId="77777777" w:rsidR="009214AE" w:rsidRDefault="00C66335">
            <w:pPr>
              <w:jc w:val="left"/>
              <w:rPr>
                <w:rFonts w:asciiTheme="minorEastAsia" w:hAnsiTheme="minorEastAsia" w:cs="Arial"/>
                <w:szCs w:val="20"/>
              </w:rPr>
            </w:pPr>
            <w:r>
              <w:rPr>
                <w:rFonts w:ascii="宋体" w:hAnsi="宋体" w:cs="Calibri" w:hint="eastAsia"/>
                <w:color w:val="000000"/>
                <w:szCs w:val="21"/>
              </w:rPr>
              <w:t>北京中</w:t>
            </w:r>
            <w:proofErr w:type="gramStart"/>
            <w:r>
              <w:rPr>
                <w:rFonts w:ascii="宋体" w:hAnsi="宋体" w:cs="Calibri" w:hint="eastAsia"/>
                <w:color w:val="000000"/>
                <w:szCs w:val="21"/>
              </w:rPr>
              <w:t>植基金</w:t>
            </w:r>
            <w:proofErr w:type="gramEnd"/>
            <w:r>
              <w:rPr>
                <w:rFonts w:ascii="宋体" w:hAnsi="宋体" w:cs="Calibri" w:hint="eastAsia"/>
                <w:color w:val="000000"/>
                <w:szCs w:val="21"/>
              </w:rPr>
              <w:t>销售有限公司</w:t>
            </w:r>
          </w:p>
        </w:tc>
        <w:tc>
          <w:tcPr>
            <w:tcW w:w="5528" w:type="dxa"/>
          </w:tcPr>
          <w:p w14:paraId="27618DBA"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注册（办公）地址：北京市朝阳区建国路91号金地中心B座21、29层</w:t>
            </w:r>
          </w:p>
          <w:p w14:paraId="6486E020"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400-8180-888</w:t>
            </w:r>
          </w:p>
          <w:p w14:paraId="25511760"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/www.zzfund.com</w:t>
            </w:r>
          </w:p>
        </w:tc>
      </w:tr>
      <w:tr w:rsidR="009214AE" w14:paraId="486AA9BC" w14:textId="77777777">
        <w:trPr>
          <w:gridAfter w:val="1"/>
          <w:wAfter w:w="113" w:type="dxa"/>
        </w:trPr>
        <w:tc>
          <w:tcPr>
            <w:tcW w:w="567" w:type="dxa"/>
          </w:tcPr>
          <w:p w14:paraId="4E008E2D" w14:textId="77777777" w:rsidR="009214AE" w:rsidRDefault="00C66335">
            <w:pPr>
              <w:jc w:val="left"/>
              <w:rPr>
                <w:rFonts w:asciiTheme="minorEastAsia" w:hAnsiTheme="minorEastAsia" w:cs="Arial"/>
                <w:szCs w:val="20"/>
              </w:rPr>
            </w:pPr>
            <w:r>
              <w:rPr>
                <w:rFonts w:asciiTheme="minorEastAsia" w:hAnsiTheme="minorEastAsia" w:cs="Arial" w:hint="eastAsia"/>
                <w:szCs w:val="20"/>
              </w:rPr>
              <w:t>37</w:t>
            </w:r>
          </w:p>
        </w:tc>
        <w:tc>
          <w:tcPr>
            <w:tcW w:w="2694" w:type="dxa"/>
          </w:tcPr>
          <w:p w14:paraId="065B2F64" w14:textId="77777777" w:rsidR="009214AE" w:rsidRDefault="00C66335">
            <w:pPr>
              <w:jc w:val="left"/>
              <w:rPr>
                <w:rFonts w:asciiTheme="minorEastAsia" w:hAnsiTheme="minorEastAsia" w:cs="Arial"/>
                <w:szCs w:val="20"/>
              </w:rPr>
            </w:pPr>
            <w:r>
              <w:t>北京</w:t>
            </w:r>
            <w:proofErr w:type="gramStart"/>
            <w:r>
              <w:t>创金启富基金</w:t>
            </w:r>
            <w:proofErr w:type="gramEnd"/>
            <w:r>
              <w:t>销售有限公司</w:t>
            </w:r>
          </w:p>
        </w:tc>
        <w:tc>
          <w:tcPr>
            <w:tcW w:w="5528" w:type="dxa"/>
          </w:tcPr>
          <w:p w14:paraId="7335B70A" w14:textId="77777777" w:rsidR="009214AE" w:rsidRDefault="00C66335">
            <w:pPr>
              <w:pStyle w:val="a6"/>
            </w:pPr>
            <w:r>
              <w:t>注册</w:t>
            </w:r>
            <w:r>
              <w:rPr>
                <w:rFonts w:ascii="宋体" w:hAnsi="宋体" w:cs="Calibri" w:hint="eastAsia"/>
                <w:color w:val="000000"/>
                <w:szCs w:val="21"/>
              </w:rPr>
              <w:t>（办公）</w:t>
            </w:r>
            <w:r>
              <w:t>地址：</w:t>
            </w:r>
            <w:r>
              <w:rPr>
                <w:rFonts w:hint="eastAsia"/>
              </w:rPr>
              <w:t>北京市西城区白纸坊东街</w:t>
            </w:r>
            <w:r>
              <w:rPr>
                <w:rFonts w:hint="eastAsia"/>
              </w:rPr>
              <w:t>2</w:t>
            </w:r>
            <w:r>
              <w:rPr>
                <w:rFonts w:hint="eastAsia"/>
              </w:rPr>
              <w:t>号经济日报社</w:t>
            </w:r>
            <w:r>
              <w:rPr>
                <w:rFonts w:hint="eastAsia"/>
              </w:rPr>
              <w:t>A</w:t>
            </w:r>
            <w:proofErr w:type="gramStart"/>
            <w:r>
              <w:rPr>
                <w:rFonts w:hint="eastAsia"/>
              </w:rPr>
              <w:t>座综合</w:t>
            </w:r>
            <w:proofErr w:type="gramEnd"/>
            <w:r>
              <w:rPr>
                <w:rFonts w:hint="eastAsia"/>
              </w:rPr>
              <w:t>楼</w:t>
            </w:r>
            <w:r>
              <w:rPr>
                <w:rFonts w:hint="eastAsia"/>
              </w:rPr>
              <w:t>712</w:t>
            </w:r>
            <w:r>
              <w:rPr>
                <w:rFonts w:hint="eastAsia"/>
              </w:rPr>
              <w:t>室</w:t>
            </w:r>
          </w:p>
          <w:p w14:paraId="6EBBDECF" w14:textId="77777777" w:rsidR="009214AE" w:rsidRDefault="00C66335">
            <w:pPr>
              <w:pStyle w:val="a6"/>
            </w:pPr>
            <w:r>
              <w:t>客服电话：</w:t>
            </w:r>
            <w:r>
              <w:t xml:space="preserve">010-66154828 </w:t>
            </w:r>
          </w:p>
          <w:p w14:paraId="385FA5DC" w14:textId="77777777" w:rsidR="009214AE" w:rsidRDefault="00C66335">
            <w:pPr>
              <w:jc w:val="left"/>
              <w:rPr>
                <w:rFonts w:asciiTheme="minorEastAsia" w:hAnsiTheme="minorEastAsia" w:cs="Arial"/>
                <w:szCs w:val="20"/>
              </w:rPr>
            </w:pPr>
            <w:r>
              <w:t>公司网站：</w:t>
            </w:r>
            <w:r>
              <w:t>corp.5irich.com</w:t>
            </w:r>
          </w:p>
        </w:tc>
      </w:tr>
      <w:tr w:rsidR="009214AE" w14:paraId="7ABAC9B2" w14:textId="77777777">
        <w:trPr>
          <w:gridAfter w:val="1"/>
          <w:wAfter w:w="113" w:type="dxa"/>
        </w:trPr>
        <w:tc>
          <w:tcPr>
            <w:tcW w:w="567" w:type="dxa"/>
          </w:tcPr>
          <w:p w14:paraId="3EFE6FB5" w14:textId="77777777" w:rsidR="009214AE" w:rsidRDefault="00C66335">
            <w:pPr>
              <w:jc w:val="left"/>
              <w:rPr>
                <w:rFonts w:asciiTheme="minorEastAsia" w:hAnsiTheme="minorEastAsia" w:cs="Arial"/>
                <w:szCs w:val="20"/>
              </w:rPr>
            </w:pPr>
            <w:r>
              <w:rPr>
                <w:rFonts w:asciiTheme="minorEastAsia" w:hAnsiTheme="minorEastAsia" w:cs="Arial" w:hint="eastAsia"/>
                <w:szCs w:val="20"/>
              </w:rPr>
              <w:t>38</w:t>
            </w:r>
          </w:p>
        </w:tc>
        <w:tc>
          <w:tcPr>
            <w:tcW w:w="2694" w:type="dxa"/>
          </w:tcPr>
          <w:p w14:paraId="4210477F" w14:textId="77777777" w:rsidR="009214AE" w:rsidRDefault="00C66335">
            <w:pPr>
              <w:jc w:val="left"/>
              <w:rPr>
                <w:rFonts w:asciiTheme="minorEastAsia" w:hAnsiTheme="minorEastAsia" w:cs="Arial"/>
                <w:szCs w:val="20"/>
              </w:rPr>
            </w:pPr>
            <w:r>
              <w:t>上海</w:t>
            </w:r>
            <w:proofErr w:type="gramStart"/>
            <w:r>
              <w:t>陆享基金</w:t>
            </w:r>
            <w:proofErr w:type="gramEnd"/>
            <w:r>
              <w:t>销售有限公司</w:t>
            </w:r>
          </w:p>
        </w:tc>
        <w:tc>
          <w:tcPr>
            <w:tcW w:w="5528" w:type="dxa"/>
          </w:tcPr>
          <w:p w14:paraId="0593BDB0" w14:textId="77777777" w:rsidR="009214AE" w:rsidRDefault="00C66335">
            <w:pPr>
              <w:snapToGrid w:val="0"/>
              <w:jc w:val="left"/>
            </w:pPr>
            <w:r>
              <w:rPr>
                <w:rFonts w:hint="eastAsia"/>
              </w:rPr>
              <w:t>注册（办公）地址：中国（上海）自由贸易试验区世纪大道</w:t>
            </w:r>
            <w:r>
              <w:rPr>
                <w:rFonts w:hint="eastAsia"/>
              </w:rPr>
              <w:t>1196</w:t>
            </w:r>
            <w:r>
              <w:rPr>
                <w:rFonts w:hint="eastAsia"/>
              </w:rPr>
              <w:t>号世纪汇广场二座</w:t>
            </w:r>
            <w:r>
              <w:rPr>
                <w:rFonts w:hint="eastAsia"/>
              </w:rPr>
              <w:t>16</w:t>
            </w:r>
            <w:r>
              <w:rPr>
                <w:rFonts w:hint="eastAsia"/>
              </w:rPr>
              <w:t>层</w:t>
            </w:r>
          </w:p>
          <w:p w14:paraId="0FE0C7A8" w14:textId="77777777" w:rsidR="009214AE" w:rsidRDefault="00C66335">
            <w:pPr>
              <w:snapToGrid w:val="0"/>
              <w:jc w:val="left"/>
            </w:pPr>
            <w:r>
              <w:rPr>
                <w:rFonts w:hint="eastAsia"/>
              </w:rPr>
              <w:t>客服电话：</w:t>
            </w:r>
            <w:r>
              <w:rPr>
                <w:rFonts w:hint="eastAsia"/>
              </w:rPr>
              <w:t>400-168-1235</w:t>
            </w:r>
          </w:p>
          <w:p w14:paraId="3D582CC8" w14:textId="77777777" w:rsidR="009214AE" w:rsidRDefault="00C66335">
            <w:pPr>
              <w:jc w:val="left"/>
              <w:rPr>
                <w:rFonts w:asciiTheme="minorEastAsia" w:hAnsiTheme="minorEastAsia" w:cs="Arial"/>
                <w:szCs w:val="20"/>
              </w:rPr>
            </w:pPr>
            <w:r>
              <w:rPr>
                <w:rFonts w:hint="eastAsia"/>
              </w:rPr>
              <w:t>公司网站：</w:t>
            </w:r>
            <w:r>
              <w:rPr>
                <w:rFonts w:hint="eastAsia"/>
              </w:rPr>
              <w:t>www.luxxfund.com</w:t>
            </w:r>
          </w:p>
        </w:tc>
      </w:tr>
      <w:tr w:rsidR="009214AE" w14:paraId="7CB7AD12" w14:textId="77777777">
        <w:trPr>
          <w:gridAfter w:val="1"/>
          <w:wAfter w:w="113" w:type="dxa"/>
        </w:trPr>
        <w:tc>
          <w:tcPr>
            <w:tcW w:w="567" w:type="dxa"/>
          </w:tcPr>
          <w:p w14:paraId="6AD8B815" w14:textId="77777777" w:rsidR="009214AE" w:rsidRDefault="00C66335">
            <w:pPr>
              <w:jc w:val="left"/>
              <w:rPr>
                <w:rFonts w:asciiTheme="minorEastAsia" w:hAnsiTheme="minorEastAsia" w:cs="Arial"/>
                <w:szCs w:val="20"/>
              </w:rPr>
            </w:pPr>
            <w:r>
              <w:rPr>
                <w:rFonts w:asciiTheme="minorEastAsia" w:hAnsiTheme="minorEastAsia" w:cs="Arial" w:hint="eastAsia"/>
                <w:szCs w:val="20"/>
              </w:rPr>
              <w:t>39</w:t>
            </w:r>
          </w:p>
        </w:tc>
        <w:tc>
          <w:tcPr>
            <w:tcW w:w="2694" w:type="dxa"/>
          </w:tcPr>
          <w:p w14:paraId="171AF8BD" w14:textId="77777777" w:rsidR="009214AE" w:rsidRDefault="00C66335">
            <w:pPr>
              <w:pStyle w:val="a6"/>
            </w:pPr>
            <w:r>
              <w:rPr>
                <w:rFonts w:hint="eastAsia"/>
              </w:rPr>
              <w:t>和讯信息科技有限公司</w:t>
            </w:r>
          </w:p>
          <w:p w14:paraId="00C52EED" w14:textId="77777777" w:rsidR="009214AE" w:rsidRDefault="009214AE">
            <w:pPr>
              <w:jc w:val="left"/>
              <w:rPr>
                <w:rFonts w:asciiTheme="minorEastAsia" w:hAnsiTheme="minorEastAsia" w:cs="Arial"/>
                <w:szCs w:val="20"/>
              </w:rPr>
            </w:pPr>
          </w:p>
        </w:tc>
        <w:tc>
          <w:tcPr>
            <w:tcW w:w="5528" w:type="dxa"/>
          </w:tcPr>
          <w:p w14:paraId="27A5D96B" w14:textId="77777777" w:rsidR="009214AE" w:rsidRDefault="00C66335">
            <w:pPr>
              <w:pStyle w:val="a6"/>
            </w:pPr>
            <w:r>
              <w:t>注册</w:t>
            </w:r>
            <w:r>
              <w:rPr>
                <w:rFonts w:ascii="宋体" w:hAnsi="宋体" w:cs="Calibri" w:hint="eastAsia"/>
                <w:color w:val="000000"/>
                <w:szCs w:val="21"/>
              </w:rPr>
              <w:t>（办公）</w:t>
            </w:r>
            <w:r>
              <w:t>地址：</w:t>
            </w:r>
            <w:r>
              <w:rPr>
                <w:rFonts w:hint="eastAsia"/>
              </w:rPr>
              <w:t>北京市朝外大街</w:t>
            </w:r>
            <w:r>
              <w:rPr>
                <w:rFonts w:hint="eastAsia"/>
              </w:rPr>
              <w:t>22</w:t>
            </w:r>
            <w:r>
              <w:rPr>
                <w:rFonts w:hint="eastAsia"/>
              </w:rPr>
              <w:t>号</w:t>
            </w:r>
            <w:r>
              <w:rPr>
                <w:rFonts w:hint="eastAsia"/>
              </w:rPr>
              <w:t xml:space="preserve"> </w:t>
            </w:r>
            <w:proofErr w:type="gramStart"/>
            <w:r>
              <w:rPr>
                <w:rFonts w:hint="eastAsia"/>
              </w:rPr>
              <w:t>泛利大厦</w:t>
            </w:r>
            <w:proofErr w:type="gramEnd"/>
            <w:r>
              <w:rPr>
                <w:rFonts w:hint="eastAsia"/>
              </w:rPr>
              <w:t>10</w:t>
            </w:r>
            <w:r>
              <w:rPr>
                <w:rFonts w:hint="eastAsia"/>
              </w:rPr>
              <w:t>层</w:t>
            </w:r>
          </w:p>
          <w:p w14:paraId="2092B4DE" w14:textId="77777777" w:rsidR="009214AE" w:rsidRDefault="00C66335">
            <w:pPr>
              <w:pStyle w:val="a6"/>
            </w:pPr>
            <w:r>
              <w:rPr>
                <w:rFonts w:hint="eastAsia"/>
              </w:rPr>
              <w:t>客服电话：</w:t>
            </w:r>
            <w:r>
              <w:rPr>
                <w:rFonts w:hint="eastAsia"/>
              </w:rPr>
              <w:t>400-920-0022</w:t>
            </w:r>
          </w:p>
          <w:p w14:paraId="37316335" w14:textId="77777777" w:rsidR="009214AE" w:rsidRDefault="00C66335">
            <w:pPr>
              <w:jc w:val="left"/>
              <w:rPr>
                <w:rFonts w:asciiTheme="minorEastAsia" w:hAnsiTheme="minorEastAsia" w:cs="Arial"/>
                <w:szCs w:val="20"/>
              </w:rPr>
            </w:pPr>
            <w:r>
              <w:rPr>
                <w:rFonts w:hint="eastAsia"/>
              </w:rPr>
              <w:t>公司网站：</w:t>
            </w:r>
            <w:hyperlink r:id="rId20" w:history="1">
              <w:r>
                <w:rPr>
                  <w:rStyle w:val="afd"/>
                  <w:rFonts w:hint="eastAsia"/>
                </w:rPr>
                <w:t>www.licaike.com</w:t>
              </w:r>
            </w:hyperlink>
          </w:p>
        </w:tc>
      </w:tr>
      <w:tr w:rsidR="009214AE" w14:paraId="65E712B7" w14:textId="77777777">
        <w:trPr>
          <w:gridAfter w:val="1"/>
          <w:wAfter w:w="113" w:type="dxa"/>
        </w:trPr>
        <w:tc>
          <w:tcPr>
            <w:tcW w:w="567" w:type="dxa"/>
          </w:tcPr>
          <w:p w14:paraId="2D7798B5" w14:textId="77777777" w:rsidR="009214AE" w:rsidRDefault="00C66335">
            <w:pPr>
              <w:jc w:val="left"/>
              <w:rPr>
                <w:rFonts w:asciiTheme="minorEastAsia" w:hAnsiTheme="minorEastAsia" w:cs="Arial"/>
                <w:szCs w:val="20"/>
              </w:rPr>
            </w:pPr>
            <w:r>
              <w:rPr>
                <w:rFonts w:asciiTheme="minorEastAsia" w:hAnsiTheme="minorEastAsia" w:cs="Arial" w:hint="eastAsia"/>
                <w:szCs w:val="20"/>
              </w:rPr>
              <w:t>40</w:t>
            </w:r>
          </w:p>
        </w:tc>
        <w:tc>
          <w:tcPr>
            <w:tcW w:w="2694" w:type="dxa"/>
          </w:tcPr>
          <w:p w14:paraId="602A1352" w14:textId="77777777" w:rsidR="009214AE" w:rsidRDefault="00C66335">
            <w:pPr>
              <w:jc w:val="left"/>
              <w:rPr>
                <w:rFonts w:asciiTheme="minorEastAsia" w:hAnsiTheme="minorEastAsia" w:cs="Arial"/>
                <w:szCs w:val="20"/>
              </w:rPr>
            </w:pPr>
            <w:r>
              <w:rPr>
                <w:rFonts w:ascii="宋体" w:hAnsi="宋体" w:cs="Calibri" w:hint="eastAsia"/>
                <w:bCs/>
                <w:color w:val="000000"/>
                <w:szCs w:val="21"/>
              </w:rPr>
              <w:t>阳光人寿保险股份有限公司</w:t>
            </w:r>
          </w:p>
        </w:tc>
        <w:tc>
          <w:tcPr>
            <w:tcW w:w="5528" w:type="dxa"/>
          </w:tcPr>
          <w:p w14:paraId="49341A23" w14:textId="77777777" w:rsidR="009214AE" w:rsidRDefault="00C66335">
            <w:pPr>
              <w:jc w:val="left"/>
              <w:rPr>
                <w:rFonts w:ascii="宋体" w:hAnsi="宋体" w:cs="Calibri"/>
                <w:color w:val="000000"/>
                <w:szCs w:val="21"/>
              </w:rPr>
            </w:pPr>
            <w:r>
              <w:rPr>
                <w:rFonts w:ascii="宋体" w:hAnsi="宋体" w:cs="Calibri" w:hint="eastAsia"/>
                <w:color w:val="000000"/>
                <w:szCs w:val="21"/>
              </w:rPr>
              <w:t>注册（办公）地址：北京市朝阳区朝阳门外大街乙12号院1号昆泰国际大厦12层</w:t>
            </w:r>
          </w:p>
          <w:p w14:paraId="6EDB9963" w14:textId="77777777" w:rsidR="009214AE" w:rsidRDefault="00C66335">
            <w:pPr>
              <w:jc w:val="left"/>
              <w:rPr>
                <w:rFonts w:ascii="宋体" w:hAnsi="宋体" w:cs="Calibri"/>
                <w:color w:val="000000"/>
                <w:szCs w:val="21"/>
              </w:rPr>
            </w:pPr>
            <w:r>
              <w:rPr>
                <w:rFonts w:ascii="宋体" w:hAnsi="宋体" w:cs="Calibri" w:hint="eastAsia"/>
                <w:color w:val="000000"/>
                <w:szCs w:val="21"/>
              </w:rPr>
              <w:t>客户服务电话：95510</w:t>
            </w:r>
          </w:p>
          <w:p w14:paraId="799861A6"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网址：fund.sinosig.com</w:t>
            </w:r>
          </w:p>
        </w:tc>
      </w:tr>
      <w:tr w:rsidR="009214AE" w14:paraId="5581C0E7" w14:textId="77777777">
        <w:trPr>
          <w:gridAfter w:val="1"/>
          <w:wAfter w:w="113" w:type="dxa"/>
        </w:trPr>
        <w:tc>
          <w:tcPr>
            <w:tcW w:w="567" w:type="dxa"/>
          </w:tcPr>
          <w:p w14:paraId="6CC5E898" w14:textId="77777777" w:rsidR="009214AE" w:rsidRDefault="00C66335">
            <w:pPr>
              <w:jc w:val="left"/>
              <w:rPr>
                <w:rFonts w:asciiTheme="minorEastAsia" w:hAnsiTheme="minorEastAsia" w:cs="Arial"/>
                <w:szCs w:val="20"/>
              </w:rPr>
            </w:pPr>
            <w:r>
              <w:rPr>
                <w:rFonts w:asciiTheme="minorEastAsia" w:hAnsiTheme="minorEastAsia" w:cs="Arial" w:hint="eastAsia"/>
                <w:szCs w:val="20"/>
              </w:rPr>
              <w:t>41</w:t>
            </w:r>
          </w:p>
        </w:tc>
        <w:tc>
          <w:tcPr>
            <w:tcW w:w="2694" w:type="dxa"/>
          </w:tcPr>
          <w:p w14:paraId="7F79018E" w14:textId="77777777" w:rsidR="009214AE" w:rsidRDefault="00C66335">
            <w:pPr>
              <w:jc w:val="left"/>
              <w:rPr>
                <w:rFonts w:asciiTheme="minorEastAsia" w:hAnsiTheme="minorEastAsia" w:cs="Arial"/>
                <w:szCs w:val="20"/>
              </w:rPr>
            </w:pPr>
            <w:r>
              <w:rPr>
                <w:rFonts w:ascii="宋体" w:hAnsi="宋体" w:cs="Calibri" w:hint="eastAsia"/>
                <w:bCs/>
                <w:color w:val="000000"/>
                <w:szCs w:val="21"/>
              </w:rPr>
              <w:t>深圳市前海排</w:t>
            </w:r>
            <w:proofErr w:type="gramStart"/>
            <w:r>
              <w:rPr>
                <w:rFonts w:ascii="宋体" w:hAnsi="宋体" w:cs="Calibri" w:hint="eastAsia"/>
                <w:bCs/>
                <w:color w:val="000000"/>
                <w:szCs w:val="21"/>
              </w:rPr>
              <w:t>排</w:t>
            </w:r>
            <w:proofErr w:type="gramEnd"/>
            <w:r>
              <w:rPr>
                <w:rFonts w:ascii="宋体" w:hAnsi="宋体" w:cs="Calibri" w:hint="eastAsia"/>
                <w:bCs/>
                <w:color w:val="000000"/>
                <w:szCs w:val="21"/>
              </w:rPr>
              <w:t>网基金销售有限责任公司</w:t>
            </w:r>
          </w:p>
        </w:tc>
        <w:tc>
          <w:tcPr>
            <w:tcW w:w="5528" w:type="dxa"/>
          </w:tcPr>
          <w:p w14:paraId="603DABFB" w14:textId="77777777" w:rsidR="009214AE" w:rsidRDefault="00C66335">
            <w:pPr>
              <w:jc w:val="left"/>
            </w:pPr>
            <w:r>
              <w:t>注册</w:t>
            </w:r>
            <w:r>
              <w:rPr>
                <w:rFonts w:ascii="宋体" w:hAnsi="宋体" w:cs="Calibri" w:hint="eastAsia"/>
                <w:color w:val="000000"/>
                <w:szCs w:val="21"/>
              </w:rPr>
              <w:t>（办公）地址：深圳市前海深港合作区前湾一路1号A栋201室</w:t>
            </w:r>
          </w:p>
          <w:p w14:paraId="38FB9EB7" w14:textId="77777777" w:rsidR="009214AE" w:rsidRDefault="00C66335">
            <w:pPr>
              <w:jc w:val="left"/>
            </w:pPr>
            <w:r>
              <w:t>客服电话：</w:t>
            </w:r>
            <w:r>
              <w:t xml:space="preserve">400-666-7388 </w:t>
            </w:r>
          </w:p>
          <w:p w14:paraId="2804A6DA" w14:textId="77777777" w:rsidR="009214AE" w:rsidRDefault="00C66335">
            <w:pPr>
              <w:jc w:val="left"/>
              <w:rPr>
                <w:rFonts w:asciiTheme="minorEastAsia" w:hAnsiTheme="minorEastAsia" w:cs="Arial"/>
                <w:szCs w:val="20"/>
              </w:rPr>
            </w:pPr>
            <w:r>
              <w:t>公司网站：</w:t>
            </w:r>
            <w:r>
              <w:t>www.ppwfund.com</w:t>
            </w:r>
          </w:p>
        </w:tc>
      </w:tr>
      <w:tr w:rsidR="009214AE" w14:paraId="7A539EF2" w14:textId="77777777">
        <w:trPr>
          <w:gridAfter w:val="1"/>
          <w:wAfter w:w="113" w:type="dxa"/>
        </w:trPr>
        <w:tc>
          <w:tcPr>
            <w:tcW w:w="567" w:type="dxa"/>
          </w:tcPr>
          <w:p w14:paraId="6DD2313C" w14:textId="77777777" w:rsidR="009214AE" w:rsidRDefault="00C66335">
            <w:pPr>
              <w:jc w:val="left"/>
              <w:rPr>
                <w:rFonts w:asciiTheme="minorEastAsia" w:hAnsiTheme="minorEastAsia" w:cs="Arial"/>
                <w:szCs w:val="20"/>
              </w:rPr>
            </w:pPr>
            <w:r>
              <w:rPr>
                <w:rFonts w:asciiTheme="minorEastAsia" w:hAnsiTheme="minorEastAsia" w:cs="Arial" w:hint="eastAsia"/>
                <w:szCs w:val="20"/>
              </w:rPr>
              <w:t>42</w:t>
            </w:r>
          </w:p>
        </w:tc>
        <w:tc>
          <w:tcPr>
            <w:tcW w:w="2694" w:type="dxa"/>
          </w:tcPr>
          <w:p w14:paraId="33B7CA67" w14:textId="77777777" w:rsidR="009214AE" w:rsidRDefault="00C66335">
            <w:pPr>
              <w:jc w:val="left"/>
              <w:rPr>
                <w:rFonts w:asciiTheme="minorEastAsia" w:hAnsiTheme="minorEastAsia" w:cs="Arial"/>
                <w:szCs w:val="20"/>
              </w:rPr>
            </w:pPr>
            <w:r>
              <w:rPr>
                <w:rFonts w:ascii="宋体" w:hAnsi="宋体" w:cs="Calibri" w:hint="eastAsia"/>
                <w:bCs/>
                <w:color w:val="000000"/>
                <w:szCs w:val="21"/>
              </w:rPr>
              <w:t>金元证券股份有限公司</w:t>
            </w:r>
          </w:p>
        </w:tc>
        <w:tc>
          <w:tcPr>
            <w:tcW w:w="5528" w:type="dxa"/>
          </w:tcPr>
          <w:p w14:paraId="2CDC91C8"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 :</w:t>
            </w:r>
            <w:r>
              <w:rPr>
                <w:rFonts w:hint="eastAsia"/>
              </w:rPr>
              <w:t xml:space="preserve"> </w:t>
            </w:r>
            <w:r>
              <w:rPr>
                <w:rFonts w:ascii="宋体" w:hAnsi="宋体" w:cs="Calibri" w:hint="eastAsia"/>
                <w:color w:val="000000"/>
                <w:szCs w:val="21"/>
              </w:rPr>
              <w:t>深圳市深南大道4001号时代金融中心大厦17楼</w:t>
            </w:r>
          </w:p>
          <w:p w14:paraId="24D1809F" w14:textId="77777777" w:rsidR="009214AE" w:rsidRDefault="00C66335">
            <w:pPr>
              <w:snapToGrid w:val="0"/>
              <w:jc w:val="left"/>
            </w:pPr>
            <w:r>
              <w:rPr>
                <w:rFonts w:ascii="宋体" w:hAnsi="宋体" w:cs="Calibri" w:hint="eastAsia"/>
                <w:color w:val="000000"/>
                <w:szCs w:val="21"/>
              </w:rPr>
              <w:t>客户服务电话</w:t>
            </w:r>
            <w:r>
              <w:t>：</w:t>
            </w:r>
            <w:r>
              <w:t>95372</w:t>
            </w:r>
          </w:p>
          <w:p w14:paraId="14401ADF"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网址：www.jyzq.cn</w:t>
            </w:r>
          </w:p>
        </w:tc>
      </w:tr>
      <w:tr w:rsidR="009214AE" w14:paraId="732E0398" w14:textId="77777777">
        <w:trPr>
          <w:gridAfter w:val="1"/>
          <w:wAfter w:w="113" w:type="dxa"/>
        </w:trPr>
        <w:tc>
          <w:tcPr>
            <w:tcW w:w="567" w:type="dxa"/>
          </w:tcPr>
          <w:p w14:paraId="7505A41F" w14:textId="77777777" w:rsidR="009214AE" w:rsidRDefault="00C66335">
            <w:pPr>
              <w:jc w:val="left"/>
              <w:rPr>
                <w:rFonts w:asciiTheme="minorEastAsia" w:hAnsiTheme="minorEastAsia" w:cs="Arial"/>
                <w:szCs w:val="20"/>
              </w:rPr>
            </w:pPr>
            <w:r>
              <w:rPr>
                <w:rFonts w:asciiTheme="minorEastAsia" w:hAnsiTheme="minorEastAsia" w:cs="Arial" w:hint="eastAsia"/>
                <w:szCs w:val="20"/>
              </w:rPr>
              <w:t>43</w:t>
            </w:r>
          </w:p>
        </w:tc>
        <w:tc>
          <w:tcPr>
            <w:tcW w:w="2694" w:type="dxa"/>
          </w:tcPr>
          <w:p w14:paraId="74761CFD" w14:textId="77777777" w:rsidR="009214AE" w:rsidRDefault="00C66335">
            <w:pPr>
              <w:jc w:val="left"/>
              <w:rPr>
                <w:rFonts w:asciiTheme="minorEastAsia" w:hAnsiTheme="minorEastAsia" w:cs="Arial"/>
                <w:szCs w:val="20"/>
              </w:rPr>
            </w:pPr>
            <w:r>
              <w:rPr>
                <w:rFonts w:ascii="宋体" w:hAnsi="宋体" w:cs="Calibri" w:hint="eastAsia"/>
                <w:bCs/>
                <w:color w:val="000000"/>
                <w:szCs w:val="21"/>
              </w:rPr>
              <w:t>嘉实财富管理有限公司</w:t>
            </w:r>
          </w:p>
        </w:tc>
        <w:tc>
          <w:tcPr>
            <w:tcW w:w="5528" w:type="dxa"/>
          </w:tcPr>
          <w:p w14:paraId="72430D1E" w14:textId="77777777" w:rsidR="009214AE" w:rsidRDefault="00C66335">
            <w:pPr>
              <w:jc w:val="left"/>
            </w:pPr>
            <w:r>
              <w:t>注册</w:t>
            </w:r>
            <w:r>
              <w:rPr>
                <w:rFonts w:ascii="宋体" w:hAnsi="宋体" w:cs="Calibri" w:hint="eastAsia"/>
                <w:color w:val="000000"/>
                <w:szCs w:val="21"/>
              </w:rPr>
              <w:t>（办公）</w:t>
            </w:r>
            <w:r>
              <w:t>地址：</w:t>
            </w:r>
            <w:r>
              <w:rPr>
                <w:rFonts w:hint="eastAsia"/>
              </w:rPr>
              <w:t>海南省三亚市天涯区凤凰岛</w:t>
            </w:r>
            <w:r>
              <w:rPr>
                <w:rFonts w:hint="eastAsia"/>
              </w:rPr>
              <w:t>1</w:t>
            </w:r>
            <w:r>
              <w:rPr>
                <w:rFonts w:hint="eastAsia"/>
              </w:rPr>
              <w:t>号楼</w:t>
            </w:r>
            <w:r>
              <w:rPr>
                <w:rFonts w:hint="eastAsia"/>
              </w:rPr>
              <w:t>7</w:t>
            </w:r>
            <w:r>
              <w:rPr>
                <w:rFonts w:hint="eastAsia"/>
              </w:rPr>
              <w:t>层</w:t>
            </w:r>
            <w:r>
              <w:rPr>
                <w:rFonts w:hint="eastAsia"/>
              </w:rPr>
              <w:t>710</w:t>
            </w:r>
            <w:r>
              <w:rPr>
                <w:rFonts w:hint="eastAsia"/>
              </w:rPr>
              <w:t>号</w:t>
            </w:r>
          </w:p>
          <w:p w14:paraId="115B37CE" w14:textId="77777777" w:rsidR="009214AE" w:rsidRDefault="00C66335">
            <w:pPr>
              <w:jc w:val="left"/>
              <w:rPr>
                <w:rFonts w:ascii="宋体" w:hAnsi="宋体" w:cs="Calibri"/>
                <w:color w:val="000000"/>
                <w:szCs w:val="21"/>
              </w:rPr>
            </w:pPr>
            <w:r>
              <w:rPr>
                <w:rFonts w:ascii="宋体" w:hAnsi="宋体" w:cs="Calibri" w:hint="eastAsia"/>
                <w:color w:val="000000"/>
                <w:szCs w:val="21"/>
              </w:rPr>
              <w:t>客服电话：400-021-8850</w:t>
            </w:r>
          </w:p>
          <w:p w14:paraId="73788FB5" w14:textId="77777777" w:rsidR="009214AE" w:rsidRDefault="00C66335">
            <w:pPr>
              <w:jc w:val="left"/>
              <w:rPr>
                <w:rFonts w:asciiTheme="minorEastAsia" w:hAnsiTheme="minorEastAsia" w:cs="Arial"/>
                <w:szCs w:val="20"/>
              </w:rPr>
            </w:pPr>
            <w:r>
              <w:rPr>
                <w:rFonts w:ascii="宋体" w:hAnsi="宋体" w:cs="Calibri" w:hint="eastAsia"/>
                <w:color w:val="000000"/>
                <w:szCs w:val="21"/>
              </w:rPr>
              <w:lastRenderedPageBreak/>
              <w:t>公司网站：www.harvestwm.cn</w:t>
            </w:r>
          </w:p>
        </w:tc>
      </w:tr>
      <w:tr w:rsidR="009214AE" w14:paraId="77D26FB0" w14:textId="77777777">
        <w:trPr>
          <w:gridAfter w:val="1"/>
          <w:wAfter w:w="113" w:type="dxa"/>
        </w:trPr>
        <w:tc>
          <w:tcPr>
            <w:tcW w:w="567" w:type="dxa"/>
          </w:tcPr>
          <w:p w14:paraId="474CCD56" w14:textId="77777777" w:rsidR="009214AE" w:rsidRDefault="00C66335">
            <w:pPr>
              <w:jc w:val="left"/>
              <w:rPr>
                <w:rFonts w:asciiTheme="minorEastAsia" w:hAnsiTheme="minorEastAsia" w:cs="Arial"/>
                <w:szCs w:val="20"/>
              </w:rPr>
            </w:pPr>
            <w:r>
              <w:rPr>
                <w:rFonts w:asciiTheme="minorEastAsia" w:hAnsiTheme="minorEastAsia" w:cs="Arial" w:hint="eastAsia"/>
                <w:szCs w:val="20"/>
              </w:rPr>
              <w:lastRenderedPageBreak/>
              <w:t>44</w:t>
            </w:r>
          </w:p>
        </w:tc>
        <w:tc>
          <w:tcPr>
            <w:tcW w:w="2694" w:type="dxa"/>
          </w:tcPr>
          <w:p w14:paraId="686E4477" w14:textId="77777777" w:rsidR="009214AE" w:rsidRDefault="00C66335">
            <w:pPr>
              <w:jc w:val="left"/>
              <w:rPr>
                <w:rFonts w:asciiTheme="minorEastAsia" w:hAnsiTheme="minorEastAsia" w:cs="Arial"/>
                <w:szCs w:val="20"/>
              </w:rPr>
            </w:pPr>
            <w:r>
              <w:t>上海</w:t>
            </w:r>
            <w:proofErr w:type="gramStart"/>
            <w:r>
              <w:t>攀赢基金</w:t>
            </w:r>
            <w:proofErr w:type="gramEnd"/>
            <w:r>
              <w:t>销售有限公司</w:t>
            </w:r>
          </w:p>
        </w:tc>
        <w:tc>
          <w:tcPr>
            <w:tcW w:w="5528" w:type="dxa"/>
          </w:tcPr>
          <w:p w14:paraId="69457C78" w14:textId="77777777" w:rsidR="009214AE" w:rsidRDefault="00C66335">
            <w:pPr>
              <w:snapToGrid w:val="0"/>
              <w:jc w:val="left"/>
            </w:pPr>
            <w:r>
              <w:rPr>
                <w:rFonts w:hint="eastAsia"/>
              </w:rPr>
              <w:t>注册（办公）地址：上海市浦东</w:t>
            </w:r>
            <w:proofErr w:type="gramStart"/>
            <w:r>
              <w:rPr>
                <w:rFonts w:hint="eastAsia"/>
              </w:rPr>
              <w:t>新区银</w:t>
            </w:r>
            <w:proofErr w:type="gramEnd"/>
            <w:r>
              <w:rPr>
                <w:rFonts w:hint="eastAsia"/>
              </w:rPr>
              <w:t>城路</w:t>
            </w:r>
            <w:r>
              <w:rPr>
                <w:rFonts w:hint="eastAsia"/>
              </w:rPr>
              <w:t>116</w:t>
            </w:r>
            <w:r>
              <w:rPr>
                <w:rFonts w:hint="eastAsia"/>
              </w:rPr>
              <w:t>号大华银行大厦</w:t>
            </w:r>
            <w:r>
              <w:rPr>
                <w:rFonts w:hint="eastAsia"/>
              </w:rPr>
              <w:t>7</w:t>
            </w:r>
            <w:r>
              <w:rPr>
                <w:rFonts w:hint="eastAsia"/>
              </w:rPr>
              <w:t>楼</w:t>
            </w:r>
          </w:p>
          <w:p w14:paraId="29C4EF5F"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客服电话：021-68889082</w:t>
            </w:r>
          </w:p>
          <w:p w14:paraId="031FD8F2" w14:textId="77777777" w:rsidR="009214AE" w:rsidRDefault="00C66335">
            <w:pPr>
              <w:jc w:val="left"/>
              <w:rPr>
                <w:rFonts w:asciiTheme="minorEastAsia" w:hAnsiTheme="minorEastAsia" w:cs="Arial"/>
                <w:szCs w:val="20"/>
              </w:rPr>
            </w:pPr>
            <w:r>
              <w:rPr>
                <w:rFonts w:ascii="宋体" w:hAnsi="宋体" w:cs="Calibri" w:hint="eastAsia"/>
                <w:color w:val="000000"/>
                <w:szCs w:val="21"/>
              </w:rPr>
              <w:t>公司网站：www.pytz.cn</w:t>
            </w:r>
          </w:p>
        </w:tc>
      </w:tr>
      <w:tr w:rsidR="009214AE" w14:paraId="4EAB4747" w14:textId="77777777">
        <w:trPr>
          <w:gridAfter w:val="1"/>
          <w:wAfter w:w="113" w:type="dxa"/>
        </w:trPr>
        <w:tc>
          <w:tcPr>
            <w:tcW w:w="567" w:type="dxa"/>
          </w:tcPr>
          <w:p w14:paraId="5F13A07C" w14:textId="77777777" w:rsidR="009214AE" w:rsidRDefault="00C66335">
            <w:pPr>
              <w:jc w:val="left"/>
              <w:rPr>
                <w:rFonts w:asciiTheme="minorEastAsia" w:hAnsiTheme="minorEastAsia" w:cs="Arial"/>
                <w:szCs w:val="20"/>
              </w:rPr>
            </w:pPr>
            <w:r>
              <w:rPr>
                <w:rFonts w:asciiTheme="minorEastAsia" w:hAnsiTheme="minorEastAsia" w:cs="Arial" w:hint="eastAsia"/>
                <w:szCs w:val="20"/>
              </w:rPr>
              <w:t>45</w:t>
            </w:r>
          </w:p>
        </w:tc>
        <w:tc>
          <w:tcPr>
            <w:tcW w:w="2694" w:type="dxa"/>
          </w:tcPr>
          <w:p w14:paraId="0F009509" w14:textId="77777777" w:rsidR="009214AE" w:rsidRDefault="00C66335">
            <w:pPr>
              <w:jc w:val="left"/>
              <w:rPr>
                <w:rFonts w:asciiTheme="minorEastAsia" w:hAnsiTheme="minorEastAsia" w:cs="Arial"/>
                <w:szCs w:val="20"/>
              </w:rPr>
            </w:pPr>
            <w:r>
              <w:rPr>
                <w:rFonts w:ascii="宋体" w:hAnsi="宋体" w:cs="Calibri" w:hint="eastAsia"/>
                <w:color w:val="000000"/>
                <w:szCs w:val="21"/>
              </w:rPr>
              <w:t>上海爱建基金销售有限公司</w:t>
            </w:r>
          </w:p>
        </w:tc>
        <w:tc>
          <w:tcPr>
            <w:tcW w:w="5528" w:type="dxa"/>
          </w:tcPr>
          <w:p w14:paraId="24622189"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注册(办公)地址 :</w:t>
            </w:r>
            <w:r>
              <w:rPr>
                <w:rFonts w:hint="eastAsia"/>
              </w:rPr>
              <w:t xml:space="preserve"> </w:t>
            </w:r>
            <w:r>
              <w:rPr>
                <w:rFonts w:ascii="宋体" w:hAnsi="宋体" w:cs="Calibri" w:hint="eastAsia"/>
                <w:color w:val="000000"/>
                <w:szCs w:val="21"/>
              </w:rPr>
              <w:t>上海市徐汇</w:t>
            </w:r>
            <w:proofErr w:type="gramStart"/>
            <w:r>
              <w:rPr>
                <w:rFonts w:ascii="宋体" w:hAnsi="宋体" w:cs="Calibri" w:hint="eastAsia"/>
                <w:color w:val="000000"/>
                <w:szCs w:val="21"/>
              </w:rPr>
              <w:t>区肇嘉浜</w:t>
            </w:r>
            <w:proofErr w:type="gramEnd"/>
            <w:r>
              <w:rPr>
                <w:rFonts w:ascii="宋体" w:hAnsi="宋体" w:cs="Calibri" w:hint="eastAsia"/>
                <w:color w:val="000000"/>
                <w:szCs w:val="21"/>
              </w:rPr>
              <w:t>路746号</w:t>
            </w:r>
          </w:p>
          <w:p w14:paraId="63AD3F23" w14:textId="77777777" w:rsidR="009214AE" w:rsidRDefault="00C66335">
            <w:pPr>
              <w:snapToGrid w:val="0"/>
              <w:jc w:val="left"/>
              <w:rPr>
                <w:rFonts w:ascii="宋体" w:hAnsi="宋体" w:cs="Calibri"/>
                <w:color w:val="000000"/>
                <w:szCs w:val="21"/>
              </w:rPr>
            </w:pPr>
            <w:r>
              <w:rPr>
                <w:rFonts w:ascii="宋体" w:hAnsi="宋体" w:cs="Calibri" w:hint="eastAsia"/>
                <w:color w:val="000000"/>
                <w:szCs w:val="21"/>
              </w:rPr>
              <w:t>客户服务电话</w:t>
            </w:r>
            <w:r>
              <w:t>：</w:t>
            </w:r>
            <w:r>
              <w:t>400-803-2733</w:t>
            </w:r>
          </w:p>
          <w:p w14:paraId="085C0EAA" w14:textId="77777777" w:rsidR="009214AE" w:rsidRDefault="00C66335">
            <w:pPr>
              <w:jc w:val="left"/>
              <w:rPr>
                <w:rFonts w:asciiTheme="minorEastAsia" w:hAnsiTheme="minorEastAsia" w:cs="Arial"/>
                <w:szCs w:val="20"/>
              </w:rPr>
            </w:pPr>
            <w:r>
              <w:rPr>
                <w:rFonts w:ascii="宋体" w:hAnsi="宋体" w:cs="Calibri" w:hint="eastAsia"/>
                <w:color w:val="000000"/>
                <w:szCs w:val="21"/>
              </w:rPr>
              <w:t>网址：</w:t>
            </w:r>
            <w:r>
              <w:t>www.ajwm.com.cn</w:t>
            </w:r>
          </w:p>
        </w:tc>
      </w:tr>
      <w:tr w:rsidR="009214AE" w14:paraId="35B9E172" w14:textId="77777777">
        <w:trPr>
          <w:gridAfter w:val="1"/>
          <w:wAfter w:w="113" w:type="dxa"/>
        </w:trPr>
        <w:tc>
          <w:tcPr>
            <w:tcW w:w="567" w:type="dxa"/>
          </w:tcPr>
          <w:p w14:paraId="1BDA5F7D" w14:textId="77777777" w:rsidR="009214AE" w:rsidRDefault="00C66335">
            <w:pPr>
              <w:jc w:val="left"/>
              <w:rPr>
                <w:rFonts w:asciiTheme="minorEastAsia" w:hAnsiTheme="minorEastAsia" w:cs="Arial"/>
                <w:szCs w:val="20"/>
              </w:rPr>
            </w:pPr>
            <w:r>
              <w:rPr>
                <w:rFonts w:asciiTheme="minorEastAsia" w:hAnsiTheme="minorEastAsia" w:cs="Arial"/>
                <w:szCs w:val="20"/>
              </w:rPr>
              <w:t>46</w:t>
            </w:r>
          </w:p>
        </w:tc>
        <w:tc>
          <w:tcPr>
            <w:tcW w:w="2694" w:type="dxa"/>
          </w:tcPr>
          <w:p w14:paraId="238DF915"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宁波银行股份有限公司</w:t>
            </w:r>
          </w:p>
        </w:tc>
        <w:tc>
          <w:tcPr>
            <w:tcW w:w="5528" w:type="dxa"/>
          </w:tcPr>
          <w:p w14:paraId="189956B9"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注册地址：浙江省宁波市</w:t>
            </w:r>
            <w:proofErr w:type="gramStart"/>
            <w:r>
              <w:rPr>
                <w:rFonts w:asciiTheme="minorEastAsia" w:hAnsiTheme="minorEastAsia" w:cs="Arial" w:hint="eastAsia"/>
                <w:szCs w:val="20"/>
              </w:rPr>
              <w:t>鄞</w:t>
            </w:r>
            <w:proofErr w:type="gramEnd"/>
            <w:r>
              <w:rPr>
                <w:rFonts w:asciiTheme="minorEastAsia" w:hAnsiTheme="minorEastAsia" w:cs="Arial" w:hint="eastAsia"/>
                <w:szCs w:val="20"/>
              </w:rPr>
              <w:t>州区宁东路345</w:t>
            </w:r>
            <w:r>
              <w:rPr>
                <w:rFonts w:asciiTheme="minorEastAsia" w:hAnsiTheme="minorEastAsia" w:cs="Arial"/>
                <w:szCs w:val="20"/>
              </w:rPr>
              <w:t xml:space="preserve"> </w:t>
            </w:r>
            <w:r>
              <w:rPr>
                <w:rFonts w:asciiTheme="minorEastAsia" w:hAnsiTheme="minorEastAsia" w:cs="Arial" w:hint="eastAsia"/>
                <w:szCs w:val="20"/>
              </w:rPr>
              <w:t>号</w:t>
            </w:r>
          </w:p>
          <w:p w14:paraId="4DA0C49C"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客户服务电话：95574</w:t>
            </w:r>
          </w:p>
          <w:p w14:paraId="2BA36080"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网址：www.nbcb.com.cn</w:t>
            </w:r>
          </w:p>
        </w:tc>
      </w:tr>
      <w:tr w:rsidR="009214AE" w14:paraId="457F5A88" w14:textId="77777777">
        <w:trPr>
          <w:gridAfter w:val="1"/>
          <w:wAfter w:w="113" w:type="dxa"/>
        </w:trPr>
        <w:tc>
          <w:tcPr>
            <w:tcW w:w="567" w:type="dxa"/>
          </w:tcPr>
          <w:p w14:paraId="370AAF2D" w14:textId="77777777" w:rsidR="009214AE" w:rsidRDefault="00C66335">
            <w:pPr>
              <w:jc w:val="left"/>
              <w:rPr>
                <w:rFonts w:asciiTheme="minorEastAsia" w:hAnsiTheme="minorEastAsia" w:cs="Arial"/>
                <w:szCs w:val="20"/>
              </w:rPr>
            </w:pPr>
            <w:r>
              <w:rPr>
                <w:rFonts w:asciiTheme="minorEastAsia" w:hAnsiTheme="minorEastAsia" w:cs="Arial"/>
                <w:szCs w:val="20"/>
              </w:rPr>
              <w:t>47</w:t>
            </w:r>
          </w:p>
        </w:tc>
        <w:tc>
          <w:tcPr>
            <w:tcW w:w="2694" w:type="dxa"/>
          </w:tcPr>
          <w:p w14:paraId="2FEF263E" w14:textId="77777777" w:rsidR="009214AE" w:rsidRDefault="00C66335">
            <w:pPr>
              <w:jc w:val="left"/>
              <w:rPr>
                <w:rFonts w:asciiTheme="minorEastAsia" w:hAnsiTheme="minorEastAsia" w:cs="Arial"/>
                <w:szCs w:val="20"/>
              </w:rPr>
            </w:pPr>
            <w:proofErr w:type="gramStart"/>
            <w:r>
              <w:rPr>
                <w:rFonts w:asciiTheme="minorEastAsia" w:hAnsiTheme="minorEastAsia" w:cs="Arial" w:hint="eastAsia"/>
                <w:szCs w:val="20"/>
              </w:rPr>
              <w:t>浙商银行</w:t>
            </w:r>
            <w:proofErr w:type="gramEnd"/>
            <w:r>
              <w:rPr>
                <w:rFonts w:asciiTheme="minorEastAsia" w:hAnsiTheme="minorEastAsia" w:cs="Arial" w:hint="eastAsia"/>
                <w:szCs w:val="20"/>
              </w:rPr>
              <w:t>股份有限公司</w:t>
            </w:r>
          </w:p>
        </w:tc>
        <w:tc>
          <w:tcPr>
            <w:tcW w:w="5528" w:type="dxa"/>
          </w:tcPr>
          <w:p w14:paraId="049AEAA6"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注册地址：浙江省杭州市</w:t>
            </w:r>
            <w:proofErr w:type="gramStart"/>
            <w:r>
              <w:rPr>
                <w:rFonts w:asciiTheme="minorEastAsia" w:hAnsiTheme="minorEastAsia" w:cs="Arial" w:hint="eastAsia"/>
                <w:szCs w:val="20"/>
              </w:rPr>
              <w:t>萧山区鸿宁</w:t>
            </w:r>
            <w:proofErr w:type="gramEnd"/>
            <w:r>
              <w:rPr>
                <w:rFonts w:asciiTheme="minorEastAsia" w:hAnsiTheme="minorEastAsia" w:cs="Arial" w:hint="eastAsia"/>
                <w:szCs w:val="20"/>
              </w:rPr>
              <w:t>路1788号</w:t>
            </w:r>
          </w:p>
          <w:p w14:paraId="462898C7"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客户服务电话：95527</w:t>
            </w:r>
          </w:p>
          <w:p w14:paraId="1E79E628"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网址：www.czbank.com</w:t>
            </w:r>
          </w:p>
        </w:tc>
      </w:tr>
      <w:tr w:rsidR="009214AE" w14:paraId="64FD9F1E" w14:textId="77777777">
        <w:trPr>
          <w:gridAfter w:val="1"/>
          <w:wAfter w:w="113" w:type="dxa"/>
        </w:trPr>
        <w:tc>
          <w:tcPr>
            <w:tcW w:w="567" w:type="dxa"/>
          </w:tcPr>
          <w:p w14:paraId="41C0F09E" w14:textId="77777777" w:rsidR="009214AE" w:rsidRDefault="00C66335">
            <w:pPr>
              <w:jc w:val="left"/>
              <w:rPr>
                <w:rFonts w:asciiTheme="minorEastAsia" w:hAnsiTheme="minorEastAsia" w:cs="Arial"/>
                <w:szCs w:val="20"/>
              </w:rPr>
            </w:pPr>
            <w:r>
              <w:rPr>
                <w:rFonts w:asciiTheme="minorEastAsia" w:hAnsiTheme="minorEastAsia" w:cs="Arial"/>
                <w:szCs w:val="20"/>
              </w:rPr>
              <w:t>48</w:t>
            </w:r>
          </w:p>
        </w:tc>
        <w:tc>
          <w:tcPr>
            <w:tcW w:w="2694" w:type="dxa"/>
          </w:tcPr>
          <w:p w14:paraId="21DBB5BE" w14:textId="77777777" w:rsidR="009214AE" w:rsidRDefault="00C66335">
            <w:pPr>
              <w:jc w:val="left"/>
              <w:rPr>
                <w:rFonts w:asciiTheme="minorEastAsia" w:hAnsiTheme="minorEastAsia" w:cs="Arial"/>
                <w:szCs w:val="20"/>
              </w:rPr>
            </w:pPr>
            <w:r>
              <w:rPr>
                <w:rFonts w:asciiTheme="minorEastAsia" w:hAnsiTheme="minorEastAsia" w:cs="Arial" w:hint="eastAsia"/>
                <w:szCs w:val="20"/>
              </w:rPr>
              <w:t>国泰君安证券股份有限公司</w:t>
            </w:r>
          </w:p>
        </w:tc>
        <w:tc>
          <w:tcPr>
            <w:tcW w:w="5528" w:type="dxa"/>
          </w:tcPr>
          <w:p w14:paraId="04D7F36C"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注册地址：中国（上海）自由贸易试验区商城路618号</w:t>
            </w:r>
          </w:p>
          <w:p w14:paraId="6BA22EF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w:t>
            </w:r>
            <w:r>
              <w:rPr>
                <w:rFonts w:asciiTheme="minorEastAsia" w:hAnsiTheme="minorEastAsia" w:cs="Arial"/>
                <w:szCs w:val="20"/>
              </w:rPr>
              <w:t>95521</w:t>
            </w:r>
          </w:p>
          <w:p w14:paraId="47F033BC"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t>
            </w:r>
            <w:r>
              <w:rPr>
                <w:rFonts w:asciiTheme="minorEastAsia" w:hAnsiTheme="minorEastAsia" w:cs="Arial"/>
                <w:szCs w:val="20"/>
              </w:rPr>
              <w:t>www.gtja.com</w:t>
            </w:r>
          </w:p>
        </w:tc>
      </w:tr>
      <w:tr w:rsidR="009214AE" w14:paraId="2931B5F0" w14:textId="77777777">
        <w:trPr>
          <w:gridAfter w:val="1"/>
          <w:wAfter w:w="113" w:type="dxa"/>
        </w:trPr>
        <w:tc>
          <w:tcPr>
            <w:tcW w:w="567" w:type="dxa"/>
          </w:tcPr>
          <w:p w14:paraId="70CE2A59" w14:textId="77777777" w:rsidR="009214AE" w:rsidRDefault="00C66335">
            <w:pPr>
              <w:jc w:val="left"/>
              <w:rPr>
                <w:rFonts w:asciiTheme="minorEastAsia" w:hAnsiTheme="minorEastAsia" w:cs="Arial"/>
                <w:szCs w:val="20"/>
              </w:rPr>
            </w:pPr>
            <w:r>
              <w:rPr>
                <w:rFonts w:asciiTheme="minorEastAsia" w:hAnsiTheme="minorEastAsia" w:cs="Arial"/>
                <w:szCs w:val="20"/>
              </w:rPr>
              <w:t>49</w:t>
            </w:r>
          </w:p>
        </w:tc>
        <w:tc>
          <w:tcPr>
            <w:tcW w:w="2694" w:type="dxa"/>
          </w:tcPr>
          <w:p w14:paraId="303B7A1D" w14:textId="77777777" w:rsidR="009214AE" w:rsidRDefault="00C66335">
            <w:pPr>
              <w:jc w:val="left"/>
              <w:rPr>
                <w:rFonts w:asciiTheme="minorEastAsia" w:hAnsiTheme="minorEastAsia" w:cs="Arial"/>
                <w:szCs w:val="20"/>
              </w:rPr>
            </w:pPr>
            <w:r>
              <w:rPr>
                <w:rFonts w:asciiTheme="minorEastAsia" w:hAnsiTheme="minorEastAsia" w:cs="Arial" w:hint="eastAsia"/>
                <w:szCs w:val="20"/>
              </w:rPr>
              <w:t>中</w:t>
            </w:r>
            <w:proofErr w:type="gramStart"/>
            <w:r>
              <w:rPr>
                <w:rFonts w:asciiTheme="minorEastAsia" w:hAnsiTheme="minorEastAsia" w:cs="Arial" w:hint="eastAsia"/>
                <w:szCs w:val="20"/>
              </w:rPr>
              <w:t>信建投证券</w:t>
            </w:r>
            <w:proofErr w:type="gramEnd"/>
            <w:r>
              <w:rPr>
                <w:rFonts w:asciiTheme="minorEastAsia" w:hAnsiTheme="minorEastAsia" w:cs="Arial" w:hint="eastAsia"/>
                <w:szCs w:val="20"/>
              </w:rPr>
              <w:t>股份有限公司</w:t>
            </w:r>
          </w:p>
        </w:tc>
        <w:tc>
          <w:tcPr>
            <w:tcW w:w="5528" w:type="dxa"/>
          </w:tcPr>
          <w:p w14:paraId="74C88605"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注册地址：北京市朝阳区安立路66号4号楼</w:t>
            </w:r>
          </w:p>
          <w:p w14:paraId="4BCA65B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客户服务电话：4008888108</w:t>
            </w:r>
          </w:p>
          <w:p w14:paraId="2EAC75D8"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网址：www.csc108.com</w:t>
            </w:r>
          </w:p>
        </w:tc>
      </w:tr>
      <w:tr w:rsidR="009214AE" w14:paraId="2FA38A03" w14:textId="77777777">
        <w:trPr>
          <w:gridAfter w:val="1"/>
          <w:wAfter w:w="113" w:type="dxa"/>
        </w:trPr>
        <w:tc>
          <w:tcPr>
            <w:tcW w:w="567" w:type="dxa"/>
          </w:tcPr>
          <w:p w14:paraId="731D8330" w14:textId="77777777" w:rsidR="009214AE" w:rsidRDefault="00C66335">
            <w:pPr>
              <w:jc w:val="left"/>
              <w:rPr>
                <w:rFonts w:asciiTheme="minorEastAsia" w:hAnsiTheme="minorEastAsia" w:cs="Arial"/>
                <w:szCs w:val="20"/>
              </w:rPr>
            </w:pPr>
            <w:r>
              <w:rPr>
                <w:rFonts w:asciiTheme="minorEastAsia" w:hAnsiTheme="minorEastAsia" w:cs="Arial"/>
                <w:szCs w:val="20"/>
              </w:rPr>
              <w:t>50</w:t>
            </w:r>
          </w:p>
        </w:tc>
        <w:tc>
          <w:tcPr>
            <w:tcW w:w="2694" w:type="dxa"/>
          </w:tcPr>
          <w:p w14:paraId="4E3EC1D2" w14:textId="77777777" w:rsidR="009214AE" w:rsidRDefault="00C66335">
            <w:pPr>
              <w:jc w:val="left"/>
              <w:rPr>
                <w:rFonts w:asciiTheme="minorEastAsia" w:hAnsiTheme="minorEastAsia" w:cs="Arial"/>
                <w:szCs w:val="20"/>
              </w:rPr>
            </w:pPr>
            <w:proofErr w:type="gramStart"/>
            <w:r>
              <w:rPr>
                <w:rFonts w:asciiTheme="minorEastAsia" w:hAnsiTheme="minorEastAsia" w:cs="Arial" w:hint="eastAsia"/>
                <w:szCs w:val="20"/>
              </w:rPr>
              <w:t>粤开证券</w:t>
            </w:r>
            <w:proofErr w:type="gramEnd"/>
            <w:r>
              <w:rPr>
                <w:rFonts w:asciiTheme="minorEastAsia" w:hAnsiTheme="minorEastAsia" w:cs="Arial" w:hint="eastAsia"/>
                <w:szCs w:val="20"/>
              </w:rPr>
              <w:t>股份有限公司</w:t>
            </w:r>
          </w:p>
        </w:tc>
        <w:tc>
          <w:tcPr>
            <w:tcW w:w="5528" w:type="dxa"/>
          </w:tcPr>
          <w:p w14:paraId="589E7904"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注册地址：广州市黄埔区科学大道60号开发区控股中心19、22、23层</w:t>
            </w:r>
          </w:p>
          <w:p w14:paraId="52958597"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客户服务电话：95564</w:t>
            </w:r>
          </w:p>
          <w:p w14:paraId="4D32C45A"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网址：www.ykzq.com</w:t>
            </w:r>
          </w:p>
        </w:tc>
      </w:tr>
      <w:tr w:rsidR="009214AE" w14:paraId="693D086F" w14:textId="77777777">
        <w:trPr>
          <w:gridAfter w:val="1"/>
          <w:wAfter w:w="113" w:type="dxa"/>
        </w:trPr>
        <w:tc>
          <w:tcPr>
            <w:tcW w:w="567" w:type="dxa"/>
          </w:tcPr>
          <w:p w14:paraId="2FF25C59" w14:textId="77777777" w:rsidR="009214AE" w:rsidRDefault="00C66335">
            <w:pPr>
              <w:jc w:val="left"/>
              <w:rPr>
                <w:rFonts w:asciiTheme="minorEastAsia" w:hAnsiTheme="minorEastAsia" w:cs="Arial"/>
                <w:szCs w:val="20"/>
              </w:rPr>
            </w:pPr>
            <w:r>
              <w:rPr>
                <w:rFonts w:asciiTheme="minorEastAsia" w:hAnsiTheme="minorEastAsia" w:cs="Arial"/>
                <w:szCs w:val="20"/>
              </w:rPr>
              <w:t>51</w:t>
            </w:r>
          </w:p>
        </w:tc>
        <w:tc>
          <w:tcPr>
            <w:tcW w:w="2694" w:type="dxa"/>
          </w:tcPr>
          <w:p w14:paraId="7FCD923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国投证券股份有限公司</w:t>
            </w:r>
          </w:p>
        </w:tc>
        <w:tc>
          <w:tcPr>
            <w:tcW w:w="5528" w:type="dxa"/>
          </w:tcPr>
          <w:p w14:paraId="0C6EC6DC"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w:t>
            </w:r>
            <w:r>
              <w:rPr>
                <w:rFonts w:asciiTheme="minorEastAsia" w:hAnsiTheme="minorEastAsia" w:cs="Arial"/>
                <w:szCs w:val="20"/>
              </w:rPr>
              <w:t xml:space="preserve"> </w:t>
            </w:r>
            <w:r>
              <w:rPr>
                <w:rFonts w:asciiTheme="minorEastAsia" w:hAnsiTheme="minorEastAsia" w:cs="Arial" w:hint="eastAsia"/>
                <w:szCs w:val="20"/>
              </w:rPr>
              <w:t>深圳市福田区福田街道福华一路119号安信金融大厦</w:t>
            </w:r>
          </w:p>
          <w:p w14:paraId="10CFA40A"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客户服务电话：95517</w:t>
            </w:r>
          </w:p>
          <w:p w14:paraId="08D4DD5E"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网址：www.essence.com.cn</w:t>
            </w:r>
          </w:p>
        </w:tc>
      </w:tr>
      <w:tr w:rsidR="009214AE" w14:paraId="5C05C4DD" w14:textId="77777777">
        <w:trPr>
          <w:gridAfter w:val="1"/>
          <w:wAfter w:w="113" w:type="dxa"/>
        </w:trPr>
        <w:tc>
          <w:tcPr>
            <w:tcW w:w="567" w:type="dxa"/>
          </w:tcPr>
          <w:p w14:paraId="65796762" w14:textId="77777777" w:rsidR="009214AE" w:rsidRDefault="00C66335">
            <w:pPr>
              <w:jc w:val="left"/>
              <w:rPr>
                <w:rFonts w:asciiTheme="minorEastAsia" w:hAnsiTheme="minorEastAsia" w:cs="Arial"/>
                <w:szCs w:val="20"/>
              </w:rPr>
            </w:pPr>
            <w:r>
              <w:rPr>
                <w:rFonts w:asciiTheme="minorEastAsia" w:hAnsiTheme="minorEastAsia" w:cs="Arial"/>
                <w:szCs w:val="20"/>
              </w:rPr>
              <w:t>52</w:t>
            </w:r>
          </w:p>
        </w:tc>
        <w:tc>
          <w:tcPr>
            <w:tcW w:w="2694" w:type="dxa"/>
          </w:tcPr>
          <w:p w14:paraId="7D800B5D" w14:textId="77777777" w:rsidR="009214AE" w:rsidRDefault="00C66335">
            <w:pPr>
              <w:jc w:val="left"/>
              <w:rPr>
                <w:rFonts w:asciiTheme="minorEastAsia" w:hAnsiTheme="minorEastAsia" w:cs="Arial"/>
                <w:szCs w:val="20"/>
              </w:rPr>
            </w:pPr>
            <w:r>
              <w:rPr>
                <w:rFonts w:asciiTheme="minorEastAsia" w:hAnsiTheme="minorEastAsia" w:cs="Arial" w:hint="eastAsia"/>
                <w:szCs w:val="20"/>
              </w:rPr>
              <w:t>华鑫证券有限责任公司</w:t>
            </w:r>
          </w:p>
        </w:tc>
        <w:tc>
          <w:tcPr>
            <w:tcW w:w="5528" w:type="dxa"/>
          </w:tcPr>
          <w:p w14:paraId="3440FD26"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注册地址：深圳市福田区香蜜湖街道东海社区深南大道7888号东海国际中心一期A栋2301A</w:t>
            </w:r>
          </w:p>
          <w:p w14:paraId="3C3C792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客户服务电话：95323</w:t>
            </w:r>
          </w:p>
          <w:p w14:paraId="770027DA"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网址：www.cfsc.com.cn</w:t>
            </w:r>
          </w:p>
        </w:tc>
      </w:tr>
      <w:tr w:rsidR="009214AE" w14:paraId="590476F8" w14:textId="77777777">
        <w:trPr>
          <w:gridAfter w:val="1"/>
          <w:wAfter w:w="113" w:type="dxa"/>
        </w:trPr>
        <w:tc>
          <w:tcPr>
            <w:tcW w:w="567" w:type="dxa"/>
          </w:tcPr>
          <w:p w14:paraId="645E3710" w14:textId="77777777" w:rsidR="009214AE" w:rsidRDefault="00C66335">
            <w:pPr>
              <w:jc w:val="left"/>
              <w:rPr>
                <w:rFonts w:asciiTheme="minorEastAsia" w:hAnsiTheme="minorEastAsia" w:cs="Arial"/>
                <w:szCs w:val="20"/>
              </w:rPr>
            </w:pPr>
            <w:r>
              <w:rPr>
                <w:rFonts w:asciiTheme="minorEastAsia" w:hAnsiTheme="minorEastAsia" w:cs="Arial"/>
                <w:szCs w:val="20"/>
              </w:rPr>
              <w:t>53</w:t>
            </w:r>
          </w:p>
        </w:tc>
        <w:tc>
          <w:tcPr>
            <w:tcW w:w="2694" w:type="dxa"/>
          </w:tcPr>
          <w:p w14:paraId="0D73466B" w14:textId="77777777" w:rsidR="009214AE" w:rsidRDefault="00C66335">
            <w:pPr>
              <w:jc w:val="left"/>
              <w:rPr>
                <w:rFonts w:asciiTheme="minorEastAsia" w:hAnsiTheme="minorEastAsia" w:cs="Arial"/>
                <w:szCs w:val="20"/>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528" w:type="dxa"/>
          </w:tcPr>
          <w:p w14:paraId="1A61360A"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注册地址：深圳市南山区粤海</w:t>
            </w:r>
            <w:proofErr w:type="gramStart"/>
            <w:r>
              <w:rPr>
                <w:rFonts w:asciiTheme="minorEastAsia" w:hAnsiTheme="minorEastAsia" w:cs="Arial" w:hint="eastAsia"/>
                <w:szCs w:val="20"/>
              </w:rPr>
              <w:t>街道海</w:t>
            </w:r>
            <w:proofErr w:type="gramEnd"/>
            <w:r>
              <w:rPr>
                <w:rFonts w:asciiTheme="minorEastAsia" w:hAnsiTheme="minorEastAsia" w:cs="Arial" w:hint="eastAsia"/>
                <w:szCs w:val="20"/>
              </w:rPr>
              <w:t>珠社区滨海大道3165号五</w:t>
            </w:r>
            <w:proofErr w:type="gramStart"/>
            <w:r>
              <w:rPr>
                <w:rFonts w:asciiTheme="minorEastAsia" w:hAnsiTheme="minorEastAsia" w:cs="Arial" w:hint="eastAsia"/>
                <w:szCs w:val="20"/>
              </w:rPr>
              <w:t>矿金融</w:t>
            </w:r>
            <w:proofErr w:type="gramEnd"/>
            <w:r>
              <w:rPr>
                <w:rFonts w:asciiTheme="minorEastAsia" w:hAnsiTheme="minorEastAsia" w:cs="Arial" w:hint="eastAsia"/>
                <w:szCs w:val="20"/>
              </w:rPr>
              <w:t>大厦2401</w:t>
            </w:r>
          </w:p>
          <w:p w14:paraId="1E62D5D5"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客户服务电话：4001840028</w:t>
            </w:r>
          </w:p>
          <w:p w14:paraId="50B208B2"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网址：www.wkzq.com.cn</w:t>
            </w:r>
          </w:p>
        </w:tc>
      </w:tr>
      <w:tr w:rsidR="009214AE" w14:paraId="0038744D" w14:textId="77777777">
        <w:trPr>
          <w:gridAfter w:val="1"/>
          <w:wAfter w:w="113" w:type="dxa"/>
        </w:trPr>
        <w:tc>
          <w:tcPr>
            <w:tcW w:w="567" w:type="dxa"/>
          </w:tcPr>
          <w:p w14:paraId="1B54EDED" w14:textId="77777777" w:rsidR="009214AE" w:rsidRDefault="00C66335">
            <w:pPr>
              <w:jc w:val="left"/>
              <w:rPr>
                <w:rFonts w:asciiTheme="minorEastAsia" w:hAnsiTheme="minorEastAsia" w:cs="Arial"/>
                <w:szCs w:val="20"/>
              </w:rPr>
            </w:pPr>
            <w:r>
              <w:rPr>
                <w:rFonts w:asciiTheme="minorEastAsia" w:hAnsiTheme="minorEastAsia" w:cs="Arial"/>
                <w:szCs w:val="20"/>
              </w:rPr>
              <w:t>54</w:t>
            </w:r>
          </w:p>
        </w:tc>
        <w:tc>
          <w:tcPr>
            <w:tcW w:w="2694" w:type="dxa"/>
          </w:tcPr>
          <w:p w14:paraId="24384ACE" w14:textId="77777777" w:rsidR="009214AE" w:rsidRDefault="00C66335">
            <w:pPr>
              <w:jc w:val="left"/>
              <w:rPr>
                <w:rFonts w:asciiTheme="minorEastAsia" w:hAnsiTheme="minorEastAsia" w:cs="Arial"/>
              </w:rPr>
            </w:pPr>
            <w:r>
              <w:rPr>
                <w:rFonts w:asciiTheme="minorEastAsia" w:hAnsiTheme="minorEastAsia" w:cs="Arial" w:hint="eastAsia"/>
              </w:rPr>
              <w:t>光大证券股份有限公司</w:t>
            </w:r>
          </w:p>
        </w:tc>
        <w:tc>
          <w:tcPr>
            <w:tcW w:w="5528" w:type="dxa"/>
          </w:tcPr>
          <w:p w14:paraId="1E9A9309"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w:t>
            </w:r>
            <w:r>
              <w:rPr>
                <w:rFonts w:asciiTheme="minorEastAsia" w:hAnsiTheme="minorEastAsia" w:cs="Arial"/>
                <w:szCs w:val="20"/>
              </w:rPr>
              <w:t xml:space="preserve"> : </w:t>
            </w:r>
            <w:r>
              <w:rPr>
                <w:rFonts w:asciiTheme="minorEastAsia" w:hAnsiTheme="minorEastAsia" w:cs="Arial" w:hint="eastAsia"/>
                <w:szCs w:val="20"/>
              </w:rPr>
              <w:t>上海市静安区新闸路1508号</w:t>
            </w:r>
          </w:p>
          <w:p w14:paraId="2B077DB6"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客户服务电话：95525</w:t>
            </w:r>
          </w:p>
          <w:p w14:paraId="596E86DB"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网址：www.ebscn.com</w:t>
            </w:r>
          </w:p>
        </w:tc>
      </w:tr>
      <w:tr w:rsidR="009214AE" w14:paraId="420BA7E1" w14:textId="77777777">
        <w:trPr>
          <w:gridAfter w:val="1"/>
          <w:wAfter w:w="113" w:type="dxa"/>
        </w:trPr>
        <w:tc>
          <w:tcPr>
            <w:tcW w:w="567" w:type="dxa"/>
          </w:tcPr>
          <w:p w14:paraId="10D2614D" w14:textId="77777777" w:rsidR="009214AE" w:rsidRDefault="00C66335">
            <w:pPr>
              <w:jc w:val="left"/>
              <w:rPr>
                <w:rFonts w:asciiTheme="minorEastAsia" w:hAnsiTheme="minorEastAsia" w:cs="Arial"/>
                <w:szCs w:val="20"/>
              </w:rPr>
            </w:pPr>
            <w:r>
              <w:rPr>
                <w:rFonts w:asciiTheme="minorEastAsia" w:hAnsiTheme="minorEastAsia" w:cs="Arial"/>
                <w:szCs w:val="20"/>
              </w:rPr>
              <w:t>55</w:t>
            </w:r>
          </w:p>
        </w:tc>
        <w:tc>
          <w:tcPr>
            <w:tcW w:w="2694" w:type="dxa"/>
          </w:tcPr>
          <w:p w14:paraId="71EB8AB5" w14:textId="77777777" w:rsidR="009214AE" w:rsidRDefault="00C66335">
            <w:pPr>
              <w:jc w:val="left"/>
              <w:rPr>
                <w:rFonts w:asciiTheme="minorEastAsia" w:hAnsiTheme="minorEastAsia" w:cs="Arial"/>
              </w:rPr>
            </w:pPr>
            <w:r>
              <w:rPr>
                <w:rFonts w:ascii="宋体" w:hAnsi="宋体" w:cs="Calibri" w:hint="eastAsia"/>
                <w:color w:val="000000"/>
                <w:szCs w:val="21"/>
              </w:rPr>
              <w:t>招商证券股份有限公司</w:t>
            </w:r>
          </w:p>
        </w:tc>
        <w:tc>
          <w:tcPr>
            <w:tcW w:w="5528" w:type="dxa"/>
          </w:tcPr>
          <w:p w14:paraId="743531C0"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w:t>
            </w:r>
            <w:r>
              <w:rPr>
                <w:rFonts w:asciiTheme="minorEastAsia" w:hAnsiTheme="minorEastAsia" w:cs="Arial"/>
                <w:szCs w:val="20"/>
              </w:rPr>
              <w:t xml:space="preserve"> </w:t>
            </w:r>
            <w:r>
              <w:rPr>
                <w:rFonts w:asciiTheme="minorEastAsia" w:hAnsiTheme="minorEastAsia" w:cs="Arial" w:hint="eastAsia"/>
                <w:szCs w:val="20"/>
              </w:rPr>
              <w:t>深圳市福田区福田街道福华一路111号</w:t>
            </w:r>
          </w:p>
          <w:p w14:paraId="37C289A9"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客户服务电话：95565</w:t>
            </w:r>
          </w:p>
          <w:p w14:paraId="3D27FC6D"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网址：www.cmschina.com</w:t>
            </w:r>
          </w:p>
        </w:tc>
      </w:tr>
      <w:tr w:rsidR="009214AE" w14:paraId="3A91D7C3" w14:textId="77777777">
        <w:trPr>
          <w:gridAfter w:val="1"/>
          <w:wAfter w:w="113" w:type="dxa"/>
        </w:trPr>
        <w:tc>
          <w:tcPr>
            <w:tcW w:w="567" w:type="dxa"/>
          </w:tcPr>
          <w:p w14:paraId="54344B1D" w14:textId="77777777" w:rsidR="009214AE" w:rsidRDefault="00C66335">
            <w:pPr>
              <w:jc w:val="left"/>
              <w:rPr>
                <w:rFonts w:asciiTheme="minorEastAsia" w:hAnsiTheme="minorEastAsia" w:cs="Arial"/>
                <w:szCs w:val="20"/>
              </w:rPr>
            </w:pPr>
            <w:r>
              <w:rPr>
                <w:rFonts w:asciiTheme="minorEastAsia" w:hAnsiTheme="minorEastAsia" w:cs="Arial"/>
                <w:szCs w:val="20"/>
              </w:rPr>
              <w:t>56</w:t>
            </w:r>
          </w:p>
        </w:tc>
        <w:tc>
          <w:tcPr>
            <w:tcW w:w="2694" w:type="dxa"/>
          </w:tcPr>
          <w:p w14:paraId="75327258" w14:textId="77777777" w:rsidR="009214AE" w:rsidRDefault="00C66335">
            <w:pPr>
              <w:jc w:val="left"/>
              <w:rPr>
                <w:rFonts w:ascii="宋体" w:hAnsi="宋体" w:cs="Calibri"/>
                <w:color w:val="000000"/>
                <w:szCs w:val="21"/>
              </w:rPr>
            </w:pPr>
            <w:r>
              <w:rPr>
                <w:rFonts w:asciiTheme="minorEastAsia" w:hAnsiTheme="minorEastAsia" w:cs="Arial" w:hint="eastAsia"/>
                <w:szCs w:val="20"/>
              </w:rPr>
              <w:t>渤海证券股份有限公司</w:t>
            </w:r>
          </w:p>
        </w:tc>
        <w:tc>
          <w:tcPr>
            <w:tcW w:w="5528" w:type="dxa"/>
          </w:tcPr>
          <w:p w14:paraId="2B599FDE"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注册地址：天津市经济技术开发区第二大街42号写字楼101室</w:t>
            </w:r>
          </w:p>
          <w:p w14:paraId="2856D1E7" w14:textId="77777777" w:rsidR="009214AE" w:rsidRDefault="00C66335">
            <w:pPr>
              <w:jc w:val="left"/>
              <w:rPr>
                <w:rFonts w:asciiTheme="minorEastAsia" w:hAnsiTheme="minorEastAsia" w:cs="Arial"/>
                <w:szCs w:val="20"/>
              </w:rPr>
            </w:pPr>
            <w:r>
              <w:rPr>
                <w:rFonts w:asciiTheme="minorEastAsia" w:hAnsiTheme="minorEastAsia" w:cs="Arial" w:hint="eastAsia"/>
                <w:szCs w:val="20"/>
              </w:rPr>
              <w:lastRenderedPageBreak/>
              <w:t>客户服务电话：</w:t>
            </w:r>
            <w:r>
              <w:rPr>
                <w:rFonts w:asciiTheme="minorEastAsia" w:hAnsiTheme="minorEastAsia" w:cs="Arial"/>
                <w:szCs w:val="20"/>
              </w:rPr>
              <w:t>956066</w:t>
            </w:r>
          </w:p>
          <w:p w14:paraId="25BF64FC"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网址：www.ewww.com.cn</w:t>
            </w:r>
          </w:p>
        </w:tc>
      </w:tr>
      <w:tr w:rsidR="009214AE" w14:paraId="56EA5617" w14:textId="77777777">
        <w:trPr>
          <w:gridAfter w:val="1"/>
          <w:wAfter w:w="113" w:type="dxa"/>
        </w:trPr>
        <w:tc>
          <w:tcPr>
            <w:tcW w:w="567" w:type="dxa"/>
          </w:tcPr>
          <w:p w14:paraId="080F20DF" w14:textId="77777777" w:rsidR="009214AE" w:rsidRDefault="00C66335">
            <w:pPr>
              <w:jc w:val="left"/>
              <w:rPr>
                <w:rFonts w:asciiTheme="minorEastAsia" w:hAnsiTheme="minorEastAsia" w:cs="Arial"/>
                <w:szCs w:val="20"/>
              </w:rPr>
            </w:pPr>
            <w:r>
              <w:rPr>
                <w:rFonts w:asciiTheme="minorEastAsia" w:hAnsiTheme="minorEastAsia" w:cs="Arial"/>
                <w:szCs w:val="20"/>
              </w:rPr>
              <w:lastRenderedPageBreak/>
              <w:t>57</w:t>
            </w:r>
          </w:p>
        </w:tc>
        <w:tc>
          <w:tcPr>
            <w:tcW w:w="2694" w:type="dxa"/>
          </w:tcPr>
          <w:p w14:paraId="476CB3FF" w14:textId="77777777" w:rsidR="009214AE" w:rsidRDefault="00C66335">
            <w:pPr>
              <w:jc w:val="left"/>
              <w:rPr>
                <w:rFonts w:asciiTheme="minorEastAsia" w:hAnsiTheme="minorEastAsia" w:cs="Arial"/>
                <w:szCs w:val="20"/>
              </w:rPr>
            </w:pPr>
            <w:proofErr w:type="gramStart"/>
            <w:r>
              <w:rPr>
                <w:rFonts w:asciiTheme="minorEastAsia" w:hAnsiTheme="minorEastAsia" w:cs="Arial" w:hint="eastAsia"/>
                <w:szCs w:val="20"/>
              </w:rPr>
              <w:t>万联证券</w:t>
            </w:r>
            <w:proofErr w:type="gramEnd"/>
            <w:r>
              <w:rPr>
                <w:rFonts w:asciiTheme="minorEastAsia" w:hAnsiTheme="minorEastAsia" w:cs="Arial" w:hint="eastAsia"/>
                <w:szCs w:val="20"/>
              </w:rPr>
              <w:t>股份有限公司</w:t>
            </w:r>
          </w:p>
        </w:tc>
        <w:tc>
          <w:tcPr>
            <w:tcW w:w="5528" w:type="dxa"/>
          </w:tcPr>
          <w:p w14:paraId="30422530"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注册地址：广东省广州市天河区珠江东路11号18,19楼全层</w:t>
            </w:r>
          </w:p>
          <w:p w14:paraId="74997D53"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客户服务电话：95322</w:t>
            </w:r>
          </w:p>
          <w:p w14:paraId="3F69BFA8"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网址：www.wlzq.cn</w:t>
            </w:r>
          </w:p>
        </w:tc>
      </w:tr>
      <w:tr w:rsidR="009214AE" w14:paraId="697DB672" w14:textId="77777777">
        <w:trPr>
          <w:gridAfter w:val="1"/>
          <w:wAfter w:w="113" w:type="dxa"/>
        </w:trPr>
        <w:tc>
          <w:tcPr>
            <w:tcW w:w="567" w:type="dxa"/>
          </w:tcPr>
          <w:p w14:paraId="76F583D3" w14:textId="77777777" w:rsidR="009214AE" w:rsidRDefault="00C66335">
            <w:pPr>
              <w:jc w:val="left"/>
              <w:rPr>
                <w:rFonts w:asciiTheme="minorEastAsia" w:hAnsiTheme="minorEastAsia" w:cs="Arial"/>
                <w:szCs w:val="20"/>
              </w:rPr>
            </w:pPr>
            <w:r>
              <w:rPr>
                <w:rFonts w:asciiTheme="minorEastAsia" w:hAnsiTheme="minorEastAsia" w:cs="Arial"/>
                <w:szCs w:val="20"/>
              </w:rPr>
              <w:t>58</w:t>
            </w:r>
          </w:p>
        </w:tc>
        <w:tc>
          <w:tcPr>
            <w:tcW w:w="2694" w:type="dxa"/>
          </w:tcPr>
          <w:p w14:paraId="43CF1CD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华</w:t>
            </w:r>
            <w:proofErr w:type="gramStart"/>
            <w:r>
              <w:rPr>
                <w:rFonts w:asciiTheme="minorEastAsia" w:hAnsiTheme="minorEastAsia" w:cs="Arial" w:hint="eastAsia"/>
                <w:szCs w:val="20"/>
              </w:rPr>
              <w:t>源证券</w:t>
            </w:r>
            <w:proofErr w:type="gramEnd"/>
            <w:r>
              <w:rPr>
                <w:rFonts w:asciiTheme="minorEastAsia" w:hAnsiTheme="minorEastAsia" w:cs="Arial" w:hint="eastAsia"/>
                <w:szCs w:val="20"/>
              </w:rPr>
              <w:t>股份有限公司</w:t>
            </w:r>
          </w:p>
        </w:tc>
        <w:tc>
          <w:tcPr>
            <w:tcW w:w="5528" w:type="dxa"/>
          </w:tcPr>
          <w:p w14:paraId="7B91CF7F"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注册地址：西宁市南川工业园区创业路108号</w:t>
            </w:r>
          </w:p>
          <w:p w14:paraId="23D23D37"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客户服务电话：95305</w:t>
            </w:r>
          </w:p>
          <w:p w14:paraId="5383270B"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网址：www.jzsec.com</w:t>
            </w:r>
          </w:p>
        </w:tc>
      </w:tr>
      <w:tr w:rsidR="009214AE" w14:paraId="62A4EF15" w14:textId="77777777">
        <w:trPr>
          <w:gridAfter w:val="1"/>
          <w:wAfter w:w="113" w:type="dxa"/>
        </w:trPr>
        <w:tc>
          <w:tcPr>
            <w:tcW w:w="567" w:type="dxa"/>
          </w:tcPr>
          <w:p w14:paraId="16CD315F" w14:textId="77777777" w:rsidR="009214AE" w:rsidRDefault="00C66335">
            <w:pPr>
              <w:jc w:val="left"/>
              <w:rPr>
                <w:rFonts w:asciiTheme="minorEastAsia" w:hAnsiTheme="minorEastAsia" w:cs="Arial"/>
                <w:szCs w:val="20"/>
              </w:rPr>
            </w:pPr>
            <w:r>
              <w:rPr>
                <w:rFonts w:asciiTheme="minorEastAsia" w:hAnsiTheme="minorEastAsia" w:cs="Arial"/>
                <w:szCs w:val="20"/>
              </w:rPr>
              <w:t>59</w:t>
            </w:r>
          </w:p>
        </w:tc>
        <w:tc>
          <w:tcPr>
            <w:tcW w:w="2694" w:type="dxa"/>
          </w:tcPr>
          <w:p w14:paraId="58EBC9F3" w14:textId="77777777" w:rsidR="009214AE" w:rsidRDefault="00C66335">
            <w:pPr>
              <w:jc w:val="left"/>
              <w:rPr>
                <w:rFonts w:asciiTheme="minorEastAsia" w:hAnsiTheme="minorEastAsia" w:cs="Arial"/>
                <w:szCs w:val="20"/>
              </w:rPr>
            </w:pPr>
            <w:r>
              <w:rPr>
                <w:rFonts w:asciiTheme="minorEastAsia" w:hAnsiTheme="minorEastAsia" w:cs="Arial" w:hint="eastAsia"/>
                <w:szCs w:val="20"/>
              </w:rPr>
              <w:t>海通证券股份有限公司</w:t>
            </w:r>
          </w:p>
        </w:tc>
        <w:tc>
          <w:tcPr>
            <w:tcW w:w="5528" w:type="dxa"/>
          </w:tcPr>
          <w:p w14:paraId="68AF5135"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注册地址：上海市黄浦区广东路689号</w:t>
            </w:r>
          </w:p>
          <w:p w14:paraId="28CB479B"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客户服务电话：95553</w:t>
            </w:r>
          </w:p>
          <w:p w14:paraId="1986C79F"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网址：www.htsec.com</w:t>
            </w:r>
          </w:p>
        </w:tc>
      </w:tr>
      <w:tr w:rsidR="009214AE" w14:paraId="2F3BBC13" w14:textId="77777777">
        <w:trPr>
          <w:gridAfter w:val="1"/>
          <w:wAfter w:w="113" w:type="dxa"/>
        </w:trPr>
        <w:tc>
          <w:tcPr>
            <w:tcW w:w="567" w:type="dxa"/>
          </w:tcPr>
          <w:p w14:paraId="6C74EE0A" w14:textId="77777777" w:rsidR="009214AE" w:rsidRDefault="00C66335">
            <w:pPr>
              <w:jc w:val="left"/>
              <w:rPr>
                <w:rFonts w:asciiTheme="minorEastAsia" w:hAnsiTheme="minorEastAsia" w:cs="Arial"/>
                <w:szCs w:val="20"/>
              </w:rPr>
            </w:pPr>
            <w:r>
              <w:rPr>
                <w:rFonts w:asciiTheme="minorEastAsia" w:hAnsiTheme="minorEastAsia" w:cs="Arial"/>
                <w:szCs w:val="20"/>
              </w:rPr>
              <w:t>60</w:t>
            </w:r>
          </w:p>
        </w:tc>
        <w:tc>
          <w:tcPr>
            <w:tcW w:w="2694" w:type="dxa"/>
          </w:tcPr>
          <w:p w14:paraId="5CDCE7AC" w14:textId="77777777" w:rsidR="009214AE" w:rsidRDefault="00C66335">
            <w:pPr>
              <w:jc w:val="left"/>
              <w:rPr>
                <w:rFonts w:asciiTheme="minorEastAsia" w:hAnsiTheme="minorEastAsia" w:cs="Arial"/>
                <w:szCs w:val="20"/>
              </w:rPr>
            </w:pPr>
            <w:r>
              <w:rPr>
                <w:rFonts w:asciiTheme="minorEastAsia" w:hAnsiTheme="minorEastAsia" w:cs="Arial" w:hint="eastAsia"/>
                <w:szCs w:val="20"/>
              </w:rPr>
              <w:t>华金证券股份有限公司</w:t>
            </w:r>
          </w:p>
        </w:tc>
        <w:tc>
          <w:tcPr>
            <w:tcW w:w="5528" w:type="dxa"/>
          </w:tcPr>
          <w:p w14:paraId="21B09D02"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注册地址：上海市静安区天目西路128号19层1902室</w:t>
            </w:r>
          </w:p>
          <w:p w14:paraId="0F84224E"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客户服务电话：956011</w:t>
            </w:r>
          </w:p>
          <w:p w14:paraId="5B24D63D"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网址：www.huajinsc.cn</w:t>
            </w:r>
          </w:p>
        </w:tc>
      </w:tr>
      <w:tr w:rsidR="009214AE" w14:paraId="787D2466" w14:textId="77777777">
        <w:trPr>
          <w:gridAfter w:val="1"/>
          <w:wAfter w:w="113" w:type="dxa"/>
        </w:trPr>
        <w:tc>
          <w:tcPr>
            <w:tcW w:w="567" w:type="dxa"/>
          </w:tcPr>
          <w:p w14:paraId="21AAFD8B" w14:textId="77777777" w:rsidR="009214AE" w:rsidRDefault="00C66335">
            <w:pPr>
              <w:jc w:val="left"/>
              <w:rPr>
                <w:rFonts w:asciiTheme="minorEastAsia" w:hAnsiTheme="minorEastAsia" w:cs="Arial"/>
                <w:szCs w:val="20"/>
              </w:rPr>
            </w:pPr>
            <w:r>
              <w:rPr>
                <w:rFonts w:asciiTheme="minorEastAsia" w:hAnsiTheme="minorEastAsia" w:cs="Arial"/>
                <w:szCs w:val="20"/>
              </w:rPr>
              <w:t>61</w:t>
            </w:r>
          </w:p>
        </w:tc>
        <w:tc>
          <w:tcPr>
            <w:tcW w:w="2694" w:type="dxa"/>
          </w:tcPr>
          <w:p w14:paraId="37CD92C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华</w:t>
            </w:r>
            <w:proofErr w:type="gramStart"/>
            <w:r>
              <w:rPr>
                <w:rFonts w:asciiTheme="minorEastAsia" w:hAnsiTheme="minorEastAsia" w:cs="Arial" w:hint="eastAsia"/>
                <w:szCs w:val="20"/>
              </w:rPr>
              <w:t>宝证券</w:t>
            </w:r>
            <w:proofErr w:type="gramEnd"/>
            <w:r>
              <w:rPr>
                <w:rFonts w:asciiTheme="minorEastAsia" w:hAnsiTheme="minorEastAsia" w:cs="Arial" w:hint="eastAsia"/>
                <w:szCs w:val="20"/>
              </w:rPr>
              <w:t>股份有限公司</w:t>
            </w:r>
          </w:p>
        </w:tc>
        <w:tc>
          <w:tcPr>
            <w:tcW w:w="5528" w:type="dxa"/>
          </w:tcPr>
          <w:p w14:paraId="648437CD"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注册地址：中国（上海）自由贸易试验区浦电路370号2、3、4层</w:t>
            </w:r>
          </w:p>
          <w:p w14:paraId="3F5DA211"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w:t>
            </w:r>
            <w:r>
              <w:rPr>
                <w:rFonts w:asciiTheme="minorEastAsia" w:hAnsiTheme="minorEastAsia" w:cs="Arial"/>
                <w:szCs w:val="20"/>
              </w:rPr>
              <w:t>400-820-9898</w:t>
            </w:r>
          </w:p>
          <w:p w14:paraId="061F43EA"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t>
            </w:r>
            <w:r>
              <w:rPr>
                <w:rFonts w:asciiTheme="minorEastAsia" w:hAnsiTheme="minorEastAsia" w:cs="Arial"/>
                <w:szCs w:val="20"/>
              </w:rPr>
              <w:t>www.cnhbstock.com</w:t>
            </w:r>
          </w:p>
        </w:tc>
      </w:tr>
      <w:tr w:rsidR="009214AE" w14:paraId="5CA73B11" w14:textId="77777777">
        <w:tc>
          <w:tcPr>
            <w:tcW w:w="567" w:type="dxa"/>
          </w:tcPr>
          <w:p w14:paraId="73EA4653" w14:textId="77777777" w:rsidR="009214AE" w:rsidRDefault="00C66335">
            <w:pPr>
              <w:jc w:val="left"/>
              <w:rPr>
                <w:rFonts w:asciiTheme="minorEastAsia" w:hAnsiTheme="minorEastAsia" w:cs="Arial"/>
                <w:szCs w:val="20"/>
              </w:rPr>
            </w:pPr>
            <w:r>
              <w:rPr>
                <w:rFonts w:asciiTheme="minorEastAsia" w:hAnsiTheme="minorEastAsia" w:cs="Arial" w:hint="eastAsia"/>
                <w:szCs w:val="20"/>
              </w:rPr>
              <w:t>62</w:t>
            </w:r>
          </w:p>
        </w:tc>
        <w:tc>
          <w:tcPr>
            <w:tcW w:w="2694" w:type="dxa"/>
          </w:tcPr>
          <w:p w14:paraId="7D98E64B" w14:textId="77777777" w:rsidR="009214AE" w:rsidRDefault="00C66335">
            <w:pPr>
              <w:jc w:val="left"/>
              <w:rPr>
                <w:rFonts w:asciiTheme="minorEastAsia" w:hAnsiTheme="minorEastAsia" w:cs="Arial"/>
                <w:szCs w:val="20"/>
              </w:rPr>
            </w:pPr>
            <w:r>
              <w:rPr>
                <w:rFonts w:asciiTheme="minorEastAsia" w:hAnsiTheme="minorEastAsia" w:cs="Arial" w:hint="eastAsia"/>
                <w:szCs w:val="20"/>
              </w:rPr>
              <w:t>上海大智慧基金销售有限公司</w:t>
            </w:r>
          </w:p>
        </w:tc>
        <w:tc>
          <w:tcPr>
            <w:tcW w:w="5528" w:type="dxa"/>
            <w:gridSpan w:val="2"/>
          </w:tcPr>
          <w:p w14:paraId="6DC7CD18" w14:textId="77777777" w:rsidR="009214AE" w:rsidRDefault="00C66335">
            <w:pPr>
              <w:snapToGrid w:val="0"/>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新区杨</w:t>
            </w:r>
            <w:proofErr w:type="gramEnd"/>
            <w:r>
              <w:rPr>
                <w:rFonts w:asciiTheme="minorEastAsia" w:hAnsiTheme="minorEastAsia" w:cs="Arial" w:hint="eastAsia"/>
                <w:szCs w:val="21"/>
              </w:rPr>
              <w:t>高南路428弄由</w:t>
            </w:r>
            <w:proofErr w:type="gramStart"/>
            <w:r>
              <w:rPr>
                <w:rFonts w:asciiTheme="minorEastAsia" w:hAnsiTheme="minorEastAsia" w:cs="Arial" w:hint="eastAsia"/>
                <w:szCs w:val="21"/>
              </w:rPr>
              <w:t>由</w:t>
            </w:r>
            <w:proofErr w:type="gramEnd"/>
            <w:r>
              <w:rPr>
                <w:rFonts w:asciiTheme="minorEastAsia" w:hAnsiTheme="minorEastAsia" w:cs="Arial" w:hint="eastAsia"/>
                <w:szCs w:val="21"/>
              </w:rPr>
              <w:t>世纪广场1号楼</w:t>
            </w:r>
          </w:p>
          <w:p w14:paraId="251409AE" w14:textId="77777777" w:rsidR="009214AE" w:rsidRDefault="00C66335">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021-20219988</w:t>
            </w:r>
          </w:p>
          <w:p w14:paraId="0CC42AB6" w14:textId="77777777" w:rsidR="009214AE" w:rsidRDefault="00C66335">
            <w:pPr>
              <w:jc w:val="left"/>
              <w:rPr>
                <w:rFonts w:asciiTheme="minorEastAsia" w:hAnsiTheme="minorEastAsia" w:cs="Arial"/>
                <w:szCs w:val="20"/>
              </w:rPr>
            </w:pPr>
            <w:r>
              <w:rPr>
                <w:rFonts w:asciiTheme="minorEastAsia" w:hAnsiTheme="minorEastAsia" w:cs="Arial" w:hint="eastAsia"/>
                <w:szCs w:val="21"/>
              </w:rPr>
              <w:t>公司网站：</w:t>
            </w:r>
            <w:r>
              <w:rPr>
                <w:rFonts w:asciiTheme="minorEastAsia" w:hAnsiTheme="minorEastAsia" w:cs="Arial"/>
                <w:szCs w:val="21"/>
              </w:rPr>
              <w:t>https://www.gw.com.cn/</w:t>
            </w:r>
          </w:p>
        </w:tc>
      </w:tr>
      <w:tr w:rsidR="009214AE" w14:paraId="3F4362C5" w14:textId="77777777">
        <w:tc>
          <w:tcPr>
            <w:tcW w:w="567" w:type="dxa"/>
          </w:tcPr>
          <w:p w14:paraId="1691E8CC" w14:textId="77777777" w:rsidR="009214AE" w:rsidRDefault="00C66335">
            <w:pPr>
              <w:jc w:val="left"/>
              <w:rPr>
                <w:rFonts w:asciiTheme="minorEastAsia" w:hAnsiTheme="minorEastAsia" w:cs="Arial"/>
                <w:szCs w:val="20"/>
              </w:rPr>
            </w:pPr>
            <w:r>
              <w:rPr>
                <w:rFonts w:asciiTheme="minorEastAsia" w:hAnsiTheme="minorEastAsia" w:cs="Arial" w:hint="eastAsia"/>
                <w:szCs w:val="20"/>
              </w:rPr>
              <w:t>63</w:t>
            </w:r>
          </w:p>
        </w:tc>
        <w:tc>
          <w:tcPr>
            <w:tcW w:w="2694" w:type="dxa"/>
          </w:tcPr>
          <w:p w14:paraId="769CA9FB" w14:textId="77777777" w:rsidR="009214AE" w:rsidRDefault="00C66335">
            <w:pPr>
              <w:jc w:val="left"/>
              <w:rPr>
                <w:rFonts w:asciiTheme="minorEastAsia" w:hAnsiTheme="minorEastAsia" w:cs="Arial"/>
                <w:szCs w:val="20"/>
              </w:rPr>
            </w:pPr>
            <w:r>
              <w:rPr>
                <w:rFonts w:asciiTheme="minorEastAsia" w:hAnsiTheme="minorEastAsia" w:cs="Arial" w:hint="eastAsia"/>
                <w:szCs w:val="21"/>
              </w:rPr>
              <w:t>上海华夏财富投资管理有限公司</w:t>
            </w:r>
          </w:p>
        </w:tc>
        <w:tc>
          <w:tcPr>
            <w:tcW w:w="5528" w:type="dxa"/>
            <w:gridSpan w:val="2"/>
          </w:tcPr>
          <w:p w14:paraId="7331F426" w14:textId="77777777" w:rsidR="009214AE" w:rsidRDefault="00C66335">
            <w:pPr>
              <w:rPr>
                <w:rFonts w:asciiTheme="minorEastAsia" w:hAnsiTheme="minorEastAsia" w:cs="Arial"/>
                <w:szCs w:val="21"/>
              </w:rPr>
            </w:pPr>
            <w:r>
              <w:rPr>
                <w:rFonts w:asciiTheme="minorEastAsia" w:hAnsiTheme="minorEastAsia" w:cs="Arial" w:hint="eastAsia"/>
                <w:szCs w:val="21"/>
              </w:rPr>
              <w:t>注册（办公）地址：北京市西城区金融大街33号通泰大厦B座8层</w:t>
            </w:r>
          </w:p>
          <w:p w14:paraId="5E703A48" w14:textId="77777777" w:rsidR="009214AE" w:rsidRDefault="00C66335">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400-817-5666</w:t>
            </w:r>
          </w:p>
          <w:p w14:paraId="1278CC54" w14:textId="77777777" w:rsidR="009214AE" w:rsidRDefault="00C66335">
            <w:pPr>
              <w:snapToGrid w:val="0"/>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https://www.amcfortune.com/</w:t>
            </w:r>
          </w:p>
        </w:tc>
      </w:tr>
      <w:tr w:rsidR="009214AE" w14:paraId="54C01768" w14:textId="77777777">
        <w:tc>
          <w:tcPr>
            <w:tcW w:w="567" w:type="dxa"/>
          </w:tcPr>
          <w:p w14:paraId="1730F882" w14:textId="77777777" w:rsidR="009214AE" w:rsidRDefault="00C66335">
            <w:pPr>
              <w:jc w:val="left"/>
              <w:rPr>
                <w:rFonts w:asciiTheme="minorEastAsia" w:hAnsiTheme="minorEastAsia" w:cs="Arial"/>
                <w:szCs w:val="20"/>
              </w:rPr>
            </w:pPr>
            <w:r>
              <w:rPr>
                <w:rFonts w:asciiTheme="minorEastAsia" w:hAnsiTheme="minorEastAsia" w:cs="Arial" w:hint="eastAsia"/>
                <w:szCs w:val="20"/>
              </w:rPr>
              <w:t>64</w:t>
            </w:r>
          </w:p>
        </w:tc>
        <w:tc>
          <w:tcPr>
            <w:tcW w:w="2694" w:type="dxa"/>
          </w:tcPr>
          <w:p w14:paraId="4CBA5E01" w14:textId="77777777" w:rsidR="009214AE" w:rsidRDefault="00C66335">
            <w:pPr>
              <w:jc w:val="left"/>
              <w:rPr>
                <w:rFonts w:asciiTheme="minorEastAsia" w:hAnsiTheme="minorEastAsia" w:cs="Arial"/>
                <w:szCs w:val="21"/>
              </w:rPr>
            </w:pPr>
            <w:r>
              <w:t>上海</w:t>
            </w:r>
            <w:proofErr w:type="gramStart"/>
            <w:r>
              <w:t>中正达广基金</w:t>
            </w:r>
            <w:proofErr w:type="gramEnd"/>
            <w:r>
              <w:t>销售有限公司</w:t>
            </w:r>
          </w:p>
        </w:tc>
        <w:tc>
          <w:tcPr>
            <w:tcW w:w="5528" w:type="dxa"/>
            <w:gridSpan w:val="2"/>
          </w:tcPr>
          <w:p w14:paraId="24B530D8" w14:textId="77777777" w:rsidR="009214AE" w:rsidRDefault="00C66335">
            <w:pPr>
              <w:rPr>
                <w:rFonts w:asciiTheme="minorEastAsia" w:hAnsiTheme="minorEastAsia" w:cs="Arial"/>
                <w:szCs w:val="21"/>
              </w:rPr>
            </w:pPr>
            <w:r>
              <w:rPr>
                <w:rFonts w:asciiTheme="minorEastAsia" w:hAnsiTheme="minorEastAsia" w:cs="Arial" w:hint="eastAsia"/>
                <w:szCs w:val="21"/>
              </w:rPr>
              <w:t>注册（办公）地址：上海市徐汇区龙兰路277号东航滨江中心1号楼1203室</w:t>
            </w:r>
          </w:p>
          <w:p w14:paraId="561F9832" w14:textId="77777777" w:rsidR="009214AE" w:rsidRDefault="00C66335">
            <w:pPr>
              <w:rPr>
                <w:rFonts w:asciiTheme="minorEastAsia" w:hAnsiTheme="minorEastAsia" w:cs="Arial"/>
                <w:szCs w:val="21"/>
              </w:rPr>
            </w:pPr>
            <w:r>
              <w:rPr>
                <w:rFonts w:asciiTheme="minorEastAsia" w:hAnsiTheme="minorEastAsia" w:cs="Arial" w:hint="eastAsia"/>
                <w:szCs w:val="21"/>
              </w:rPr>
              <w:t>客服电话：</w:t>
            </w:r>
            <w:r>
              <w:t>400-6767-523</w:t>
            </w:r>
          </w:p>
          <w:p w14:paraId="151EAC2E" w14:textId="77777777" w:rsidR="009214AE" w:rsidRDefault="00C66335">
            <w:pPr>
              <w:rPr>
                <w:rFonts w:asciiTheme="minorEastAsia" w:hAnsiTheme="minorEastAsia" w:cs="Arial"/>
                <w:szCs w:val="21"/>
              </w:rPr>
            </w:pPr>
            <w:r>
              <w:rPr>
                <w:rFonts w:asciiTheme="minorEastAsia" w:hAnsiTheme="minorEastAsia" w:cs="Arial" w:hint="eastAsia"/>
                <w:szCs w:val="21"/>
              </w:rPr>
              <w:t>公司网站：</w:t>
            </w:r>
            <w:r>
              <w:t>www.zhongzhengfund.com</w:t>
            </w:r>
          </w:p>
        </w:tc>
      </w:tr>
      <w:tr w:rsidR="009214AE" w14:paraId="6C6E0750" w14:textId="77777777">
        <w:tc>
          <w:tcPr>
            <w:tcW w:w="567" w:type="dxa"/>
          </w:tcPr>
          <w:p w14:paraId="684EE18C" w14:textId="77777777" w:rsidR="009214AE" w:rsidRDefault="00C66335">
            <w:pPr>
              <w:jc w:val="left"/>
              <w:rPr>
                <w:rFonts w:asciiTheme="minorEastAsia" w:hAnsiTheme="minorEastAsia" w:cs="Arial"/>
                <w:szCs w:val="20"/>
              </w:rPr>
            </w:pPr>
            <w:r>
              <w:rPr>
                <w:rFonts w:asciiTheme="minorEastAsia" w:hAnsiTheme="minorEastAsia" w:cs="Arial" w:hint="eastAsia"/>
                <w:szCs w:val="20"/>
              </w:rPr>
              <w:t>65</w:t>
            </w:r>
          </w:p>
        </w:tc>
        <w:tc>
          <w:tcPr>
            <w:tcW w:w="2694" w:type="dxa"/>
          </w:tcPr>
          <w:p w14:paraId="352F9FDC" w14:textId="77777777" w:rsidR="009214AE" w:rsidRDefault="00C66335">
            <w:pPr>
              <w:jc w:val="left"/>
              <w:rPr>
                <w:rFonts w:asciiTheme="minorEastAsia" w:hAnsiTheme="minorEastAsia" w:cs="Arial"/>
                <w:szCs w:val="20"/>
              </w:rPr>
            </w:pPr>
            <w:r>
              <w:rPr>
                <w:rFonts w:asciiTheme="minorEastAsia" w:hAnsiTheme="minorEastAsia" w:cs="Arial" w:hint="eastAsia"/>
                <w:szCs w:val="20"/>
              </w:rPr>
              <w:t>国金证券股份有限公司</w:t>
            </w:r>
          </w:p>
        </w:tc>
        <w:tc>
          <w:tcPr>
            <w:tcW w:w="5528" w:type="dxa"/>
            <w:gridSpan w:val="2"/>
          </w:tcPr>
          <w:p w14:paraId="7F149941"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注册地址：四川省成都市青羊区东城根上街95号</w:t>
            </w:r>
          </w:p>
          <w:p w14:paraId="544846C0"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客户服务电话：95310</w:t>
            </w:r>
          </w:p>
          <w:p w14:paraId="73CF2291"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网址：www.gjzq.com.cn</w:t>
            </w:r>
          </w:p>
        </w:tc>
      </w:tr>
      <w:tr w:rsidR="009214AE" w14:paraId="6A306371" w14:textId="77777777">
        <w:tc>
          <w:tcPr>
            <w:tcW w:w="567" w:type="dxa"/>
          </w:tcPr>
          <w:p w14:paraId="541B84F8" w14:textId="77777777" w:rsidR="009214AE" w:rsidRDefault="00C66335">
            <w:pPr>
              <w:jc w:val="left"/>
              <w:rPr>
                <w:rFonts w:asciiTheme="minorEastAsia" w:hAnsiTheme="minorEastAsia" w:cs="Arial"/>
                <w:szCs w:val="20"/>
              </w:rPr>
            </w:pPr>
            <w:r>
              <w:rPr>
                <w:rFonts w:asciiTheme="minorEastAsia" w:hAnsiTheme="minorEastAsia" w:cs="Arial" w:hint="eastAsia"/>
                <w:szCs w:val="20"/>
              </w:rPr>
              <w:t>66</w:t>
            </w:r>
          </w:p>
        </w:tc>
        <w:tc>
          <w:tcPr>
            <w:tcW w:w="2694" w:type="dxa"/>
          </w:tcPr>
          <w:p w14:paraId="3EC8F024" w14:textId="77777777" w:rsidR="009214AE" w:rsidRDefault="00C66335">
            <w:pPr>
              <w:jc w:val="left"/>
              <w:rPr>
                <w:rFonts w:asciiTheme="minorEastAsia" w:hAnsiTheme="minorEastAsia" w:cs="Arial"/>
                <w:szCs w:val="20"/>
              </w:rPr>
            </w:pPr>
            <w:r>
              <w:rPr>
                <w:rFonts w:asciiTheme="minorEastAsia" w:hAnsiTheme="minorEastAsia" w:cs="Arial" w:hint="eastAsia"/>
                <w:szCs w:val="20"/>
              </w:rPr>
              <w:t>华西证券股份有限公司</w:t>
            </w:r>
          </w:p>
        </w:tc>
        <w:tc>
          <w:tcPr>
            <w:tcW w:w="5528" w:type="dxa"/>
            <w:gridSpan w:val="2"/>
          </w:tcPr>
          <w:p w14:paraId="3DB16AF2" w14:textId="77777777" w:rsidR="009214AE" w:rsidRDefault="00C66335">
            <w:pPr>
              <w:jc w:val="left"/>
              <w:rPr>
                <w:rFonts w:asciiTheme="minorEastAsia" w:hAnsiTheme="minorEastAsia" w:cs="Arial"/>
                <w:szCs w:val="20"/>
              </w:rPr>
            </w:pPr>
            <w:r>
              <w:rPr>
                <w:rFonts w:asciiTheme="minorEastAsia" w:hAnsiTheme="minorEastAsia" w:cs="Arial" w:hint="eastAsia"/>
                <w:szCs w:val="20"/>
              </w:rPr>
              <w:t>注册地址：四川省成都市武侯区高新区天府二街198号</w:t>
            </w:r>
          </w:p>
          <w:p w14:paraId="5A60A5E5" w14:textId="77777777" w:rsidR="009214AE" w:rsidRDefault="00C66335">
            <w:pPr>
              <w:jc w:val="left"/>
              <w:rPr>
                <w:rFonts w:asciiTheme="minorEastAsia" w:hAnsiTheme="minorEastAsia" w:cs="Arial"/>
                <w:szCs w:val="20"/>
              </w:rPr>
            </w:pPr>
            <w:r>
              <w:rPr>
                <w:rFonts w:asciiTheme="minorEastAsia" w:hAnsiTheme="minorEastAsia" w:cs="Arial" w:hint="eastAsia"/>
                <w:szCs w:val="20"/>
              </w:rPr>
              <w:t>客户服务电话：95584</w:t>
            </w:r>
          </w:p>
          <w:p w14:paraId="48C9362E" w14:textId="77777777" w:rsidR="009214AE" w:rsidRDefault="00C66335">
            <w:pPr>
              <w:jc w:val="left"/>
              <w:rPr>
                <w:rFonts w:asciiTheme="minorEastAsia" w:hAnsiTheme="minorEastAsia" w:cs="Arial"/>
                <w:szCs w:val="20"/>
              </w:rPr>
            </w:pPr>
            <w:r>
              <w:rPr>
                <w:rFonts w:asciiTheme="minorEastAsia" w:hAnsiTheme="minorEastAsia" w:cs="Arial" w:hint="eastAsia"/>
                <w:szCs w:val="20"/>
              </w:rPr>
              <w:t>网址：www.hx168.com.cn</w:t>
            </w:r>
          </w:p>
        </w:tc>
      </w:tr>
    </w:tbl>
    <w:p w14:paraId="5D63D2FF" w14:textId="77777777" w:rsidR="009214AE" w:rsidRDefault="009214AE">
      <w:pPr>
        <w:tabs>
          <w:tab w:val="left" w:pos="540"/>
        </w:tabs>
        <w:adjustRightInd w:val="0"/>
        <w:snapToGrid w:val="0"/>
        <w:spacing w:line="360" w:lineRule="auto"/>
        <w:ind w:firstLineChars="200" w:firstLine="480"/>
        <w:rPr>
          <w:rFonts w:asciiTheme="minorEastAsia" w:hAnsiTheme="minorEastAsia" w:cs="Arial"/>
          <w:sz w:val="24"/>
          <w:szCs w:val="24"/>
        </w:rPr>
      </w:pPr>
    </w:p>
    <w:p w14:paraId="59A25E85" w14:textId="77777777" w:rsidR="009214AE" w:rsidRDefault="00C66335">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45110502"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38F9FEC2"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proofErr w:type="gramStart"/>
      <w:r>
        <w:rPr>
          <w:rFonts w:asciiTheme="minorEastAsia" w:hAnsiTheme="minorEastAsia" w:cs="Arial" w:hint="eastAsia"/>
          <w:color w:val="000000"/>
          <w:kern w:val="0"/>
          <w:sz w:val="24"/>
          <w:szCs w:val="24"/>
        </w:rPr>
        <w:t>广东省广东省</w:t>
      </w:r>
      <w:proofErr w:type="gramEnd"/>
      <w:r>
        <w:rPr>
          <w:rFonts w:asciiTheme="minorEastAsia" w:hAnsiTheme="minorEastAsia" w:cs="Arial" w:hint="eastAsia"/>
          <w:color w:val="000000"/>
          <w:kern w:val="0"/>
          <w:sz w:val="24"/>
          <w:szCs w:val="24"/>
        </w:rPr>
        <w:t>广州市南沙区横</w:t>
      </w:r>
      <w:proofErr w:type="gramStart"/>
      <w:r>
        <w:rPr>
          <w:rFonts w:asciiTheme="minorEastAsia" w:hAnsiTheme="minorEastAsia" w:cs="Arial" w:hint="eastAsia"/>
          <w:color w:val="000000"/>
          <w:kern w:val="0"/>
          <w:sz w:val="24"/>
          <w:szCs w:val="24"/>
        </w:rPr>
        <w:t>沥</w:t>
      </w:r>
      <w:proofErr w:type="gramEnd"/>
      <w:r>
        <w:rPr>
          <w:rFonts w:asciiTheme="minorEastAsia" w:hAnsiTheme="minorEastAsia" w:cs="Arial" w:hint="eastAsia"/>
          <w:color w:val="000000"/>
          <w:kern w:val="0"/>
          <w:sz w:val="24"/>
          <w:szCs w:val="24"/>
        </w:rPr>
        <w:t xml:space="preserve">镇汇通二街2号3110房 </w:t>
      </w:r>
    </w:p>
    <w:p w14:paraId="69AF3AEE"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0274B03B"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法定代表人：</w:t>
      </w:r>
      <w:r>
        <w:rPr>
          <w:rFonts w:asciiTheme="minorEastAsia" w:hAnsiTheme="minorEastAsia" w:cs="Arial" w:hint="eastAsia"/>
          <w:kern w:val="0"/>
          <w:sz w:val="24"/>
          <w:szCs w:val="24"/>
        </w:rPr>
        <w:t>王亦伟</w:t>
      </w:r>
    </w:p>
    <w:p w14:paraId="51996CE6"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05F38682" w14:textId="77777777" w:rsidR="009214AE" w:rsidRDefault="00C6633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6A7BD043" w14:textId="77777777" w:rsidR="009214AE" w:rsidRDefault="00C66335">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2AF18C88" w14:textId="77777777" w:rsidR="009214AE" w:rsidRDefault="00C6633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0FA9105B"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名称：上海源泰律师事务所</w:t>
      </w:r>
    </w:p>
    <w:p w14:paraId="63E52974"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住所：上海市浦东新区浦东南路256号华夏银行大厦14楼</w:t>
      </w:r>
    </w:p>
    <w:p w14:paraId="69744265"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办公地址：上海市浦东新区浦东南路256号华夏银行大厦14楼</w:t>
      </w:r>
    </w:p>
    <w:p w14:paraId="2C24152D"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负责人：廖海</w:t>
      </w:r>
    </w:p>
    <w:p w14:paraId="7F4D3C2E"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电话：（021）51150298</w:t>
      </w:r>
    </w:p>
    <w:p w14:paraId="510AB2F0"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传真：（021）51150398</w:t>
      </w:r>
    </w:p>
    <w:p w14:paraId="227F6F57"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经办律师：刘佳、黄丽华</w:t>
      </w:r>
    </w:p>
    <w:p w14:paraId="0DDF2165"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联系人：刘佳</w:t>
      </w:r>
    </w:p>
    <w:p w14:paraId="4410C96D" w14:textId="77777777" w:rsidR="009214AE" w:rsidRDefault="00C6633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530C3B1B"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74452DA"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332B3915"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C39A3D6"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6A4F0DF9"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75D8035D"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7B05F4ED"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2E9228E7" w14:textId="77777777" w:rsidR="009214AE" w:rsidRDefault="00C6633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14513BB8" w14:textId="77777777" w:rsidR="009214AE" w:rsidRDefault="009214AE">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214AE" w:rsidSect="004C0C2D">
          <w:footerReference w:type="default" r:id="rId21"/>
          <w:pgSz w:w="11906" w:h="16838"/>
          <w:pgMar w:top="1440" w:right="1800" w:bottom="1440" w:left="1800" w:header="851" w:footer="992" w:gutter="0"/>
          <w:pgNumType w:chapStyle="1"/>
          <w:cols w:space="720"/>
          <w:docGrid w:type="lines" w:linePitch="312"/>
        </w:sectPr>
      </w:pPr>
      <w:bookmarkStart w:id="115" w:name="_Toc416264542"/>
      <w:bookmarkStart w:id="116" w:name="_Toc263092314"/>
      <w:bookmarkStart w:id="117" w:name="_Toc3601"/>
      <w:bookmarkStart w:id="118" w:name="_Toc123112235"/>
      <w:bookmarkStart w:id="119" w:name="_Toc16859"/>
      <w:bookmarkStart w:id="120" w:name="_Toc139991737"/>
      <w:bookmarkStart w:id="121" w:name="_Toc141703887"/>
      <w:bookmarkStart w:id="122" w:name="_Toc31653"/>
      <w:bookmarkStart w:id="123" w:name="_Toc352229753"/>
      <w:bookmarkStart w:id="124" w:name="_Toc123051453"/>
      <w:bookmarkStart w:id="125" w:name="_Toc31235"/>
      <w:bookmarkStart w:id="126" w:name="_Toc14835"/>
      <w:bookmarkStart w:id="127" w:name="_Toc12245"/>
      <w:bookmarkStart w:id="128" w:name="_Toc123102454"/>
      <w:bookmarkStart w:id="129" w:name="_Toc6405"/>
      <w:bookmarkStart w:id="130" w:name="_Toc15143"/>
      <w:bookmarkStart w:id="131" w:name="_Toc29251"/>
      <w:bookmarkStart w:id="132" w:name="_Toc31644"/>
      <w:bookmarkStart w:id="133" w:name="_Toc98560353"/>
      <w:bookmarkStart w:id="134" w:name="_Toc262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B6CBEEA" w14:textId="77777777" w:rsidR="009214AE" w:rsidRDefault="00C66335">
      <w:pPr>
        <w:pStyle w:val="1"/>
        <w:jc w:val="center"/>
        <w:rPr>
          <w:sz w:val="30"/>
          <w:szCs w:val="30"/>
        </w:rPr>
      </w:pPr>
      <w:bookmarkStart w:id="135" w:name="_Toc164429419"/>
      <w:r>
        <w:rPr>
          <w:rFonts w:hint="eastAsia"/>
          <w:sz w:val="30"/>
          <w:szCs w:val="30"/>
        </w:rPr>
        <w:lastRenderedPageBreak/>
        <w:t>第六部分</w:t>
      </w:r>
      <w:r>
        <w:rPr>
          <w:sz w:val="30"/>
          <w:szCs w:val="30"/>
        </w:rPr>
        <w:t xml:space="preserve">  </w:t>
      </w:r>
      <w:bookmarkEnd w:id="115"/>
      <w:bookmarkEnd w:id="116"/>
      <w:r>
        <w:rPr>
          <w:rFonts w:hint="eastAsia"/>
          <w:sz w:val="30"/>
          <w:szCs w:val="30"/>
        </w:rPr>
        <w:t>基金的募集</w:t>
      </w:r>
      <w:bookmarkEnd w:id="135"/>
    </w:p>
    <w:p w14:paraId="65E4CBE8" w14:textId="77777777" w:rsidR="009214AE" w:rsidRDefault="00C6633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w:t>
      </w:r>
      <w:r>
        <w:rPr>
          <w:rFonts w:asciiTheme="minorEastAsia" w:hAnsiTheme="minorEastAsia" w:cs="Arial"/>
          <w:sz w:val="24"/>
          <w:szCs w:val="24"/>
        </w:rPr>
        <w:t>21</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19</w:t>
      </w:r>
      <w:r>
        <w:rPr>
          <w:rFonts w:asciiTheme="minorEastAsia" w:hAnsiTheme="minorEastAsia" w:cs="Arial" w:hint="eastAsia"/>
          <w:sz w:val="24"/>
          <w:szCs w:val="24"/>
        </w:rPr>
        <w:t>】日经中国证监会证监许可[20</w:t>
      </w:r>
      <w:r>
        <w:rPr>
          <w:rFonts w:asciiTheme="minorEastAsia" w:hAnsiTheme="minorEastAsia" w:cs="Arial"/>
          <w:sz w:val="24"/>
          <w:szCs w:val="24"/>
        </w:rPr>
        <w:t>21</w:t>
      </w:r>
      <w:r>
        <w:rPr>
          <w:rFonts w:asciiTheme="minorEastAsia" w:hAnsiTheme="minorEastAsia" w:cs="Arial" w:hint="eastAsia"/>
          <w:sz w:val="24"/>
          <w:szCs w:val="24"/>
        </w:rPr>
        <w:t>]</w:t>
      </w:r>
      <w:r>
        <w:rPr>
          <w:rFonts w:asciiTheme="minorEastAsia" w:hAnsiTheme="minorEastAsia" w:cs="Arial"/>
          <w:sz w:val="24"/>
          <w:szCs w:val="24"/>
        </w:rPr>
        <w:t>3691</w:t>
      </w:r>
      <w:r>
        <w:rPr>
          <w:rFonts w:asciiTheme="minorEastAsia" w:hAnsiTheme="minorEastAsia" w:cs="Arial" w:hint="eastAsia"/>
          <w:sz w:val="24"/>
          <w:szCs w:val="24"/>
        </w:rPr>
        <w:t>号文准予注册募集。本基金于20</w:t>
      </w:r>
      <w:r>
        <w:rPr>
          <w:rFonts w:asciiTheme="minorEastAsia" w:hAnsiTheme="minorEastAsia" w:cs="Arial"/>
          <w:sz w:val="24"/>
          <w:szCs w:val="24"/>
        </w:rPr>
        <w:t>22</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18</w:t>
      </w:r>
      <w:r>
        <w:rPr>
          <w:rFonts w:asciiTheme="minorEastAsia" w:hAnsiTheme="minorEastAsia" w:cs="Arial" w:hint="eastAsia"/>
          <w:sz w:val="24"/>
          <w:szCs w:val="24"/>
        </w:rPr>
        <w:t>日起通过各销售机构向社会公开募集，截至20</w:t>
      </w:r>
      <w:r>
        <w:rPr>
          <w:rFonts w:asciiTheme="minorEastAsia" w:hAnsiTheme="minorEastAsia" w:cs="Arial"/>
          <w:sz w:val="24"/>
          <w:szCs w:val="24"/>
        </w:rPr>
        <w:t>22</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29</w:t>
      </w:r>
      <w:r>
        <w:rPr>
          <w:rFonts w:asciiTheme="minorEastAsia" w:hAnsiTheme="minorEastAsia" w:cs="Arial" w:hint="eastAsia"/>
          <w:sz w:val="24"/>
          <w:szCs w:val="24"/>
        </w:rPr>
        <w:t>日，基金募集工作已顺利结束。</w:t>
      </w:r>
    </w:p>
    <w:p w14:paraId="156F6644" w14:textId="77777777" w:rsidR="009214AE" w:rsidRDefault="009214AE">
      <w:pPr>
        <w:snapToGrid w:val="0"/>
        <w:spacing w:line="360" w:lineRule="auto"/>
        <w:ind w:firstLineChars="200" w:firstLine="482"/>
        <w:rPr>
          <w:rFonts w:ascii="宋体" w:eastAsia="宋体" w:hAnsi="宋体" w:cs="Arial"/>
          <w:b/>
          <w:sz w:val="24"/>
          <w:szCs w:val="24"/>
        </w:rPr>
      </w:pPr>
      <w:bookmarkStart w:id="136" w:name="_Toc214873596"/>
      <w:bookmarkStart w:id="137" w:name="_Toc263092315"/>
      <w:bookmarkStart w:id="138" w:name="_Toc416264543"/>
      <w:bookmarkStart w:id="139" w:name="_Toc3321"/>
      <w:bookmarkStart w:id="140" w:name="_Toc25783"/>
      <w:bookmarkStart w:id="141" w:name="_Toc20768"/>
      <w:bookmarkStart w:id="142" w:name="_Toc6447"/>
      <w:bookmarkStart w:id="143" w:name="_Toc352229754"/>
      <w:bookmarkStart w:id="144" w:name="_Toc123112236"/>
      <w:bookmarkStart w:id="145" w:name="_Toc123051454"/>
      <w:bookmarkStart w:id="146" w:name="_Toc7058"/>
      <w:bookmarkStart w:id="147" w:name="_Toc9706"/>
      <w:bookmarkStart w:id="148" w:name="_Toc141703888"/>
      <w:bookmarkStart w:id="149" w:name="_Toc11030"/>
      <w:bookmarkStart w:id="150" w:name="_Toc3771"/>
      <w:bookmarkStart w:id="151" w:name="_Toc139991738"/>
      <w:bookmarkStart w:id="152" w:name="_Toc4559"/>
      <w:bookmarkStart w:id="153" w:name="_Toc79392583"/>
      <w:bookmarkStart w:id="154" w:name="_Toc123102455"/>
      <w:bookmarkStart w:id="155" w:name="_Toc98560354"/>
      <w:bookmarkStart w:id="156" w:name="_Toc10650"/>
      <w:bookmarkStart w:id="157" w:name="_Toc1856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2C050E5" w14:textId="77777777" w:rsidR="009214AE" w:rsidRDefault="009214AE">
      <w:pPr>
        <w:keepNext/>
        <w:keepLines/>
        <w:spacing w:line="360" w:lineRule="auto"/>
        <w:jc w:val="center"/>
        <w:outlineLvl w:val="0"/>
        <w:rPr>
          <w:rFonts w:ascii="Times New Roman" w:eastAsia="宋体" w:hAnsi="Times New Roman" w:cs="Times New Roman"/>
          <w:b/>
          <w:kern w:val="0"/>
          <w:sz w:val="24"/>
          <w:szCs w:val="24"/>
        </w:rPr>
        <w:sectPr w:rsidR="009214AE" w:rsidSect="004C0C2D">
          <w:footerReference w:type="default" r:id="rId22"/>
          <w:pgSz w:w="11906" w:h="16838"/>
          <w:pgMar w:top="1440" w:right="1800" w:bottom="1440" w:left="1800" w:header="851" w:footer="992" w:gutter="0"/>
          <w:pgNumType w:chapStyle="1"/>
          <w:cols w:space="720"/>
          <w:docGrid w:type="lines" w:linePitch="312"/>
        </w:sectPr>
      </w:pPr>
    </w:p>
    <w:p w14:paraId="16EC3B2F" w14:textId="77777777" w:rsidR="009214AE" w:rsidRDefault="00C66335">
      <w:pPr>
        <w:pStyle w:val="1"/>
        <w:jc w:val="center"/>
        <w:rPr>
          <w:sz w:val="30"/>
          <w:szCs w:val="30"/>
        </w:rPr>
      </w:pPr>
      <w:bookmarkStart w:id="158" w:name="_Toc164429420"/>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基金合同的生效</w:t>
      </w:r>
      <w:bookmarkEnd w:id="158"/>
    </w:p>
    <w:p w14:paraId="7FA73351" w14:textId="77777777" w:rsidR="009214AE" w:rsidRDefault="00C66335">
      <w:pPr>
        <w:spacing w:line="360" w:lineRule="auto"/>
        <w:ind w:firstLineChars="200" w:firstLine="480"/>
        <w:rPr>
          <w:rFonts w:ascii="宋体" w:eastAsia="宋体" w:hAnsi="宋体" w:cs="Times New Roman"/>
          <w:bCs/>
          <w:sz w:val="24"/>
          <w:szCs w:val="21"/>
        </w:rPr>
      </w:pPr>
      <w:r>
        <w:rPr>
          <w:rFonts w:ascii="宋体" w:eastAsia="宋体" w:hAnsi="宋体" w:cs="Times New Roman" w:hint="eastAsia"/>
          <w:bCs/>
          <w:sz w:val="24"/>
          <w:szCs w:val="21"/>
        </w:rPr>
        <w:t>根据《基金法》、《运作办法》以及基金合同、招募说明书、基金份额发售公告的有关规定，本基金募集结果符合有关条件，本基金管理人于</w:t>
      </w:r>
      <w:r>
        <w:rPr>
          <w:rFonts w:ascii="宋体" w:eastAsia="宋体" w:hAnsi="宋体" w:cs="Times New Roman"/>
          <w:bCs/>
          <w:sz w:val="24"/>
          <w:szCs w:val="21"/>
        </w:rPr>
        <w:t>2022</w:t>
      </w:r>
      <w:r>
        <w:rPr>
          <w:rFonts w:ascii="宋体" w:eastAsia="宋体" w:hAnsi="宋体" w:cs="Times New Roman" w:hint="eastAsia"/>
          <w:bCs/>
          <w:sz w:val="24"/>
          <w:szCs w:val="21"/>
        </w:rPr>
        <w:t>年</w:t>
      </w:r>
      <w:r>
        <w:rPr>
          <w:rFonts w:ascii="宋体" w:eastAsia="宋体" w:hAnsi="宋体" w:cs="Times New Roman"/>
          <w:bCs/>
          <w:sz w:val="24"/>
          <w:szCs w:val="21"/>
        </w:rPr>
        <w:t>5</w:t>
      </w:r>
      <w:r>
        <w:rPr>
          <w:rFonts w:ascii="宋体" w:eastAsia="宋体" w:hAnsi="宋体" w:cs="Times New Roman" w:hint="eastAsia"/>
          <w:bCs/>
          <w:sz w:val="24"/>
          <w:szCs w:val="21"/>
        </w:rPr>
        <w:t>月</w:t>
      </w:r>
      <w:r>
        <w:rPr>
          <w:rFonts w:ascii="宋体" w:eastAsia="宋体" w:hAnsi="宋体" w:cs="Times New Roman"/>
          <w:bCs/>
          <w:sz w:val="24"/>
          <w:szCs w:val="21"/>
        </w:rPr>
        <w:t>6</w:t>
      </w:r>
      <w:r>
        <w:rPr>
          <w:rFonts w:ascii="宋体" w:eastAsia="宋体" w:hAnsi="宋体" w:cs="Times New Roman" w:hint="eastAsia"/>
          <w:bCs/>
          <w:sz w:val="24"/>
          <w:szCs w:val="21"/>
        </w:rPr>
        <w:t>日向中国证监会办理完毕基金备案手续并已获书面确认，基金合同自该日期正式生效。自基金合同生效之日起，本基金管理人正式开始管理本基金。</w:t>
      </w:r>
    </w:p>
    <w:p w14:paraId="4C68A1F0" w14:textId="77777777" w:rsidR="009214AE" w:rsidRDefault="00C66335">
      <w:pPr>
        <w:widowControl/>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 xml:space="preserve">《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集基金份额持有人大会。法律法规或中国证监会另有规定时，从其规定。 </w:t>
      </w:r>
      <w:bookmarkStart w:id="159" w:name="_Toc214873597"/>
      <w:bookmarkStart w:id="160" w:name="_Toc147463118"/>
      <w:bookmarkStart w:id="161" w:name="_Toc12357171"/>
      <w:bookmarkStart w:id="162" w:name="_Toc416264544"/>
      <w:bookmarkStart w:id="163" w:name="_Toc263092316"/>
      <w:bookmarkStart w:id="164" w:name="_Toc21073391"/>
      <w:bookmarkStart w:id="165" w:name="_Toc725"/>
      <w:bookmarkStart w:id="166" w:name="_Toc98560355"/>
      <w:bookmarkStart w:id="167" w:name="_Toc3080"/>
      <w:bookmarkStart w:id="168" w:name="_Toc16164"/>
      <w:bookmarkStart w:id="169" w:name="_Toc31821"/>
      <w:bookmarkStart w:id="170" w:name="_Toc123051455"/>
      <w:bookmarkStart w:id="171" w:name="_Toc123102456"/>
      <w:bookmarkStart w:id="172" w:name="_Toc3963"/>
      <w:bookmarkStart w:id="173" w:name="_Toc10398"/>
      <w:bookmarkStart w:id="174" w:name="_Toc18206"/>
      <w:bookmarkStart w:id="175" w:name="_Toc1745"/>
      <w:bookmarkStart w:id="176" w:name="_Toc352229755"/>
      <w:bookmarkStart w:id="177" w:name="_Toc141703889"/>
      <w:bookmarkStart w:id="178" w:name="_Toc21735"/>
      <w:bookmarkStart w:id="179" w:name="_Toc123112237"/>
      <w:bookmarkStart w:id="180" w:name="_Toc3572"/>
      <w:bookmarkStart w:id="181" w:name="_Toc139991739"/>
      <w:bookmarkStart w:id="182" w:name="_Toc1876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D791C89" w14:textId="77777777" w:rsidR="009214AE" w:rsidRDefault="00C66335">
      <w:pPr>
        <w:widowControl/>
        <w:spacing w:line="360" w:lineRule="auto"/>
        <w:ind w:firstLineChars="200" w:firstLine="480"/>
        <w:jc w:val="left"/>
        <w:rPr>
          <w:rFonts w:asciiTheme="minorEastAsia" w:hAnsiTheme="minorEastAsia" w:cs="Times New Roman"/>
          <w:sz w:val="24"/>
          <w:szCs w:val="24"/>
        </w:rPr>
        <w:sectPr w:rsidR="009214AE" w:rsidSect="004C0C2D">
          <w:footerReference w:type="default" r:id="rId23"/>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《基金合同》生效满3年后的对应日，</w:t>
      </w:r>
      <w:proofErr w:type="gramStart"/>
      <w:r>
        <w:rPr>
          <w:rFonts w:asciiTheme="minorEastAsia" w:hAnsiTheme="minorEastAsia" w:cs="Times New Roman" w:hint="eastAsia"/>
          <w:sz w:val="24"/>
          <w:szCs w:val="24"/>
        </w:rPr>
        <w:t>若基金</w:t>
      </w:r>
      <w:proofErr w:type="gramEnd"/>
      <w:r>
        <w:rPr>
          <w:rFonts w:asciiTheme="minorEastAsia" w:hAnsiTheme="minorEastAsia" w:cs="Times New Roman" w:hint="eastAsia"/>
          <w:sz w:val="24"/>
          <w:szCs w:val="24"/>
        </w:rPr>
        <w:t>资产净值低于2亿元，《基金合同》应当终止，且不得通过召开基金持有人大会的方式延续。若届时的法律法规或中国证监会规定发生变化，上述终止规定被取消、更改或补充时，则本基金可以参照届时有效的法律法规或中国证监会规定执行。</w:t>
      </w:r>
    </w:p>
    <w:p w14:paraId="0A48AE48" w14:textId="77777777" w:rsidR="009214AE" w:rsidRDefault="00C66335">
      <w:pPr>
        <w:pStyle w:val="1"/>
        <w:jc w:val="center"/>
        <w:rPr>
          <w:rFonts w:ascii="Arial" w:hAnsi="Arial" w:cs="Arial"/>
          <w:bCs/>
          <w:sz w:val="30"/>
          <w:szCs w:val="30"/>
        </w:rPr>
      </w:pPr>
      <w:bookmarkStart w:id="183" w:name="_Toc164429421"/>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9"/>
      <w:bookmarkEnd w:id="160"/>
      <w:bookmarkEnd w:id="161"/>
      <w:bookmarkEnd w:id="162"/>
      <w:bookmarkEnd w:id="163"/>
      <w:bookmarkEnd w:id="164"/>
      <w:bookmarkEnd w:id="183"/>
    </w:p>
    <w:p w14:paraId="2152B2F6" w14:textId="77777777" w:rsidR="009214AE" w:rsidRDefault="00C6633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7CA840AF"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w:t>
      </w:r>
    </w:p>
    <w:p w14:paraId="5DC6780D" w14:textId="77777777" w:rsidR="009214AE" w:rsidRDefault="00C66335">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21F87BF1"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1、开放日及开放时间</w:t>
      </w:r>
    </w:p>
    <w:p w14:paraId="54B791A2"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215ADFD3"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64971AD"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3A9AD363"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w:t>
      </w:r>
      <w:r>
        <w:rPr>
          <w:rFonts w:asciiTheme="minorEastAsia" w:hAnsiTheme="minorEastAsia" w:cs="Arial"/>
          <w:sz w:val="24"/>
          <w:szCs w:val="24"/>
        </w:rPr>
        <w:t>22</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6</w:t>
      </w:r>
      <w:r>
        <w:rPr>
          <w:rFonts w:asciiTheme="minorEastAsia" w:hAnsiTheme="minorEastAsia" w:cs="Arial" w:hint="eastAsia"/>
          <w:sz w:val="24"/>
          <w:szCs w:val="24"/>
        </w:rPr>
        <w:t>日开始办理申购、赎回业务。</w:t>
      </w:r>
    </w:p>
    <w:p w14:paraId="60AC5920"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p w14:paraId="4EE40A80" w14:textId="77777777" w:rsidR="009214AE" w:rsidRDefault="00C6633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1D739D3B"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1、“未知价”原则，即申购、赎回价格以申请当日收市后计算的该类基金份额净值为基准进行计算；</w:t>
      </w:r>
    </w:p>
    <w:p w14:paraId="776393E8"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2、“金额申购、份额赎回”原则，即申购以金额申请，赎回以份额申请；</w:t>
      </w:r>
    </w:p>
    <w:p w14:paraId="422E2351"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3、当日的申购与赎回申请可以在基金管理人规定的时间以内撤销；</w:t>
      </w:r>
    </w:p>
    <w:p w14:paraId="7F0DB3F6"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4、赎回遵循“先进先出”原则，即按照投资人认购、申购的先后次序进行顺序赎回；</w:t>
      </w:r>
    </w:p>
    <w:p w14:paraId="4BBDE6E4"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5、办理申购、赎回业务时，应当遵循基金份额持有人利益优先原则，确保投资者的合法权益不受损害并得到公平对待。</w:t>
      </w:r>
    </w:p>
    <w:p w14:paraId="4F4FA2DA"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3D275FDC" w14:textId="77777777" w:rsidR="009214AE" w:rsidRDefault="00C6633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2A954C85"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1、申购和赎回的申请方式</w:t>
      </w:r>
    </w:p>
    <w:p w14:paraId="3CA55CBD"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2EE39102"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w:t>
      </w:r>
    </w:p>
    <w:p w14:paraId="6B3EC51A"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2、申购和赎回的款项支付</w:t>
      </w:r>
    </w:p>
    <w:p w14:paraId="621C6C4E"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w:t>
      </w:r>
    </w:p>
    <w:p w14:paraId="7773E1E5"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基金份额持有人递交赎回申请，赎回成立；基金份额登记机构确认赎回时，赎回生效。</w:t>
      </w:r>
    </w:p>
    <w:p w14:paraId="33AE0E2C"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基金份额持有人T日赎回申请生效后，基金管理人将在T＋7日（包括该日）内支付赎回款项。遇证券、期货交易所或交易市场数据传输延迟、通讯系统故障、银行数据交换系统故障或其他</w:t>
      </w:r>
      <w:proofErr w:type="gramStart"/>
      <w:r>
        <w:rPr>
          <w:rFonts w:asciiTheme="minorEastAsia" w:hAnsiTheme="minorEastAsia" w:cs="Arial" w:hint="eastAsia"/>
          <w:sz w:val="24"/>
          <w:szCs w:val="24"/>
        </w:rPr>
        <w:t>非基金</w:t>
      </w:r>
      <w:proofErr w:type="gramEnd"/>
      <w:r>
        <w:rPr>
          <w:rFonts w:asciiTheme="minorEastAsia" w:hAnsiTheme="minorEastAsia" w:cs="Arial" w:hint="eastAsia"/>
          <w:sz w:val="24"/>
          <w:szCs w:val="24"/>
        </w:rPr>
        <w:t>管理人及基金托管人所能控制的因素影响业务处理流程时，赎回款项顺延至上述情形消失的下一个工作日划出。在发生巨额赎回或基金合同载明的延缓支付赎回款项的情形时，款项的支付办法参照基金合同有关条款处理。</w:t>
      </w:r>
    </w:p>
    <w:p w14:paraId="37626AC1"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基金管理人可以在法律法规和基金合同允许的范围内，对上述业务办理时间进行调整，基金管理人必须在调整实施前依照《信息披露办法》的有关规定在规定媒介上公告。</w:t>
      </w:r>
    </w:p>
    <w:p w14:paraId="55A62D80"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3、申购和赎回申请的确认</w:t>
      </w:r>
    </w:p>
    <w:p w14:paraId="632C7AF6"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w:t>
      </w:r>
      <w:r>
        <w:rPr>
          <w:rFonts w:asciiTheme="minorEastAsia" w:hAnsiTheme="minorEastAsia" w:cs="Arial" w:hint="eastAsia"/>
          <w:sz w:val="24"/>
          <w:szCs w:val="24"/>
        </w:rPr>
        <w:lastRenderedPageBreak/>
        <w:t>售网点柜台或以销售机构规定的其他方式查询申请的确认情况。若申购不成功，则申购款项本金退还给投资人。</w:t>
      </w:r>
    </w:p>
    <w:p w14:paraId="3C762C0C"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因投资人</w:t>
      </w:r>
      <w:proofErr w:type="gramStart"/>
      <w:r>
        <w:rPr>
          <w:rFonts w:asciiTheme="minorEastAsia" w:hAnsiTheme="minorEastAsia" w:cs="Arial" w:hint="eastAsia"/>
          <w:sz w:val="24"/>
          <w:szCs w:val="24"/>
        </w:rPr>
        <w:t>怠</w:t>
      </w:r>
      <w:proofErr w:type="gramEnd"/>
      <w:r>
        <w:rPr>
          <w:rFonts w:asciiTheme="minorEastAsia" w:hAnsiTheme="minorEastAsia" w:cs="Arial" w:hint="eastAsia"/>
          <w:sz w:val="24"/>
          <w:szCs w:val="24"/>
        </w:rPr>
        <w:t>于履行该项查询等各项义务，致使其相关权益受损的，基金管理人、基金托管人、基金销售机构不承担由此造成的损失或不利后果。</w:t>
      </w:r>
    </w:p>
    <w:p w14:paraId="1C84ABCB" w14:textId="77777777" w:rsidR="009214AE" w:rsidRDefault="00C6633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基金管理人可以在法律法规允许的范围内，对上述申购和赎回申请的确认时间进行调整，并必须在调整实施日前按照《信息披露办法》的有关规定在规定媒介上公告。</w:t>
      </w:r>
    </w:p>
    <w:p w14:paraId="28BF3FA6" w14:textId="77777777" w:rsidR="009214AE" w:rsidRDefault="00C6633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五、申购与赎回的数量限制</w:t>
      </w:r>
    </w:p>
    <w:p w14:paraId="4BF97FEC"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A类基金份额，首次单笔最低申购金额为人民币1.00元，追加申购单笔最低金额为人民币1.00元（含申购费，下同）。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3DAD588D"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3E2AEE91"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100F063F"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Theme="minorEastAsia" w:hAnsiTheme="minorEastAsia" w:cs="Arial" w:hint="eastAsia"/>
          <w:sz w:val="24"/>
          <w:szCs w:val="24"/>
        </w:rPr>
        <w:t>见基金</w:t>
      </w:r>
      <w:proofErr w:type="gramEnd"/>
      <w:r>
        <w:rPr>
          <w:rFonts w:asciiTheme="minorEastAsia" w:hAnsiTheme="minorEastAsia" w:cs="Arial" w:hint="eastAsia"/>
          <w:sz w:val="24"/>
          <w:szCs w:val="24"/>
        </w:rPr>
        <w:t>管理人相关公告。</w:t>
      </w:r>
    </w:p>
    <w:p w14:paraId="2B6F6300"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5、基金管理人可在法律法规允许的情况下，调整上述规定申购金额和赎回份额等数量限制。基金管理人必须在调整实施前依照《信息披露办法》的有关规定在规定媒介上公告。</w:t>
      </w:r>
    </w:p>
    <w:p w14:paraId="6B35AEBF" w14:textId="77777777" w:rsidR="009214AE" w:rsidRDefault="00C66335">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六、申购费用、赎回费用</w:t>
      </w:r>
    </w:p>
    <w:p w14:paraId="057DB4A0"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42870C81" w14:textId="77777777" w:rsidR="009214AE" w:rsidRDefault="00C6633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类基金份额申购均采用金额申购方式，申购费率如下表。投资者在一天之内如果有多笔申购，适用费率按单笔分别计算。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9214AE" w14:paraId="2311F03A"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1F79B69" w14:textId="77777777" w:rsidR="009214AE" w:rsidRDefault="00C66335">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9214AE" w14:paraId="7AD692F0"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023995D3"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6356E54"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9214AE" w14:paraId="346E0238"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4CFECDD"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M＜50万元</w:t>
            </w:r>
          </w:p>
        </w:tc>
        <w:tc>
          <w:tcPr>
            <w:tcW w:w="4430" w:type="dxa"/>
            <w:tcBorders>
              <w:top w:val="single" w:sz="4" w:space="0" w:color="auto"/>
              <w:left w:val="single" w:sz="4" w:space="0" w:color="auto"/>
              <w:bottom w:val="single" w:sz="4" w:space="0" w:color="auto"/>
              <w:right w:val="single" w:sz="4" w:space="0" w:color="auto"/>
            </w:tcBorders>
          </w:tcPr>
          <w:p w14:paraId="07BE8E84"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9214AE" w14:paraId="4217E9B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57F4E2"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50万元≤M＜100万元</w:t>
            </w:r>
          </w:p>
        </w:tc>
        <w:tc>
          <w:tcPr>
            <w:tcW w:w="4430" w:type="dxa"/>
            <w:tcBorders>
              <w:top w:val="single" w:sz="4" w:space="0" w:color="auto"/>
              <w:left w:val="single" w:sz="4" w:space="0" w:color="auto"/>
              <w:bottom w:val="single" w:sz="4" w:space="0" w:color="auto"/>
              <w:right w:val="single" w:sz="4" w:space="0" w:color="auto"/>
            </w:tcBorders>
          </w:tcPr>
          <w:p w14:paraId="785A7A6F"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9214AE" w14:paraId="4A4CC6EE"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A6EC36A"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430" w:type="dxa"/>
            <w:tcBorders>
              <w:top w:val="single" w:sz="4" w:space="0" w:color="auto"/>
              <w:left w:val="single" w:sz="4" w:space="0" w:color="auto"/>
              <w:bottom w:val="single" w:sz="4" w:space="0" w:color="auto"/>
              <w:right w:val="single" w:sz="4" w:space="0" w:color="auto"/>
            </w:tcBorders>
          </w:tcPr>
          <w:p w14:paraId="764B857B"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0.50%</w:t>
            </w:r>
          </w:p>
        </w:tc>
      </w:tr>
      <w:tr w:rsidR="009214AE" w14:paraId="2FFB2FFC"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E786D0D"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M≥500万元</w:t>
            </w:r>
          </w:p>
        </w:tc>
        <w:tc>
          <w:tcPr>
            <w:tcW w:w="4430" w:type="dxa"/>
            <w:tcBorders>
              <w:top w:val="single" w:sz="4" w:space="0" w:color="auto"/>
              <w:left w:val="single" w:sz="4" w:space="0" w:color="auto"/>
              <w:bottom w:val="single" w:sz="4" w:space="0" w:color="auto"/>
              <w:right w:val="single" w:sz="4" w:space="0" w:color="auto"/>
            </w:tcBorders>
          </w:tcPr>
          <w:p w14:paraId="6CFC8EB2" w14:textId="77777777" w:rsidR="009214AE" w:rsidRDefault="00C6633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9214AE" w14:paraId="2ECE969A"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526CB0FC" w14:textId="77777777" w:rsidR="009214AE" w:rsidRDefault="00C66335">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9214AE" w14:paraId="7C15872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467470BB" w14:textId="77777777" w:rsidR="009214AE" w:rsidRDefault="00C66335">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60EEDF79" w14:textId="77777777" w:rsidR="009214AE" w:rsidRDefault="009214A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47000BFC" w14:textId="77777777" w:rsidR="009214AE" w:rsidRDefault="00C66335">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hint="eastAsia"/>
          <w:bCs/>
          <w:color w:val="000000"/>
          <w:sz w:val="24"/>
        </w:rPr>
        <w:t>A</w:t>
      </w:r>
      <w:r>
        <w:rPr>
          <w:rFonts w:hint="eastAsia"/>
          <w:bCs/>
          <w:color w:val="000000"/>
          <w:sz w:val="24"/>
        </w:rPr>
        <w:t>类基金份额</w:t>
      </w:r>
      <w:r>
        <w:rPr>
          <w:bCs/>
          <w:color w:val="000000"/>
          <w:sz w:val="24"/>
        </w:rPr>
        <w:t>的</w:t>
      </w:r>
      <w:r>
        <w:rPr>
          <w:rFonts w:asciiTheme="minorEastAsia" w:hAnsiTheme="minorEastAsia" w:cs="Arial" w:hint="eastAsia"/>
          <w:sz w:val="24"/>
          <w:szCs w:val="24"/>
        </w:rPr>
        <w:t>申购费用由申购</w:t>
      </w:r>
      <w:r>
        <w:rPr>
          <w:rFonts w:hint="eastAsia"/>
          <w:bCs/>
          <w:color w:val="000000"/>
          <w:sz w:val="24"/>
        </w:rPr>
        <w:t>A</w:t>
      </w:r>
      <w:r>
        <w:rPr>
          <w:rFonts w:hint="eastAsia"/>
          <w:bCs/>
          <w:color w:val="000000"/>
          <w:sz w:val="24"/>
        </w:rPr>
        <w:t>类</w:t>
      </w:r>
      <w:r>
        <w:rPr>
          <w:rFonts w:asciiTheme="minorEastAsia" w:hAnsiTheme="minorEastAsia" w:cs="Arial" w:hint="eastAsia"/>
          <w:sz w:val="24"/>
          <w:szCs w:val="24"/>
        </w:rPr>
        <w:t>基金份额的投资人承担，不列入基金资产，主要用于本基金的市场推广、销售、登记等各项费用。本基金</w:t>
      </w:r>
      <w:r>
        <w:rPr>
          <w:rFonts w:hint="eastAsia"/>
          <w:bCs/>
          <w:color w:val="000000"/>
          <w:sz w:val="24"/>
        </w:rPr>
        <w:t xml:space="preserve">C </w:t>
      </w:r>
      <w:r>
        <w:rPr>
          <w:rFonts w:hint="eastAsia"/>
          <w:bCs/>
          <w:color w:val="000000"/>
          <w:sz w:val="24"/>
        </w:rPr>
        <w:t>类基金份额不收取申购费用</w:t>
      </w:r>
      <w:r>
        <w:rPr>
          <w:bCs/>
          <w:sz w:val="24"/>
        </w:rPr>
        <w:t>。</w:t>
      </w:r>
    </w:p>
    <w:p w14:paraId="67D8930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7A8D03C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9214AE" w14:paraId="2818C55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ED7B946" w14:textId="77777777" w:rsidR="009214AE" w:rsidRDefault="00C6633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04EB7831" w14:textId="77777777" w:rsidR="009214AE" w:rsidRDefault="00C6633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586EA765" w14:textId="77777777" w:rsidR="009214AE" w:rsidRDefault="00C6633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9214AE" w14:paraId="0AEBA198"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957EA9B"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CD01F24"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774771F4" w14:textId="77777777" w:rsidR="009214AE" w:rsidRDefault="00C6633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9214AE" w14:paraId="0CE874B3"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CA2F2C1"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24781DF"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6C4E24D8" w14:textId="77777777" w:rsidR="009214AE" w:rsidRDefault="00C6633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9214AE" w14:paraId="354C787D"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CD19ED0"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＜180日</w:t>
            </w:r>
          </w:p>
        </w:tc>
        <w:tc>
          <w:tcPr>
            <w:tcW w:w="2127" w:type="dxa"/>
            <w:tcBorders>
              <w:top w:val="single" w:sz="4" w:space="0" w:color="auto"/>
              <w:left w:val="single" w:sz="4" w:space="0" w:color="auto"/>
              <w:bottom w:val="single" w:sz="4" w:space="0" w:color="auto"/>
              <w:right w:val="single" w:sz="4" w:space="0" w:color="auto"/>
            </w:tcBorders>
          </w:tcPr>
          <w:p w14:paraId="20C67CB6"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79AB2236" w14:textId="77777777" w:rsidR="009214AE" w:rsidRDefault="00C6633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9214AE" w14:paraId="06B3991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1B72B73"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Y≥180日</w:t>
            </w:r>
          </w:p>
        </w:tc>
        <w:tc>
          <w:tcPr>
            <w:tcW w:w="2127" w:type="dxa"/>
            <w:tcBorders>
              <w:top w:val="single" w:sz="4" w:space="0" w:color="auto"/>
              <w:left w:val="single" w:sz="4" w:space="0" w:color="auto"/>
              <w:bottom w:val="single" w:sz="4" w:space="0" w:color="auto"/>
              <w:right w:val="single" w:sz="4" w:space="0" w:color="auto"/>
            </w:tcBorders>
          </w:tcPr>
          <w:p w14:paraId="7B0AC506" w14:textId="77777777" w:rsidR="009214AE" w:rsidRDefault="00C6633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673566BF" w14:textId="77777777" w:rsidR="009214AE" w:rsidRDefault="00C6633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3303AEF7" w14:textId="77777777" w:rsidR="009214AE" w:rsidRDefault="009214AE">
      <w:pPr>
        <w:adjustRightInd w:val="0"/>
        <w:snapToGrid w:val="0"/>
        <w:spacing w:line="360" w:lineRule="auto"/>
        <w:rPr>
          <w:rFonts w:asciiTheme="minorEastAsia" w:hAnsiTheme="minorEastAsia" w:cs="Arial"/>
          <w:sz w:val="24"/>
          <w:szCs w:val="24"/>
        </w:rPr>
      </w:pPr>
    </w:p>
    <w:p w14:paraId="2F5BFD6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7714BFF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w:t>
      </w:r>
      <w:r>
        <w:rPr>
          <w:rFonts w:asciiTheme="minorEastAsia" w:hAnsiTheme="minorEastAsia" w:cs="Arial" w:hint="eastAsia"/>
          <w:sz w:val="24"/>
          <w:szCs w:val="24"/>
        </w:rPr>
        <w:lastRenderedPageBreak/>
        <w:t>财产。上述未纳入基金财产的赎回费用于支付登记费和其他必要的手续费。（注：1个月按30日计算）</w:t>
      </w:r>
    </w:p>
    <w:p w14:paraId="721644D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5B5CF182" w14:textId="77777777" w:rsidR="009214AE" w:rsidRDefault="00C66335">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销售费率并另行公告。</w:t>
      </w:r>
    </w:p>
    <w:p w14:paraId="17A9E19E" w14:textId="77777777" w:rsidR="009214AE" w:rsidRDefault="00C6633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6B41389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40261DE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11550CC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06D8893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C159332"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22BCBB2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D65C1A2"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03C2293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4AB4C44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13DABDB3"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49AC30B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w:t>
      </w:r>
      <w:r>
        <w:rPr>
          <w:rFonts w:asciiTheme="minorEastAsia" w:hAnsiTheme="minorEastAsia" w:cs="Arial"/>
          <w:sz w:val="24"/>
          <w:szCs w:val="24"/>
        </w:rPr>
        <w:t>0</w:t>
      </w:r>
      <w:r>
        <w:rPr>
          <w:rFonts w:asciiTheme="minorEastAsia" w:hAnsiTheme="minorEastAsia" w:cs="Arial" w:hint="eastAsia"/>
          <w:sz w:val="24"/>
          <w:szCs w:val="24"/>
        </w:rPr>
        <w:t>%，假定申购当日A类基金份额净值为1.0500元，则可得到的申购份额为：</w:t>
      </w:r>
    </w:p>
    <w:p w14:paraId="6DD5377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w:t>
      </w:r>
      <w:r>
        <w:rPr>
          <w:rFonts w:asciiTheme="minorEastAsia" w:hAnsiTheme="minorEastAsia" w:cs="Arial"/>
          <w:sz w:val="24"/>
          <w:szCs w:val="24"/>
        </w:rPr>
        <w:t>0</w:t>
      </w:r>
      <w:r>
        <w:rPr>
          <w:rFonts w:asciiTheme="minorEastAsia" w:hAnsiTheme="minorEastAsia" w:cs="Arial" w:hint="eastAsia"/>
          <w:sz w:val="24"/>
          <w:szCs w:val="24"/>
        </w:rPr>
        <w:t>%)＝49,261.08元</w:t>
      </w:r>
    </w:p>
    <w:p w14:paraId="27BDB46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33BEF47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3FB453CA"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03FF43D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2D9CE8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申购份额＝申购金额/T日C类基金份额净值</w:t>
      </w:r>
    </w:p>
    <w:p w14:paraId="28D4882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7C771C4C"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0085864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w:t>
      </w:r>
      <w:r>
        <w:rPr>
          <w:rFonts w:asciiTheme="minorEastAsia" w:hAnsiTheme="minorEastAsia" w:cs="Arial"/>
          <w:sz w:val="24"/>
          <w:szCs w:val="24"/>
        </w:rPr>
        <w:t>3</w:t>
      </w:r>
      <w:r>
        <w:rPr>
          <w:rFonts w:asciiTheme="minorEastAsia" w:hAnsiTheme="minorEastAsia" w:cs="Arial" w:hint="eastAsia"/>
          <w:sz w:val="24"/>
          <w:szCs w:val="24"/>
        </w:rPr>
        <w:t>00=</w:t>
      </w:r>
      <w:r>
        <w:rPr>
          <w:rFonts w:asciiTheme="minorEastAsia" w:hAnsiTheme="minorEastAsia" w:cs="Arial"/>
          <w:sz w:val="24"/>
          <w:szCs w:val="24"/>
        </w:rPr>
        <w:t>4065040.65</w:t>
      </w:r>
      <w:r>
        <w:rPr>
          <w:rFonts w:asciiTheme="minorEastAsia" w:hAnsiTheme="minorEastAsia" w:cs="Arial" w:hint="eastAsia"/>
          <w:sz w:val="24"/>
          <w:szCs w:val="24"/>
        </w:rPr>
        <w:t>份</w:t>
      </w:r>
    </w:p>
    <w:p w14:paraId="1D7DE0A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w:t>
      </w:r>
      <w:r>
        <w:rPr>
          <w:rFonts w:asciiTheme="minorEastAsia" w:hAnsiTheme="minorEastAsia" w:cs="Arial"/>
          <w:sz w:val="24"/>
          <w:szCs w:val="24"/>
        </w:rPr>
        <w:t>3</w:t>
      </w:r>
      <w:r>
        <w:rPr>
          <w:rFonts w:asciiTheme="minorEastAsia" w:hAnsiTheme="minorEastAsia" w:cs="Arial" w:hint="eastAsia"/>
          <w:sz w:val="24"/>
          <w:szCs w:val="24"/>
        </w:rPr>
        <w:t>00元，可得到</w:t>
      </w: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sz w:val="24"/>
          <w:szCs w:val="24"/>
        </w:rPr>
        <w:t>065</w:t>
      </w:r>
      <w:r>
        <w:rPr>
          <w:rFonts w:asciiTheme="minorEastAsia" w:hAnsiTheme="minorEastAsia" w:cs="Arial" w:hint="eastAsia"/>
          <w:sz w:val="24"/>
          <w:szCs w:val="24"/>
        </w:rPr>
        <w:t>,</w:t>
      </w:r>
      <w:r>
        <w:rPr>
          <w:rFonts w:asciiTheme="minorEastAsia" w:hAnsiTheme="minorEastAsia" w:cs="Arial"/>
          <w:sz w:val="24"/>
          <w:szCs w:val="24"/>
        </w:rPr>
        <w:t>040.65</w:t>
      </w:r>
      <w:r>
        <w:rPr>
          <w:rFonts w:asciiTheme="minorEastAsia" w:hAnsiTheme="minorEastAsia" w:cs="Arial" w:hint="eastAsia"/>
          <w:sz w:val="24"/>
          <w:szCs w:val="24"/>
        </w:rPr>
        <w:t>份C类基金份额。</w:t>
      </w:r>
    </w:p>
    <w:p w14:paraId="01207F1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56B7CC6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6429CBCC"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327C312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6177133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30290198"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类基金份额且持有时间为9</w:t>
      </w:r>
      <w:r>
        <w:rPr>
          <w:rFonts w:asciiTheme="minorEastAsia" w:hAnsiTheme="minorEastAsia" w:cs="Arial"/>
          <w:sz w:val="24"/>
          <w:szCs w:val="24"/>
        </w:rPr>
        <w:t>0</w:t>
      </w:r>
      <w:r>
        <w:rPr>
          <w:rFonts w:asciiTheme="minorEastAsia" w:hAnsiTheme="minorEastAsia" w:cs="Arial" w:hint="eastAsia"/>
          <w:sz w:val="24"/>
          <w:szCs w:val="24"/>
        </w:rPr>
        <w:t>日，赎回费率为</w:t>
      </w:r>
      <w:r>
        <w:rPr>
          <w:rFonts w:asciiTheme="minorEastAsia" w:hAnsiTheme="minorEastAsia" w:cs="Arial"/>
          <w:sz w:val="24"/>
          <w:szCs w:val="24"/>
        </w:rPr>
        <w:t>0.50%</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302EEB2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1300F7B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0.50% = 53.40 </w:t>
      </w:r>
      <w:r>
        <w:rPr>
          <w:rFonts w:asciiTheme="minorEastAsia" w:hAnsiTheme="minorEastAsia" w:cs="Arial" w:hint="eastAsia"/>
          <w:sz w:val="24"/>
          <w:szCs w:val="24"/>
        </w:rPr>
        <w:t>元</w:t>
      </w:r>
    </w:p>
    <w:p w14:paraId="272BDD3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58D1F6C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类基金份额且持有时间为9</w:t>
      </w:r>
      <w:r>
        <w:rPr>
          <w:rFonts w:asciiTheme="minorEastAsia" w:hAnsiTheme="minorEastAsia" w:cs="Arial"/>
          <w:sz w:val="24"/>
          <w:szCs w:val="24"/>
        </w:rPr>
        <w:t>0</w:t>
      </w:r>
      <w:r>
        <w:rPr>
          <w:rFonts w:asciiTheme="minorEastAsia" w:hAnsiTheme="minorEastAsia" w:cs="Arial" w:hint="eastAsia"/>
          <w:sz w:val="24"/>
          <w:szCs w:val="24"/>
        </w:rPr>
        <w:t>日，假设赎回申请当日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9F5C0F6"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w:t>
      </w:r>
      <w:r>
        <w:rPr>
          <w:rFonts w:asciiTheme="minorEastAsia" w:hAnsiTheme="minorEastAsia" w:cs="Arial"/>
          <w:sz w:val="24"/>
          <w:szCs w:val="24"/>
        </w:rPr>
        <w:t>0</w:t>
      </w:r>
      <w:r>
        <w:rPr>
          <w:rFonts w:asciiTheme="minorEastAsia" w:hAnsiTheme="minorEastAsia" w:cs="Arial" w:hint="eastAsia"/>
          <w:sz w:val="24"/>
          <w:szCs w:val="24"/>
        </w:rPr>
        <w:t>%，假设赎回当日C类基金份额净值是1.0680元，则其可得到的赎回金额为：</w:t>
      </w:r>
    </w:p>
    <w:p w14:paraId="33F85078"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w:t>
      </w:r>
      <w:r>
        <w:rPr>
          <w:rFonts w:asciiTheme="minorEastAsia" w:hAnsiTheme="minorEastAsia" w:cs="Arial"/>
          <w:sz w:val="24"/>
          <w:szCs w:val="24"/>
        </w:rPr>
        <w:t>.00</w:t>
      </w:r>
      <w:r>
        <w:rPr>
          <w:rFonts w:asciiTheme="minorEastAsia" w:hAnsiTheme="minorEastAsia" w:cs="Arial" w:hint="eastAsia"/>
          <w:sz w:val="24"/>
          <w:szCs w:val="24"/>
        </w:rPr>
        <w:t>元</w:t>
      </w:r>
    </w:p>
    <w:p w14:paraId="5833E0C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w:t>
      </w:r>
      <w:r>
        <w:rPr>
          <w:rFonts w:asciiTheme="minorEastAsia" w:hAnsiTheme="minorEastAsia" w:cs="Arial"/>
          <w:sz w:val="24"/>
          <w:szCs w:val="24"/>
        </w:rPr>
        <w:t>0</w:t>
      </w:r>
      <w:r>
        <w:rPr>
          <w:rFonts w:asciiTheme="minorEastAsia" w:hAnsiTheme="minorEastAsia" w:cs="Arial" w:hint="eastAsia"/>
          <w:sz w:val="24"/>
          <w:szCs w:val="24"/>
        </w:rPr>
        <w:t>%=53.40元</w:t>
      </w:r>
    </w:p>
    <w:p w14:paraId="59436D03"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0AB9FEC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即：投资人赎回本基金10,000份C类基金份额，持有期限为20日，假设赎回当日本基金C类基金份额净值是1.0680元，则其可得到的净赎回金额为10,626.60元。</w:t>
      </w:r>
    </w:p>
    <w:p w14:paraId="1C710233"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类基金份额分别设置代码，分别计算和公告基金份额净值和基金份额累计净值。</w:t>
      </w:r>
      <w:r>
        <w:rPr>
          <w:rFonts w:asciiTheme="minorEastAsia" w:hAnsiTheme="minorEastAsia" w:cs="Times New Roman" w:hint="eastAsia"/>
          <w:sz w:val="24"/>
          <w:szCs w:val="24"/>
        </w:rPr>
        <w:t>本基金各类基金份额净值的计算，保留到小数点后4位，小数点后第5位四舍五入，由此产生的收益或损失由基金财产承担。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日的各类基金份额净值在当天收市后计算，并在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日内公告。遇特殊情况，经履行适当程序，可以适当延迟计算或公告。</w:t>
      </w:r>
    </w:p>
    <w:p w14:paraId="366E1E71" w14:textId="77777777" w:rsidR="009214AE" w:rsidRDefault="00C66335">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3992AC9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4AF31682"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6AB35F4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在规定媒介公告。</w:t>
      </w:r>
    </w:p>
    <w:p w14:paraId="7E5B0FC4" w14:textId="77777777" w:rsidR="009214AE" w:rsidRDefault="00C6633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0678BE6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12D33F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1、因不可抗力导致基金无法正常运作。</w:t>
      </w:r>
    </w:p>
    <w:p w14:paraId="1E3017BA"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2、发生基金合同规定的暂停基金资产估值情况时，基金管理人可暂停接受投资人的申购申请。</w:t>
      </w:r>
    </w:p>
    <w:p w14:paraId="360AF17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5CDF4E1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4、接受某笔或某些申购申请可能会影响或损害现有基金份额持有人利益时。</w:t>
      </w:r>
    </w:p>
    <w:p w14:paraId="7DC35743"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49F7AB2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6、申购申请超过基金管理人设定的单日净申购比例上限、单一投资者单日或单笔申购金额上限的情形。</w:t>
      </w:r>
    </w:p>
    <w:p w14:paraId="3D6E2D9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7、基金管理人接受某笔或者某些申购申请或基金转换</w:t>
      </w:r>
      <w:proofErr w:type="gramStart"/>
      <w:r>
        <w:rPr>
          <w:rFonts w:asciiTheme="minorEastAsia" w:hAnsiTheme="minorEastAsia" w:cs="Arial" w:hint="eastAsia"/>
          <w:sz w:val="24"/>
          <w:szCs w:val="24"/>
        </w:rPr>
        <w:t>入申请</w:t>
      </w:r>
      <w:proofErr w:type="gramEnd"/>
      <w:r>
        <w:rPr>
          <w:rFonts w:asciiTheme="minorEastAsia" w:hAnsiTheme="minorEastAsia" w:cs="Arial" w:hint="eastAsia"/>
          <w:sz w:val="24"/>
          <w:szCs w:val="24"/>
        </w:rPr>
        <w:t>有可能导致单</w:t>
      </w:r>
      <w:r>
        <w:rPr>
          <w:rFonts w:asciiTheme="minorEastAsia" w:hAnsiTheme="minorEastAsia" w:cs="Arial" w:hint="eastAsia"/>
          <w:sz w:val="24"/>
          <w:szCs w:val="24"/>
        </w:rPr>
        <w:lastRenderedPageBreak/>
        <w:t>一投资者（基金管理人或其高级管理人员、基金经理等作为发起资金提供方除外）持有基金份额的比例达到或者超过基金份额总数的50%，或者变相规避50%集中度的情形。</w:t>
      </w:r>
    </w:p>
    <w:p w14:paraId="46D8EB8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公允价值存在重大不确定性时，经与基金托管人协商确认后，基金管理人应当暂停接受基金申购申请。</w:t>
      </w:r>
    </w:p>
    <w:p w14:paraId="0AD1624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9、基金管理人、基金托管人、基金销售机构或登记机构的异常情况导致基金销售系统、基金登记系统或基金会计系统无法正常运行。</w:t>
      </w:r>
    </w:p>
    <w:p w14:paraId="1DB51B43"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Pr>
          <w:rFonts w:asciiTheme="minorEastAsia" w:hAnsiTheme="minorEastAsia" w:cs="Arial" w:hint="eastAsia"/>
          <w:sz w:val="24"/>
          <w:szCs w:val="24"/>
        </w:rPr>
        <w:t>、法律法规规定或中国证监会认定的其他情形。</w:t>
      </w:r>
    </w:p>
    <w:p w14:paraId="47E3936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发生上述第1、2、3、5、8、</w:t>
      </w:r>
      <w:r>
        <w:rPr>
          <w:rFonts w:asciiTheme="minorEastAsia" w:hAnsiTheme="minorEastAsia" w:cs="Arial"/>
          <w:sz w:val="24"/>
          <w:szCs w:val="24"/>
        </w:rPr>
        <w:t>9、</w:t>
      </w:r>
      <w:r>
        <w:rPr>
          <w:rFonts w:asciiTheme="minorEastAsia" w:hAnsiTheme="minorEastAsia" w:cs="Arial" w:hint="eastAsia"/>
          <w:sz w:val="24"/>
          <w:szCs w:val="24"/>
        </w:rPr>
        <w:t>1</w:t>
      </w:r>
      <w:r>
        <w:rPr>
          <w:rFonts w:asciiTheme="minorEastAsia" w:hAnsiTheme="minorEastAsia" w:cs="Arial"/>
          <w:sz w:val="24"/>
          <w:szCs w:val="24"/>
        </w:rPr>
        <w:t>0</w:t>
      </w:r>
      <w:r>
        <w:rPr>
          <w:rFonts w:asciiTheme="minorEastAsia" w:hAnsiTheme="minorEastAsia" w:cs="Arial" w:hint="eastAsia"/>
          <w:sz w:val="24"/>
          <w:szCs w:val="24"/>
        </w:rPr>
        <w:t>项暂停申购情形之一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管理人决定暂停接受投资人的申购申请时，基金管理人应当根据有关规定在</w:t>
      </w:r>
      <w:r>
        <w:rPr>
          <w:rFonts w:asciiTheme="minorEastAsia" w:hAnsiTheme="minorEastAsia" w:cs="Times New Roman" w:hint="eastAsia"/>
          <w:sz w:val="24"/>
          <w:szCs w:val="24"/>
        </w:rPr>
        <w:t>规定</w:t>
      </w:r>
      <w:r>
        <w:rPr>
          <w:rFonts w:asciiTheme="minorEastAsia" w:hAnsiTheme="minorEastAsia" w:cs="Arial" w:hint="eastAsia"/>
          <w:sz w:val="24"/>
          <w:szCs w:val="24"/>
        </w:rPr>
        <w:t>媒介上刊登暂停申购公告。如果投资人的申购申请全部或部分被拒绝，被拒绝的申购款项将退还给投资人。在暂停申购的情况消除时，基金管理人应及时恢复申购业务的办理。</w:t>
      </w:r>
    </w:p>
    <w:p w14:paraId="009AF439" w14:textId="77777777" w:rsidR="009214AE" w:rsidRDefault="00C6633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5397D059" w14:textId="77777777" w:rsidR="009214AE" w:rsidRDefault="00C66335">
      <w:pPr>
        <w:widowControl/>
        <w:spacing w:line="360" w:lineRule="auto"/>
        <w:ind w:firstLineChars="200" w:firstLine="480"/>
        <w:jc w:val="left"/>
        <w:rPr>
          <w:rFonts w:asciiTheme="minorEastAsia" w:hAnsiTheme="minorEastAsia" w:cs="Arial"/>
          <w:sz w:val="24"/>
          <w:szCs w:val="24"/>
        </w:rPr>
      </w:pPr>
      <w:bookmarkStart w:id="184" w:name="_Toc416264545"/>
      <w:bookmarkStart w:id="185" w:name="_Toc739"/>
      <w:bookmarkStart w:id="186" w:name="_Toc32092"/>
      <w:bookmarkStart w:id="187" w:name="_Toc79392622"/>
      <w:bookmarkStart w:id="188" w:name="_Toc123051456"/>
      <w:bookmarkStart w:id="189" w:name="_Toc139991740"/>
      <w:bookmarkStart w:id="190" w:name="_Toc123102457"/>
      <w:bookmarkStart w:id="191" w:name="_Toc29408"/>
      <w:bookmarkStart w:id="192" w:name="_Toc98560356"/>
      <w:bookmarkStart w:id="193" w:name="_Toc352229756"/>
      <w:bookmarkStart w:id="194" w:name="_Toc32584"/>
      <w:bookmarkStart w:id="195" w:name="_Toc48649708"/>
      <w:bookmarkStart w:id="196" w:name="_Toc141703890"/>
      <w:bookmarkStart w:id="197" w:name="_Toc17198"/>
      <w:bookmarkStart w:id="198" w:name="_Toc3329"/>
      <w:bookmarkStart w:id="199" w:name="_Toc21237"/>
      <w:bookmarkStart w:id="200" w:name="_Toc20976"/>
      <w:bookmarkStart w:id="201" w:name="_Toc123112238"/>
      <w:bookmarkStart w:id="202" w:name="_Toc17920"/>
      <w:bookmarkStart w:id="203" w:name="_Toc8791"/>
      <w:bookmarkStart w:id="204" w:name="_Toc517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Theme="minorEastAsia" w:hAnsiTheme="minorEastAsia" w:cs="Arial" w:hint="eastAsia"/>
          <w:sz w:val="24"/>
          <w:szCs w:val="24"/>
        </w:rPr>
        <w:t>发生下列情形时，基金管理人可暂停接受投资人的赎回申请或延缓支付赎回款项：</w:t>
      </w:r>
    </w:p>
    <w:p w14:paraId="0220D588"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40AC7043"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25B9A7A"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7F420685"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2301121B"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5、发生继续接受赎回申请将损害现有基金份额持有人利益的情形时。</w:t>
      </w:r>
    </w:p>
    <w:p w14:paraId="7B205DF6"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23C1A380"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6AA2629"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w:t>
      </w:r>
      <w:r>
        <w:rPr>
          <w:rFonts w:asciiTheme="minorEastAsia" w:hAnsiTheme="minorEastAsia" w:cs="Arial" w:hint="eastAsia"/>
          <w:sz w:val="24"/>
          <w:szCs w:val="24"/>
        </w:rPr>
        <w:lastRenderedPageBreak/>
        <w:t>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886E9BB"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AC187EB"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7D882C2B"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6C1359BE"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3D66AC0F"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6E393CB"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03A98C25"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Arial" w:hint="eastAsia"/>
          <w:sz w:val="24"/>
          <w:szCs w:val="24"/>
        </w:rPr>
        <w:t>并以下</w:t>
      </w:r>
      <w:proofErr w:type="gramEnd"/>
      <w:r>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p>
    <w:p w14:paraId="1A72202A"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若本基金发生巨额赎回、在单个开放日内单个基金份额持有人申请赎回的基金份额超过上一开放日基金总份额20%的情形下，基金管理人有权对于该基金份额持有人当日超过上一开放日基金总份额20%以上的那部分赎回申请进</w:t>
      </w:r>
      <w:r>
        <w:rPr>
          <w:rFonts w:asciiTheme="minorEastAsia" w:hAnsiTheme="minorEastAsia" w:cs="Arial" w:hint="eastAsia"/>
          <w:sz w:val="24"/>
          <w:szCs w:val="24"/>
        </w:rPr>
        <w:lastRenderedPageBreak/>
        <w:t>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2748B1FE"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Pr>
          <w:rFonts w:asciiTheme="minorEastAsia" w:hAnsiTheme="minorEastAsia" w:cs="Times New Roman" w:hint="eastAsia"/>
          <w:sz w:val="24"/>
          <w:szCs w:val="24"/>
        </w:rPr>
        <w:t>规定</w:t>
      </w:r>
      <w:r>
        <w:rPr>
          <w:rFonts w:asciiTheme="minorEastAsia" w:hAnsiTheme="minorEastAsia" w:cs="Arial" w:hint="eastAsia"/>
          <w:sz w:val="24"/>
          <w:szCs w:val="24"/>
        </w:rPr>
        <w:t>媒介上进行公告。</w:t>
      </w:r>
    </w:p>
    <w:p w14:paraId="2AE122BC"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19FE4863"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额持有人，说明有关处理方法，并依照《信息披露办法》的有关规定在</w:t>
      </w:r>
      <w:r>
        <w:rPr>
          <w:rFonts w:asciiTheme="minorEastAsia" w:hAnsiTheme="minorEastAsia" w:cs="Times New Roman" w:hint="eastAsia"/>
          <w:sz w:val="24"/>
          <w:szCs w:val="24"/>
        </w:rPr>
        <w:t>规定</w:t>
      </w:r>
      <w:r>
        <w:rPr>
          <w:rFonts w:asciiTheme="minorEastAsia" w:hAnsiTheme="minorEastAsia" w:cs="Arial" w:hint="eastAsia"/>
          <w:sz w:val="24"/>
          <w:szCs w:val="24"/>
        </w:rPr>
        <w:t>媒介上刊登公告。</w:t>
      </w:r>
    </w:p>
    <w:p w14:paraId="4B2BB962"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6773C003"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w:t>
      </w:r>
      <w:r>
        <w:rPr>
          <w:rFonts w:asciiTheme="minorEastAsia" w:hAnsiTheme="minorEastAsia" w:cs="Times New Roman" w:hint="eastAsia"/>
          <w:sz w:val="24"/>
          <w:szCs w:val="24"/>
        </w:rPr>
        <w:t>规定</w:t>
      </w:r>
      <w:r>
        <w:rPr>
          <w:rFonts w:asciiTheme="minorEastAsia" w:hAnsiTheme="minorEastAsia" w:cs="Arial" w:hint="eastAsia"/>
          <w:sz w:val="24"/>
          <w:szCs w:val="24"/>
        </w:rPr>
        <w:t>媒介上刊登暂停公告。</w:t>
      </w:r>
    </w:p>
    <w:p w14:paraId="5E9A2401"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2、如发生暂停的时间为1日，基金管理人应于重新开放日，在</w:t>
      </w:r>
      <w:r>
        <w:rPr>
          <w:rFonts w:asciiTheme="minorEastAsia" w:hAnsiTheme="minorEastAsia" w:cs="Times New Roman" w:hint="eastAsia"/>
          <w:sz w:val="24"/>
          <w:szCs w:val="24"/>
        </w:rPr>
        <w:t>规定</w:t>
      </w:r>
      <w:r>
        <w:rPr>
          <w:rFonts w:asciiTheme="minorEastAsia" w:hAnsiTheme="minorEastAsia" w:cs="Arial" w:hint="eastAsia"/>
          <w:sz w:val="24"/>
          <w:szCs w:val="24"/>
        </w:rPr>
        <w:t>媒介上刊登基金重新开放申购或赎回公告，并公布最近1个开放日的各类基金份额净值。</w:t>
      </w:r>
    </w:p>
    <w:p w14:paraId="5A64304D"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3、如发生暂停的时间超过1 日，基金管理人可以根据暂停申购或赎回的时间，依照《信息披露办法》的有关规定，最迟于重新开放日在</w:t>
      </w:r>
      <w:r>
        <w:rPr>
          <w:rFonts w:asciiTheme="minorEastAsia" w:hAnsiTheme="minorEastAsia" w:cs="Times New Roman" w:hint="eastAsia"/>
          <w:sz w:val="24"/>
          <w:szCs w:val="24"/>
        </w:rPr>
        <w:t>规定</w:t>
      </w:r>
      <w:r>
        <w:rPr>
          <w:rFonts w:asciiTheme="minorEastAsia" w:hAnsiTheme="minorEastAsia" w:cs="Arial" w:hint="eastAsia"/>
          <w:sz w:val="24"/>
          <w:szCs w:val="24"/>
        </w:rPr>
        <w:t xml:space="preserve">媒介刊登基金重新开放申购或赎回的公告，并在重新开始办理申购或赎回的开放日公告最近1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工作日的各类基金份额净值；也可以根据实际情况在暂停公告中明确重新开放申购或赎回的时间，届时不再另行发布重新开放的公告。</w:t>
      </w:r>
    </w:p>
    <w:p w14:paraId="509DD011"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5143EAB3"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58FBCA7"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66453486"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过户或者按照相关法律法规或国家有权机关要求的方式进行处理的行为。无论在上述何种情况下，接受划转的主体必须是依法可以持有本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07FCDB10"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0A6CBB40"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十五、基金的转托管</w:t>
      </w:r>
    </w:p>
    <w:p w14:paraId="08582FD7"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A2FF750"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十六、定期定额投资计划</w:t>
      </w:r>
    </w:p>
    <w:p w14:paraId="5D2F9858"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5F45179"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十七、基金份额的冻结和解冻</w:t>
      </w:r>
    </w:p>
    <w:p w14:paraId="08E638D8"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基金登记机构的相关规定办理。基金份额被冻结的，被冻结部分产生的权益按照法律法规及国家有权机关的要求以及基金登记机构业务规定来处理。</w:t>
      </w:r>
    </w:p>
    <w:p w14:paraId="031F7E8E"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十八、基金份额的转让</w:t>
      </w:r>
    </w:p>
    <w:p w14:paraId="6A46B705"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Pr>
          <w:rFonts w:asciiTheme="minorEastAsia" w:hAnsiTheme="minorEastAsia" w:cs="Times New Roman" w:hint="eastAsia"/>
          <w:sz w:val="24"/>
          <w:szCs w:val="24"/>
        </w:rPr>
        <w:t>规</w:t>
      </w:r>
      <w:r>
        <w:rPr>
          <w:rFonts w:asciiTheme="minorEastAsia" w:hAnsiTheme="minorEastAsia" w:cs="Times New Roman" w:hint="eastAsia"/>
          <w:sz w:val="24"/>
          <w:szCs w:val="24"/>
        </w:rPr>
        <w:lastRenderedPageBreak/>
        <w:t>定</w:t>
      </w:r>
      <w:r>
        <w:rPr>
          <w:rFonts w:asciiTheme="minorEastAsia" w:hAnsiTheme="minorEastAsia" w:cs="Arial" w:hint="eastAsia"/>
          <w:sz w:val="24"/>
          <w:szCs w:val="24"/>
        </w:rPr>
        <w:t>媒介公告相关的业务规则，基金份额持有人应根据基金管理人届时公告的业务规则办理基金份额转让业务。</w:t>
      </w:r>
    </w:p>
    <w:p w14:paraId="35E825D1" w14:textId="77777777" w:rsidR="009214AE" w:rsidRDefault="00C6633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十九、实施</w:t>
      </w:r>
      <w:proofErr w:type="gramStart"/>
      <w:r>
        <w:rPr>
          <w:rFonts w:asciiTheme="minorEastAsia" w:hAnsiTheme="minorEastAsia" w:cs="Arial" w:hint="eastAsia"/>
          <w:b/>
          <w:sz w:val="24"/>
          <w:szCs w:val="24"/>
        </w:rPr>
        <w:t>侧袋机制</w:t>
      </w:r>
      <w:proofErr w:type="gramEnd"/>
      <w:r>
        <w:rPr>
          <w:rFonts w:asciiTheme="minorEastAsia" w:hAnsiTheme="minorEastAsia" w:cs="Arial" w:hint="eastAsia"/>
          <w:b/>
          <w:sz w:val="24"/>
          <w:szCs w:val="24"/>
        </w:rPr>
        <w:t>期间本基金的申购与赎回</w:t>
      </w:r>
    </w:p>
    <w:p w14:paraId="25FF9C18" w14:textId="77777777" w:rsidR="009214AE" w:rsidRDefault="00C6633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本基金实施</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的，本基金的申购和赎回安排详见本招募说明书“侧袋机制”部分的规定或相关公告。</w:t>
      </w:r>
    </w:p>
    <w:p w14:paraId="5A13FE0A" w14:textId="77777777" w:rsidR="009214AE" w:rsidRDefault="00C66335">
      <w:pPr>
        <w:widowControl/>
        <w:jc w:val="left"/>
        <w:rPr>
          <w:rFonts w:asciiTheme="minorEastAsia" w:hAnsiTheme="minorEastAsia" w:cs="Arial"/>
          <w:sz w:val="24"/>
          <w:szCs w:val="24"/>
        </w:rPr>
      </w:pPr>
      <w:r>
        <w:rPr>
          <w:rFonts w:asciiTheme="minorEastAsia" w:hAnsiTheme="minorEastAsia" w:cs="Arial"/>
          <w:sz w:val="24"/>
          <w:szCs w:val="24"/>
        </w:rPr>
        <w:br w:type="page"/>
      </w:r>
    </w:p>
    <w:p w14:paraId="4C059DC0" w14:textId="77777777" w:rsidR="009214AE" w:rsidRDefault="00C66335">
      <w:pPr>
        <w:pStyle w:val="1"/>
        <w:jc w:val="center"/>
        <w:rPr>
          <w:sz w:val="30"/>
          <w:szCs w:val="30"/>
        </w:rPr>
      </w:pPr>
      <w:bookmarkStart w:id="205" w:name="_Toc164429422"/>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0E81999B"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1CEE946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本基金通过数量化的方法进行积极组合管理与风险控制，力争实现达到或 超越业绩比较基准的投资收益，谋求基金资产的长期增值。</w:t>
      </w:r>
    </w:p>
    <w:p w14:paraId="07BFAC4E"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5F41D5FF"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本基金的投资范围为具有良好流动性的金融工具，包括国内依法发行上市的股票（</w:t>
      </w:r>
      <w:proofErr w:type="gramStart"/>
      <w:r>
        <w:rPr>
          <w:rFonts w:asciiTheme="minorEastAsia" w:hAnsiTheme="minorEastAsia" w:cs="Times New Roman" w:hint="eastAsia"/>
          <w:bCs/>
          <w:sz w:val="24"/>
          <w:szCs w:val="24"/>
        </w:rPr>
        <w:t>含科创板</w:t>
      </w:r>
      <w:proofErr w:type="gramEnd"/>
      <w:r>
        <w:rPr>
          <w:rFonts w:asciiTheme="minorEastAsia" w:hAnsiTheme="minorEastAsia" w:cs="Times New Roman" w:hint="eastAsia"/>
          <w:bCs/>
          <w:sz w:val="24"/>
          <w:szCs w:val="24"/>
        </w:rPr>
        <w:t>、创业板、存托凭证及其他经中国证监会核准</w:t>
      </w:r>
      <w:r>
        <w:rPr>
          <w:rFonts w:ascii="Arial" w:hAnsi="Arial" w:cs="Arial" w:hint="eastAsia"/>
          <w:bCs/>
          <w:sz w:val="24"/>
        </w:rPr>
        <w:t>或注册</w:t>
      </w:r>
      <w:r>
        <w:rPr>
          <w:rFonts w:asciiTheme="minorEastAsia" w:hAnsiTheme="minorEastAsia" w:cs="Times New Roman" w:hint="eastAsia"/>
          <w:bCs/>
          <w:sz w:val="24"/>
          <w:szCs w:val="24"/>
        </w:rPr>
        <w:t>上市的股票）、债券（包括国债、央行票据、金融债券、企业债券、公司债券、中期票据、短期融资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7BBB712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本基金将根据法律法规的规定参与融资业务。在未来条件许可的情况下，本基金可根据相关法律法规，在履行适当程序后，参与融券业务和转融通证券出借业务。</w:t>
      </w:r>
    </w:p>
    <w:p w14:paraId="60F1A78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31B41040"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63E041E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2D4D7F9B"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三、投资策略 </w:t>
      </w:r>
    </w:p>
    <w:p w14:paraId="11252FB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1、大类资产配置</w:t>
      </w:r>
    </w:p>
    <w:p w14:paraId="5AA4EB47"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本基金在资产配置上采取相对稳健的策略，采取“自上而下”的方式进行大</w:t>
      </w:r>
      <w:r>
        <w:rPr>
          <w:rFonts w:asciiTheme="minorEastAsia" w:hAnsiTheme="minorEastAsia" w:cs="Times New Roman" w:hint="eastAsia"/>
          <w:bCs/>
          <w:sz w:val="24"/>
          <w:szCs w:val="24"/>
        </w:rPr>
        <w:lastRenderedPageBreak/>
        <w:t>类资产配置，根据对宏观经济、市场面、政策面等因素进行定量与定性相结合的分析研究，根据各类资产不同的预期风险收益比来确定组合中股票、债券、货币市场工具及其他金融工具的比例。</w:t>
      </w:r>
    </w:p>
    <w:p w14:paraId="03E2F48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2、股票投资策略</w:t>
      </w:r>
    </w:p>
    <w:p w14:paraId="34CBFB4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多因子选股模型精选个股，在有效控制风险的前提下，追求基金资产的长期稳定增值，力争实现业绩超越业绩比较基准的投资回报。具体而言，股票投资策略以国际市场上广泛应用的多因子选股模型为基础，结合基本面研究的投资逻辑，精选出基本面健康、核心竞争力强、长期业绩优秀，具有超越市场预期的投资标的。在利用多因子选股模型构建组合过程中，坚持风格均衡、个股数量适度，在确保组合风险可控的前提下，获取稳健收益。多因子模型的主要步骤如下：</w:t>
      </w:r>
    </w:p>
    <w:p w14:paraId="1073553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（1）筛选有效因子</w:t>
      </w:r>
    </w:p>
    <w:p w14:paraId="33980B73"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多因子选股模型使用的因子来源于多种投资逻辑。对于因子的筛选，富荣基金量化投资团队在多年研究积累的基础上，对市场上存在的有效因子进行深入研究，通过详尽历史</w:t>
      </w:r>
      <w:proofErr w:type="gramStart"/>
      <w:r>
        <w:rPr>
          <w:rFonts w:asciiTheme="minorEastAsia" w:hAnsiTheme="minorEastAsia" w:cs="Times New Roman" w:hint="eastAsia"/>
          <w:bCs/>
          <w:sz w:val="24"/>
          <w:szCs w:val="24"/>
        </w:rPr>
        <w:t>数据回测和</w:t>
      </w:r>
      <w:proofErr w:type="gramEnd"/>
      <w:r>
        <w:rPr>
          <w:rFonts w:asciiTheme="minorEastAsia" w:hAnsiTheme="minorEastAsia" w:cs="Times New Roman" w:hint="eastAsia"/>
          <w:bCs/>
          <w:sz w:val="24"/>
          <w:szCs w:val="24"/>
        </w:rPr>
        <w:t>样本外跟踪，优选出使用经济学逻辑完备且统计概率占优的因子作为多因子模型的备选因子。基于不同的投资逻辑，因子主要有以下几类。</w:t>
      </w:r>
    </w:p>
    <w:p w14:paraId="6AFBFBA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基本面类因子，主要有盈利、成长、估值等因子。其中，盈利因子主要有净资产收益率、毛利率等。成长因子主要有净利润同比增长率、ROE变动等。估值因子，包括市盈率、</w:t>
      </w:r>
      <w:proofErr w:type="gramStart"/>
      <w:r>
        <w:rPr>
          <w:rFonts w:asciiTheme="minorEastAsia" w:hAnsiTheme="minorEastAsia" w:cs="Times New Roman" w:hint="eastAsia"/>
          <w:bCs/>
          <w:sz w:val="24"/>
          <w:szCs w:val="24"/>
        </w:rPr>
        <w:t>市净率</w:t>
      </w:r>
      <w:proofErr w:type="gramEnd"/>
      <w:r>
        <w:rPr>
          <w:rFonts w:asciiTheme="minorEastAsia" w:hAnsiTheme="minorEastAsia" w:cs="Times New Roman" w:hint="eastAsia"/>
          <w:bCs/>
          <w:sz w:val="24"/>
          <w:szCs w:val="24"/>
        </w:rPr>
        <w:t>等，综合考察相对估值和绝对估值水平。</w:t>
      </w:r>
    </w:p>
    <w:p w14:paraId="5FF28E2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事件驱动类因子，主要包含</w:t>
      </w:r>
      <w:proofErr w:type="gramStart"/>
      <w:r>
        <w:rPr>
          <w:rFonts w:asciiTheme="minorEastAsia" w:hAnsiTheme="minorEastAsia" w:cs="Times New Roman" w:hint="eastAsia"/>
          <w:bCs/>
          <w:sz w:val="24"/>
          <w:szCs w:val="24"/>
        </w:rPr>
        <w:t>业绩超</w:t>
      </w:r>
      <w:proofErr w:type="gramEnd"/>
      <w:r>
        <w:rPr>
          <w:rFonts w:asciiTheme="minorEastAsia" w:hAnsiTheme="minorEastAsia" w:cs="Times New Roman" w:hint="eastAsia"/>
          <w:bCs/>
          <w:sz w:val="24"/>
          <w:szCs w:val="24"/>
        </w:rPr>
        <w:t>预期、分析师预期等因子。通过构建业绩上调比例、</w:t>
      </w:r>
      <w:proofErr w:type="gramStart"/>
      <w:r>
        <w:rPr>
          <w:rFonts w:asciiTheme="minorEastAsia" w:hAnsiTheme="minorEastAsia" w:cs="Times New Roman" w:hint="eastAsia"/>
          <w:bCs/>
          <w:sz w:val="24"/>
          <w:szCs w:val="24"/>
        </w:rPr>
        <w:t>业绩超</w:t>
      </w:r>
      <w:proofErr w:type="gramEnd"/>
      <w:r>
        <w:rPr>
          <w:rFonts w:asciiTheme="minorEastAsia" w:hAnsiTheme="minorEastAsia" w:cs="Times New Roman" w:hint="eastAsia"/>
          <w:bCs/>
          <w:sz w:val="24"/>
          <w:szCs w:val="24"/>
        </w:rPr>
        <w:t>预期幅度、跳空幅度等因子，衡量股票业绩的超预期程度和稳定性。</w:t>
      </w:r>
    </w:p>
    <w:p w14:paraId="7743A56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技术类因子，主要有流动性、波动率、短期反转、长期动量等因子。</w:t>
      </w:r>
    </w:p>
    <w:p w14:paraId="792D9F0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（2）多因子加权</w:t>
      </w:r>
    </w:p>
    <w:p w14:paraId="663AF9B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因子权重主要基于因子过去一段时间表现来确定，通过使用多个因子绩效评价指标，自动确定因子的权重，从而实现因子动态优选，自动剔除表现不佳的因子。在确定因子权重后，计算股票最终的综合评分。</w:t>
      </w:r>
    </w:p>
    <w:p w14:paraId="7F8A5BB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本基金通过综合使用多个维度大类因子，筛选出成长性好、盈利质量高、有</w:t>
      </w:r>
      <w:r>
        <w:rPr>
          <w:rFonts w:asciiTheme="minorEastAsia" w:hAnsiTheme="minorEastAsia" w:cs="Times New Roman" w:hint="eastAsia"/>
          <w:bCs/>
          <w:sz w:val="24"/>
          <w:szCs w:val="24"/>
        </w:rPr>
        <w:lastRenderedPageBreak/>
        <w:t>一定估值边际、</w:t>
      </w:r>
      <w:proofErr w:type="gramStart"/>
      <w:r>
        <w:rPr>
          <w:rFonts w:asciiTheme="minorEastAsia" w:hAnsiTheme="minorEastAsia" w:cs="Times New Roman" w:hint="eastAsia"/>
          <w:bCs/>
          <w:sz w:val="24"/>
          <w:szCs w:val="24"/>
        </w:rPr>
        <w:t>业绩超</w:t>
      </w:r>
      <w:proofErr w:type="gramEnd"/>
      <w:r>
        <w:rPr>
          <w:rFonts w:asciiTheme="minorEastAsia" w:hAnsiTheme="minorEastAsia" w:cs="Times New Roman" w:hint="eastAsia"/>
          <w:bCs/>
          <w:sz w:val="24"/>
          <w:szCs w:val="24"/>
        </w:rPr>
        <w:t>预期的股票。目前模型同时使用了近百个因子，量化团队通过持续的开发因子和更新因子库，每季度都会升级和完善现有多因子选股模型。</w:t>
      </w:r>
    </w:p>
    <w:p w14:paraId="79ED2F7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（3）投资组合优化和风险控制</w:t>
      </w:r>
    </w:p>
    <w:p w14:paraId="1B435DE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使用组合优化模型构建，通过适当控制市值、行业、风险因子的暴露敞口，以最大化组合的预期收益为目标，确定个股的投资权重。</w:t>
      </w:r>
    </w:p>
    <w:p w14:paraId="0276F14B"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股票组合构建完成后，本基金管理人将对产品表现持续跟踪，根据市场的变化适时调整投资组合，力求获得超越业绩比较基准的投资回报。</w:t>
      </w:r>
    </w:p>
    <w:p w14:paraId="2813737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3</w:t>
      </w:r>
      <w:r>
        <w:rPr>
          <w:rFonts w:asciiTheme="minorEastAsia" w:hAnsiTheme="minorEastAsia" w:cs="Times New Roman" w:hint="eastAsia"/>
          <w:bCs/>
          <w:sz w:val="24"/>
          <w:szCs w:val="24"/>
        </w:rPr>
        <w:t>、存托凭证投资策略</w:t>
      </w:r>
    </w:p>
    <w:p w14:paraId="0D41259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本基金可投资存托凭证，本基金将结合对宏观经济状况、行业景气度、公司竞争优势、公司治理结构、估值水平等因素的分析判断，选择投资价值高的存托凭证进行投资。</w:t>
      </w:r>
    </w:p>
    <w:p w14:paraId="174C441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4</w:t>
      </w:r>
      <w:r>
        <w:rPr>
          <w:rFonts w:asciiTheme="minorEastAsia" w:hAnsiTheme="minorEastAsia" w:cs="Times New Roman" w:hint="eastAsia"/>
          <w:bCs/>
          <w:sz w:val="24"/>
          <w:szCs w:val="24"/>
        </w:rPr>
        <w:t>、债券投资策略</w:t>
      </w:r>
    </w:p>
    <w:p w14:paraId="63DDC4BB"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（1）资产配置策略</w:t>
      </w:r>
    </w:p>
    <w:p w14:paraId="4DD11C9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6A439557"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（2）利率类品种投资策略</w:t>
      </w:r>
    </w:p>
    <w:p w14:paraId="3DC5106F"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C14466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（3）信用债投资策略</w:t>
      </w:r>
    </w:p>
    <w:p w14:paraId="40DD62E3"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进行投资。</w:t>
      </w:r>
    </w:p>
    <w:p w14:paraId="0827824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（4）可转换债券投资策略</w:t>
      </w:r>
    </w:p>
    <w:p w14:paraId="6EBD68CE"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可转换债券兼具权益类证券与固定收益类证券的特性，具有抵御下行风险、分享股票价格上涨收益的特点。本基金在对可转换公司债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条款和发行债券公司基本面进行深入分析研究的基础上，综合考虑可转换债券</w:t>
      </w:r>
      <w:proofErr w:type="gramStart"/>
      <w:r>
        <w:rPr>
          <w:rFonts w:asciiTheme="minorEastAsia" w:hAnsiTheme="minorEastAsia" w:cs="Times New Roman" w:hint="eastAsia"/>
          <w:bCs/>
          <w:sz w:val="24"/>
          <w:szCs w:val="24"/>
        </w:rPr>
        <w:t>的债性和</w:t>
      </w:r>
      <w:proofErr w:type="gramEnd"/>
      <w:r>
        <w:rPr>
          <w:rFonts w:asciiTheme="minorEastAsia" w:hAnsiTheme="minorEastAsia" w:cs="Times New Roman" w:hint="eastAsia"/>
          <w:bCs/>
          <w:sz w:val="24"/>
          <w:szCs w:val="24"/>
        </w:rPr>
        <w:t>股性，利用可转换公司债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定价模型进行估值分析，并最终选择合适的投资品种。</w:t>
      </w:r>
    </w:p>
    <w:p w14:paraId="736A9B9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（5）可交换债券配置策略</w:t>
      </w:r>
    </w:p>
    <w:p w14:paraId="5BDF303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w:t>
      </w:r>
      <w:proofErr w:type="gramStart"/>
      <w:r>
        <w:rPr>
          <w:rFonts w:asciiTheme="minorEastAsia" w:hAnsiTheme="minorEastAsia" w:cs="Times New Roman" w:hint="eastAsia"/>
          <w:bCs/>
          <w:sz w:val="24"/>
          <w:szCs w:val="24"/>
        </w:rPr>
        <w:t>纯债部分</w:t>
      </w:r>
      <w:proofErr w:type="gramEnd"/>
      <w:r>
        <w:rPr>
          <w:rFonts w:asciiTheme="minorEastAsia" w:hAnsiTheme="minorEastAsia" w:cs="Times New Roman" w:hint="eastAsia"/>
          <w:bCs/>
          <w:sz w:val="24"/>
          <w:szCs w:val="24"/>
        </w:rPr>
        <w:t>价值以及对目标公司的股票价值的综合评估，选择具有较高投资价值的可交换债券进行投资。</w:t>
      </w:r>
    </w:p>
    <w:p w14:paraId="1C4A8C4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5</w:t>
      </w:r>
      <w:r>
        <w:rPr>
          <w:rFonts w:asciiTheme="minorEastAsia" w:hAnsiTheme="minorEastAsia" w:cs="Times New Roman" w:hint="eastAsia"/>
          <w:bCs/>
          <w:sz w:val="24"/>
          <w:szCs w:val="24"/>
        </w:rPr>
        <w:t>、资产支持证券投资策略</w:t>
      </w:r>
    </w:p>
    <w:p w14:paraId="72F4136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本基金投资资产支持证券将综合</w:t>
      </w:r>
      <w:proofErr w:type="gramStart"/>
      <w:r>
        <w:rPr>
          <w:rFonts w:asciiTheme="minorEastAsia" w:hAnsiTheme="minorEastAsia" w:cs="Times New Roman" w:hint="eastAsia"/>
          <w:bCs/>
          <w:sz w:val="24"/>
          <w:szCs w:val="24"/>
        </w:rPr>
        <w:t>运用久期管理</w:t>
      </w:r>
      <w:proofErr w:type="gramEnd"/>
      <w:r>
        <w:rPr>
          <w:rFonts w:asciiTheme="minorEastAsia" w:hAnsiTheme="minorEastAsia" w:cs="Times New Roman" w:hint="eastAsia"/>
          <w:bCs/>
          <w:sz w:val="24"/>
          <w:szCs w:val="24"/>
        </w:rPr>
        <w:t>、收益率曲线、</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189A06B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6</w:t>
      </w:r>
      <w:r>
        <w:rPr>
          <w:rFonts w:asciiTheme="minorEastAsia" w:hAnsiTheme="minorEastAsia" w:cs="Times New Roman" w:hint="eastAsia"/>
          <w:bCs/>
          <w:sz w:val="24"/>
          <w:szCs w:val="24"/>
        </w:rPr>
        <w:t>、衍生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67FFF397"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Pr>
          <w:rFonts w:asciiTheme="minorEastAsia" w:hAnsiTheme="minorEastAsia" w:cs="Times New Roman" w:hint="eastAsia"/>
          <w:bCs/>
          <w:sz w:val="24"/>
          <w:szCs w:val="24"/>
        </w:rPr>
        <w:t>或调仓过程</w:t>
      </w:r>
      <w:proofErr w:type="gramEnd"/>
      <w:r>
        <w:rPr>
          <w:rFonts w:asciiTheme="minorEastAsia" w:hAnsiTheme="minorEastAsia" w:cs="Times New Roman" w:hint="eastAsia"/>
          <w:bCs/>
          <w:sz w:val="24"/>
          <w:szCs w:val="24"/>
        </w:rPr>
        <w:t>中的冲击成本等。</w:t>
      </w:r>
    </w:p>
    <w:p w14:paraId="6130DDA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（1）股指期货投资策略</w:t>
      </w:r>
    </w:p>
    <w:p w14:paraId="2AB3CB1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E8354D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1F5AEFB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（2）国债期货投资策略</w:t>
      </w:r>
    </w:p>
    <w:p w14:paraId="7EAADBA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7BB97AE5"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15AC8C5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（3）股票期权投资策略</w:t>
      </w:r>
    </w:p>
    <w:p w14:paraId="178FD34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03A8E1B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基金管理人将针对股票期权交易制订严格的授权管理制度和投资决策流程，确保投资、</w:t>
      </w:r>
      <w:proofErr w:type="gramStart"/>
      <w:r>
        <w:rPr>
          <w:rFonts w:asciiTheme="minorEastAsia" w:hAnsiTheme="minorEastAsia" w:cs="Times New Roman" w:hint="eastAsia"/>
          <w:bCs/>
          <w:sz w:val="24"/>
          <w:szCs w:val="24"/>
        </w:rPr>
        <w:t>风控等</w:t>
      </w:r>
      <w:proofErr w:type="gramEnd"/>
      <w:r>
        <w:rPr>
          <w:rFonts w:asciiTheme="minorEastAsia" w:hAnsiTheme="minorEastAsia" w:cs="Times New Roman" w:hint="eastAsia"/>
          <w:bCs/>
          <w:sz w:val="24"/>
          <w:szCs w:val="24"/>
        </w:rPr>
        <w:t>核心岗位人员具备股票期权业务知识和相应的专业能力，严格防范股票期权投资的风险。</w:t>
      </w:r>
    </w:p>
    <w:p w14:paraId="00E8400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7</w:t>
      </w:r>
      <w:r>
        <w:rPr>
          <w:rFonts w:asciiTheme="minorEastAsia" w:hAnsiTheme="minorEastAsia" w:cs="Times New Roman" w:hint="eastAsia"/>
          <w:bCs/>
          <w:sz w:val="24"/>
          <w:szCs w:val="24"/>
        </w:rPr>
        <w:t>、参与融资业务投资策略</w:t>
      </w:r>
    </w:p>
    <w:p w14:paraId="68EC89B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556BBDB2"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21592BE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74F63FB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25F83B6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（1）股票资产占基金资产的比例为60%-95%；</w:t>
      </w:r>
    </w:p>
    <w:p w14:paraId="3F0BE77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46BB7C2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219789D0"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4D8EC4A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（5）本基金投资于同一原始权益人的各类资产支持证券的比例，不得超过</w:t>
      </w:r>
      <w:r>
        <w:rPr>
          <w:rFonts w:asciiTheme="minorEastAsia" w:hAnsiTheme="minorEastAsia" w:cs="Times New Roman" w:hint="eastAsia"/>
          <w:bCs/>
          <w:sz w:val="24"/>
          <w:szCs w:val="24"/>
        </w:rPr>
        <w:lastRenderedPageBreak/>
        <w:t>基金资产净值的10%；</w:t>
      </w:r>
    </w:p>
    <w:p w14:paraId="791A4D0B"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（6）本基金持有的全部资产支持证券，其市值不得超过基金资产净值的20%；</w:t>
      </w:r>
    </w:p>
    <w:p w14:paraId="010AA92B"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（7）本基金持有的同一(指同一信用级别)资产支持证券的比例，不得超过该资产支持证券规模的10%；</w:t>
      </w:r>
    </w:p>
    <w:p w14:paraId="11088801"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0F563661"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970E610"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7B36EC8E"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051E0C0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（12）本基金参与股指期货、国债期货交易依据下列标准建构组合：</w:t>
      </w:r>
    </w:p>
    <w:p w14:paraId="6CC05FE7"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2B2C085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5347FEB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0C04876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4CB661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A185ADF"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0362E0A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（14）基金总资产不得超过基金净资产的140%；</w:t>
      </w:r>
    </w:p>
    <w:p w14:paraId="03520127"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7C02E06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（16）本基金主动投资于流动性受限资产的市值合计不得超过基金资产净值的15%；</w:t>
      </w:r>
    </w:p>
    <w:p w14:paraId="1567A1D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3B89E8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（17）本基金与私募类</w:t>
      </w:r>
      <w:proofErr w:type="gramStart"/>
      <w:r>
        <w:rPr>
          <w:rFonts w:asciiTheme="minorEastAsia" w:hAnsiTheme="minorEastAsia" w:cs="Times New Roman" w:hint="eastAsia"/>
          <w:bCs/>
          <w:sz w:val="24"/>
          <w:szCs w:val="24"/>
        </w:rPr>
        <w:t>证券资管产品</w:t>
      </w:r>
      <w:proofErr w:type="gramEnd"/>
      <w:r>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1CA690B0"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（18）本基金参与股票期权交易的，需遵守下列投资比例限制：</w:t>
      </w:r>
    </w:p>
    <w:p w14:paraId="3D097C2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2FEC4081"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15735D0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05C45F9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（19）本基金投资存托凭证的比例限制依照境内上市交易的股票执行，与境内上市交易的股票合并计算；</w:t>
      </w:r>
    </w:p>
    <w:p w14:paraId="5993BE01"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w:t>
      </w:r>
      <w:r>
        <w:rPr>
          <w:rFonts w:asciiTheme="minorEastAsia" w:hAnsiTheme="minorEastAsia" w:cs="Times New Roman"/>
          <w:bCs/>
          <w:sz w:val="24"/>
          <w:szCs w:val="24"/>
        </w:rPr>
        <w:t>0</w:t>
      </w:r>
      <w:r>
        <w:rPr>
          <w:rFonts w:asciiTheme="minorEastAsia" w:hAnsiTheme="minorEastAsia" w:cs="Times New Roman" w:hint="eastAsia"/>
          <w:bCs/>
          <w:sz w:val="24"/>
          <w:szCs w:val="24"/>
        </w:rPr>
        <w:t>）本基金参与融资的，每个交易日日终，本基金持有的融资买入股票与</w:t>
      </w:r>
      <w:r>
        <w:rPr>
          <w:rFonts w:asciiTheme="minorEastAsia" w:hAnsiTheme="minorEastAsia" w:cs="Times New Roman" w:hint="eastAsia"/>
          <w:bCs/>
          <w:sz w:val="24"/>
          <w:szCs w:val="24"/>
        </w:rPr>
        <w:lastRenderedPageBreak/>
        <w:t>其他有价证券市值之和，不得超过基金资产净值的95%；</w:t>
      </w:r>
    </w:p>
    <w:p w14:paraId="13ED1544"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w:t>
      </w:r>
      <w:r>
        <w:rPr>
          <w:rFonts w:asciiTheme="minorEastAsia" w:hAnsiTheme="minorEastAsia" w:cs="Times New Roman"/>
          <w:bCs/>
          <w:sz w:val="24"/>
          <w:szCs w:val="24"/>
        </w:rPr>
        <w:t>1</w:t>
      </w:r>
      <w:r>
        <w:rPr>
          <w:rFonts w:asciiTheme="minorEastAsia" w:hAnsiTheme="minorEastAsia" w:cs="Times New Roman" w:hint="eastAsia"/>
          <w:bCs/>
          <w:sz w:val="24"/>
          <w:szCs w:val="24"/>
        </w:rPr>
        <w:t>）法律法规及中国证监会规定的和《基金合同》约定的其他投资限制。</w:t>
      </w:r>
    </w:p>
    <w:p w14:paraId="0955909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297F3B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A6DF360"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371E645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23FB6B5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7F51C25E"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E9A813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085BF89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4B5BA792"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（4）买卖其他基金份额，但是法律法规或中国证监会另有规定的除外；</w:t>
      </w:r>
    </w:p>
    <w:p w14:paraId="16385E2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0B8127B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74DE0CCB"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059DBC1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465B7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法律、行政法规或监管部门取消或调整上述限制，如适用于本基金，基金管理人在履行适当程序后，则本基金投资按照取消或调整后的规定执行。</w:t>
      </w:r>
    </w:p>
    <w:p w14:paraId="192F76D1"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五、业绩比较基准</w:t>
      </w:r>
    </w:p>
    <w:p w14:paraId="4CEDE533"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1、业绩比较基准</w:t>
      </w:r>
    </w:p>
    <w:p w14:paraId="5D7EB4F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中证500指数收益率×70%+中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 xml:space="preserve">指数收益率×30% </w:t>
      </w:r>
    </w:p>
    <w:p w14:paraId="60F2111F"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2、选择业绩比较基准的理由</w:t>
      </w:r>
    </w:p>
    <w:p w14:paraId="4187A97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中证500指数由中证指数有限公司编制，它的样本选自沪深两个证券市场的500只股票，具备市场覆盖度广、代表性强、流动性强、指数编制方法透明等特点，它能够反映中国A股市场整体状况和发展趋势。</w:t>
      </w:r>
    </w:p>
    <w:p w14:paraId="0C7D97A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492F651D"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基于本基金的投资范围和投资策略，选用上述业绩比较基准能够忠实反映本基金的风险收益特征。</w:t>
      </w:r>
    </w:p>
    <w:p w14:paraId="3A46F103"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指数编制单位停止编制该指数或更改指数名称，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w:t>
      </w:r>
    </w:p>
    <w:p w14:paraId="4E98D402"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580A3B59"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1B93B162"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七、基金管理人代表基金行使股东或债权人权利的处理原则及方法</w:t>
      </w:r>
    </w:p>
    <w:p w14:paraId="0C08AD3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3EA85DA"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2、不谋求对上市公司的控股； </w:t>
      </w:r>
    </w:p>
    <w:p w14:paraId="171DD8BC"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3、有利于基金财产的安全与增值； </w:t>
      </w:r>
    </w:p>
    <w:p w14:paraId="6F106448"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62E42301" w14:textId="77777777" w:rsidR="009214AE" w:rsidRDefault="00C6633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八、</w:t>
      </w:r>
      <w:proofErr w:type="gramStart"/>
      <w:r>
        <w:rPr>
          <w:rFonts w:asciiTheme="minorEastAsia" w:hAnsiTheme="minorEastAsia" w:cs="Times New Roman" w:hint="eastAsia"/>
          <w:b/>
          <w:bCs/>
          <w:sz w:val="24"/>
          <w:szCs w:val="24"/>
        </w:rPr>
        <w:t>侧袋机制</w:t>
      </w:r>
      <w:proofErr w:type="gramEnd"/>
      <w:r>
        <w:rPr>
          <w:rFonts w:asciiTheme="minorEastAsia" w:hAnsiTheme="minorEastAsia" w:cs="Times New Roman" w:hint="eastAsia"/>
          <w:b/>
          <w:bCs/>
          <w:sz w:val="24"/>
          <w:szCs w:val="24"/>
        </w:rPr>
        <w:t>的实施和投资运作安排</w:t>
      </w:r>
    </w:p>
    <w:p w14:paraId="651FB926" w14:textId="77777777" w:rsidR="009214AE" w:rsidRDefault="00C6633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当基金持有特定资产且存在或潜在大额赎回申请时，根据最大限度保护基金</w:t>
      </w:r>
      <w:r>
        <w:rPr>
          <w:rFonts w:asciiTheme="minorEastAsia" w:hAnsiTheme="minorEastAsia" w:cs="Times New Roman" w:hint="eastAsia"/>
          <w:bCs/>
          <w:sz w:val="24"/>
          <w:szCs w:val="24"/>
        </w:rPr>
        <w:lastRenderedPageBreak/>
        <w:t>份额持有人利益的原则，基金管理人经与基金托管人协商一致，并咨询会计师事务所意见后，可以依照法律法规及基金合同的约定</w:t>
      </w:r>
      <w:proofErr w:type="gramStart"/>
      <w:r>
        <w:rPr>
          <w:rFonts w:asciiTheme="minorEastAsia" w:hAnsiTheme="minorEastAsia" w:cs="Times New Roman" w:hint="eastAsia"/>
          <w:bCs/>
          <w:sz w:val="24"/>
          <w:szCs w:val="24"/>
        </w:rPr>
        <w:t>启用侧袋机制</w:t>
      </w:r>
      <w:proofErr w:type="gramEnd"/>
      <w:r>
        <w:rPr>
          <w:rFonts w:asciiTheme="minorEastAsia" w:hAnsiTheme="minorEastAsia" w:cs="Times New Roman" w:hint="eastAsia"/>
          <w:bCs/>
          <w:sz w:val="24"/>
          <w:szCs w:val="24"/>
        </w:rPr>
        <w:t>。</w:t>
      </w:r>
    </w:p>
    <w:p w14:paraId="0D0ED434" w14:textId="77777777" w:rsidR="009214AE" w:rsidRDefault="00C66335">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Pr>
          <w:rFonts w:asciiTheme="minorEastAsia" w:hAnsiTheme="minorEastAsia" w:cs="Times New Roman" w:hint="eastAsia"/>
          <w:bCs/>
          <w:sz w:val="24"/>
          <w:szCs w:val="24"/>
        </w:rPr>
        <w:t>适用于主袋账户</w:t>
      </w:r>
      <w:proofErr w:type="gramEnd"/>
      <w:r>
        <w:rPr>
          <w:rFonts w:asciiTheme="minorEastAsia" w:hAnsiTheme="minorEastAsia" w:cs="Times New Roman" w:hint="eastAsia"/>
          <w:bCs/>
          <w:sz w:val="24"/>
          <w:szCs w:val="24"/>
        </w:rPr>
        <w:t>。</w:t>
      </w:r>
    </w:p>
    <w:p w14:paraId="0CEF89DD" w14:textId="77777777" w:rsidR="009214AE" w:rsidRDefault="00C66335">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的实施条件、实施程序、运作安排、投资安排、特定资产的处置变现和支付等对投资者权益有重大影响的事项详见本招募说明书“侧袋机制”部分的规定。</w:t>
      </w:r>
    </w:p>
    <w:p w14:paraId="5C8894E3" w14:textId="77777777" w:rsidR="009214AE" w:rsidRDefault="00C66335">
      <w:pPr>
        <w:autoSpaceDE w:val="0"/>
        <w:autoSpaceDN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九、基金投资组合报告</w:t>
      </w:r>
    </w:p>
    <w:p w14:paraId="7EC4ABBE" w14:textId="77777777" w:rsidR="009214AE" w:rsidRDefault="00C66335">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基金管理人的董事会及董事保证本报告所载资料不存在虚假记载、误导性陈述或重大遗漏，并对其内容的真实性、准确性和完整性承担个别及连带责任。</w:t>
      </w:r>
      <w:r>
        <w:rPr>
          <w:rFonts w:asciiTheme="minorEastAsia" w:hAnsiTheme="minorEastAsia"/>
          <w:bCs/>
          <w:sz w:val="24"/>
          <w:szCs w:val="24"/>
        </w:rPr>
        <w:t xml:space="preserve"> </w:t>
      </w:r>
    </w:p>
    <w:p w14:paraId="59FD8BB6" w14:textId="77777777" w:rsidR="009214AE" w:rsidRDefault="00C66335">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基金托管人中国工商银行股份有限公司根据本基金合同规定，已复核了本报告中的财务指标、净值表现和投资组合报告等内容，保证复核内容不存在虚假记载、误导性陈述或者重大遗漏。</w:t>
      </w:r>
    </w:p>
    <w:p w14:paraId="6EE5B056" w14:textId="77777777" w:rsidR="009214AE" w:rsidRDefault="00C66335">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本投资组合报告所载数据截至</w:t>
      </w:r>
      <w:r>
        <w:rPr>
          <w:rFonts w:asciiTheme="minorEastAsia" w:hAnsiTheme="minorEastAsia"/>
          <w:bCs/>
          <w:sz w:val="24"/>
          <w:szCs w:val="24"/>
        </w:rPr>
        <w:t>202</w:t>
      </w:r>
      <w:r>
        <w:rPr>
          <w:rFonts w:asciiTheme="minorEastAsia" w:hAnsiTheme="minorEastAsia" w:hint="eastAsia"/>
          <w:bCs/>
          <w:sz w:val="24"/>
          <w:szCs w:val="24"/>
        </w:rPr>
        <w:t>3</w:t>
      </w:r>
      <w:r>
        <w:rPr>
          <w:rFonts w:asciiTheme="minorEastAsia" w:hAnsiTheme="minorEastAsia"/>
          <w:bCs/>
          <w:sz w:val="24"/>
          <w:szCs w:val="24"/>
        </w:rPr>
        <w:t>年12</w:t>
      </w:r>
      <w:r>
        <w:rPr>
          <w:rFonts w:asciiTheme="minorEastAsia" w:hAnsiTheme="minorEastAsia" w:hint="eastAsia"/>
          <w:bCs/>
          <w:sz w:val="24"/>
          <w:szCs w:val="24"/>
        </w:rPr>
        <w:t>月</w:t>
      </w:r>
      <w:r>
        <w:rPr>
          <w:rFonts w:asciiTheme="minorEastAsia" w:hAnsiTheme="minorEastAsia"/>
          <w:bCs/>
          <w:sz w:val="24"/>
          <w:szCs w:val="24"/>
        </w:rPr>
        <w:t>31</w:t>
      </w:r>
      <w:r>
        <w:rPr>
          <w:rFonts w:asciiTheme="minorEastAsia" w:hAnsiTheme="minorEastAsia" w:hint="eastAsia"/>
          <w:bCs/>
          <w:sz w:val="24"/>
          <w:szCs w:val="24"/>
        </w:rPr>
        <w:t>日，本报告中所列财务数据未经审计。</w:t>
      </w:r>
    </w:p>
    <w:p w14:paraId="7CAAD0AB" w14:textId="77777777" w:rsidR="009214AE" w:rsidRDefault="00C66335">
      <w:pPr>
        <w:autoSpaceDE w:val="0"/>
        <w:autoSpaceDN w:val="0"/>
        <w:spacing w:line="360" w:lineRule="auto"/>
        <w:ind w:firstLine="422"/>
        <w:textAlignment w:val="bottom"/>
        <w:rPr>
          <w:rFonts w:hAnsi="等线"/>
          <w:b/>
          <w:color w:val="000000"/>
        </w:rPr>
      </w:pPr>
      <w:r>
        <w:rPr>
          <w:rFonts w:ascii="宋体" w:eastAsia="宋体" w:hAnsi="等线" w:cs="宋体"/>
          <w:b/>
          <w:color w:val="000000"/>
          <w:kern w:val="0"/>
          <w:sz w:val="24"/>
          <w:szCs w:val="24"/>
        </w:rPr>
        <w:t>1</w:t>
      </w:r>
      <w:r>
        <w:rPr>
          <w:rFonts w:ascii="宋体" w:eastAsia="宋体" w:hAnsi="等线" w:cs="宋体" w:hint="eastAsia"/>
          <w:b/>
          <w:color w:val="000000"/>
          <w:kern w:val="0"/>
          <w:sz w:val="24"/>
          <w:szCs w:val="24"/>
        </w:rPr>
        <w:t>、报告期末基金资产组合情况</w:t>
      </w:r>
    </w:p>
    <w:tbl>
      <w:tblPr>
        <w:tblW w:w="0" w:type="auto"/>
        <w:tblInd w:w="108" w:type="dxa"/>
        <w:tblLook w:val="04A0" w:firstRow="1" w:lastRow="0" w:firstColumn="1" w:lastColumn="0" w:noHBand="0" w:noVBand="1"/>
      </w:tblPr>
      <w:tblGrid>
        <w:gridCol w:w="762"/>
        <w:gridCol w:w="3029"/>
        <w:gridCol w:w="2086"/>
        <w:gridCol w:w="2537"/>
      </w:tblGrid>
      <w:tr w:rsidR="009214AE" w14:paraId="7E0BC0F1"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40143305" w14:textId="77777777" w:rsidR="009214AE" w:rsidRDefault="00C66335">
            <w:pPr>
              <w:pStyle w:val="biaogecenter"/>
              <w:wordWrap w:val="0"/>
            </w:pPr>
            <w:r>
              <w:rPr>
                <w:rFonts w:hAnsi="等线" w:hint="eastAsia"/>
                <w:color w:val="000000"/>
              </w:rPr>
              <w:t>序号</w:t>
            </w:r>
          </w:p>
        </w:tc>
        <w:tc>
          <w:tcPr>
            <w:tcW w:w="3029" w:type="dxa"/>
            <w:tcBorders>
              <w:top w:val="single" w:sz="8" w:space="0" w:color="000000"/>
              <w:left w:val="single" w:sz="8" w:space="0" w:color="000000"/>
              <w:bottom w:val="single" w:sz="6" w:space="0" w:color="000000"/>
              <w:right w:val="single" w:sz="8" w:space="0" w:color="000000"/>
            </w:tcBorders>
            <w:vAlign w:val="center"/>
          </w:tcPr>
          <w:p w14:paraId="61F62D3E" w14:textId="77777777" w:rsidR="009214AE" w:rsidRDefault="00C66335">
            <w:pPr>
              <w:pStyle w:val="biaogecenter"/>
              <w:wordWrap w:val="0"/>
            </w:pPr>
            <w:r>
              <w:rPr>
                <w:rFonts w:hAnsi="等线" w:hint="eastAsia"/>
                <w:color w:val="000000"/>
              </w:rPr>
              <w:t>项目</w:t>
            </w:r>
          </w:p>
        </w:tc>
        <w:tc>
          <w:tcPr>
            <w:tcW w:w="2086" w:type="dxa"/>
            <w:tcBorders>
              <w:top w:val="single" w:sz="8" w:space="0" w:color="000000"/>
              <w:left w:val="single" w:sz="8" w:space="0" w:color="000000"/>
              <w:bottom w:val="single" w:sz="6" w:space="0" w:color="000000"/>
              <w:right w:val="single" w:sz="8" w:space="0" w:color="000000"/>
            </w:tcBorders>
            <w:vAlign w:val="center"/>
          </w:tcPr>
          <w:p w14:paraId="3C3288FA" w14:textId="77777777" w:rsidR="009214AE" w:rsidRDefault="00C66335">
            <w:pPr>
              <w:pStyle w:val="biaogecenter"/>
              <w:wordWrap w:val="0"/>
            </w:pPr>
            <w:r>
              <w:rPr>
                <w:rFonts w:hAnsi="等线" w:hint="eastAsia"/>
                <w:color w:val="000000"/>
              </w:rPr>
              <w:t>金额(元)</w:t>
            </w:r>
          </w:p>
        </w:tc>
        <w:tc>
          <w:tcPr>
            <w:tcW w:w="2537" w:type="dxa"/>
            <w:tcBorders>
              <w:top w:val="single" w:sz="8" w:space="0" w:color="000000"/>
              <w:left w:val="single" w:sz="8" w:space="0" w:color="000000"/>
              <w:bottom w:val="single" w:sz="6" w:space="0" w:color="000000"/>
              <w:right w:val="single" w:sz="8" w:space="0" w:color="000000"/>
            </w:tcBorders>
            <w:vAlign w:val="center"/>
          </w:tcPr>
          <w:p w14:paraId="79BDB669" w14:textId="77777777" w:rsidR="009214AE" w:rsidRDefault="00C66335">
            <w:pPr>
              <w:pStyle w:val="biaogecenter"/>
              <w:wordWrap w:val="0"/>
            </w:pPr>
            <w:r>
              <w:rPr>
                <w:rFonts w:hAnsi="等线" w:hint="eastAsia"/>
                <w:color w:val="000000"/>
              </w:rPr>
              <w:t>占基金总资产的比例（%）</w:t>
            </w:r>
          </w:p>
        </w:tc>
      </w:tr>
      <w:tr w:rsidR="009214AE" w14:paraId="680E2C5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3F5E5D9" w14:textId="77777777" w:rsidR="009214AE" w:rsidRDefault="00C66335">
            <w:pPr>
              <w:pStyle w:val="biaogecenter"/>
              <w:wordWrap w:val="0"/>
            </w:pPr>
            <w:r>
              <w:rPr>
                <w:rFonts w:hAnsi="等线" w:hint="eastAsia"/>
                <w:color w:val="000000"/>
              </w:rPr>
              <w:t>1</w:t>
            </w:r>
          </w:p>
        </w:tc>
        <w:tc>
          <w:tcPr>
            <w:tcW w:w="3029" w:type="dxa"/>
            <w:tcBorders>
              <w:top w:val="single" w:sz="8" w:space="0" w:color="000000"/>
              <w:left w:val="single" w:sz="8" w:space="0" w:color="000000"/>
              <w:bottom w:val="single" w:sz="6" w:space="0" w:color="000000"/>
              <w:right w:val="single" w:sz="8" w:space="0" w:color="000000"/>
            </w:tcBorders>
            <w:vAlign w:val="center"/>
          </w:tcPr>
          <w:p w14:paraId="2B7F78E5" w14:textId="77777777" w:rsidR="009214AE" w:rsidRDefault="00C66335">
            <w:pPr>
              <w:pStyle w:val="biaogeleft"/>
              <w:wordWrap w:val="0"/>
            </w:pPr>
            <w:r>
              <w:rPr>
                <w:rFonts w:hint="eastAsia"/>
              </w:rPr>
              <w:t>权益投资</w:t>
            </w:r>
          </w:p>
        </w:tc>
        <w:tc>
          <w:tcPr>
            <w:tcW w:w="2086" w:type="dxa"/>
            <w:tcBorders>
              <w:top w:val="single" w:sz="8" w:space="0" w:color="000000"/>
              <w:left w:val="single" w:sz="8" w:space="0" w:color="000000"/>
              <w:bottom w:val="single" w:sz="6" w:space="0" w:color="000000"/>
              <w:right w:val="single" w:sz="8" w:space="0" w:color="000000"/>
            </w:tcBorders>
            <w:vAlign w:val="center"/>
          </w:tcPr>
          <w:p w14:paraId="544DB278" w14:textId="77777777" w:rsidR="009214AE" w:rsidRDefault="00C66335">
            <w:pPr>
              <w:pStyle w:val="biaogeright"/>
              <w:wordWrap w:val="0"/>
            </w:pPr>
            <w:r>
              <w:rPr>
                <w:rFonts w:hAnsi="等线"/>
                <w:color w:val="000000"/>
              </w:rPr>
              <w:t>6,913,942.00</w:t>
            </w:r>
          </w:p>
        </w:tc>
        <w:tc>
          <w:tcPr>
            <w:tcW w:w="2537" w:type="dxa"/>
            <w:tcBorders>
              <w:top w:val="single" w:sz="8" w:space="0" w:color="000000"/>
              <w:left w:val="single" w:sz="8" w:space="0" w:color="000000"/>
              <w:bottom w:val="single" w:sz="6" w:space="0" w:color="000000"/>
              <w:right w:val="single" w:sz="8" w:space="0" w:color="000000"/>
            </w:tcBorders>
            <w:vAlign w:val="center"/>
          </w:tcPr>
          <w:p w14:paraId="43C49829" w14:textId="77777777" w:rsidR="009214AE" w:rsidRDefault="00C66335">
            <w:pPr>
              <w:pStyle w:val="biaogeright"/>
              <w:wordWrap w:val="0"/>
            </w:pPr>
            <w:r>
              <w:rPr>
                <w:rFonts w:hAnsi="等线"/>
                <w:color w:val="000000"/>
              </w:rPr>
              <w:t>84.05</w:t>
            </w:r>
          </w:p>
        </w:tc>
      </w:tr>
      <w:tr w:rsidR="009214AE" w14:paraId="466AD55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2C70DF3" w14:textId="77777777" w:rsidR="009214AE" w:rsidRDefault="009214AE"/>
        </w:tc>
        <w:tc>
          <w:tcPr>
            <w:tcW w:w="3029" w:type="dxa"/>
            <w:tcBorders>
              <w:top w:val="single" w:sz="8" w:space="0" w:color="000000"/>
              <w:left w:val="single" w:sz="8" w:space="0" w:color="000000"/>
              <w:bottom w:val="single" w:sz="6" w:space="0" w:color="000000"/>
              <w:right w:val="single" w:sz="8" w:space="0" w:color="000000"/>
            </w:tcBorders>
            <w:vAlign w:val="center"/>
          </w:tcPr>
          <w:p w14:paraId="296ED3AF" w14:textId="77777777" w:rsidR="009214AE" w:rsidRDefault="00C66335">
            <w:pPr>
              <w:pStyle w:val="biaogeleft"/>
              <w:wordWrap w:val="0"/>
            </w:pPr>
            <w:r>
              <w:rPr>
                <w:rFonts w:hint="eastAsia"/>
              </w:rPr>
              <w:t>其中：股票</w:t>
            </w:r>
          </w:p>
        </w:tc>
        <w:tc>
          <w:tcPr>
            <w:tcW w:w="2086" w:type="dxa"/>
            <w:tcBorders>
              <w:top w:val="single" w:sz="8" w:space="0" w:color="000000"/>
              <w:left w:val="single" w:sz="8" w:space="0" w:color="000000"/>
              <w:bottom w:val="single" w:sz="6" w:space="0" w:color="000000"/>
              <w:right w:val="single" w:sz="8" w:space="0" w:color="000000"/>
            </w:tcBorders>
            <w:vAlign w:val="center"/>
          </w:tcPr>
          <w:p w14:paraId="1BBBA118" w14:textId="77777777" w:rsidR="009214AE" w:rsidRDefault="00C66335">
            <w:pPr>
              <w:pStyle w:val="biaogeright"/>
              <w:wordWrap w:val="0"/>
            </w:pPr>
            <w:r>
              <w:rPr>
                <w:rFonts w:hAnsi="等线"/>
                <w:color w:val="000000"/>
              </w:rPr>
              <w:t>6,913,942.00</w:t>
            </w:r>
          </w:p>
        </w:tc>
        <w:tc>
          <w:tcPr>
            <w:tcW w:w="2537" w:type="dxa"/>
            <w:tcBorders>
              <w:top w:val="single" w:sz="8" w:space="0" w:color="000000"/>
              <w:left w:val="single" w:sz="8" w:space="0" w:color="000000"/>
              <w:bottom w:val="single" w:sz="6" w:space="0" w:color="000000"/>
              <w:right w:val="single" w:sz="8" w:space="0" w:color="000000"/>
            </w:tcBorders>
            <w:vAlign w:val="center"/>
          </w:tcPr>
          <w:p w14:paraId="081FC8E6" w14:textId="77777777" w:rsidR="009214AE" w:rsidRDefault="00C66335">
            <w:pPr>
              <w:pStyle w:val="biaogeright"/>
              <w:wordWrap w:val="0"/>
            </w:pPr>
            <w:r>
              <w:rPr>
                <w:rFonts w:hAnsi="等线"/>
                <w:color w:val="000000"/>
              </w:rPr>
              <w:t>84.05</w:t>
            </w:r>
          </w:p>
        </w:tc>
      </w:tr>
      <w:tr w:rsidR="009214AE" w14:paraId="3D102D6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B87C793" w14:textId="77777777" w:rsidR="009214AE" w:rsidRDefault="00C66335">
            <w:pPr>
              <w:pStyle w:val="biaogecenter"/>
              <w:wordWrap w:val="0"/>
            </w:pPr>
            <w:r>
              <w:rPr>
                <w:rFonts w:hAnsi="等线" w:hint="eastAsia"/>
                <w:color w:val="000000"/>
              </w:rPr>
              <w:t>2</w:t>
            </w:r>
          </w:p>
        </w:tc>
        <w:tc>
          <w:tcPr>
            <w:tcW w:w="3029" w:type="dxa"/>
            <w:tcBorders>
              <w:top w:val="single" w:sz="8" w:space="0" w:color="000000"/>
              <w:left w:val="single" w:sz="8" w:space="0" w:color="000000"/>
              <w:bottom w:val="single" w:sz="6" w:space="0" w:color="000000"/>
              <w:right w:val="single" w:sz="8" w:space="0" w:color="000000"/>
            </w:tcBorders>
            <w:vAlign w:val="center"/>
          </w:tcPr>
          <w:p w14:paraId="72FFF8C3" w14:textId="77777777" w:rsidR="009214AE" w:rsidRDefault="00C66335">
            <w:pPr>
              <w:pStyle w:val="biaogeleft"/>
              <w:wordWrap w:val="0"/>
            </w:pPr>
            <w:r>
              <w:rPr>
                <w:rFonts w:hint="eastAsia"/>
              </w:rPr>
              <w:t>基金投资</w:t>
            </w:r>
          </w:p>
        </w:tc>
        <w:tc>
          <w:tcPr>
            <w:tcW w:w="2086" w:type="dxa"/>
            <w:tcBorders>
              <w:top w:val="single" w:sz="8" w:space="0" w:color="000000"/>
              <w:left w:val="single" w:sz="8" w:space="0" w:color="000000"/>
              <w:bottom w:val="single" w:sz="6" w:space="0" w:color="000000"/>
              <w:right w:val="single" w:sz="8" w:space="0" w:color="000000"/>
            </w:tcBorders>
            <w:vAlign w:val="center"/>
          </w:tcPr>
          <w:p w14:paraId="60F7510A"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0AECE4BF" w14:textId="77777777" w:rsidR="009214AE" w:rsidRDefault="00C66335">
            <w:pPr>
              <w:pStyle w:val="biaogeright"/>
              <w:wordWrap w:val="0"/>
            </w:pPr>
            <w:r>
              <w:rPr>
                <w:rFonts w:hAnsi="等线"/>
                <w:color w:val="000000"/>
              </w:rPr>
              <w:t>-</w:t>
            </w:r>
          </w:p>
        </w:tc>
      </w:tr>
      <w:tr w:rsidR="009214AE" w14:paraId="63D3D85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0A9D2B5" w14:textId="77777777" w:rsidR="009214AE" w:rsidRDefault="00C66335">
            <w:pPr>
              <w:pStyle w:val="biaogecenter"/>
              <w:wordWrap w:val="0"/>
            </w:pPr>
            <w:r>
              <w:rPr>
                <w:rFonts w:hAnsi="等线" w:hint="eastAsia"/>
                <w:color w:val="000000"/>
              </w:rPr>
              <w:t>3</w:t>
            </w:r>
          </w:p>
        </w:tc>
        <w:tc>
          <w:tcPr>
            <w:tcW w:w="3029" w:type="dxa"/>
            <w:tcBorders>
              <w:top w:val="single" w:sz="8" w:space="0" w:color="000000"/>
              <w:left w:val="single" w:sz="8" w:space="0" w:color="000000"/>
              <w:bottom w:val="single" w:sz="6" w:space="0" w:color="000000"/>
              <w:right w:val="single" w:sz="8" w:space="0" w:color="000000"/>
            </w:tcBorders>
            <w:vAlign w:val="center"/>
          </w:tcPr>
          <w:p w14:paraId="7E0535E1" w14:textId="77777777" w:rsidR="009214AE" w:rsidRDefault="00C66335">
            <w:pPr>
              <w:pStyle w:val="biaogeleft"/>
              <w:wordWrap w:val="0"/>
            </w:pPr>
            <w:r>
              <w:rPr>
                <w:rFonts w:hint="eastAsia"/>
              </w:rPr>
              <w:t>固定收益投资</w:t>
            </w:r>
          </w:p>
        </w:tc>
        <w:tc>
          <w:tcPr>
            <w:tcW w:w="2086" w:type="dxa"/>
            <w:tcBorders>
              <w:top w:val="single" w:sz="8" w:space="0" w:color="000000"/>
              <w:left w:val="single" w:sz="8" w:space="0" w:color="000000"/>
              <w:bottom w:val="single" w:sz="6" w:space="0" w:color="000000"/>
              <w:right w:val="single" w:sz="8" w:space="0" w:color="000000"/>
            </w:tcBorders>
            <w:vAlign w:val="center"/>
          </w:tcPr>
          <w:p w14:paraId="28F0E78F"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3CF0254D" w14:textId="77777777" w:rsidR="009214AE" w:rsidRDefault="00C66335">
            <w:pPr>
              <w:pStyle w:val="biaogeright"/>
              <w:wordWrap w:val="0"/>
            </w:pPr>
            <w:r>
              <w:rPr>
                <w:rFonts w:hAnsi="等线"/>
                <w:color w:val="000000"/>
              </w:rPr>
              <w:t>-</w:t>
            </w:r>
          </w:p>
        </w:tc>
      </w:tr>
      <w:tr w:rsidR="009214AE" w14:paraId="18E7022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11F1B28" w14:textId="77777777" w:rsidR="009214AE" w:rsidRDefault="009214AE"/>
        </w:tc>
        <w:tc>
          <w:tcPr>
            <w:tcW w:w="3029" w:type="dxa"/>
            <w:tcBorders>
              <w:top w:val="single" w:sz="8" w:space="0" w:color="000000"/>
              <w:left w:val="single" w:sz="8" w:space="0" w:color="000000"/>
              <w:bottom w:val="single" w:sz="6" w:space="0" w:color="000000"/>
              <w:right w:val="single" w:sz="8" w:space="0" w:color="000000"/>
            </w:tcBorders>
            <w:vAlign w:val="center"/>
          </w:tcPr>
          <w:p w14:paraId="3161A50C" w14:textId="77777777" w:rsidR="009214AE" w:rsidRDefault="00C66335">
            <w:pPr>
              <w:pStyle w:val="biaogeleft"/>
              <w:wordWrap w:val="0"/>
            </w:pPr>
            <w:r>
              <w:rPr>
                <w:rFonts w:hint="eastAsia"/>
              </w:rPr>
              <w:t>其中：债券</w:t>
            </w:r>
          </w:p>
        </w:tc>
        <w:tc>
          <w:tcPr>
            <w:tcW w:w="2086" w:type="dxa"/>
            <w:tcBorders>
              <w:top w:val="single" w:sz="8" w:space="0" w:color="000000"/>
              <w:left w:val="single" w:sz="8" w:space="0" w:color="000000"/>
              <w:bottom w:val="single" w:sz="6" w:space="0" w:color="000000"/>
              <w:right w:val="single" w:sz="8" w:space="0" w:color="000000"/>
            </w:tcBorders>
            <w:vAlign w:val="center"/>
          </w:tcPr>
          <w:p w14:paraId="0A059D32"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146C46DB" w14:textId="77777777" w:rsidR="009214AE" w:rsidRDefault="00C66335">
            <w:pPr>
              <w:pStyle w:val="biaogeright"/>
              <w:wordWrap w:val="0"/>
            </w:pPr>
            <w:r>
              <w:rPr>
                <w:rFonts w:hAnsi="等线"/>
                <w:color w:val="000000"/>
              </w:rPr>
              <w:t>-</w:t>
            </w:r>
          </w:p>
        </w:tc>
      </w:tr>
      <w:tr w:rsidR="009214AE" w14:paraId="0DBAC55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14B17D1" w14:textId="77777777" w:rsidR="009214AE" w:rsidRDefault="009214AE"/>
        </w:tc>
        <w:tc>
          <w:tcPr>
            <w:tcW w:w="3029" w:type="dxa"/>
            <w:tcBorders>
              <w:top w:val="single" w:sz="8" w:space="0" w:color="000000"/>
              <w:left w:val="single" w:sz="8" w:space="0" w:color="000000"/>
              <w:bottom w:val="single" w:sz="6" w:space="0" w:color="000000"/>
              <w:right w:val="single" w:sz="8" w:space="0" w:color="000000"/>
            </w:tcBorders>
            <w:vAlign w:val="center"/>
          </w:tcPr>
          <w:p w14:paraId="68DD91DA" w14:textId="77777777" w:rsidR="009214AE" w:rsidRDefault="00C66335">
            <w:pPr>
              <w:pStyle w:val="biaogeleft"/>
              <w:wordWrap w:val="0"/>
              <w:ind w:left="750"/>
            </w:pPr>
            <w:r>
              <w:rPr>
                <w:rFonts w:hint="eastAsia"/>
              </w:rPr>
              <w:t>资产支持证券</w:t>
            </w:r>
          </w:p>
        </w:tc>
        <w:tc>
          <w:tcPr>
            <w:tcW w:w="2086" w:type="dxa"/>
            <w:tcBorders>
              <w:top w:val="single" w:sz="8" w:space="0" w:color="000000"/>
              <w:left w:val="single" w:sz="8" w:space="0" w:color="000000"/>
              <w:bottom w:val="single" w:sz="6" w:space="0" w:color="000000"/>
              <w:right w:val="single" w:sz="8" w:space="0" w:color="000000"/>
            </w:tcBorders>
            <w:vAlign w:val="center"/>
          </w:tcPr>
          <w:p w14:paraId="17314BD0"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59362874" w14:textId="77777777" w:rsidR="009214AE" w:rsidRDefault="00C66335">
            <w:pPr>
              <w:pStyle w:val="biaogeright"/>
              <w:wordWrap w:val="0"/>
            </w:pPr>
            <w:r>
              <w:rPr>
                <w:rFonts w:hAnsi="等线"/>
                <w:color w:val="000000"/>
              </w:rPr>
              <w:t>-</w:t>
            </w:r>
          </w:p>
        </w:tc>
      </w:tr>
      <w:tr w:rsidR="009214AE" w14:paraId="41FA6CB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1310387" w14:textId="77777777" w:rsidR="009214AE" w:rsidRDefault="00C66335">
            <w:pPr>
              <w:pStyle w:val="biaogecenter"/>
              <w:wordWrap w:val="0"/>
            </w:pPr>
            <w:r>
              <w:rPr>
                <w:rFonts w:hAnsi="等线" w:hint="eastAsia"/>
                <w:color w:val="000000"/>
              </w:rPr>
              <w:t>4</w:t>
            </w:r>
          </w:p>
        </w:tc>
        <w:tc>
          <w:tcPr>
            <w:tcW w:w="3029" w:type="dxa"/>
            <w:tcBorders>
              <w:top w:val="single" w:sz="8" w:space="0" w:color="000000"/>
              <w:left w:val="single" w:sz="8" w:space="0" w:color="000000"/>
              <w:bottom w:val="single" w:sz="6" w:space="0" w:color="000000"/>
              <w:right w:val="single" w:sz="8" w:space="0" w:color="000000"/>
            </w:tcBorders>
            <w:vAlign w:val="center"/>
          </w:tcPr>
          <w:p w14:paraId="60612DFA" w14:textId="77777777" w:rsidR="009214AE" w:rsidRDefault="00C66335">
            <w:pPr>
              <w:pStyle w:val="biaogeleft"/>
              <w:wordWrap w:val="0"/>
            </w:pPr>
            <w:r>
              <w:rPr>
                <w:rFonts w:hint="eastAsia"/>
              </w:rPr>
              <w:t>贵金属投资</w:t>
            </w:r>
          </w:p>
        </w:tc>
        <w:tc>
          <w:tcPr>
            <w:tcW w:w="2086" w:type="dxa"/>
            <w:tcBorders>
              <w:top w:val="single" w:sz="8" w:space="0" w:color="000000"/>
              <w:left w:val="single" w:sz="8" w:space="0" w:color="000000"/>
              <w:bottom w:val="single" w:sz="6" w:space="0" w:color="000000"/>
              <w:right w:val="single" w:sz="8" w:space="0" w:color="000000"/>
            </w:tcBorders>
            <w:vAlign w:val="center"/>
          </w:tcPr>
          <w:p w14:paraId="0B2DCB28"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76D77041" w14:textId="77777777" w:rsidR="009214AE" w:rsidRDefault="00C66335">
            <w:pPr>
              <w:pStyle w:val="biaogeright"/>
              <w:wordWrap w:val="0"/>
            </w:pPr>
            <w:r>
              <w:rPr>
                <w:rFonts w:hAnsi="等线"/>
                <w:color w:val="000000"/>
              </w:rPr>
              <w:t>-</w:t>
            </w:r>
          </w:p>
        </w:tc>
      </w:tr>
      <w:tr w:rsidR="009214AE" w14:paraId="51E92FE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F289E8A" w14:textId="77777777" w:rsidR="009214AE" w:rsidRDefault="00C66335">
            <w:pPr>
              <w:pStyle w:val="biaogecenter"/>
              <w:wordWrap w:val="0"/>
            </w:pPr>
            <w:r>
              <w:rPr>
                <w:rFonts w:hAnsi="等线" w:hint="eastAsia"/>
                <w:color w:val="000000"/>
              </w:rPr>
              <w:t>5</w:t>
            </w:r>
          </w:p>
        </w:tc>
        <w:tc>
          <w:tcPr>
            <w:tcW w:w="3029" w:type="dxa"/>
            <w:tcBorders>
              <w:top w:val="single" w:sz="8" w:space="0" w:color="000000"/>
              <w:left w:val="single" w:sz="8" w:space="0" w:color="000000"/>
              <w:bottom w:val="single" w:sz="6" w:space="0" w:color="000000"/>
              <w:right w:val="single" w:sz="8" w:space="0" w:color="000000"/>
            </w:tcBorders>
            <w:vAlign w:val="center"/>
          </w:tcPr>
          <w:p w14:paraId="1456DE9D" w14:textId="77777777" w:rsidR="009214AE" w:rsidRDefault="00C66335">
            <w:pPr>
              <w:pStyle w:val="biaogeleft"/>
              <w:wordWrap w:val="0"/>
            </w:pPr>
            <w:r>
              <w:rPr>
                <w:rFonts w:hint="eastAsia"/>
              </w:rPr>
              <w:t>金融衍生</w:t>
            </w:r>
            <w:proofErr w:type="gramStart"/>
            <w:r>
              <w:rPr>
                <w:rFonts w:hint="eastAsia"/>
              </w:rPr>
              <w:t>品投资</w:t>
            </w:r>
            <w:proofErr w:type="gramEnd"/>
          </w:p>
        </w:tc>
        <w:tc>
          <w:tcPr>
            <w:tcW w:w="2086" w:type="dxa"/>
            <w:tcBorders>
              <w:top w:val="single" w:sz="8" w:space="0" w:color="000000"/>
              <w:left w:val="single" w:sz="8" w:space="0" w:color="000000"/>
              <w:bottom w:val="single" w:sz="6" w:space="0" w:color="000000"/>
              <w:right w:val="single" w:sz="8" w:space="0" w:color="000000"/>
            </w:tcBorders>
            <w:vAlign w:val="center"/>
          </w:tcPr>
          <w:p w14:paraId="63A6F5A4"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172A6ECB" w14:textId="77777777" w:rsidR="009214AE" w:rsidRDefault="00C66335">
            <w:pPr>
              <w:pStyle w:val="biaogeright"/>
              <w:wordWrap w:val="0"/>
            </w:pPr>
            <w:r>
              <w:rPr>
                <w:rFonts w:hAnsi="等线"/>
                <w:color w:val="000000"/>
              </w:rPr>
              <w:t>-</w:t>
            </w:r>
          </w:p>
        </w:tc>
      </w:tr>
      <w:tr w:rsidR="009214AE" w14:paraId="5FF3EB5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9DF4F56" w14:textId="77777777" w:rsidR="009214AE" w:rsidRDefault="00C66335">
            <w:pPr>
              <w:pStyle w:val="biaogecenter"/>
              <w:wordWrap w:val="0"/>
            </w:pPr>
            <w:r>
              <w:rPr>
                <w:rFonts w:hAnsi="等线" w:hint="eastAsia"/>
                <w:color w:val="000000"/>
              </w:rPr>
              <w:t>6</w:t>
            </w:r>
          </w:p>
        </w:tc>
        <w:tc>
          <w:tcPr>
            <w:tcW w:w="3029" w:type="dxa"/>
            <w:tcBorders>
              <w:top w:val="single" w:sz="8" w:space="0" w:color="000000"/>
              <w:left w:val="single" w:sz="8" w:space="0" w:color="000000"/>
              <w:bottom w:val="single" w:sz="6" w:space="0" w:color="000000"/>
              <w:right w:val="single" w:sz="8" w:space="0" w:color="000000"/>
            </w:tcBorders>
            <w:vAlign w:val="center"/>
          </w:tcPr>
          <w:p w14:paraId="06F38CB5" w14:textId="77777777" w:rsidR="009214AE" w:rsidRDefault="00C66335">
            <w:pPr>
              <w:pStyle w:val="biaogeleft"/>
              <w:wordWrap w:val="0"/>
            </w:pPr>
            <w:r>
              <w:rPr>
                <w:rFonts w:hint="eastAsia"/>
              </w:rPr>
              <w:t>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tcPr>
          <w:p w14:paraId="4869B5F9"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1A76F078" w14:textId="77777777" w:rsidR="009214AE" w:rsidRDefault="00C66335">
            <w:pPr>
              <w:pStyle w:val="biaogeright"/>
              <w:wordWrap w:val="0"/>
            </w:pPr>
            <w:r>
              <w:rPr>
                <w:rFonts w:hAnsi="等线"/>
                <w:color w:val="000000"/>
              </w:rPr>
              <w:t>-</w:t>
            </w:r>
          </w:p>
        </w:tc>
      </w:tr>
      <w:tr w:rsidR="009214AE" w14:paraId="5BB18D5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B98F201" w14:textId="77777777" w:rsidR="009214AE" w:rsidRDefault="009214AE"/>
        </w:tc>
        <w:tc>
          <w:tcPr>
            <w:tcW w:w="3029" w:type="dxa"/>
            <w:tcBorders>
              <w:top w:val="single" w:sz="8" w:space="0" w:color="000000"/>
              <w:left w:val="single" w:sz="8" w:space="0" w:color="000000"/>
              <w:bottom w:val="single" w:sz="6" w:space="0" w:color="000000"/>
              <w:right w:val="single" w:sz="8" w:space="0" w:color="000000"/>
            </w:tcBorders>
            <w:vAlign w:val="center"/>
          </w:tcPr>
          <w:p w14:paraId="2588D214" w14:textId="77777777" w:rsidR="009214AE" w:rsidRDefault="00C66335">
            <w:pPr>
              <w:pStyle w:val="biaogeleft"/>
              <w:wordWrap w:val="0"/>
            </w:pPr>
            <w:r>
              <w:rPr>
                <w:rFonts w:hint="eastAsia"/>
              </w:rPr>
              <w:t>其中：买断式回购的买入返售金融资产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tcPr>
          <w:p w14:paraId="0CF00835" w14:textId="77777777" w:rsidR="009214AE" w:rsidRDefault="00C66335">
            <w:pPr>
              <w:pStyle w:val="biaogeright"/>
              <w:wordWrap w:val="0"/>
            </w:pPr>
            <w:r>
              <w:rPr>
                <w:rFonts w:hAnsi="等线"/>
                <w:color w:val="000000"/>
              </w:rPr>
              <w:t>-</w:t>
            </w:r>
          </w:p>
        </w:tc>
        <w:tc>
          <w:tcPr>
            <w:tcW w:w="2537" w:type="dxa"/>
            <w:tcBorders>
              <w:top w:val="single" w:sz="8" w:space="0" w:color="000000"/>
              <w:left w:val="single" w:sz="8" w:space="0" w:color="000000"/>
              <w:bottom w:val="single" w:sz="6" w:space="0" w:color="000000"/>
              <w:right w:val="single" w:sz="8" w:space="0" w:color="000000"/>
            </w:tcBorders>
            <w:vAlign w:val="center"/>
          </w:tcPr>
          <w:p w14:paraId="6F77A2E8" w14:textId="77777777" w:rsidR="009214AE" w:rsidRDefault="00C66335">
            <w:pPr>
              <w:pStyle w:val="biaogeright"/>
              <w:wordWrap w:val="0"/>
            </w:pPr>
            <w:r>
              <w:rPr>
                <w:rFonts w:hAnsi="等线"/>
                <w:color w:val="000000"/>
              </w:rPr>
              <w:t>-</w:t>
            </w:r>
          </w:p>
        </w:tc>
      </w:tr>
      <w:tr w:rsidR="009214AE" w14:paraId="2F4172D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5878A7C" w14:textId="77777777" w:rsidR="009214AE" w:rsidRDefault="00C66335">
            <w:pPr>
              <w:pStyle w:val="biaogecenter"/>
              <w:wordWrap w:val="0"/>
            </w:pPr>
            <w:r>
              <w:rPr>
                <w:rFonts w:hAnsi="等线" w:hint="eastAsia"/>
                <w:color w:val="000000"/>
              </w:rPr>
              <w:t>7</w:t>
            </w:r>
          </w:p>
        </w:tc>
        <w:tc>
          <w:tcPr>
            <w:tcW w:w="3029" w:type="dxa"/>
            <w:tcBorders>
              <w:top w:val="single" w:sz="8" w:space="0" w:color="000000"/>
              <w:left w:val="single" w:sz="8" w:space="0" w:color="000000"/>
              <w:bottom w:val="single" w:sz="6" w:space="0" w:color="000000"/>
              <w:right w:val="single" w:sz="8" w:space="0" w:color="000000"/>
            </w:tcBorders>
            <w:vAlign w:val="center"/>
          </w:tcPr>
          <w:p w14:paraId="7BD88F02" w14:textId="77777777" w:rsidR="009214AE" w:rsidRDefault="00C66335">
            <w:pPr>
              <w:pStyle w:val="biaogeleft"/>
              <w:wordWrap w:val="0"/>
            </w:pPr>
            <w:r>
              <w:rPr>
                <w:rFonts w:hint="eastAsia"/>
              </w:rPr>
              <w:t>银行存款和结算备付金合计</w:t>
            </w:r>
          </w:p>
        </w:tc>
        <w:tc>
          <w:tcPr>
            <w:tcW w:w="2086" w:type="dxa"/>
            <w:tcBorders>
              <w:top w:val="single" w:sz="8" w:space="0" w:color="000000"/>
              <w:left w:val="single" w:sz="8" w:space="0" w:color="000000"/>
              <w:bottom w:val="single" w:sz="6" w:space="0" w:color="000000"/>
              <w:right w:val="single" w:sz="8" w:space="0" w:color="000000"/>
            </w:tcBorders>
            <w:vAlign w:val="center"/>
          </w:tcPr>
          <w:p w14:paraId="3DF3495F" w14:textId="77777777" w:rsidR="009214AE" w:rsidRDefault="00C66335">
            <w:pPr>
              <w:pStyle w:val="biaogeright"/>
              <w:wordWrap w:val="0"/>
            </w:pPr>
            <w:r>
              <w:rPr>
                <w:rFonts w:hAnsi="等线"/>
                <w:color w:val="000000"/>
              </w:rPr>
              <w:t>1,310,182.29</w:t>
            </w:r>
          </w:p>
        </w:tc>
        <w:tc>
          <w:tcPr>
            <w:tcW w:w="2537" w:type="dxa"/>
            <w:tcBorders>
              <w:top w:val="single" w:sz="8" w:space="0" w:color="000000"/>
              <w:left w:val="single" w:sz="8" w:space="0" w:color="000000"/>
              <w:bottom w:val="single" w:sz="6" w:space="0" w:color="000000"/>
              <w:right w:val="single" w:sz="8" w:space="0" w:color="000000"/>
            </w:tcBorders>
            <w:vAlign w:val="center"/>
          </w:tcPr>
          <w:p w14:paraId="39528EEA" w14:textId="77777777" w:rsidR="009214AE" w:rsidRDefault="00C66335">
            <w:pPr>
              <w:pStyle w:val="biaogeright"/>
              <w:wordWrap w:val="0"/>
            </w:pPr>
            <w:r>
              <w:rPr>
                <w:rFonts w:hAnsi="等线"/>
                <w:color w:val="000000"/>
              </w:rPr>
              <w:t>15.93</w:t>
            </w:r>
          </w:p>
        </w:tc>
      </w:tr>
      <w:tr w:rsidR="009214AE" w14:paraId="5DF78E2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CDF4EAF" w14:textId="77777777" w:rsidR="009214AE" w:rsidRDefault="00C66335">
            <w:pPr>
              <w:pStyle w:val="biaogecenter"/>
              <w:wordWrap w:val="0"/>
            </w:pPr>
            <w:r>
              <w:rPr>
                <w:rFonts w:hAnsi="等线" w:hint="eastAsia"/>
                <w:color w:val="000000"/>
              </w:rPr>
              <w:lastRenderedPageBreak/>
              <w:t>8</w:t>
            </w:r>
          </w:p>
        </w:tc>
        <w:tc>
          <w:tcPr>
            <w:tcW w:w="3029" w:type="dxa"/>
            <w:tcBorders>
              <w:top w:val="single" w:sz="8" w:space="0" w:color="000000"/>
              <w:left w:val="single" w:sz="8" w:space="0" w:color="000000"/>
              <w:bottom w:val="single" w:sz="6" w:space="0" w:color="000000"/>
              <w:right w:val="single" w:sz="8" w:space="0" w:color="000000"/>
            </w:tcBorders>
            <w:vAlign w:val="center"/>
          </w:tcPr>
          <w:p w14:paraId="1DDA92B3" w14:textId="77777777" w:rsidR="009214AE" w:rsidRDefault="00C66335">
            <w:pPr>
              <w:pStyle w:val="biaogeleft"/>
              <w:wordWrap w:val="0"/>
            </w:pPr>
            <w:r>
              <w:rPr>
                <w:rFonts w:hint="eastAsia"/>
              </w:rPr>
              <w:t>其他资产</w:t>
            </w:r>
          </w:p>
        </w:tc>
        <w:tc>
          <w:tcPr>
            <w:tcW w:w="2086" w:type="dxa"/>
            <w:tcBorders>
              <w:top w:val="single" w:sz="8" w:space="0" w:color="000000"/>
              <w:left w:val="single" w:sz="8" w:space="0" w:color="000000"/>
              <w:bottom w:val="single" w:sz="6" w:space="0" w:color="000000"/>
              <w:right w:val="single" w:sz="8" w:space="0" w:color="000000"/>
            </w:tcBorders>
            <w:vAlign w:val="center"/>
          </w:tcPr>
          <w:p w14:paraId="653AB212" w14:textId="77777777" w:rsidR="009214AE" w:rsidRDefault="00C66335">
            <w:pPr>
              <w:pStyle w:val="biaogeright"/>
              <w:wordWrap w:val="0"/>
            </w:pPr>
            <w:r>
              <w:rPr>
                <w:rFonts w:hAnsi="等线"/>
                <w:color w:val="000000"/>
              </w:rPr>
              <w:t>1,721.16</w:t>
            </w:r>
          </w:p>
        </w:tc>
        <w:tc>
          <w:tcPr>
            <w:tcW w:w="2537" w:type="dxa"/>
            <w:tcBorders>
              <w:top w:val="single" w:sz="8" w:space="0" w:color="000000"/>
              <w:left w:val="single" w:sz="8" w:space="0" w:color="000000"/>
              <w:bottom w:val="single" w:sz="6" w:space="0" w:color="000000"/>
              <w:right w:val="single" w:sz="8" w:space="0" w:color="000000"/>
            </w:tcBorders>
            <w:vAlign w:val="center"/>
          </w:tcPr>
          <w:p w14:paraId="17CE3C9A" w14:textId="77777777" w:rsidR="009214AE" w:rsidRDefault="00C66335">
            <w:pPr>
              <w:pStyle w:val="biaogeright"/>
              <w:wordWrap w:val="0"/>
            </w:pPr>
            <w:r>
              <w:rPr>
                <w:rFonts w:hAnsi="等线"/>
                <w:color w:val="000000"/>
              </w:rPr>
              <w:t>0.02</w:t>
            </w:r>
          </w:p>
        </w:tc>
      </w:tr>
      <w:tr w:rsidR="009214AE" w14:paraId="6D8ADE6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D1630F5" w14:textId="77777777" w:rsidR="009214AE" w:rsidRDefault="00C66335">
            <w:pPr>
              <w:pStyle w:val="biaogecenter"/>
              <w:wordWrap w:val="0"/>
            </w:pPr>
            <w:r>
              <w:rPr>
                <w:rFonts w:hint="eastAsia"/>
              </w:rPr>
              <w:t>9</w:t>
            </w:r>
          </w:p>
        </w:tc>
        <w:tc>
          <w:tcPr>
            <w:tcW w:w="3029" w:type="dxa"/>
            <w:tcBorders>
              <w:top w:val="single" w:sz="8" w:space="0" w:color="000000"/>
              <w:left w:val="single" w:sz="8" w:space="0" w:color="000000"/>
              <w:bottom w:val="single" w:sz="6" w:space="0" w:color="000000"/>
              <w:right w:val="single" w:sz="8" w:space="0" w:color="000000"/>
            </w:tcBorders>
            <w:vAlign w:val="center"/>
          </w:tcPr>
          <w:p w14:paraId="57611453" w14:textId="77777777" w:rsidR="009214AE" w:rsidRDefault="00C66335">
            <w:pPr>
              <w:pStyle w:val="biaogeleft"/>
              <w:wordWrap w:val="0"/>
            </w:pPr>
            <w:r>
              <w:rPr>
                <w:rFonts w:hint="eastAsia"/>
              </w:rPr>
              <w:t>合计</w:t>
            </w:r>
          </w:p>
        </w:tc>
        <w:tc>
          <w:tcPr>
            <w:tcW w:w="2086" w:type="dxa"/>
            <w:tcBorders>
              <w:top w:val="single" w:sz="8" w:space="0" w:color="000000"/>
              <w:left w:val="single" w:sz="8" w:space="0" w:color="000000"/>
              <w:bottom w:val="single" w:sz="6" w:space="0" w:color="000000"/>
              <w:right w:val="single" w:sz="8" w:space="0" w:color="000000"/>
            </w:tcBorders>
            <w:vAlign w:val="center"/>
          </w:tcPr>
          <w:p w14:paraId="42558E97" w14:textId="77777777" w:rsidR="009214AE" w:rsidRDefault="00C66335">
            <w:pPr>
              <w:pStyle w:val="biaogeright"/>
              <w:wordWrap w:val="0"/>
            </w:pPr>
            <w:r>
              <w:rPr>
                <w:rFonts w:hAnsi="等线"/>
                <w:color w:val="000000"/>
              </w:rPr>
              <w:t>8,225,845.45</w:t>
            </w:r>
          </w:p>
        </w:tc>
        <w:tc>
          <w:tcPr>
            <w:tcW w:w="2537" w:type="dxa"/>
            <w:tcBorders>
              <w:top w:val="single" w:sz="8" w:space="0" w:color="000000"/>
              <w:left w:val="single" w:sz="8" w:space="0" w:color="000000"/>
              <w:bottom w:val="single" w:sz="6" w:space="0" w:color="000000"/>
              <w:right w:val="single" w:sz="8" w:space="0" w:color="000000"/>
            </w:tcBorders>
            <w:vAlign w:val="center"/>
          </w:tcPr>
          <w:p w14:paraId="674C19E9" w14:textId="77777777" w:rsidR="009214AE" w:rsidRDefault="00C66335">
            <w:pPr>
              <w:pStyle w:val="biaogeright"/>
              <w:wordWrap w:val="0"/>
            </w:pPr>
            <w:r>
              <w:rPr>
                <w:rFonts w:hAnsi="等线"/>
                <w:color w:val="000000"/>
              </w:rPr>
              <w:t>100.00</w:t>
            </w:r>
          </w:p>
        </w:tc>
      </w:tr>
    </w:tbl>
    <w:p w14:paraId="0383F330" w14:textId="77777777" w:rsidR="009214AE" w:rsidRDefault="00C66335">
      <w:pPr>
        <w:pStyle w:val="zhangjiep"/>
        <w:ind w:firstLine="422"/>
      </w:pPr>
      <w:bookmarkStart w:id="206" w:name="_Toc124758504"/>
      <w:r>
        <w:rPr>
          <w:rFonts w:hAnsi="等线" w:hint="eastAsia"/>
          <w:b/>
          <w:color w:val="000000"/>
        </w:rPr>
        <w:t>2、报告期末按行业分类的股票投资组合</w:t>
      </w:r>
      <w:bookmarkEnd w:id="206"/>
    </w:p>
    <w:p w14:paraId="78152804" w14:textId="77777777" w:rsidR="009214AE" w:rsidRDefault="00C66335">
      <w:pPr>
        <w:pStyle w:val="zhangjiep2"/>
      </w:pPr>
      <w:r>
        <w:rPr>
          <w:rFonts w:hAnsi="等线" w:hint="eastAsia"/>
          <w:b/>
          <w:color w:val="000000"/>
        </w:rPr>
        <w:t>（1）报告期末按行业分类的境内股票投资组合</w:t>
      </w:r>
    </w:p>
    <w:tbl>
      <w:tblPr>
        <w:tblW w:w="8512" w:type="dxa"/>
        <w:tblInd w:w="226" w:type="dxa"/>
        <w:tblLook w:val="04A0" w:firstRow="1" w:lastRow="0" w:firstColumn="1" w:lastColumn="0" w:noHBand="0" w:noVBand="1"/>
      </w:tblPr>
      <w:tblGrid>
        <w:gridCol w:w="787"/>
        <w:gridCol w:w="3648"/>
        <w:gridCol w:w="1968"/>
        <w:gridCol w:w="2109"/>
      </w:tblGrid>
      <w:tr w:rsidR="009214AE" w14:paraId="2A147DE9" w14:textId="77777777">
        <w:tc>
          <w:tcPr>
            <w:tcW w:w="787" w:type="dxa"/>
            <w:tcBorders>
              <w:top w:val="single" w:sz="8" w:space="0" w:color="000000"/>
              <w:left w:val="single" w:sz="8" w:space="0" w:color="000000"/>
              <w:bottom w:val="single" w:sz="6" w:space="0" w:color="000000"/>
              <w:right w:val="single" w:sz="8" w:space="0" w:color="000000"/>
            </w:tcBorders>
            <w:vAlign w:val="center"/>
          </w:tcPr>
          <w:p w14:paraId="5EAD0867" w14:textId="77777777" w:rsidR="009214AE" w:rsidRDefault="00C66335">
            <w:pPr>
              <w:pStyle w:val="biaogecenter"/>
              <w:wordWrap w:val="0"/>
            </w:pPr>
            <w:r>
              <w:rPr>
                <w:rFonts w:hAnsi="等线" w:hint="eastAsia"/>
                <w:color w:val="000000"/>
              </w:rPr>
              <w:t>代码</w:t>
            </w:r>
          </w:p>
        </w:tc>
        <w:tc>
          <w:tcPr>
            <w:tcW w:w="3648" w:type="dxa"/>
            <w:tcBorders>
              <w:top w:val="single" w:sz="8" w:space="0" w:color="000000"/>
              <w:left w:val="single" w:sz="8" w:space="0" w:color="000000"/>
              <w:bottom w:val="single" w:sz="6" w:space="0" w:color="000000"/>
              <w:right w:val="single" w:sz="8" w:space="0" w:color="000000"/>
            </w:tcBorders>
            <w:vAlign w:val="center"/>
          </w:tcPr>
          <w:p w14:paraId="2F284770" w14:textId="77777777" w:rsidR="009214AE" w:rsidRDefault="00C66335">
            <w:pPr>
              <w:pStyle w:val="biaogecenter"/>
              <w:wordWrap w:val="0"/>
            </w:pPr>
            <w:r>
              <w:rPr>
                <w:rFonts w:hAnsi="等线" w:hint="eastAsia"/>
                <w:color w:val="000000"/>
              </w:rPr>
              <w:t>行业类别</w:t>
            </w:r>
          </w:p>
        </w:tc>
        <w:tc>
          <w:tcPr>
            <w:tcW w:w="1968" w:type="dxa"/>
            <w:tcBorders>
              <w:top w:val="single" w:sz="8" w:space="0" w:color="000000"/>
              <w:left w:val="single" w:sz="8" w:space="0" w:color="000000"/>
              <w:bottom w:val="single" w:sz="6" w:space="0" w:color="000000"/>
              <w:right w:val="single" w:sz="8" w:space="0" w:color="000000"/>
            </w:tcBorders>
            <w:vAlign w:val="center"/>
          </w:tcPr>
          <w:p w14:paraId="37495C5E" w14:textId="77777777" w:rsidR="009214AE" w:rsidRDefault="00C66335">
            <w:pPr>
              <w:pStyle w:val="biaogecenter"/>
              <w:wordWrap w:val="0"/>
            </w:pPr>
            <w:r>
              <w:rPr>
                <w:rFonts w:hAnsi="等线" w:hint="eastAsia"/>
                <w:color w:val="000000"/>
              </w:rPr>
              <w:t>公允价值(元)</w:t>
            </w:r>
          </w:p>
        </w:tc>
        <w:tc>
          <w:tcPr>
            <w:tcW w:w="2109" w:type="dxa"/>
            <w:tcBorders>
              <w:top w:val="single" w:sz="8" w:space="0" w:color="000000"/>
              <w:left w:val="single" w:sz="8" w:space="0" w:color="000000"/>
              <w:bottom w:val="single" w:sz="6" w:space="0" w:color="000000"/>
              <w:right w:val="single" w:sz="8" w:space="0" w:color="000000"/>
            </w:tcBorders>
            <w:vAlign w:val="center"/>
          </w:tcPr>
          <w:p w14:paraId="14696355" w14:textId="77777777" w:rsidR="009214AE" w:rsidRDefault="00C66335">
            <w:pPr>
              <w:pStyle w:val="biaogecenter"/>
              <w:wordWrap w:val="0"/>
            </w:pPr>
            <w:r>
              <w:rPr>
                <w:rFonts w:hAnsi="等线" w:hint="eastAsia"/>
                <w:color w:val="000000"/>
              </w:rPr>
              <w:t>占基金资产净值比例（%）</w:t>
            </w:r>
          </w:p>
        </w:tc>
      </w:tr>
      <w:tr w:rsidR="009214AE" w14:paraId="25CCD6D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F2F18CD" w14:textId="77777777" w:rsidR="009214AE" w:rsidRDefault="00C66335">
            <w:pPr>
              <w:pStyle w:val="biaogecenter"/>
              <w:wordWrap w:val="0"/>
            </w:pPr>
            <w:r>
              <w:rPr>
                <w:rFonts w:hint="eastAsia"/>
              </w:rPr>
              <w:t>A</w:t>
            </w:r>
          </w:p>
        </w:tc>
        <w:tc>
          <w:tcPr>
            <w:tcW w:w="3648" w:type="dxa"/>
            <w:tcBorders>
              <w:top w:val="single" w:sz="8" w:space="0" w:color="000000"/>
              <w:left w:val="single" w:sz="8" w:space="0" w:color="000000"/>
              <w:bottom w:val="single" w:sz="6" w:space="0" w:color="000000"/>
              <w:right w:val="single" w:sz="8" w:space="0" w:color="000000"/>
            </w:tcBorders>
            <w:vAlign w:val="center"/>
          </w:tcPr>
          <w:p w14:paraId="7CD76369" w14:textId="77777777" w:rsidR="009214AE" w:rsidRDefault="00C66335">
            <w:pPr>
              <w:pStyle w:val="biaogeleft"/>
              <w:wordWrap w:val="0"/>
            </w:pPr>
            <w:r>
              <w:rPr>
                <w:rFonts w:hint="eastAsia"/>
              </w:rPr>
              <w:t>农、林、牧、渔业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6E0DA58F"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1C9546E1" w14:textId="77777777" w:rsidR="009214AE" w:rsidRDefault="00C66335">
            <w:pPr>
              <w:pStyle w:val="biaogeright"/>
              <w:wordWrap w:val="0"/>
            </w:pPr>
            <w:r>
              <w:rPr>
                <w:rFonts w:hAnsi="等线"/>
                <w:color w:val="000000"/>
              </w:rPr>
              <w:t>-</w:t>
            </w:r>
          </w:p>
        </w:tc>
      </w:tr>
      <w:tr w:rsidR="009214AE" w14:paraId="591F13E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E59E8CB" w14:textId="77777777" w:rsidR="009214AE" w:rsidRDefault="00C66335">
            <w:pPr>
              <w:pStyle w:val="biaogecenter"/>
              <w:wordWrap w:val="0"/>
            </w:pPr>
            <w:r>
              <w:rPr>
                <w:rFonts w:hint="eastAsia"/>
              </w:rPr>
              <w:t>B</w:t>
            </w:r>
          </w:p>
        </w:tc>
        <w:tc>
          <w:tcPr>
            <w:tcW w:w="3648" w:type="dxa"/>
            <w:tcBorders>
              <w:top w:val="single" w:sz="8" w:space="0" w:color="000000"/>
              <w:left w:val="single" w:sz="8" w:space="0" w:color="000000"/>
              <w:bottom w:val="single" w:sz="6" w:space="0" w:color="000000"/>
              <w:right w:val="single" w:sz="8" w:space="0" w:color="000000"/>
            </w:tcBorders>
            <w:vAlign w:val="center"/>
          </w:tcPr>
          <w:p w14:paraId="1A44778F" w14:textId="77777777" w:rsidR="009214AE" w:rsidRDefault="00C66335">
            <w:pPr>
              <w:pStyle w:val="biaogeleft"/>
              <w:wordWrap w:val="0"/>
            </w:pPr>
            <w:r>
              <w:rPr>
                <w:rFonts w:hint="eastAsia"/>
              </w:rPr>
              <w:t>采矿业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4FAB6B2F"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7E3BD9CA" w14:textId="77777777" w:rsidR="009214AE" w:rsidRDefault="00C66335">
            <w:pPr>
              <w:pStyle w:val="biaogeright"/>
              <w:wordWrap w:val="0"/>
            </w:pPr>
            <w:r>
              <w:rPr>
                <w:rFonts w:hAnsi="等线"/>
                <w:color w:val="000000"/>
              </w:rPr>
              <w:t>-</w:t>
            </w:r>
          </w:p>
        </w:tc>
      </w:tr>
      <w:tr w:rsidR="009214AE" w14:paraId="405625F0"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84BE9D4" w14:textId="77777777" w:rsidR="009214AE" w:rsidRDefault="00C66335">
            <w:pPr>
              <w:pStyle w:val="biaogecenter"/>
              <w:wordWrap w:val="0"/>
            </w:pPr>
            <w:r>
              <w:rPr>
                <w:rFonts w:hint="eastAsia"/>
              </w:rPr>
              <w:t>C</w:t>
            </w:r>
          </w:p>
        </w:tc>
        <w:tc>
          <w:tcPr>
            <w:tcW w:w="3648" w:type="dxa"/>
            <w:tcBorders>
              <w:top w:val="single" w:sz="8" w:space="0" w:color="000000"/>
              <w:left w:val="single" w:sz="8" w:space="0" w:color="000000"/>
              <w:bottom w:val="single" w:sz="6" w:space="0" w:color="000000"/>
              <w:right w:val="single" w:sz="8" w:space="0" w:color="000000"/>
            </w:tcBorders>
            <w:vAlign w:val="center"/>
          </w:tcPr>
          <w:p w14:paraId="33561A1F" w14:textId="77777777" w:rsidR="009214AE" w:rsidRDefault="00C66335">
            <w:pPr>
              <w:pStyle w:val="biaogeleft"/>
              <w:wordWrap w:val="0"/>
            </w:pPr>
            <w:r>
              <w:rPr>
                <w:rFonts w:hint="eastAsia"/>
              </w:rPr>
              <w:t>制造业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0934E245" w14:textId="77777777" w:rsidR="009214AE" w:rsidRDefault="00C66335">
            <w:pPr>
              <w:pStyle w:val="biaogeright"/>
              <w:wordWrap w:val="0"/>
            </w:pPr>
            <w:r>
              <w:rPr>
                <w:rFonts w:hAnsi="等线"/>
                <w:color w:val="000000"/>
              </w:rPr>
              <w:t>5,423,538.00</w:t>
            </w:r>
          </w:p>
        </w:tc>
        <w:tc>
          <w:tcPr>
            <w:tcW w:w="2109" w:type="dxa"/>
            <w:tcBorders>
              <w:top w:val="single" w:sz="8" w:space="0" w:color="000000"/>
              <w:left w:val="single" w:sz="8" w:space="0" w:color="000000"/>
              <w:bottom w:val="single" w:sz="6" w:space="0" w:color="000000"/>
              <w:right w:val="single" w:sz="8" w:space="0" w:color="000000"/>
            </w:tcBorders>
            <w:vAlign w:val="center"/>
          </w:tcPr>
          <w:p w14:paraId="4CD91DB9" w14:textId="77777777" w:rsidR="009214AE" w:rsidRDefault="00C66335">
            <w:pPr>
              <w:pStyle w:val="biaogeright"/>
              <w:wordWrap w:val="0"/>
            </w:pPr>
            <w:r>
              <w:rPr>
                <w:rFonts w:hAnsi="等线"/>
                <w:color w:val="000000"/>
              </w:rPr>
              <w:t>66.50</w:t>
            </w:r>
          </w:p>
        </w:tc>
      </w:tr>
      <w:tr w:rsidR="009214AE" w14:paraId="1A8F3BC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3FA38F6" w14:textId="77777777" w:rsidR="009214AE" w:rsidRDefault="00C66335">
            <w:pPr>
              <w:pStyle w:val="biaogecenter"/>
              <w:wordWrap w:val="0"/>
            </w:pPr>
            <w:r>
              <w:rPr>
                <w:rFonts w:hAnsi="等线" w:hint="eastAsia"/>
                <w:color w:val="000000"/>
              </w:rPr>
              <w:t>D</w:t>
            </w:r>
          </w:p>
        </w:tc>
        <w:tc>
          <w:tcPr>
            <w:tcW w:w="3648" w:type="dxa"/>
            <w:tcBorders>
              <w:top w:val="single" w:sz="8" w:space="0" w:color="000000"/>
              <w:left w:val="single" w:sz="8" w:space="0" w:color="000000"/>
              <w:bottom w:val="single" w:sz="6" w:space="0" w:color="000000"/>
              <w:right w:val="single" w:sz="8" w:space="0" w:color="000000"/>
            </w:tcBorders>
            <w:vAlign w:val="center"/>
          </w:tcPr>
          <w:p w14:paraId="716807DC" w14:textId="77777777" w:rsidR="009214AE" w:rsidRDefault="00C66335">
            <w:pPr>
              <w:pStyle w:val="biaogeleft"/>
              <w:wordWrap w:val="0"/>
            </w:pPr>
            <w:r>
              <w:rPr>
                <w:rFonts w:hint="eastAsia"/>
              </w:rPr>
              <w:t>电力、热力、燃气及水生产和供应业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3F02829A" w14:textId="77777777" w:rsidR="009214AE" w:rsidRDefault="00C66335">
            <w:pPr>
              <w:pStyle w:val="biaogeright"/>
              <w:wordWrap w:val="0"/>
            </w:pPr>
            <w:r>
              <w:rPr>
                <w:rFonts w:hAnsi="等线"/>
                <w:color w:val="000000"/>
              </w:rPr>
              <w:t>129,732.00</w:t>
            </w:r>
          </w:p>
        </w:tc>
        <w:tc>
          <w:tcPr>
            <w:tcW w:w="2109" w:type="dxa"/>
            <w:tcBorders>
              <w:top w:val="single" w:sz="8" w:space="0" w:color="000000"/>
              <w:left w:val="single" w:sz="8" w:space="0" w:color="000000"/>
              <w:bottom w:val="single" w:sz="6" w:space="0" w:color="000000"/>
              <w:right w:val="single" w:sz="8" w:space="0" w:color="000000"/>
            </w:tcBorders>
            <w:vAlign w:val="center"/>
          </w:tcPr>
          <w:p w14:paraId="5E591533" w14:textId="77777777" w:rsidR="009214AE" w:rsidRDefault="00C66335">
            <w:pPr>
              <w:pStyle w:val="biaogeright"/>
              <w:wordWrap w:val="0"/>
            </w:pPr>
            <w:r>
              <w:rPr>
                <w:rFonts w:hAnsi="等线"/>
                <w:color w:val="000000"/>
              </w:rPr>
              <w:t>1.59</w:t>
            </w:r>
          </w:p>
        </w:tc>
      </w:tr>
      <w:tr w:rsidR="009214AE" w14:paraId="6E2E149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3F499CF" w14:textId="77777777" w:rsidR="009214AE" w:rsidRDefault="00C66335">
            <w:pPr>
              <w:pStyle w:val="biaogecenter"/>
              <w:wordWrap w:val="0"/>
            </w:pPr>
            <w:r>
              <w:rPr>
                <w:rFonts w:hint="eastAsia"/>
              </w:rPr>
              <w:t>E</w:t>
            </w:r>
          </w:p>
        </w:tc>
        <w:tc>
          <w:tcPr>
            <w:tcW w:w="3648" w:type="dxa"/>
            <w:tcBorders>
              <w:top w:val="single" w:sz="8" w:space="0" w:color="000000"/>
              <w:left w:val="single" w:sz="8" w:space="0" w:color="000000"/>
              <w:bottom w:val="single" w:sz="6" w:space="0" w:color="000000"/>
              <w:right w:val="single" w:sz="8" w:space="0" w:color="000000"/>
            </w:tcBorders>
            <w:vAlign w:val="center"/>
          </w:tcPr>
          <w:p w14:paraId="59BD583D" w14:textId="77777777" w:rsidR="009214AE" w:rsidRDefault="00C66335">
            <w:pPr>
              <w:pStyle w:val="biaogeleft"/>
              <w:wordWrap w:val="0"/>
            </w:pPr>
            <w:r>
              <w:rPr>
                <w:rFonts w:hint="eastAsia"/>
              </w:rPr>
              <w:t>建筑业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4FEF0549"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1FAA954B" w14:textId="77777777" w:rsidR="009214AE" w:rsidRDefault="00C66335">
            <w:pPr>
              <w:pStyle w:val="biaogeright"/>
              <w:wordWrap w:val="0"/>
            </w:pPr>
            <w:r>
              <w:rPr>
                <w:rFonts w:hAnsi="等线"/>
                <w:color w:val="000000"/>
              </w:rPr>
              <w:t>-</w:t>
            </w:r>
          </w:p>
        </w:tc>
      </w:tr>
      <w:tr w:rsidR="009214AE" w14:paraId="6538919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8D7F2F6" w14:textId="77777777" w:rsidR="009214AE" w:rsidRDefault="00C66335">
            <w:pPr>
              <w:pStyle w:val="biaogecenter"/>
              <w:wordWrap w:val="0"/>
            </w:pPr>
            <w:r>
              <w:rPr>
                <w:rFonts w:hAnsi="等线" w:hint="eastAsia"/>
                <w:color w:val="000000"/>
              </w:rPr>
              <w:t>F</w:t>
            </w:r>
          </w:p>
        </w:tc>
        <w:tc>
          <w:tcPr>
            <w:tcW w:w="3648" w:type="dxa"/>
            <w:tcBorders>
              <w:top w:val="single" w:sz="8" w:space="0" w:color="000000"/>
              <w:left w:val="single" w:sz="8" w:space="0" w:color="000000"/>
              <w:bottom w:val="single" w:sz="6" w:space="0" w:color="000000"/>
              <w:right w:val="single" w:sz="8" w:space="0" w:color="000000"/>
            </w:tcBorders>
            <w:vAlign w:val="center"/>
          </w:tcPr>
          <w:p w14:paraId="0F90C3FA" w14:textId="77777777" w:rsidR="009214AE" w:rsidRDefault="00C66335">
            <w:pPr>
              <w:pStyle w:val="biaogeleft"/>
              <w:wordWrap w:val="0"/>
            </w:pPr>
            <w:r>
              <w:rPr>
                <w:rFonts w:hint="eastAsia"/>
              </w:rPr>
              <w:t>批发和零售业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3FBB03FE" w14:textId="77777777" w:rsidR="009214AE" w:rsidRDefault="00C66335">
            <w:pPr>
              <w:pStyle w:val="biaogeright"/>
              <w:wordWrap w:val="0"/>
            </w:pPr>
            <w:r>
              <w:rPr>
                <w:rFonts w:hAnsi="等线"/>
                <w:color w:val="000000"/>
              </w:rPr>
              <w:t>138,712.00</w:t>
            </w:r>
          </w:p>
        </w:tc>
        <w:tc>
          <w:tcPr>
            <w:tcW w:w="2109" w:type="dxa"/>
            <w:tcBorders>
              <w:top w:val="single" w:sz="8" w:space="0" w:color="000000"/>
              <w:left w:val="single" w:sz="8" w:space="0" w:color="000000"/>
              <w:bottom w:val="single" w:sz="6" w:space="0" w:color="000000"/>
              <w:right w:val="single" w:sz="8" w:space="0" w:color="000000"/>
            </w:tcBorders>
            <w:vAlign w:val="center"/>
          </w:tcPr>
          <w:p w14:paraId="04950DA1" w14:textId="77777777" w:rsidR="009214AE" w:rsidRDefault="00C66335">
            <w:pPr>
              <w:pStyle w:val="biaogeright"/>
              <w:wordWrap w:val="0"/>
            </w:pPr>
            <w:r>
              <w:rPr>
                <w:rFonts w:hAnsi="等线"/>
                <w:color w:val="000000"/>
              </w:rPr>
              <w:t>1.70</w:t>
            </w:r>
          </w:p>
        </w:tc>
      </w:tr>
      <w:tr w:rsidR="009214AE" w14:paraId="29E20DE0"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636E962" w14:textId="77777777" w:rsidR="009214AE" w:rsidRDefault="00C66335">
            <w:pPr>
              <w:pStyle w:val="biaogecenter"/>
              <w:wordWrap w:val="0"/>
            </w:pPr>
            <w:r>
              <w:rPr>
                <w:rFonts w:hAnsi="等线" w:hint="eastAsia"/>
                <w:color w:val="000000"/>
              </w:rPr>
              <w:t>G</w:t>
            </w:r>
          </w:p>
        </w:tc>
        <w:tc>
          <w:tcPr>
            <w:tcW w:w="3648" w:type="dxa"/>
            <w:tcBorders>
              <w:top w:val="single" w:sz="8" w:space="0" w:color="000000"/>
              <w:left w:val="single" w:sz="8" w:space="0" w:color="000000"/>
              <w:bottom w:val="single" w:sz="6" w:space="0" w:color="000000"/>
              <w:right w:val="single" w:sz="8" w:space="0" w:color="000000"/>
            </w:tcBorders>
            <w:vAlign w:val="center"/>
          </w:tcPr>
          <w:p w14:paraId="43A43B07" w14:textId="77777777" w:rsidR="009214AE" w:rsidRDefault="00C66335">
            <w:pPr>
              <w:pStyle w:val="biaogeleft"/>
              <w:wordWrap w:val="0"/>
            </w:pPr>
            <w:r>
              <w:rPr>
                <w:rFonts w:hint="eastAsia"/>
              </w:rPr>
              <w:t>交通运输、仓储和邮政业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0E796100" w14:textId="77777777" w:rsidR="009214AE" w:rsidRDefault="00C66335">
            <w:pPr>
              <w:pStyle w:val="biaogeright"/>
              <w:wordWrap w:val="0"/>
            </w:pPr>
            <w:r>
              <w:rPr>
                <w:rFonts w:hAnsi="等线"/>
                <w:color w:val="000000"/>
              </w:rPr>
              <w:t>84,876.00</w:t>
            </w:r>
          </w:p>
        </w:tc>
        <w:tc>
          <w:tcPr>
            <w:tcW w:w="2109" w:type="dxa"/>
            <w:tcBorders>
              <w:top w:val="single" w:sz="8" w:space="0" w:color="000000"/>
              <w:left w:val="single" w:sz="8" w:space="0" w:color="000000"/>
              <w:bottom w:val="single" w:sz="6" w:space="0" w:color="000000"/>
              <w:right w:val="single" w:sz="8" w:space="0" w:color="000000"/>
            </w:tcBorders>
            <w:vAlign w:val="center"/>
          </w:tcPr>
          <w:p w14:paraId="618AEE3A" w14:textId="77777777" w:rsidR="009214AE" w:rsidRDefault="00C66335">
            <w:pPr>
              <w:pStyle w:val="biaogeright"/>
              <w:wordWrap w:val="0"/>
            </w:pPr>
            <w:r>
              <w:rPr>
                <w:rFonts w:hAnsi="等线"/>
                <w:color w:val="000000"/>
              </w:rPr>
              <w:t>1.04</w:t>
            </w:r>
          </w:p>
        </w:tc>
      </w:tr>
      <w:tr w:rsidR="009214AE" w14:paraId="50BB1F8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03B05F1" w14:textId="77777777" w:rsidR="009214AE" w:rsidRDefault="00C66335">
            <w:pPr>
              <w:pStyle w:val="biaogecenter"/>
              <w:wordWrap w:val="0"/>
            </w:pPr>
            <w:r>
              <w:rPr>
                <w:rFonts w:hAnsi="等线" w:hint="eastAsia"/>
                <w:color w:val="000000"/>
              </w:rPr>
              <w:t>H</w:t>
            </w:r>
          </w:p>
        </w:tc>
        <w:tc>
          <w:tcPr>
            <w:tcW w:w="3648" w:type="dxa"/>
            <w:tcBorders>
              <w:top w:val="single" w:sz="8" w:space="0" w:color="000000"/>
              <w:left w:val="single" w:sz="8" w:space="0" w:color="000000"/>
              <w:bottom w:val="single" w:sz="6" w:space="0" w:color="000000"/>
              <w:right w:val="single" w:sz="8" w:space="0" w:color="000000"/>
            </w:tcBorders>
            <w:vAlign w:val="center"/>
          </w:tcPr>
          <w:p w14:paraId="535FD7E6" w14:textId="77777777" w:rsidR="009214AE" w:rsidRDefault="00C66335">
            <w:pPr>
              <w:pStyle w:val="biaogeleft"/>
              <w:wordWrap w:val="0"/>
            </w:pPr>
            <w:r>
              <w:rPr>
                <w:rFonts w:hint="eastAsia"/>
              </w:rPr>
              <w:t>住宿和餐饮业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1EEA7B3B"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248656C2" w14:textId="77777777" w:rsidR="009214AE" w:rsidRDefault="00C66335">
            <w:pPr>
              <w:pStyle w:val="biaogeright"/>
              <w:wordWrap w:val="0"/>
            </w:pPr>
            <w:r>
              <w:rPr>
                <w:rFonts w:hAnsi="等线"/>
                <w:color w:val="000000"/>
              </w:rPr>
              <w:t>-</w:t>
            </w:r>
          </w:p>
        </w:tc>
      </w:tr>
      <w:tr w:rsidR="009214AE" w14:paraId="283DFB8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5B549B9" w14:textId="77777777" w:rsidR="009214AE" w:rsidRDefault="00C66335">
            <w:pPr>
              <w:pStyle w:val="biaogecenter"/>
              <w:wordWrap w:val="0"/>
            </w:pPr>
            <w:r>
              <w:rPr>
                <w:rFonts w:hAnsi="等线" w:hint="eastAsia"/>
                <w:color w:val="000000"/>
              </w:rPr>
              <w:t>I</w:t>
            </w:r>
          </w:p>
        </w:tc>
        <w:tc>
          <w:tcPr>
            <w:tcW w:w="3648" w:type="dxa"/>
            <w:tcBorders>
              <w:top w:val="single" w:sz="8" w:space="0" w:color="000000"/>
              <w:left w:val="single" w:sz="8" w:space="0" w:color="000000"/>
              <w:bottom w:val="single" w:sz="6" w:space="0" w:color="000000"/>
              <w:right w:val="single" w:sz="8" w:space="0" w:color="000000"/>
            </w:tcBorders>
            <w:vAlign w:val="center"/>
          </w:tcPr>
          <w:p w14:paraId="06DA0338" w14:textId="77777777" w:rsidR="009214AE" w:rsidRDefault="00C66335">
            <w:pPr>
              <w:pStyle w:val="biaogeleft"/>
              <w:wordWrap w:val="0"/>
            </w:pPr>
            <w:r>
              <w:rPr>
                <w:rFonts w:hint="eastAsia"/>
              </w:rPr>
              <w:t>信息传输、软件和信息技术服务业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74BA39FB" w14:textId="77777777" w:rsidR="009214AE" w:rsidRDefault="00C66335">
            <w:pPr>
              <w:pStyle w:val="biaogeright"/>
              <w:wordWrap w:val="0"/>
            </w:pPr>
            <w:r>
              <w:rPr>
                <w:rFonts w:hAnsi="等线"/>
                <w:color w:val="000000"/>
              </w:rPr>
              <w:t>277,412.00</w:t>
            </w:r>
          </w:p>
        </w:tc>
        <w:tc>
          <w:tcPr>
            <w:tcW w:w="2109" w:type="dxa"/>
            <w:tcBorders>
              <w:top w:val="single" w:sz="8" w:space="0" w:color="000000"/>
              <w:left w:val="single" w:sz="8" w:space="0" w:color="000000"/>
              <w:bottom w:val="single" w:sz="6" w:space="0" w:color="000000"/>
              <w:right w:val="single" w:sz="8" w:space="0" w:color="000000"/>
            </w:tcBorders>
            <w:vAlign w:val="center"/>
          </w:tcPr>
          <w:p w14:paraId="274F4CB1" w14:textId="77777777" w:rsidR="009214AE" w:rsidRDefault="00C66335">
            <w:pPr>
              <w:pStyle w:val="biaogeright"/>
              <w:wordWrap w:val="0"/>
            </w:pPr>
            <w:r>
              <w:rPr>
                <w:rFonts w:hAnsi="等线"/>
                <w:color w:val="000000"/>
              </w:rPr>
              <w:t>3.40</w:t>
            </w:r>
          </w:p>
        </w:tc>
      </w:tr>
      <w:tr w:rsidR="009214AE" w14:paraId="537524F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CE7C3C8" w14:textId="77777777" w:rsidR="009214AE" w:rsidRDefault="00C66335">
            <w:pPr>
              <w:pStyle w:val="biaogecenter"/>
              <w:wordWrap w:val="0"/>
            </w:pPr>
            <w:r>
              <w:rPr>
                <w:rFonts w:hAnsi="等线" w:hint="eastAsia"/>
                <w:color w:val="000000"/>
              </w:rPr>
              <w:t>J</w:t>
            </w:r>
          </w:p>
        </w:tc>
        <w:tc>
          <w:tcPr>
            <w:tcW w:w="3648" w:type="dxa"/>
            <w:tcBorders>
              <w:top w:val="single" w:sz="8" w:space="0" w:color="000000"/>
              <w:left w:val="single" w:sz="8" w:space="0" w:color="000000"/>
              <w:bottom w:val="single" w:sz="6" w:space="0" w:color="000000"/>
              <w:right w:val="single" w:sz="8" w:space="0" w:color="000000"/>
            </w:tcBorders>
            <w:vAlign w:val="center"/>
          </w:tcPr>
          <w:p w14:paraId="124ECA04" w14:textId="77777777" w:rsidR="009214AE" w:rsidRDefault="00C66335">
            <w:pPr>
              <w:pStyle w:val="biaogeleft"/>
              <w:wordWrap w:val="0"/>
            </w:pPr>
            <w:r>
              <w:rPr>
                <w:rFonts w:hint="eastAsia"/>
              </w:rPr>
              <w:t>金融业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73A8C6C1"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2CDDC902" w14:textId="77777777" w:rsidR="009214AE" w:rsidRDefault="00C66335">
            <w:pPr>
              <w:pStyle w:val="biaogeright"/>
              <w:wordWrap w:val="0"/>
            </w:pPr>
            <w:r>
              <w:rPr>
                <w:rFonts w:hAnsi="等线"/>
                <w:color w:val="000000"/>
              </w:rPr>
              <w:t>-</w:t>
            </w:r>
          </w:p>
        </w:tc>
      </w:tr>
      <w:tr w:rsidR="009214AE" w14:paraId="373AC67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01836BA" w14:textId="77777777" w:rsidR="009214AE" w:rsidRDefault="00C66335">
            <w:pPr>
              <w:pStyle w:val="biaogecenter"/>
              <w:wordWrap w:val="0"/>
            </w:pPr>
            <w:r>
              <w:rPr>
                <w:rFonts w:hAnsi="等线" w:hint="eastAsia"/>
                <w:color w:val="000000"/>
              </w:rPr>
              <w:t>K</w:t>
            </w:r>
          </w:p>
        </w:tc>
        <w:tc>
          <w:tcPr>
            <w:tcW w:w="3648" w:type="dxa"/>
            <w:tcBorders>
              <w:top w:val="single" w:sz="8" w:space="0" w:color="000000"/>
              <w:left w:val="single" w:sz="8" w:space="0" w:color="000000"/>
              <w:bottom w:val="single" w:sz="6" w:space="0" w:color="000000"/>
              <w:right w:val="single" w:sz="8" w:space="0" w:color="000000"/>
            </w:tcBorders>
            <w:vAlign w:val="center"/>
          </w:tcPr>
          <w:p w14:paraId="4BF86858" w14:textId="77777777" w:rsidR="009214AE" w:rsidRDefault="00C66335">
            <w:pPr>
              <w:pStyle w:val="biaogeleft"/>
              <w:wordWrap w:val="0"/>
            </w:pPr>
            <w:r>
              <w:rPr>
                <w:rFonts w:hint="eastAsia"/>
              </w:rPr>
              <w:t>房地产业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13C7CB97" w14:textId="77777777" w:rsidR="009214AE" w:rsidRDefault="00C66335">
            <w:pPr>
              <w:pStyle w:val="biaogeright"/>
              <w:wordWrap w:val="0"/>
            </w:pPr>
            <w:r>
              <w:rPr>
                <w:rFonts w:hAnsi="等线"/>
                <w:color w:val="000000"/>
              </w:rPr>
              <w:t>214,371.00</w:t>
            </w:r>
          </w:p>
        </w:tc>
        <w:tc>
          <w:tcPr>
            <w:tcW w:w="2109" w:type="dxa"/>
            <w:tcBorders>
              <w:top w:val="single" w:sz="8" w:space="0" w:color="000000"/>
              <w:left w:val="single" w:sz="8" w:space="0" w:color="000000"/>
              <w:bottom w:val="single" w:sz="6" w:space="0" w:color="000000"/>
              <w:right w:val="single" w:sz="8" w:space="0" w:color="000000"/>
            </w:tcBorders>
            <w:vAlign w:val="center"/>
          </w:tcPr>
          <w:p w14:paraId="72DA2E9A" w14:textId="77777777" w:rsidR="009214AE" w:rsidRDefault="00C66335">
            <w:pPr>
              <w:pStyle w:val="biaogeright"/>
              <w:wordWrap w:val="0"/>
            </w:pPr>
            <w:r>
              <w:rPr>
                <w:rFonts w:hAnsi="等线"/>
                <w:color w:val="000000"/>
              </w:rPr>
              <w:t>2.63</w:t>
            </w:r>
          </w:p>
        </w:tc>
      </w:tr>
      <w:tr w:rsidR="009214AE" w14:paraId="68BFE28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4DD0BF6" w14:textId="77777777" w:rsidR="009214AE" w:rsidRDefault="00C66335">
            <w:pPr>
              <w:pStyle w:val="biaogecenter"/>
              <w:wordWrap w:val="0"/>
            </w:pPr>
            <w:r>
              <w:rPr>
                <w:rFonts w:hAnsi="等线" w:hint="eastAsia"/>
                <w:color w:val="000000"/>
              </w:rPr>
              <w:t>L</w:t>
            </w:r>
          </w:p>
        </w:tc>
        <w:tc>
          <w:tcPr>
            <w:tcW w:w="3648" w:type="dxa"/>
            <w:tcBorders>
              <w:top w:val="single" w:sz="8" w:space="0" w:color="000000"/>
              <w:left w:val="single" w:sz="8" w:space="0" w:color="000000"/>
              <w:bottom w:val="single" w:sz="6" w:space="0" w:color="000000"/>
              <w:right w:val="single" w:sz="8" w:space="0" w:color="000000"/>
            </w:tcBorders>
            <w:vAlign w:val="center"/>
          </w:tcPr>
          <w:p w14:paraId="0F20CDD0" w14:textId="77777777" w:rsidR="009214AE" w:rsidRDefault="00C66335">
            <w:pPr>
              <w:pStyle w:val="biaogeleft"/>
              <w:wordWrap w:val="0"/>
            </w:pPr>
            <w:r>
              <w:rPr>
                <w:rFonts w:hint="eastAsia"/>
              </w:rPr>
              <w:t>租赁和商务服务业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7884582F"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0838090D" w14:textId="77777777" w:rsidR="009214AE" w:rsidRDefault="00C66335">
            <w:pPr>
              <w:pStyle w:val="biaogeright"/>
              <w:wordWrap w:val="0"/>
            </w:pPr>
            <w:r>
              <w:rPr>
                <w:rFonts w:hAnsi="等线"/>
                <w:color w:val="000000"/>
              </w:rPr>
              <w:t>-</w:t>
            </w:r>
          </w:p>
        </w:tc>
      </w:tr>
      <w:tr w:rsidR="009214AE" w14:paraId="4915D61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4616434" w14:textId="77777777" w:rsidR="009214AE" w:rsidRDefault="00C66335">
            <w:pPr>
              <w:pStyle w:val="biaogecenter"/>
              <w:wordWrap w:val="0"/>
            </w:pPr>
            <w:r>
              <w:rPr>
                <w:rFonts w:hAnsi="等线" w:hint="eastAsia"/>
                <w:color w:val="000000"/>
              </w:rPr>
              <w:t>M</w:t>
            </w:r>
          </w:p>
        </w:tc>
        <w:tc>
          <w:tcPr>
            <w:tcW w:w="3648" w:type="dxa"/>
            <w:tcBorders>
              <w:top w:val="single" w:sz="8" w:space="0" w:color="000000"/>
              <w:left w:val="single" w:sz="8" w:space="0" w:color="000000"/>
              <w:bottom w:val="single" w:sz="6" w:space="0" w:color="000000"/>
              <w:right w:val="single" w:sz="8" w:space="0" w:color="000000"/>
            </w:tcBorders>
            <w:vAlign w:val="center"/>
          </w:tcPr>
          <w:p w14:paraId="474DE39A" w14:textId="77777777" w:rsidR="009214AE" w:rsidRDefault="00C66335">
            <w:pPr>
              <w:pStyle w:val="biaogeleft"/>
              <w:wordWrap w:val="0"/>
            </w:pPr>
            <w:r>
              <w:rPr>
                <w:rFonts w:hint="eastAsia"/>
              </w:rPr>
              <w:t>科学研究和技术服务业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12215414" w14:textId="77777777" w:rsidR="009214AE" w:rsidRDefault="00C66335">
            <w:pPr>
              <w:pStyle w:val="biaogeright"/>
              <w:wordWrap w:val="0"/>
            </w:pPr>
            <w:r>
              <w:rPr>
                <w:rFonts w:hAnsi="等线"/>
                <w:color w:val="000000"/>
              </w:rPr>
              <w:t>528,501.00</w:t>
            </w:r>
          </w:p>
        </w:tc>
        <w:tc>
          <w:tcPr>
            <w:tcW w:w="2109" w:type="dxa"/>
            <w:tcBorders>
              <w:top w:val="single" w:sz="8" w:space="0" w:color="000000"/>
              <w:left w:val="single" w:sz="8" w:space="0" w:color="000000"/>
              <w:bottom w:val="single" w:sz="6" w:space="0" w:color="000000"/>
              <w:right w:val="single" w:sz="8" w:space="0" w:color="000000"/>
            </w:tcBorders>
            <w:vAlign w:val="center"/>
          </w:tcPr>
          <w:p w14:paraId="23A34188" w14:textId="77777777" w:rsidR="009214AE" w:rsidRDefault="00C66335">
            <w:pPr>
              <w:pStyle w:val="biaogeright"/>
              <w:wordWrap w:val="0"/>
            </w:pPr>
            <w:r>
              <w:rPr>
                <w:rFonts w:hAnsi="等线"/>
                <w:color w:val="000000"/>
              </w:rPr>
              <w:t>6.48</w:t>
            </w:r>
          </w:p>
        </w:tc>
      </w:tr>
      <w:tr w:rsidR="009214AE" w14:paraId="57A2B6E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5C25E4F" w14:textId="77777777" w:rsidR="009214AE" w:rsidRDefault="00C66335">
            <w:pPr>
              <w:pStyle w:val="biaogecenter"/>
              <w:wordWrap w:val="0"/>
            </w:pPr>
            <w:r>
              <w:rPr>
                <w:rFonts w:hAnsi="等线" w:hint="eastAsia"/>
                <w:color w:val="000000"/>
              </w:rPr>
              <w:t>N</w:t>
            </w:r>
          </w:p>
        </w:tc>
        <w:tc>
          <w:tcPr>
            <w:tcW w:w="3648" w:type="dxa"/>
            <w:tcBorders>
              <w:top w:val="single" w:sz="8" w:space="0" w:color="000000"/>
              <w:left w:val="single" w:sz="8" w:space="0" w:color="000000"/>
              <w:bottom w:val="single" w:sz="6" w:space="0" w:color="000000"/>
              <w:right w:val="single" w:sz="8" w:space="0" w:color="000000"/>
            </w:tcBorders>
            <w:vAlign w:val="center"/>
          </w:tcPr>
          <w:p w14:paraId="6CA8DA82" w14:textId="77777777" w:rsidR="009214AE" w:rsidRDefault="00C66335">
            <w:pPr>
              <w:pStyle w:val="biaogeleft"/>
              <w:wordWrap w:val="0"/>
            </w:pPr>
            <w:r>
              <w:rPr>
                <w:rFonts w:hint="eastAsia"/>
              </w:rPr>
              <w:t>水利、环境和公共设施管理业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24D396F4" w14:textId="77777777" w:rsidR="009214AE" w:rsidRDefault="00C66335">
            <w:pPr>
              <w:pStyle w:val="biaogeright"/>
              <w:wordWrap w:val="0"/>
            </w:pPr>
            <w:r>
              <w:rPr>
                <w:rFonts w:hAnsi="等线"/>
                <w:color w:val="000000"/>
              </w:rPr>
              <w:t>116,800.00</w:t>
            </w:r>
          </w:p>
        </w:tc>
        <w:tc>
          <w:tcPr>
            <w:tcW w:w="2109" w:type="dxa"/>
            <w:tcBorders>
              <w:top w:val="single" w:sz="8" w:space="0" w:color="000000"/>
              <w:left w:val="single" w:sz="8" w:space="0" w:color="000000"/>
              <w:bottom w:val="single" w:sz="6" w:space="0" w:color="000000"/>
              <w:right w:val="single" w:sz="8" w:space="0" w:color="000000"/>
            </w:tcBorders>
            <w:vAlign w:val="center"/>
          </w:tcPr>
          <w:p w14:paraId="6452CD81" w14:textId="77777777" w:rsidR="009214AE" w:rsidRDefault="00C66335">
            <w:pPr>
              <w:pStyle w:val="biaogeright"/>
              <w:wordWrap w:val="0"/>
            </w:pPr>
            <w:r>
              <w:rPr>
                <w:rFonts w:hAnsi="等线"/>
                <w:color w:val="000000"/>
              </w:rPr>
              <w:t>1.43</w:t>
            </w:r>
          </w:p>
        </w:tc>
      </w:tr>
      <w:tr w:rsidR="009214AE" w14:paraId="0B8874A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84FFBD0" w14:textId="77777777" w:rsidR="009214AE" w:rsidRDefault="00C66335">
            <w:pPr>
              <w:pStyle w:val="biaogecenter"/>
              <w:wordWrap w:val="0"/>
            </w:pPr>
            <w:r>
              <w:rPr>
                <w:rFonts w:hAnsi="等线" w:hint="eastAsia"/>
                <w:color w:val="000000"/>
              </w:rPr>
              <w:t>O</w:t>
            </w:r>
          </w:p>
        </w:tc>
        <w:tc>
          <w:tcPr>
            <w:tcW w:w="3648" w:type="dxa"/>
            <w:tcBorders>
              <w:top w:val="single" w:sz="8" w:space="0" w:color="000000"/>
              <w:left w:val="single" w:sz="8" w:space="0" w:color="000000"/>
              <w:bottom w:val="single" w:sz="6" w:space="0" w:color="000000"/>
              <w:right w:val="single" w:sz="8" w:space="0" w:color="000000"/>
            </w:tcBorders>
            <w:vAlign w:val="center"/>
          </w:tcPr>
          <w:p w14:paraId="4F7C1502" w14:textId="77777777" w:rsidR="009214AE" w:rsidRDefault="00C66335">
            <w:pPr>
              <w:pStyle w:val="biaogeleft"/>
              <w:wordWrap w:val="0"/>
            </w:pPr>
            <w:r>
              <w:rPr>
                <w:rFonts w:hint="eastAsia"/>
              </w:rPr>
              <w:t>居民服务、修理和其他服务业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663EBB46"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0FA36C8F" w14:textId="77777777" w:rsidR="009214AE" w:rsidRDefault="00C66335">
            <w:pPr>
              <w:pStyle w:val="biaogeright"/>
              <w:wordWrap w:val="0"/>
            </w:pPr>
            <w:r>
              <w:rPr>
                <w:rFonts w:hAnsi="等线"/>
                <w:color w:val="000000"/>
              </w:rPr>
              <w:t>-</w:t>
            </w:r>
          </w:p>
        </w:tc>
      </w:tr>
      <w:tr w:rsidR="009214AE" w14:paraId="082743A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CF0082F" w14:textId="77777777" w:rsidR="009214AE" w:rsidRDefault="00C66335">
            <w:pPr>
              <w:pStyle w:val="biaogecenter"/>
              <w:wordWrap w:val="0"/>
            </w:pPr>
            <w:r>
              <w:rPr>
                <w:rFonts w:hAnsi="等线" w:hint="eastAsia"/>
                <w:color w:val="000000"/>
              </w:rPr>
              <w:t>P</w:t>
            </w:r>
          </w:p>
        </w:tc>
        <w:tc>
          <w:tcPr>
            <w:tcW w:w="3648" w:type="dxa"/>
            <w:tcBorders>
              <w:top w:val="single" w:sz="8" w:space="0" w:color="000000"/>
              <w:left w:val="single" w:sz="8" w:space="0" w:color="000000"/>
              <w:bottom w:val="single" w:sz="6" w:space="0" w:color="000000"/>
              <w:right w:val="single" w:sz="8" w:space="0" w:color="000000"/>
            </w:tcBorders>
            <w:vAlign w:val="center"/>
          </w:tcPr>
          <w:p w14:paraId="6F769A8F" w14:textId="77777777" w:rsidR="009214AE" w:rsidRDefault="00C66335">
            <w:pPr>
              <w:pStyle w:val="biaogeleft"/>
              <w:wordWrap w:val="0"/>
            </w:pPr>
            <w:r>
              <w:rPr>
                <w:rFonts w:hint="eastAsia"/>
              </w:rPr>
              <w:t>教育</w:t>
            </w:r>
          </w:p>
        </w:tc>
        <w:tc>
          <w:tcPr>
            <w:tcW w:w="1968" w:type="dxa"/>
            <w:tcBorders>
              <w:top w:val="single" w:sz="8" w:space="0" w:color="000000"/>
              <w:left w:val="single" w:sz="8" w:space="0" w:color="000000"/>
              <w:bottom w:val="single" w:sz="6" w:space="0" w:color="000000"/>
              <w:right w:val="single" w:sz="8" w:space="0" w:color="000000"/>
            </w:tcBorders>
            <w:vAlign w:val="center"/>
          </w:tcPr>
          <w:p w14:paraId="34145596"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0B243C3A" w14:textId="77777777" w:rsidR="009214AE" w:rsidRDefault="00C66335">
            <w:pPr>
              <w:pStyle w:val="biaogeright"/>
              <w:wordWrap w:val="0"/>
            </w:pPr>
            <w:r>
              <w:rPr>
                <w:rFonts w:hAnsi="等线"/>
                <w:color w:val="000000"/>
              </w:rPr>
              <w:t>-</w:t>
            </w:r>
          </w:p>
        </w:tc>
      </w:tr>
      <w:tr w:rsidR="009214AE" w14:paraId="5A523BB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55B3B8D" w14:textId="77777777" w:rsidR="009214AE" w:rsidRDefault="00C66335">
            <w:pPr>
              <w:pStyle w:val="biaogecenter"/>
              <w:wordWrap w:val="0"/>
            </w:pPr>
            <w:r>
              <w:rPr>
                <w:rFonts w:hAnsi="等线" w:hint="eastAsia"/>
                <w:color w:val="000000"/>
              </w:rPr>
              <w:t>Q</w:t>
            </w:r>
          </w:p>
        </w:tc>
        <w:tc>
          <w:tcPr>
            <w:tcW w:w="3648" w:type="dxa"/>
            <w:tcBorders>
              <w:top w:val="single" w:sz="8" w:space="0" w:color="000000"/>
              <w:left w:val="single" w:sz="8" w:space="0" w:color="000000"/>
              <w:bottom w:val="single" w:sz="6" w:space="0" w:color="000000"/>
              <w:right w:val="single" w:sz="8" w:space="0" w:color="000000"/>
            </w:tcBorders>
            <w:vAlign w:val="center"/>
          </w:tcPr>
          <w:p w14:paraId="780880E9" w14:textId="77777777" w:rsidR="009214AE" w:rsidRDefault="00C66335">
            <w:pPr>
              <w:pStyle w:val="biaogeleft"/>
              <w:wordWrap w:val="0"/>
            </w:pPr>
            <w:r>
              <w:rPr>
                <w:rFonts w:hint="eastAsia"/>
              </w:rPr>
              <w:t>卫生和社会工作</w:t>
            </w:r>
          </w:p>
        </w:tc>
        <w:tc>
          <w:tcPr>
            <w:tcW w:w="1968" w:type="dxa"/>
            <w:tcBorders>
              <w:top w:val="single" w:sz="8" w:space="0" w:color="000000"/>
              <w:left w:val="single" w:sz="8" w:space="0" w:color="000000"/>
              <w:bottom w:val="single" w:sz="6" w:space="0" w:color="000000"/>
              <w:right w:val="single" w:sz="8" w:space="0" w:color="000000"/>
            </w:tcBorders>
            <w:vAlign w:val="center"/>
          </w:tcPr>
          <w:p w14:paraId="79467209"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1E91CC2A" w14:textId="77777777" w:rsidR="009214AE" w:rsidRDefault="00C66335">
            <w:pPr>
              <w:pStyle w:val="biaogeright"/>
              <w:wordWrap w:val="0"/>
            </w:pPr>
            <w:r>
              <w:rPr>
                <w:rFonts w:hAnsi="等线"/>
                <w:color w:val="000000"/>
              </w:rPr>
              <w:t>-</w:t>
            </w:r>
          </w:p>
        </w:tc>
      </w:tr>
      <w:tr w:rsidR="009214AE" w14:paraId="1E8BC3E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FC93711" w14:textId="77777777" w:rsidR="009214AE" w:rsidRDefault="00C66335">
            <w:pPr>
              <w:pStyle w:val="biaogecenter"/>
              <w:wordWrap w:val="0"/>
            </w:pPr>
            <w:r>
              <w:rPr>
                <w:rFonts w:hAnsi="等线" w:hint="eastAsia"/>
                <w:color w:val="000000"/>
              </w:rPr>
              <w:t>R</w:t>
            </w:r>
          </w:p>
        </w:tc>
        <w:tc>
          <w:tcPr>
            <w:tcW w:w="3648" w:type="dxa"/>
            <w:tcBorders>
              <w:top w:val="single" w:sz="8" w:space="0" w:color="000000"/>
              <w:left w:val="single" w:sz="8" w:space="0" w:color="000000"/>
              <w:bottom w:val="single" w:sz="6" w:space="0" w:color="000000"/>
              <w:right w:val="single" w:sz="8" w:space="0" w:color="000000"/>
            </w:tcBorders>
            <w:vAlign w:val="center"/>
          </w:tcPr>
          <w:p w14:paraId="05525661" w14:textId="77777777" w:rsidR="009214AE" w:rsidRDefault="00C66335">
            <w:pPr>
              <w:pStyle w:val="biaogeleft"/>
              <w:wordWrap w:val="0"/>
            </w:pPr>
            <w:r>
              <w:rPr>
                <w:rFonts w:hint="eastAsia"/>
              </w:rPr>
              <w:t>文化、体育和娱乐业</w:t>
            </w:r>
          </w:p>
        </w:tc>
        <w:tc>
          <w:tcPr>
            <w:tcW w:w="1968" w:type="dxa"/>
            <w:tcBorders>
              <w:top w:val="single" w:sz="8" w:space="0" w:color="000000"/>
              <w:left w:val="single" w:sz="8" w:space="0" w:color="000000"/>
              <w:bottom w:val="single" w:sz="6" w:space="0" w:color="000000"/>
              <w:right w:val="single" w:sz="8" w:space="0" w:color="000000"/>
            </w:tcBorders>
            <w:vAlign w:val="center"/>
          </w:tcPr>
          <w:p w14:paraId="42C87A7D"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200FF08B" w14:textId="77777777" w:rsidR="009214AE" w:rsidRDefault="00C66335">
            <w:pPr>
              <w:pStyle w:val="biaogeright"/>
              <w:wordWrap w:val="0"/>
            </w:pPr>
            <w:r>
              <w:rPr>
                <w:rFonts w:hAnsi="等线"/>
                <w:color w:val="000000"/>
              </w:rPr>
              <w:t>-</w:t>
            </w:r>
          </w:p>
        </w:tc>
      </w:tr>
      <w:tr w:rsidR="009214AE" w14:paraId="7B91B0C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2E6A890" w14:textId="77777777" w:rsidR="009214AE" w:rsidRDefault="00C66335">
            <w:pPr>
              <w:pStyle w:val="biaogecenter"/>
              <w:wordWrap w:val="0"/>
            </w:pPr>
            <w:r>
              <w:rPr>
                <w:rFonts w:hAnsi="等线" w:hint="eastAsia"/>
                <w:color w:val="000000"/>
              </w:rPr>
              <w:t>S</w:t>
            </w:r>
          </w:p>
        </w:tc>
        <w:tc>
          <w:tcPr>
            <w:tcW w:w="3648" w:type="dxa"/>
            <w:tcBorders>
              <w:top w:val="single" w:sz="8" w:space="0" w:color="000000"/>
              <w:left w:val="single" w:sz="8" w:space="0" w:color="000000"/>
              <w:bottom w:val="single" w:sz="6" w:space="0" w:color="000000"/>
              <w:right w:val="single" w:sz="8" w:space="0" w:color="000000"/>
            </w:tcBorders>
            <w:vAlign w:val="center"/>
          </w:tcPr>
          <w:p w14:paraId="15DD98FF" w14:textId="77777777" w:rsidR="009214AE" w:rsidRDefault="00C66335">
            <w:pPr>
              <w:pStyle w:val="biaogeleft"/>
              <w:wordWrap w:val="0"/>
            </w:pPr>
            <w:r>
              <w:rPr>
                <w:rFonts w:hint="eastAsia"/>
              </w:rPr>
              <w:t>综合</w:t>
            </w:r>
          </w:p>
        </w:tc>
        <w:tc>
          <w:tcPr>
            <w:tcW w:w="1968" w:type="dxa"/>
            <w:tcBorders>
              <w:top w:val="single" w:sz="8" w:space="0" w:color="000000"/>
              <w:left w:val="single" w:sz="8" w:space="0" w:color="000000"/>
              <w:bottom w:val="single" w:sz="6" w:space="0" w:color="000000"/>
              <w:right w:val="single" w:sz="8" w:space="0" w:color="000000"/>
            </w:tcBorders>
            <w:vAlign w:val="center"/>
          </w:tcPr>
          <w:p w14:paraId="71432BB3" w14:textId="77777777" w:rsidR="009214AE" w:rsidRDefault="00C66335">
            <w:pPr>
              <w:pStyle w:val="biaogeright"/>
              <w:wordWrap w:val="0"/>
            </w:pPr>
            <w:r>
              <w:rPr>
                <w:rFonts w:hAnsi="等线"/>
                <w:color w:val="000000"/>
              </w:rPr>
              <w:t>-</w:t>
            </w:r>
          </w:p>
        </w:tc>
        <w:tc>
          <w:tcPr>
            <w:tcW w:w="2109" w:type="dxa"/>
            <w:tcBorders>
              <w:top w:val="single" w:sz="8" w:space="0" w:color="000000"/>
              <w:left w:val="single" w:sz="8" w:space="0" w:color="000000"/>
              <w:bottom w:val="single" w:sz="6" w:space="0" w:color="000000"/>
              <w:right w:val="single" w:sz="8" w:space="0" w:color="000000"/>
            </w:tcBorders>
            <w:vAlign w:val="center"/>
          </w:tcPr>
          <w:p w14:paraId="38F073A7" w14:textId="77777777" w:rsidR="009214AE" w:rsidRDefault="00C66335">
            <w:pPr>
              <w:pStyle w:val="biaogeright"/>
              <w:wordWrap w:val="0"/>
            </w:pPr>
            <w:r>
              <w:rPr>
                <w:rFonts w:hAnsi="等线"/>
                <w:color w:val="000000"/>
              </w:rPr>
              <w:t>-</w:t>
            </w:r>
          </w:p>
        </w:tc>
      </w:tr>
      <w:tr w:rsidR="009214AE" w14:paraId="2EB4892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F3867DD" w14:textId="77777777" w:rsidR="009214AE" w:rsidRDefault="009214AE"/>
        </w:tc>
        <w:tc>
          <w:tcPr>
            <w:tcW w:w="3648" w:type="dxa"/>
            <w:tcBorders>
              <w:top w:val="single" w:sz="8" w:space="0" w:color="000000"/>
              <w:left w:val="single" w:sz="8" w:space="0" w:color="000000"/>
              <w:bottom w:val="single" w:sz="6" w:space="0" w:color="000000"/>
              <w:right w:val="single" w:sz="8" w:space="0" w:color="000000"/>
            </w:tcBorders>
            <w:vAlign w:val="center"/>
          </w:tcPr>
          <w:p w14:paraId="51F55689" w14:textId="77777777" w:rsidR="009214AE" w:rsidRDefault="00C66335">
            <w:pPr>
              <w:pStyle w:val="biaogeleft"/>
              <w:wordWrap w:val="0"/>
            </w:pPr>
            <w:r>
              <w:rPr>
                <w:rFonts w:hint="eastAsia"/>
              </w:rPr>
              <w:t>合计</w:t>
            </w:r>
          </w:p>
        </w:tc>
        <w:tc>
          <w:tcPr>
            <w:tcW w:w="1968" w:type="dxa"/>
            <w:tcBorders>
              <w:top w:val="single" w:sz="8" w:space="0" w:color="000000"/>
              <w:left w:val="single" w:sz="8" w:space="0" w:color="000000"/>
              <w:bottom w:val="single" w:sz="6" w:space="0" w:color="000000"/>
              <w:right w:val="single" w:sz="8" w:space="0" w:color="000000"/>
            </w:tcBorders>
            <w:vAlign w:val="center"/>
          </w:tcPr>
          <w:p w14:paraId="4C05AA06" w14:textId="77777777" w:rsidR="009214AE" w:rsidRDefault="00C66335">
            <w:pPr>
              <w:pStyle w:val="biaogeright"/>
              <w:wordWrap w:val="0"/>
            </w:pPr>
            <w:r>
              <w:rPr>
                <w:rFonts w:hAnsi="等线"/>
                <w:color w:val="000000"/>
              </w:rPr>
              <w:t>6,913,942.00</w:t>
            </w:r>
          </w:p>
        </w:tc>
        <w:tc>
          <w:tcPr>
            <w:tcW w:w="2109" w:type="dxa"/>
            <w:tcBorders>
              <w:top w:val="single" w:sz="8" w:space="0" w:color="000000"/>
              <w:left w:val="single" w:sz="8" w:space="0" w:color="000000"/>
              <w:bottom w:val="single" w:sz="6" w:space="0" w:color="000000"/>
              <w:right w:val="single" w:sz="8" w:space="0" w:color="000000"/>
            </w:tcBorders>
            <w:vAlign w:val="center"/>
          </w:tcPr>
          <w:p w14:paraId="1058835F" w14:textId="77777777" w:rsidR="009214AE" w:rsidRDefault="00C66335">
            <w:pPr>
              <w:pStyle w:val="biaogeright"/>
              <w:wordWrap w:val="0"/>
            </w:pPr>
            <w:r>
              <w:rPr>
                <w:rFonts w:hAnsi="等线"/>
                <w:color w:val="000000"/>
              </w:rPr>
              <w:t>84.78</w:t>
            </w:r>
          </w:p>
        </w:tc>
      </w:tr>
    </w:tbl>
    <w:p w14:paraId="5EFEC5D4" w14:textId="77777777" w:rsidR="009214AE" w:rsidRDefault="009214AE">
      <w:pPr>
        <w:widowControl/>
        <w:jc w:val="left"/>
        <w:rPr>
          <w:rFonts w:ascii="宋体" w:eastAsia="宋体" w:hAnsi="宋体" w:cs="宋体"/>
          <w:kern w:val="0"/>
          <w:sz w:val="24"/>
          <w:szCs w:val="24"/>
        </w:rPr>
      </w:pPr>
    </w:p>
    <w:p w14:paraId="6EF85158" w14:textId="77777777" w:rsidR="009214AE" w:rsidRDefault="00C66335">
      <w:pPr>
        <w:pStyle w:val="zhangjiep2"/>
      </w:pPr>
      <w:r>
        <w:rPr>
          <w:rFonts w:hAnsi="等线" w:hint="eastAsia"/>
          <w:b/>
          <w:color w:val="000000"/>
        </w:rPr>
        <w:t>（2）报告期末按行业分类的港股通投资股票投资组合</w:t>
      </w:r>
    </w:p>
    <w:p w14:paraId="47559C6C" w14:textId="77777777" w:rsidR="009214AE" w:rsidRDefault="00C66335">
      <w:pPr>
        <w:pStyle w:val="neirong"/>
        <w:ind w:firstLineChars="200" w:firstLine="480"/>
      </w:pPr>
      <w:r>
        <w:rPr>
          <w:rFonts w:hint="eastAsia"/>
        </w:rPr>
        <w:t>本基金本报告期末未持有港股通股票。</w:t>
      </w:r>
    </w:p>
    <w:p w14:paraId="3A5EB406" w14:textId="77777777" w:rsidR="009214AE" w:rsidRDefault="009214AE">
      <w:pPr>
        <w:widowControl/>
        <w:jc w:val="left"/>
        <w:rPr>
          <w:rFonts w:ascii="宋体" w:eastAsia="宋体" w:hAnsi="宋体" w:cs="宋体"/>
          <w:kern w:val="0"/>
          <w:sz w:val="24"/>
          <w:szCs w:val="24"/>
        </w:rPr>
      </w:pPr>
    </w:p>
    <w:p w14:paraId="5E2D2D62" w14:textId="77777777" w:rsidR="009214AE" w:rsidRDefault="00C66335">
      <w:pPr>
        <w:pStyle w:val="zhangjiep"/>
        <w:ind w:firstLine="422"/>
      </w:pPr>
      <w:bookmarkStart w:id="207" w:name="_Toc124758505"/>
      <w:r>
        <w:rPr>
          <w:rFonts w:hAnsi="等线" w:hint="eastAsia"/>
          <w:b/>
          <w:color w:val="000000"/>
        </w:rPr>
        <w:t>3、报告期末按公允价值占基金资产净值比例大小排序的前十名股票投资明细</w:t>
      </w:r>
      <w:bookmarkEnd w:id="207"/>
    </w:p>
    <w:tbl>
      <w:tblPr>
        <w:tblW w:w="0" w:type="auto"/>
        <w:tblInd w:w="108" w:type="dxa"/>
        <w:tblLook w:val="04A0" w:firstRow="1" w:lastRow="0" w:firstColumn="1" w:lastColumn="0" w:noHBand="0" w:noVBand="1"/>
      </w:tblPr>
      <w:tblGrid>
        <w:gridCol w:w="471"/>
        <w:gridCol w:w="1355"/>
        <w:gridCol w:w="1613"/>
        <w:gridCol w:w="1647"/>
        <w:gridCol w:w="1647"/>
        <w:gridCol w:w="1681"/>
      </w:tblGrid>
      <w:tr w:rsidR="009214AE" w14:paraId="697BD64C"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0632F554" w14:textId="77777777" w:rsidR="009214AE" w:rsidRDefault="00C66335">
            <w:pPr>
              <w:pStyle w:val="biaogecenter"/>
              <w:wordWrap w:val="0"/>
            </w:pPr>
            <w:r>
              <w:rPr>
                <w:rFonts w:hAnsi="等线" w:hint="eastAsia"/>
                <w:color w:val="000000"/>
              </w:rPr>
              <w:lastRenderedPageBreak/>
              <w:t>序号</w:t>
            </w:r>
          </w:p>
        </w:tc>
        <w:tc>
          <w:tcPr>
            <w:tcW w:w="1355" w:type="dxa"/>
            <w:tcBorders>
              <w:top w:val="single" w:sz="8" w:space="0" w:color="000000"/>
              <w:left w:val="single" w:sz="8" w:space="0" w:color="000000"/>
              <w:bottom w:val="single" w:sz="6" w:space="0" w:color="000000"/>
              <w:right w:val="single" w:sz="8" w:space="0" w:color="000000"/>
            </w:tcBorders>
            <w:vAlign w:val="center"/>
          </w:tcPr>
          <w:p w14:paraId="6BFA3A21" w14:textId="77777777" w:rsidR="009214AE" w:rsidRDefault="00C66335">
            <w:pPr>
              <w:pStyle w:val="biaogecenter"/>
              <w:wordWrap w:val="0"/>
            </w:pPr>
            <w:r>
              <w:rPr>
                <w:rFonts w:hAnsi="等线" w:hint="eastAsia"/>
                <w:color w:val="000000"/>
              </w:rPr>
              <w:t>股票代码</w:t>
            </w:r>
          </w:p>
        </w:tc>
        <w:tc>
          <w:tcPr>
            <w:tcW w:w="1613" w:type="dxa"/>
            <w:tcBorders>
              <w:top w:val="single" w:sz="8" w:space="0" w:color="000000"/>
              <w:left w:val="single" w:sz="8" w:space="0" w:color="000000"/>
              <w:bottom w:val="single" w:sz="6" w:space="0" w:color="000000"/>
              <w:right w:val="single" w:sz="8" w:space="0" w:color="000000"/>
            </w:tcBorders>
            <w:vAlign w:val="center"/>
          </w:tcPr>
          <w:p w14:paraId="7995010A" w14:textId="77777777" w:rsidR="009214AE" w:rsidRDefault="00C66335">
            <w:pPr>
              <w:pStyle w:val="biaogecenter"/>
              <w:wordWrap w:val="0"/>
            </w:pPr>
            <w:r>
              <w:rPr>
                <w:rFonts w:hAnsi="等线" w:hint="eastAsia"/>
                <w:color w:val="000000"/>
              </w:rPr>
              <w:t>股票名称</w:t>
            </w:r>
          </w:p>
        </w:tc>
        <w:tc>
          <w:tcPr>
            <w:tcW w:w="1647" w:type="dxa"/>
            <w:tcBorders>
              <w:top w:val="single" w:sz="8" w:space="0" w:color="000000"/>
              <w:left w:val="single" w:sz="8" w:space="0" w:color="000000"/>
              <w:bottom w:val="single" w:sz="6" w:space="0" w:color="000000"/>
              <w:right w:val="single" w:sz="8" w:space="0" w:color="000000"/>
            </w:tcBorders>
            <w:vAlign w:val="center"/>
          </w:tcPr>
          <w:p w14:paraId="6455E2FA" w14:textId="77777777" w:rsidR="009214AE" w:rsidRDefault="00C66335">
            <w:pPr>
              <w:pStyle w:val="biaogecenter"/>
              <w:wordWrap w:val="0"/>
            </w:pPr>
            <w:r>
              <w:rPr>
                <w:rFonts w:hAnsi="等线" w:hint="eastAsia"/>
                <w:color w:val="000000"/>
              </w:rPr>
              <w:t>数量(股)</w:t>
            </w:r>
          </w:p>
        </w:tc>
        <w:tc>
          <w:tcPr>
            <w:tcW w:w="1647" w:type="dxa"/>
            <w:tcBorders>
              <w:top w:val="single" w:sz="8" w:space="0" w:color="000000"/>
              <w:left w:val="single" w:sz="8" w:space="0" w:color="000000"/>
              <w:bottom w:val="single" w:sz="6" w:space="0" w:color="000000"/>
              <w:right w:val="single" w:sz="8" w:space="0" w:color="000000"/>
            </w:tcBorders>
            <w:vAlign w:val="center"/>
          </w:tcPr>
          <w:p w14:paraId="4DF184E2" w14:textId="77777777" w:rsidR="009214AE" w:rsidRDefault="00C66335">
            <w:pPr>
              <w:pStyle w:val="biaogecenter"/>
              <w:wordWrap w:val="0"/>
            </w:pPr>
            <w:r>
              <w:rPr>
                <w:rFonts w:hAnsi="等线" w:hint="eastAsia"/>
                <w:color w:val="000000"/>
              </w:rPr>
              <w:t>公允价值(元)</w:t>
            </w:r>
          </w:p>
        </w:tc>
        <w:tc>
          <w:tcPr>
            <w:tcW w:w="1681" w:type="dxa"/>
            <w:tcBorders>
              <w:top w:val="single" w:sz="8" w:space="0" w:color="000000"/>
              <w:left w:val="single" w:sz="8" w:space="0" w:color="000000"/>
              <w:bottom w:val="single" w:sz="6" w:space="0" w:color="000000"/>
              <w:right w:val="single" w:sz="8" w:space="0" w:color="000000"/>
            </w:tcBorders>
            <w:vAlign w:val="center"/>
          </w:tcPr>
          <w:p w14:paraId="4583B9CD" w14:textId="77777777" w:rsidR="009214AE" w:rsidRDefault="00C66335">
            <w:pPr>
              <w:pStyle w:val="biaogecenter"/>
              <w:wordWrap w:val="0"/>
            </w:pPr>
            <w:r>
              <w:rPr>
                <w:rFonts w:hAnsi="等线" w:hint="eastAsia"/>
                <w:color w:val="000000"/>
              </w:rPr>
              <w:t>占基金资产净值比例（％）</w:t>
            </w:r>
          </w:p>
        </w:tc>
      </w:tr>
      <w:tr w:rsidR="009214AE" w14:paraId="4FD84F97"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4ED8FFDE" w14:textId="77777777" w:rsidR="009214AE" w:rsidRDefault="00C66335">
            <w:pPr>
              <w:pStyle w:val="biaogecenter"/>
              <w:wordWrap w:val="0"/>
            </w:pPr>
            <w:r>
              <w:rPr>
                <w:rFonts w:hAnsi="等线" w:hint="eastAsia"/>
                <w:color w:val="000000"/>
              </w:rPr>
              <w:t>1</w:t>
            </w:r>
          </w:p>
        </w:tc>
        <w:tc>
          <w:tcPr>
            <w:tcW w:w="1355" w:type="dxa"/>
            <w:tcBorders>
              <w:top w:val="single" w:sz="8" w:space="0" w:color="000000"/>
              <w:left w:val="single" w:sz="8" w:space="0" w:color="000000"/>
              <w:bottom w:val="single" w:sz="6" w:space="0" w:color="000000"/>
              <w:right w:val="single" w:sz="8" w:space="0" w:color="000000"/>
            </w:tcBorders>
            <w:vAlign w:val="center"/>
          </w:tcPr>
          <w:p w14:paraId="75DCD4D1" w14:textId="77777777" w:rsidR="009214AE" w:rsidRDefault="00C66335">
            <w:pPr>
              <w:pStyle w:val="biaogeleft"/>
              <w:wordWrap w:val="0"/>
            </w:pPr>
            <w:r>
              <w:rPr>
                <w:rFonts w:hAnsi="等线"/>
                <w:color w:val="000000"/>
              </w:rPr>
              <w:t>688278</w:t>
            </w:r>
          </w:p>
        </w:tc>
        <w:tc>
          <w:tcPr>
            <w:tcW w:w="1613" w:type="dxa"/>
            <w:tcBorders>
              <w:top w:val="single" w:sz="8" w:space="0" w:color="000000"/>
              <w:left w:val="single" w:sz="8" w:space="0" w:color="000000"/>
              <w:bottom w:val="single" w:sz="6" w:space="0" w:color="000000"/>
              <w:right w:val="single" w:sz="8" w:space="0" w:color="000000"/>
            </w:tcBorders>
            <w:vAlign w:val="center"/>
          </w:tcPr>
          <w:p w14:paraId="33DD48B8" w14:textId="77777777" w:rsidR="009214AE" w:rsidRDefault="00C66335">
            <w:pPr>
              <w:pStyle w:val="biaogeleft"/>
              <w:wordWrap w:val="0"/>
            </w:pPr>
            <w:proofErr w:type="gramStart"/>
            <w:r>
              <w:rPr>
                <w:rFonts w:hAnsi="等线"/>
                <w:color w:val="000000"/>
              </w:rPr>
              <w:t>特宝生物</w:t>
            </w:r>
            <w:proofErr w:type="gramEnd"/>
          </w:p>
        </w:tc>
        <w:tc>
          <w:tcPr>
            <w:tcW w:w="1647" w:type="dxa"/>
            <w:tcBorders>
              <w:top w:val="single" w:sz="8" w:space="0" w:color="000000"/>
              <w:left w:val="single" w:sz="8" w:space="0" w:color="000000"/>
              <w:bottom w:val="single" w:sz="6" w:space="0" w:color="000000"/>
              <w:right w:val="single" w:sz="8" w:space="0" w:color="000000"/>
            </w:tcBorders>
            <w:vAlign w:val="center"/>
          </w:tcPr>
          <w:p w14:paraId="4B3B78CF" w14:textId="77777777" w:rsidR="009214AE" w:rsidRDefault="00C66335">
            <w:pPr>
              <w:pStyle w:val="biaogeright"/>
              <w:wordWrap w:val="0"/>
            </w:pPr>
            <w:r>
              <w:rPr>
                <w:rFonts w:hAnsi="等线"/>
                <w:color w:val="000000"/>
              </w:rPr>
              <w:t>3,000</w:t>
            </w:r>
          </w:p>
        </w:tc>
        <w:tc>
          <w:tcPr>
            <w:tcW w:w="1647" w:type="dxa"/>
            <w:tcBorders>
              <w:top w:val="single" w:sz="8" w:space="0" w:color="000000"/>
              <w:left w:val="single" w:sz="8" w:space="0" w:color="000000"/>
              <w:bottom w:val="single" w:sz="6" w:space="0" w:color="000000"/>
              <w:right w:val="single" w:sz="8" w:space="0" w:color="000000"/>
            </w:tcBorders>
            <w:vAlign w:val="center"/>
          </w:tcPr>
          <w:p w14:paraId="43967F5B" w14:textId="77777777" w:rsidR="009214AE" w:rsidRDefault="00C66335">
            <w:pPr>
              <w:pStyle w:val="biaogeright"/>
              <w:wordWrap w:val="0"/>
            </w:pPr>
            <w:r>
              <w:rPr>
                <w:rFonts w:hAnsi="等线"/>
                <w:color w:val="000000"/>
              </w:rPr>
              <w:t>157,050.00</w:t>
            </w:r>
          </w:p>
        </w:tc>
        <w:tc>
          <w:tcPr>
            <w:tcW w:w="1681" w:type="dxa"/>
            <w:tcBorders>
              <w:top w:val="single" w:sz="8" w:space="0" w:color="000000"/>
              <w:left w:val="single" w:sz="8" w:space="0" w:color="000000"/>
              <w:bottom w:val="single" w:sz="6" w:space="0" w:color="000000"/>
              <w:right w:val="single" w:sz="8" w:space="0" w:color="000000"/>
            </w:tcBorders>
            <w:vAlign w:val="center"/>
          </w:tcPr>
          <w:p w14:paraId="7FA09DF2" w14:textId="77777777" w:rsidR="009214AE" w:rsidRDefault="00C66335">
            <w:pPr>
              <w:pStyle w:val="biaogeright"/>
              <w:wordWrap w:val="0"/>
            </w:pPr>
            <w:r>
              <w:rPr>
                <w:rFonts w:hAnsi="等线"/>
                <w:color w:val="000000"/>
              </w:rPr>
              <w:t>1.93</w:t>
            </w:r>
          </w:p>
        </w:tc>
      </w:tr>
      <w:tr w:rsidR="009214AE" w14:paraId="30800D7B"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3872254E" w14:textId="77777777" w:rsidR="009214AE" w:rsidRDefault="00C66335">
            <w:pPr>
              <w:pStyle w:val="biaogecenter"/>
              <w:wordWrap w:val="0"/>
            </w:pPr>
            <w:r>
              <w:rPr>
                <w:rFonts w:hAnsi="等线" w:hint="eastAsia"/>
                <w:color w:val="000000"/>
              </w:rPr>
              <w:t>2</w:t>
            </w:r>
          </w:p>
        </w:tc>
        <w:tc>
          <w:tcPr>
            <w:tcW w:w="1355" w:type="dxa"/>
            <w:tcBorders>
              <w:top w:val="single" w:sz="8" w:space="0" w:color="000000"/>
              <w:left w:val="single" w:sz="8" w:space="0" w:color="000000"/>
              <w:bottom w:val="single" w:sz="6" w:space="0" w:color="000000"/>
              <w:right w:val="single" w:sz="8" w:space="0" w:color="000000"/>
            </w:tcBorders>
            <w:vAlign w:val="center"/>
          </w:tcPr>
          <w:p w14:paraId="0E0DE5D3" w14:textId="77777777" w:rsidR="009214AE" w:rsidRDefault="00C66335">
            <w:pPr>
              <w:pStyle w:val="biaogeleft"/>
              <w:wordWrap w:val="0"/>
            </w:pPr>
            <w:r>
              <w:rPr>
                <w:rFonts w:hAnsi="等线"/>
                <w:color w:val="000000"/>
              </w:rPr>
              <w:t>688617</w:t>
            </w:r>
          </w:p>
        </w:tc>
        <w:tc>
          <w:tcPr>
            <w:tcW w:w="1613" w:type="dxa"/>
            <w:tcBorders>
              <w:top w:val="single" w:sz="8" w:space="0" w:color="000000"/>
              <w:left w:val="single" w:sz="8" w:space="0" w:color="000000"/>
              <w:bottom w:val="single" w:sz="6" w:space="0" w:color="000000"/>
              <w:right w:val="single" w:sz="8" w:space="0" w:color="000000"/>
            </w:tcBorders>
            <w:vAlign w:val="center"/>
          </w:tcPr>
          <w:p w14:paraId="463683E1" w14:textId="77777777" w:rsidR="009214AE" w:rsidRDefault="00C66335">
            <w:pPr>
              <w:pStyle w:val="biaogeleft"/>
              <w:wordWrap w:val="0"/>
            </w:pPr>
            <w:r>
              <w:rPr>
                <w:rFonts w:hAnsi="等线"/>
                <w:color w:val="000000"/>
              </w:rPr>
              <w:t>惠泰医疗</w:t>
            </w:r>
          </w:p>
        </w:tc>
        <w:tc>
          <w:tcPr>
            <w:tcW w:w="1647" w:type="dxa"/>
            <w:tcBorders>
              <w:top w:val="single" w:sz="8" w:space="0" w:color="000000"/>
              <w:left w:val="single" w:sz="8" w:space="0" w:color="000000"/>
              <w:bottom w:val="single" w:sz="6" w:space="0" w:color="000000"/>
              <w:right w:val="single" w:sz="8" w:space="0" w:color="000000"/>
            </w:tcBorders>
            <w:vAlign w:val="center"/>
          </w:tcPr>
          <w:p w14:paraId="346E195E" w14:textId="77777777" w:rsidR="009214AE" w:rsidRDefault="00C66335">
            <w:pPr>
              <w:pStyle w:val="biaogeright"/>
              <w:wordWrap w:val="0"/>
            </w:pPr>
            <w:r>
              <w:rPr>
                <w:rFonts w:hAnsi="等线"/>
                <w:color w:val="000000"/>
              </w:rPr>
              <w:t>400</w:t>
            </w:r>
          </w:p>
        </w:tc>
        <w:tc>
          <w:tcPr>
            <w:tcW w:w="1647" w:type="dxa"/>
            <w:tcBorders>
              <w:top w:val="single" w:sz="8" w:space="0" w:color="000000"/>
              <w:left w:val="single" w:sz="8" w:space="0" w:color="000000"/>
              <w:bottom w:val="single" w:sz="6" w:space="0" w:color="000000"/>
              <w:right w:val="single" w:sz="8" w:space="0" w:color="000000"/>
            </w:tcBorders>
            <w:vAlign w:val="center"/>
          </w:tcPr>
          <w:p w14:paraId="7ED001B0" w14:textId="77777777" w:rsidR="009214AE" w:rsidRDefault="00C66335">
            <w:pPr>
              <w:pStyle w:val="biaogeright"/>
              <w:wordWrap w:val="0"/>
            </w:pPr>
            <w:r>
              <w:rPr>
                <w:rFonts w:hAnsi="等线"/>
                <w:color w:val="000000"/>
              </w:rPr>
              <w:t>155,400.00</w:t>
            </w:r>
          </w:p>
        </w:tc>
        <w:tc>
          <w:tcPr>
            <w:tcW w:w="1681" w:type="dxa"/>
            <w:tcBorders>
              <w:top w:val="single" w:sz="8" w:space="0" w:color="000000"/>
              <w:left w:val="single" w:sz="8" w:space="0" w:color="000000"/>
              <w:bottom w:val="single" w:sz="6" w:space="0" w:color="000000"/>
              <w:right w:val="single" w:sz="8" w:space="0" w:color="000000"/>
            </w:tcBorders>
            <w:vAlign w:val="center"/>
          </w:tcPr>
          <w:p w14:paraId="0CDDB547" w14:textId="77777777" w:rsidR="009214AE" w:rsidRDefault="00C66335">
            <w:pPr>
              <w:pStyle w:val="biaogeright"/>
              <w:wordWrap w:val="0"/>
            </w:pPr>
            <w:r>
              <w:rPr>
                <w:rFonts w:hAnsi="等线"/>
                <w:color w:val="000000"/>
              </w:rPr>
              <w:t>1.91</w:t>
            </w:r>
          </w:p>
        </w:tc>
      </w:tr>
      <w:tr w:rsidR="009214AE" w14:paraId="529E3123"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3B91F35D" w14:textId="77777777" w:rsidR="009214AE" w:rsidRDefault="00C66335">
            <w:pPr>
              <w:pStyle w:val="biaogecenter"/>
              <w:wordWrap w:val="0"/>
            </w:pPr>
            <w:r>
              <w:rPr>
                <w:rFonts w:hAnsi="等线" w:hint="eastAsia"/>
                <w:color w:val="000000"/>
              </w:rPr>
              <w:t>3</w:t>
            </w:r>
          </w:p>
        </w:tc>
        <w:tc>
          <w:tcPr>
            <w:tcW w:w="1355" w:type="dxa"/>
            <w:tcBorders>
              <w:top w:val="single" w:sz="8" w:space="0" w:color="000000"/>
              <w:left w:val="single" w:sz="8" w:space="0" w:color="000000"/>
              <w:bottom w:val="single" w:sz="6" w:space="0" w:color="000000"/>
              <w:right w:val="single" w:sz="8" w:space="0" w:color="000000"/>
            </w:tcBorders>
            <w:vAlign w:val="center"/>
          </w:tcPr>
          <w:p w14:paraId="6931FBCB" w14:textId="77777777" w:rsidR="009214AE" w:rsidRDefault="00C66335">
            <w:pPr>
              <w:pStyle w:val="biaogeleft"/>
              <w:wordWrap w:val="0"/>
            </w:pPr>
            <w:r>
              <w:rPr>
                <w:rFonts w:hAnsi="等线"/>
                <w:color w:val="000000"/>
              </w:rPr>
              <w:t>300668</w:t>
            </w:r>
          </w:p>
        </w:tc>
        <w:tc>
          <w:tcPr>
            <w:tcW w:w="1613" w:type="dxa"/>
            <w:tcBorders>
              <w:top w:val="single" w:sz="8" w:space="0" w:color="000000"/>
              <w:left w:val="single" w:sz="8" w:space="0" w:color="000000"/>
              <w:bottom w:val="single" w:sz="6" w:space="0" w:color="000000"/>
              <w:right w:val="single" w:sz="8" w:space="0" w:color="000000"/>
            </w:tcBorders>
            <w:vAlign w:val="center"/>
          </w:tcPr>
          <w:p w14:paraId="3D957FC0" w14:textId="77777777" w:rsidR="009214AE" w:rsidRDefault="00C66335">
            <w:pPr>
              <w:pStyle w:val="biaogeleft"/>
              <w:wordWrap w:val="0"/>
            </w:pPr>
            <w:r>
              <w:rPr>
                <w:rFonts w:hAnsi="等线"/>
                <w:color w:val="000000"/>
              </w:rPr>
              <w:t>杰恩设计</w:t>
            </w:r>
          </w:p>
        </w:tc>
        <w:tc>
          <w:tcPr>
            <w:tcW w:w="1647" w:type="dxa"/>
            <w:tcBorders>
              <w:top w:val="single" w:sz="8" w:space="0" w:color="000000"/>
              <w:left w:val="single" w:sz="8" w:space="0" w:color="000000"/>
              <w:bottom w:val="single" w:sz="6" w:space="0" w:color="000000"/>
              <w:right w:val="single" w:sz="8" w:space="0" w:color="000000"/>
            </w:tcBorders>
            <w:vAlign w:val="center"/>
          </w:tcPr>
          <w:p w14:paraId="2B52BCE5" w14:textId="77777777" w:rsidR="009214AE" w:rsidRDefault="00C66335">
            <w:pPr>
              <w:pStyle w:val="biaogeright"/>
              <w:wordWrap w:val="0"/>
            </w:pPr>
            <w:r>
              <w:rPr>
                <w:rFonts w:hAnsi="等线"/>
                <w:color w:val="000000"/>
              </w:rPr>
              <w:t>6,000</w:t>
            </w:r>
          </w:p>
        </w:tc>
        <w:tc>
          <w:tcPr>
            <w:tcW w:w="1647" w:type="dxa"/>
            <w:tcBorders>
              <w:top w:val="single" w:sz="8" w:space="0" w:color="000000"/>
              <w:left w:val="single" w:sz="8" w:space="0" w:color="000000"/>
              <w:bottom w:val="single" w:sz="6" w:space="0" w:color="000000"/>
              <w:right w:val="single" w:sz="8" w:space="0" w:color="000000"/>
            </w:tcBorders>
            <w:vAlign w:val="center"/>
          </w:tcPr>
          <w:p w14:paraId="2025765C" w14:textId="77777777" w:rsidR="009214AE" w:rsidRDefault="00C66335">
            <w:pPr>
              <w:pStyle w:val="biaogeright"/>
              <w:wordWrap w:val="0"/>
            </w:pPr>
            <w:r>
              <w:rPr>
                <w:rFonts w:hAnsi="等线"/>
                <w:color w:val="000000"/>
              </w:rPr>
              <w:t>147,600.00</w:t>
            </w:r>
          </w:p>
        </w:tc>
        <w:tc>
          <w:tcPr>
            <w:tcW w:w="1681" w:type="dxa"/>
            <w:tcBorders>
              <w:top w:val="single" w:sz="8" w:space="0" w:color="000000"/>
              <w:left w:val="single" w:sz="8" w:space="0" w:color="000000"/>
              <w:bottom w:val="single" w:sz="6" w:space="0" w:color="000000"/>
              <w:right w:val="single" w:sz="8" w:space="0" w:color="000000"/>
            </w:tcBorders>
            <w:vAlign w:val="center"/>
          </w:tcPr>
          <w:p w14:paraId="583A60BE" w14:textId="77777777" w:rsidR="009214AE" w:rsidRDefault="00C66335">
            <w:pPr>
              <w:pStyle w:val="biaogeright"/>
              <w:wordWrap w:val="0"/>
            </w:pPr>
            <w:r>
              <w:rPr>
                <w:rFonts w:hAnsi="等线"/>
                <w:color w:val="000000"/>
              </w:rPr>
              <w:t>1.81</w:t>
            </w:r>
          </w:p>
        </w:tc>
      </w:tr>
      <w:tr w:rsidR="009214AE" w14:paraId="07B4034F"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19CFFCEF" w14:textId="77777777" w:rsidR="009214AE" w:rsidRDefault="00C66335">
            <w:pPr>
              <w:pStyle w:val="biaogecenter"/>
              <w:wordWrap w:val="0"/>
            </w:pPr>
            <w:r>
              <w:rPr>
                <w:rFonts w:hAnsi="等线" w:hint="eastAsia"/>
                <w:color w:val="000000"/>
              </w:rPr>
              <w:t>4</w:t>
            </w:r>
          </w:p>
        </w:tc>
        <w:tc>
          <w:tcPr>
            <w:tcW w:w="1355" w:type="dxa"/>
            <w:tcBorders>
              <w:top w:val="single" w:sz="8" w:space="0" w:color="000000"/>
              <w:left w:val="single" w:sz="8" w:space="0" w:color="000000"/>
              <w:bottom w:val="single" w:sz="6" w:space="0" w:color="000000"/>
              <w:right w:val="single" w:sz="8" w:space="0" w:color="000000"/>
            </w:tcBorders>
            <w:vAlign w:val="center"/>
          </w:tcPr>
          <w:p w14:paraId="5B2721E8" w14:textId="77777777" w:rsidR="009214AE" w:rsidRDefault="00C66335">
            <w:pPr>
              <w:pStyle w:val="biaogeleft"/>
              <w:wordWrap w:val="0"/>
            </w:pPr>
            <w:r>
              <w:rPr>
                <w:rFonts w:hAnsi="等线"/>
                <w:color w:val="000000"/>
              </w:rPr>
              <w:t>688676</w:t>
            </w:r>
          </w:p>
        </w:tc>
        <w:tc>
          <w:tcPr>
            <w:tcW w:w="1613" w:type="dxa"/>
            <w:tcBorders>
              <w:top w:val="single" w:sz="8" w:space="0" w:color="000000"/>
              <w:left w:val="single" w:sz="8" w:space="0" w:color="000000"/>
              <w:bottom w:val="single" w:sz="6" w:space="0" w:color="000000"/>
              <w:right w:val="single" w:sz="8" w:space="0" w:color="000000"/>
            </w:tcBorders>
            <w:vAlign w:val="center"/>
          </w:tcPr>
          <w:p w14:paraId="074CAD42" w14:textId="77777777" w:rsidR="009214AE" w:rsidRDefault="00C66335">
            <w:pPr>
              <w:pStyle w:val="biaogeleft"/>
              <w:wordWrap w:val="0"/>
            </w:pPr>
            <w:r>
              <w:rPr>
                <w:rFonts w:hAnsi="等线"/>
                <w:color w:val="000000"/>
              </w:rPr>
              <w:t>金盘科技</w:t>
            </w:r>
          </w:p>
        </w:tc>
        <w:tc>
          <w:tcPr>
            <w:tcW w:w="1647" w:type="dxa"/>
            <w:tcBorders>
              <w:top w:val="single" w:sz="8" w:space="0" w:color="000000"/>
              <w:left w:val="single" w:sz="8" w:space="0" w:color="000000"/>
              <w:bottom w:val="single" w:sz="6" w:space="0" w:color="000000"/>
              <w:right w:val="single" w:sz="8" w:space="0" w:color="000000"/>
            </w:tcBorders>
            <w:vAlign w:val="center"/>
          </w:tcPr>
          <w:p w14:paraId="239F66A4" w14:textId="77777777" w:rsidR="009214AE" w:rsidRDefault="00C66335">
            <w:pPr>
              <w:pStyle w:val="biaogeright"/>
              <w:wordWrap w:val="0"/>
            </w:pPr>
            <w:r>
              <w:rPr>
                <w:rFonts w:hAnsi="等线"/>
                <w:color w:val="000000"/>
              </w:rPr>
              <w:t>4,100</w:t>
            </w:r>
          </w:p>
        </w:tc>
        <w:tc>
          <w:tcPr>
            <w:tcW w:w="1647" w:type="dxa"/>
            <w:tcBorders>
              <w:top w:val="single" w:sz="8" w:space="0" w:color="000000"/>
              <w:left w:val="single" w:sz="8" w:space="0" w:color="000000"/>
              <w:bottom w:val="single" w:sz="6" w:space="0" w:color="000000"/>
              <w:right w:val="single" w:sz="8" w:space="0" w:color="000000"/>
            </w:tcBorders>
            <w:vAlign w:val="center"/>
          </w:tcPr>
          <w:p w14:paraId="353154C1" w14:textId="77777777" w:rsidR="009214AE" w:rsidRDefault="00C66335">
            <w:pPr>
              <w:pStyle w:val="biaogeright"/>
              <w:wordWrap w:val="0"/>
            </w:pPr>
            <w:r>
              <w:rPr>
                <w:rFonts w:hAnsi="等线"/>
                <w:color w:val="000000"/>
              </w:rPr>
              <w:t>146,903.00</w:t>
            </w:r>
          </w:p>
        </w:tc>
        <w:tc>
          <w:tcPr>
            <w:tcW w:w="1681" w:type="dxa"/>
            <w:tcBorders>
              <w:top w:val="single" w:sz="8" w:space="0" w:color="000000"/>
              <w:left w:val="single" w:sz="8" w:space="0" w:color="000000"/>
              <w:bottom w:val="single" w:sz="6" w:space="0" w:color="000000"/>
              <w:right w:val="single" w:sz="8" w:space="0" w:color="000000"/>
            </w:tcBorders>
            <w:vAlign w:val="center"/>
          </w:tcPr>
          <w:p w14:paraId="408D4C46" w14:textId="77777777" w:rsidR="009214AE" w:rsidRDefault="00C66335">
            <w:pPr>
              <w:pStyle w:val="biaogeright"/>
              <w:wordWrap w:val="0"/>
            </w:pPr>
            <w:r>
              <w:rPr>
                <w:rFonts w:hAnsi="等线"/>
                <w:color w:val="000000"/>
              </w:rPr>
              <w:t>1.80</w:t>
            </w:r>
          </w:p>
        </w:tc>
      </w:tr>
      <w:tr w:rsidR="009214AE" w14:paraId="725FFA9B"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1FEF9411" w14:textId="77777777" w:rsidR="009214AE" w:rsidRDefault="00C66335">
            <w:pPr>
              <w:pStyle w:val="biaogecenter"/>
              <w:wordWrap w:val="0"/>
            </w:pPr>
            <w:r>
              <w:rPr>
                <w:rFonts w:hAnsi="等线" w:hint="eastAsia"/>
                <w:color w:val="000000"/>
              </w:rPr>
              <w:t>5</w:t>
            </w:r>
          </w:p>
        </w:tc>
        <w:tc>
          <w:tcPr>
            <w:tcW w:w="1355" w:type="dxa"/>
            <w:tcBorders>
              <w:top w:val="single" w:sz="8" w:space="0" w:color="000000"/>
              <w:left w:val="single" w:sz="8" w:space="0" w:color="000000"/>
              <w:bottom w:val="single" w:sz="6" w:space="0" w:color="000000"/>
              <w:right w:val="single" w:sz="8" w:space="0" w:color="000000"/>
            </w:tcBorders>
            <w:vAlign w:val="center"/>
          </w:tcPr>
          <w:p w14:paraId="451003A7" w14:textId="77777777" w:rsidR="009214AE" w:rsidRDefault="00C66335">
            <w:pPr>
              <w:pStyle w:val="biaogeleft"/>
              <w:wordWrap w:val="0"/>
            </w:pPr>
            <w:r>
              <w:rPr>
                <w:rFonts w:hAnsi="等线"/>
                <w:color w:val="000000"/>
              </w:rPr>
              <w:t>002270</w:t>
            </w:r>
          </w:p>
        </w:tc>
        <w:tc>
          <w:tcPr>
            <w:tcW w:w="1613" w:type="dxa"/>
            <w:tcBorders>
              <w:top w:val="single" w:sz="8" w:space="0" w:color="000000"/>
              <w:left w:val="single" w:sz="8" w:space="0" w:color="000000"/>
              <w:bottom w:val="single" w:sz="6" w:space="0" w:color="000000"/>
              <w:right w:val="single" w:sz="8" w:space="0" w:color="000000"/>
            </w:tcBorders>
            <w:vAlign w:val="center"/>
          </w:tcPr>
          <w:p w14:paraId="1268EF58" w14:textId="77777777" w:rsidR="009214AE" w:rsidRDefault="00C66335">
            <w:pPr>
              <w:pStyle w:val="biaogeleft"/>
              <w:wordWrap w:val="0"/>
            </w:pPr>
            <w:r>
              <w:rPr>
                <w:rFonts w:hAnsi="等线"/>
                <w:color w:val="000000"/>
              </w:rPr>
              <w:t>华明装备</w:t>
            </w:r>
          </w:p>
        </w:tc>
        <w:tc>
          <w:tcPr>
            <w:tcW w:w="1647" w:type="dxa"/>
            <w:tcBorders>
              <w:top w:val="single" w:sz="8" w:space="0" w:color="000000"/>
              <w:left w:val="single" w:sz="8" w:space="0" w:color="000000"/>
              <w:bottom w:val="single" w:sz="6" w:space="0" w:color="000000"/>
              <w:right w:val="single" w:sz="8" w:space="0" w:color="000000"/>
            </w:tcBorders>
            <w:vAlign w:val="center"/>
          </w:tcPr>
          <w:p w14:paraId="5EB2B5FE" w14:textId="77777777" w:rsidR="009214AE" w:rsidRDefault="00C66335">
            <w:pPr>
              <w:pStyle w:val="biaogeright"/>
              <w:wordWrap w:val="0"/>
            </w:pPr>
            <w:r>
              <w:rPr>
                <w:rFonts w:hAnsi="等线"/>
                <w:color w:val="000000"/>
              </w:rPr>
              <w:t>10,400</w:t>
            </w:r>
          </w:p>
        </w:tc>
        <w:tc>
          <w:tcPr>
            <w:tcW w:w="1647" w:type="dxa"/>
            <w:tcBorders>
              <w:top w:val="single" w:sz="8" w:space="0" w:color="000000"/>
              <w:left w:val="single" w:sz="8" w:space="0" w:color="000000"/>
              <w:bottom w:val="single" w:sz="6" w:space="0" w:color="000000"/>
              <w:right w:val="single" w:sz="8" w:space="0" w:color="000000"/>
            </w:tcBorders>
            <w:vAlign w:val="center"/>
          </w:tcPr>
          <w:p w14:paraId="08FCC5DE" w14:textId="77777777" w:rsidR="009214AE" w:rsidRDefault="00C66335">
            <w:pPr>
              <w:pStyle w:val="biaogeright"/>
              <w:wordWrap w:val="0"/>
            </w:pPr>
            <w:r>
              <w:rPr>
                <w:rFonts w:hAnsi="等线"/>
                <w:color w:val="000000"/>
              </w:rPr>
              <w:t>146,848.00</w:t>
            </w:r>
          </w:p>
        </w:tc>
        <w:tc>
          <w:tcPr>
            <w:tcW w:w="1681" w:type="dxa"/>
            <w:tcBorders>
              <w:top w:val="single" w:sz="8" w:space="0" w:color="000000"/>
              <w:left w:val="single" w:sz="8" w:space="0" w:color="000000"/>
              <w:bottom w:val="single" w:sz="6" w:space="0" w:color="000000"/>
              <w:right w:val="single" w:sz="8" w:space="0" w:color="000000"/>
            </w:tcBorders>
            <w:vAlign w:val="center"/>
          </w:tcPr>
          <w:p w14:paraId="643F7B09" w14:textId="77777777" w:rsidR="009214AE" w:rsidRDefault="00C66335">
            <w:pPr>
              <w:pStyle w:val="biaogeright"/>
              <w:wordWrap w:val="0"/>
            </w:pPr>
            <w:r>
              <w:rPr>
                <w:rFonts w:hAnsi="等线"/>
                <w:color w:val="000000"/>
              </w:rPr>
              <w:t>1.80</w:t>
            </w:r>
          </w:p>
        </w:tc>
      </w:tr>
      <w:tr w:rsidR="009214AE" w14:paraId="06064249"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671E138D" w14:textId="77777777" w:rsidR="009214AE" w:rsidRDefault="00C66335">
            <w:pPr>
              <w:pStyle w:val="biaogecenter"/>
              <w:wordWrap w:val="0"/>
            </w:pPr>
            <w:r>
              <w:rPr>
                <w:rFonts w:hAnsi="等线" w:hint="eastAsia"/>
                <w:color w:val="000000"/>
              </w:rPr>
              <w:t>6</w:t>
            </w:r>
          </w:p>
        </w:tc>
        <w:tc>
          <w:tcPr>
            <w:tcW w:w="1355" w:type="dxa"/>
            <w:tcBorders>
              <w:top w:val="single" w:sz="8" w:space="0" w:color="000000"/>
              <w:left w:val="single" w:sz="8" w:space="0" w:color="000000"/>
              <w:bottom w:val="single" w:sz="6" w:space="0" w:color="000000"/>
              <w:right w:val="single" w:sz="8" w:space="0" w:color="000000"/>
            </w:tcBorders>
            <w:vAlign w:val="center"/>
          </w:tcPr>
          <w:p w14:paraId="07E1032F" w14:textId="77777777" w:rsidR="009214AE" w:rsidRDefault="00C66335">
            <w:pPr>
              <w:pStyle w:val="biaogeleft"/>
              <w:wordWrap w:val="0"/>
            </w:pPr>
            <w:r>
              <w:rPr>
                <w:rFonts w:hAnsi="等线"/>
                <w:color w:val="000000"/>
              </w:rPr>
              <w:t>603897</w:t>
            </w:r>
          </w:p>
        </w:tc>
        <w:tc>
          <w:tcPr>
            <w:tcW w:w="1613" w:type="dxa"/>
            <w:tcBorders>
              <w:top w:val="single" w:sz="8" w:space="0" w:color="000000"/>
              <w:left w:val="single" w:sz="8" w:space="0" w:color="000000"/>
              <w:bottom w:val="single" w:sz="6" w:space="0" w:color="000000"/>
              <w:right w:val="single" w:sz="8" w:space="0" w:color="000000"/>
            </w:tcBorders>
            <w:vAlign w:val="center"/>
          </w:tcPr>
          <w:p w14:paraId="5E43D852" w14:textId="77777777" w:rsidR="009214AE" w:rsidRDefault="00C66335">
            <w:pPr>
              <w:pStyle w:val="biaogeleft"/>
              <w:wordWrap w:val="0"/>
            </w:pPr>
            <w:r>
              <w:rPr>
                <w:rFonts w:hAnsi="等线"/>
                <w:color w:val="000000"/>
              </w:rPr>
              <w:t>长城科技</w:t>
            </w:r>
          </w:p>
        </w:tc>
        <w:tc>
          <w:tcPr>
            <w:tcW w:w="1647" w:type="dxa"/>
            <w:tcBorders>
              <w:top w:val="single" w:sz="8" w:space="0" w:color="000000"/>
              <w:left w:val="single" w:sz="8" w:space="0" w:color="000000"/>
              <w:bottom w:val="single" w:sz="6" w:space="0" w:color="000000"/>
              <w:right w:val="single" w:sz="8" w:space="0" w:color="000000"/>
            </w:tcBorders>
            <w:vAlign w:val="center"/>
          </w:tcPr>
          <w:p w14:paraId="6BCEAF1B" w14:textId="77777777" w:rsidR="009214AE" w:rsidRDefault="00C66335">
            <w:pPr>
              <w:pStyle w:val="biaogeright"/>
              <w:wordWrap w:val="0"/>
            </w:pPr>
            <w:r>
              <w:rPr>
                <w:rFonts w:hAnsi="等线"/>
                <w:color w:val="000000"/>
              </w:rPr>
              <w:t>7,100</w:t>
            </w:r>
          </w:p>
        </w:tc>
        <w:tc>
          <w:tcPr>
            <w:tcW w:w="1647" w:type="dxa"/>
            <w:tcBorders>
              <w:top w:val="single" w:sz="8" w:space="0" w:color="000000"/>
              <w:left w:val="single" w:sz="8" w:space="0" w:color="000000"/>
              <w:bottom w:val="single" w:sz="6" w:space="0" w:color="000000"/>
              <w:right w:val="single" w:sz="8" w:space="0" w:color="000000"/>
            </w:tcBorders>
            <w:vAlign w:val="center"/>
          </w:tcPr>
          <w:p w14:paraId="73209F88" w14:textId="77777777" w:rsidR="009214AE" w:rsidRDefault="00C66335">
            <w:pPr>
              <w:pStyle w:val="biaogeright"/>
              <w:wordWrap w:val="0"/>
            </w:pPr>
            <w:r>
              <w:rPr>
                <w:rFonts w:hAnsi="等线"/>
                <w:color w:val="000000"/>
              </w:rPr>
              <w:t>145,408.00</w:t>
            </w:r>
          </w:p>
        </w:tc>
        <w:tc>
          <w:tcPr>
            <w:tcW w:w="1681" w:type="dxa"/>
            <w:tcBorders>
              <w:top w:val="single" w:sz="8" w:space="0" w:color="000000"/>
              <w:left w:val="single" w:sz="8" w:space="0" w:color="000000"/>
              <w:bottom w:val="single" w:sz="6" w:space="0" w:color="000000"/>
              <w:right w:val="single" w:sz="8" w:space="0" w:color="000000"/>
            </w:tcBorders>
            <w:vAlign w:val="center"/>
          </w:tcPr>
          <w:p w14:paraId="45952702" w14:textId="77777777" w:rsidR="009214AE" w:rsidRDefault="00C66335">
            <w:pPr>
              <w:pStyle w:val="biaogeright"/>
              <w:wordWrap w:val="0"/>
            </w:pPr>
            <w:r>
              <w:rPr>
                <w:rFonts w:hAnsi="等线"/>
                <w:color w:val="000000"/>
              </w:rPr>
              <w:t>1.78</w:t>
            </w:r>
          </w:p>
        </w:tc>
      </w:tr>
      <w:tr w:rsidR="009214AE" w14:paraId="7CA2D0FC"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392993BB" w14:textId="77777777" w:rsidR="009214AE" w:rsidRDefault="00C66335">
            <w:pPr>
              <w:pStyle w:val="biaogecenter"/>
              <w:wordWrap w:val="0"/>
            </w:pPr>
            <w:r>
              <w:rPr>
                <w:rFonts w:hAnsi="等线" w:hint="eastAsia"/>
                <w:color w:val="000000"/>
              </w:rPr>
              <w:t>7</w:t>
            </w:r>
          </w:p>
        </w:tc>
        <w:tc>
          <w:tcPr>
            <w:tcW w:w="1355" w:type="dxa"/>
            <w:tcBorders>
              <w:top w:val="single" w:sz="8" w:space="0" w:color="000000"/>
              <w:left w:val="single" w:sz="8" w:space="0" w:color="000000"/>
              <w:bottom w:val="single" w:sz="6" w:space="0" w:color="000000"/>
              <w:right w:val="single" w:sz="8" w:space="0" w:color="000000"/>
            </w:tcBorders>
            <w:vAlign w:val="center"/>
          </w:tcPr>
          <w:p w14:paraId="0B154308" w14:textId="77777777" w:rsidR="009214AE" w:rsidRDefault="00C66335">
            <w:pPr>
              <w:pStyle w:val="biaogeleft"/>
              <w:wordWrap w:val="0"/>
            </w:pPr>
            <w:r>
              <w:rPr>
                <w:rFonts w:hAnsi="等线"/>
                <w:color w:val="000000"/>
              </w:rPr>
              <w:t>603236</w:t>
            </w:r>
          </w:p>
        </w:tc>
        <w:tc>
          <w:tcPr>
            <w:tcW w:w="1613" w:type="dxa"/>
            <w:tcBorders>
              <w:top w:val="single" w:sz="8" w:space="0" w:color="000000"/>
              <w:left w:val="single" w:sz="8" w:space="0" w:color="000000"/>
              <w:bottom w:val="single" w:sz="6" w:space="0" w:color="000000"/>
              <w:right w:val="single" w:sz="8" w:space="0" w:color="000000"/>
            </w:tcBorders>
            <w:vAlign w:val="center"/>
          </w:tcPr>
          <w:p w14:paraId="49B93211" w14:textId="77777777" w:rsidR="009214AE" w:rsidRDefault="00C66335">
            <w:pPr>
              <w:pStyle w:val="biaogeleft"/>
              <w:wordWrap w:val="0"/>
            </w:pPr>
            <w:r>
              <w:rPr>
                <w:rFonts w:hAnsi="等线"/>
                <w:color w:val="000000"/>
              </w:rPr>
              <w:t>移远通信</w:t>
            </w:r>
          </w:p>
        </w:tc>
        <w:tc>
          <w:tcPr>
            <w:tcW w:w="1647" w:type="dxa"/>
            <w:tcBorders>
              <w:top w:val="single" w:sz="8" w:space="0" w:color="000000"/>
              <w:left w:val="single" w:sz="8" w:space="0" w:color="000000"/>
              <w:bottom w:val="single" w:sz="6" w:space="0" w:color="000000"/>
              <w:right w:val="single" w:sz="8" w:space="0" w:color="000000"/>
            </w:tcBorders>
            <w:vAlign w:val="center"/>
          </w:tcPr>
          <w:p w14:paraId="60C29DCD" w14:textId="77777777" w:rsidR="009214AE" w:rsidRDefault="00C66335">
            <w:pPr>
              <w:pStyle w:val="biaogeright"/>
              <w:wordWrap w:val="0"/>
            </w:pPr>
            <w:r>
              <w:rPr>
                <w:rFonts w:hAnsi="等线"/>
                <w:color w:val="000000"/>
              </w:rPr>
              <w:t>2,700</w:t>
            </w:r>
          </w:p>
        </w:tc>
        <w:tc>
          <w:tcPr>
            <w:tcW w:w="1647" w:type="dxa"/>
            <w:tcBorders>
              <w:top w:val="single" w:sz="8" w:space="0" w:color="000000"/>
              <w:left w:val="single" w:sz="8" w:space="0" w:color="000000"/>
              <w:bottom w:val="single" w:sz="6" w:space="0" w:color="000000"/>
              <w:right w:val="single" w:sz="8" w:space="0" w:color="000000"/>
            </w:tcBorders>
            <w:vAlign w:val="center"/>
          </w:tcPr>
          <w:p w14:paraId="252CA355" w14:textId="77777777" w:rsidR="009214AE" w:rsidRDefault="00C66335">
            <w:pPr>
              <w:pStyle w:val="biaogeright"/>
              <w:wordWrap w:val="0"/>
            </w:pPr>
            <w:r>
              <w:rPr>
                <w:rFonts w:hAnsi="等线"/>
                <w:color w:val="000000"/>
              </w:rPr>
              <w:t>145,125.00</w:t>
            </w:r>
          </w:p>
        </w:tc>
        <w:tc>
          <w:tcPr>
            <w:tcW w:w="1681" w:type="dxa"/>
            <w:tcBorders>
              <w:top w:val="single" w:sz="8" w:space="0" w:color="000000"/>
              <w:left w:val="single" w:sz="8" w:space="0" w:color="000000"/>
              <w:bottom w:val="single" w:sz="6" w:space="0" w:color="000000"/>
              <w:right w:val="single" w:sz="8" w:space="0" w:color="000000"/>
            </w:tcBorders>
            <w:vAlign w:val="center"/>
          </w:tcPr>
          <w:p w14:paraId="3C82AFE6" w14:textId="77777777" w:rsidR="009214AE" w:rsidRDefault="00C66335">
            <w:pPr>
              <w:pStyle w:val="biaogeright"/>
              <w:wordWrap w:val="0"/>
            </w:pPr>
            <w:r>
              <w:rPr>
                <w:rFonts w:hAnsi="等线"/>
                <w:color w:val="000000"/>
              </w:rPr>
              <w:t>1.78</w:t>
            </w:r>
          </w:p>
        </w:tc>
      </w:tr>
      <w:tr w:rsidR="009214AE" w14:paraId="0ED26484"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0D3849DD" w14:textId="77777777" w:rsidR="009214AE" w:rsidRDefault="00C66335">
            <w:pPr>
              <w:pStyle w:val="biaogecenter"/>
              <w:wordWrap w:val="0"/>
            </w:pPr>
            <w:r>
              <w:rPr>
                <w:rFonts w:hAnsi="等线" w:hint="eastAsia"/>
                <w:color w:val="000000"/>
              </w:rPr>
              <w:t>8</w:t>
            </w:r>
          </w:p>
        </w:tc>
        <w:tc>
          <w:tcPr>
            <w:tcW w:w="1355" w:type="dxa"/>
            <w:tcBorders>
              <w:top w:val="single" w:sz="8" w:space="0" w:color="000000"/>
              <w:left w:val="single" w:sz="8" w:space="0" w:color="000000"/>
              <w:bottom w:val="single" w:sz="6" w:space="0" w:color="000000"/>
              <w:right w:val="single" w:sz="8" w:space="0" w:color="000000"/>
            </w:tcBorders>
            <w:vAlign w:val="center"/>
          </w:tcPr>
          <w:p w14:paraId="43764F91" w14:textId="77777777" w:rsidR="009214AE" w:rsidRDefault="00C66335">
            <w:pPr>
              <w:pStyle w:val="biaogeleft"/>
              <w:wordWrap w:val="0"/>
            </w:pPr>
            <w:r>
              <w:rPr>
                <w:rFonts w:hAnsi="等线"/>
                <w:color w:val="000000"/>
              </w:rPr>
              <w:t>300851</w:t>
            </w:r>
          </w:p>
        </w:tc>
        <w:tc>
          <w:tcPr>
            <w:tcW w:w="1613" w:type="dxa"/>
            <w:tcBorders>
              <w:top w:val="single" w:sz="8" w:space="0" w:color="000000"/>
              <w:left w:val="single" w:sz="8" w:space="0" w:color="000000"/>
              <w:bottom w:val="single" w:sz="6" w:space="0" w:color="000000"/>
              <w:right w:val="single" w:sz="8" w:space="0" w:color="000000"/>
            </w:tcBorders>
            <w:vAlign w:val="center"/>
          </w:tcPr>
          <w:p w14:paraId="2CD754EE" w14:textId="77777777" w:rsidR="009214AE" w:rsidRDefault="00C66335">
            <w:pPr>
              <w:pStyle w:val="biaogeleft"/>
              <w:wordWrap w:val="0"/>
            </w:pPr>
            <w:proofErr w:type="gramStart"/>
            <w:r>
              <w:rPr>
                <w:rFonts w:hAnsi="等线"/>
                <w:color w:val="000000"/>
              </w:rPr>
              <w:t>交大思诺</w:t>
            </w:r>
            <w:proofErr w:type="gramEnd"/>
          </w:p>
        </w:tc>
        <w:tc>
          <w:tcPr>
            <w:tcW w:w="1647" w:type="dxa"/>
            <w:tcBorders>
              <w:top w:val="single" w:sz="8" w:space="0" w:color="000000"/>
              <w:left w:val="single" w:sz="8" w:space="0" w:color="000000"/>
              <w:bottom w:val="single" w:sz="6" w:space="0" w:color="000000"/>
              <w:right w:val="single" w:sz="8" w:space="0" w:color="000000"/>
            </w:tcBorders>
            <w:vAlign w:val="center"/>
          </w:tcPr>
          <w:p w14:paraId="5BE1ED79" w14:textId="77777777" w:rsidR="009214AE" w:rsidRDefault="00C66335">
            <w:pPr>
              <w:pStyle w:val="biaogeright"/>
              <w:wordWrap w:val="0"/>
            </w:pPr>
            <w:r>
              <w:rPr>
                <w:rFonts w:hAnsi="等线"/>
                <w:color w:val="000000"/>
              </w:rPr>
              <w:t>4,600</w:t>
            </w:r>
          </w:p>
        </w:tc>
        <w:tc>
          <w:tcPr>
            <w:tcW w:w="1647" w:type="dxa"/>
            <w:tcBorders>
              <w:top w:val="single" w:sz="8" w:space="0" w:color="000000"/>
              <w:left w:val="single" w:sz="8" w:space="0" w:color="000000"/>
              <w:bottom w:val="single" w:sz="6" w:space="0" w:color="000000"/>
              <w:right w:val="single" w:sz="8" w:space="0" w:color="000000"/>
            </w:tcBorders>
            <w:vAlign w:val="center"/>
          </w:tcPr>
          <w:p w14:paraId="056031F2" w14:textId="77777777" w:rsidR="009214AE" w:rsidRDefault="00C66335">
            <w:pPr>
              <w:pStyle w:val="biaogeright"/>
              <w:wordWrap w:val="0"/>
            </w:pPr>
            <w:r>
              <w:rPr>
                <w:rFonts w:hAnsi="等线"/>
                <w:color w:val="000000"/>
              </w:rPr>
              <w:t>143,382.00</w:t>
            </w:r>
          </w:p>
        </w:tc>
        <w:tc>
          <w:tcPr>
            <w:tcW w:w="1681" w:type="dxa"/>
            <w:tcBorders>
              <w:top w:val="single" w:sz="8" w:space="0" w:color="000000"/>
              <w:left w:val="single" w:sz="8" w:space="0" w:color="000000"/>
              <w:bottom w:val="single" w:sz="6" w:space="0" w:color="000000"/>
              <w:right w:val="single" w:sz="8" w:space="0" w:color="000000"/>
            </w:tcBorders>
            <w:vAlign w:val="center"/>
          </w:tcPr>
          <w:p w14:paraId="5668D579" w14:textId="77777777" w:rsidR="009214AE" w:rsidRDefault="00C66335">
            <w:pPr>
              <w:pStyle w:val="biaogeright"/>
              <w:wordWrap w:val="0"/>
            </w:pPr>
            <w:r>
              <w:rPr>
                <w:rFonts w:hAnsi="等线"/>
                <w:color w:val="000000"/>
              </w:rPr>
              <w:t>1.76</w:t>
            </w:r>
          </w:p>
        </w:tc>
      </w:tr>
      <w:tr w:rsidR="009214AE" w14:paraId="41235138"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3866E276" w14:textId="77777777" w:rsidR="009214AE" w:rsidRDefault="00C66335">
            <w:pPr>
              <w:pStyle w:val="biaogecenter"/>
              <w:wordWrap w:val="0"/>
            </w:pPr>
            <w:r>
              <w:rPr>
                <w:rFonts w:hAnsi="等线" w:hint="eastAsia"/>
                <w:color w:val="000000"/>
              </w:rPr>
              <w:t>9</w:t>
            </w:r>
          </w:p>
        </w:tc>
        <w:tc>
          <w:tcPr>
            <w:tcW w:w="1355" w:type="dxa"/>
            <w:tcBorders>
              <w:top w:val="single" w:sz="8" w:space="0" w:color="000000"/>
              <w:left w:val="single" w:sz="8" w:space="0" w:color="000000"/>
              <w:bottom w:val="single" w:sz="6" w:space="0" w:color="000000"/>
              <w:right w:val="single" w:sz="8" w:space="0" w:color="000000"/>
            </w:tcBorders>
            <w:vAlign w:val="center"/>
          </w:tcPr>
          <w:p w14:paraId="5E0A9FC8" w14:textId="77777777" w:rsidR="009214AE" w:rsidRDefault="00C66335">
            <w:pPr>
              <w:pStyle w:val="biaogeleft"/>
              <w:wordWrap w:val="0"/>
            </w:pPr>
            <w:r>
              <w:rPr>
                <w:rFonts w:hAnsi="等线"/>
                <w:color w:val="000000"/>
              </w:rPr>
              <w:t>300791</w:t>
            </w:r>
          </w:p>
        </w:tc>
        <w:tc>
          <w:tcPr>
            <w:tcW w:w="1613" w:type="dxa"/>
            <w:tcBorders>
              <w:top w:val="single" w:sz="8" w:space="0" w:color="000000"/>
              <w:left w:val="single" w:sz="8" w:space="0" w:color="000000"/>
              <w:bottom w:val="single" w:sz="6" w:space="0" w:color="000000"/>
              <w:right w:val="single" w:sz="8" w:space="0" w:color="000000"/>
            </w:tcBorders>
            <w:vAlign w:val="center"/>
          </w:tcPr>
          <w:p w14:paraId="58A0B078" w14:textId="77777777" w:rsidR="009214AE" w:rsidRDefault="00C66335">
            <w:pPr>
              <w:pStyle w:val="biaogeleft"/>
              <w:wordWrap w:val="0"/>
            </w:pPr>
            <w:r>
              <w:rPr>
                <w:rFonts w:hAnsi="等线"/>
                <w:color w:val="000000"/>
              </w:rPr>
              <w:t>仙乐健康</w:t>
            </w:r>
          </w:p>
        </w:tc>
        <w:tc>
          <w:tcPr>
            <w:tcW w:w="1647" w:type="dxa"/>
            <w:tcBorders>
              <w:top w:val="single" w:sz="8" w:space="0" w:color="000000"/>
              <w:left w:val="single" w:sz="8" w:space="0" w:color="000000"/>
              <w:bottom w:val="single" w:sz="6" w:space="0" w:color="000000"/>
              <w:right w:val="single" w:sz="8" w:space="0" w:color="000000"/>
            </w:tcBorders>
            <w:vAlign w:val="center"/>
          </w:tcPr>
          <w:p w14:paraId="279ECC41" w14:textId="77777777" w:rsidR="009214AE" w:rsidRDefault="00C66335">
            <w:pPr>
              <w:pStyle w:val="biaogeright"/>
              <w:wordWrap w:val="0"/>
            </w:pPr>
            <w:r>
              <w:rPr>
                <w:rFonts w:hAnsi="等线"/>
                <w:color w:val="000000"/>
              </w:rPr>
              <w:t>4,100</w:t>
            </w:r>
          </w:p>
        </w:tc>
        <w:tc>
          <w:tcPr>
            <w:tcW w:w="1647" w:type="dxa"/>
            <w:tcBorders>
              <w:top w:val="single" w:sz="8" w:space="0" w:color="000000"/>
              <w:left w:val="single" w:sz="8" w:space="0" w:color="000000"/>
              <w:bottom w:val="single" w:sz="6" w:space="0" w:color="000000"/>
              <w:right w:val="single" w:sz="8" w:space="0" w:color="000000"/>
            </w:tcBorders>
            <w:vAlign w:val="center"/>
          </w:tcPr>
          <w:p w14:paraId="120E993B" w14:textId="77777777" w:rsidR="009214AE" w:rsidRDefault="00C66335">
            <w:pPr>
              <w:pStyle w:val="biaogeright"/>
              <w:wordWrap w:val="0"/>
            </w:pPr>
            <w:r>
              <w:rPr>
                <w:rFonts w:hAnsi="等线"/>
                <w:color w:val="000000"/>
              </w:rPr>
              <w:t>142,106.00</w:t>
            </w:r>
          </w:p>
        </w:tc>
        <w:tc>
          <w:tcPr>
            <w:tcW w:w="1681" w:type="dxa"/>
            <w:tcBorders>
              <w:top w:val="single" w:sz="8" w:space="0" w:color="000000"/>
              <w:left w:val="single" w:sz="8" w:space="0" w:color="000000"/>
              <w:bottom w:val="single" w:sz="6" w:space="0" w:color="000000"/>
              <w:right w:val="single" w:sz="8" w:space="0" w:color="000000"/>
            </w:tcBorders>
            <w:vAlign w:val="center"/>
          </w:tcPr>
          <w:p w14:paraId="55192813" w14:textId="77777777" w:rsidR="009214AE" w:rsidRDefault="00C66335">
            <w:pPr>
              <w:pStyle w:val="biaogeright"/>
              <w:wordWrap w:val="0"/>
            </w:pPr>
            <w:r>
              <w:rPr>
                <w:rFonts w:hAnsi="等线"/>
                <w:color w:val="000000"/>
              </w:rPr>
              <w:t>1.74</w:t>
            </w:r>
          </w:p>
        </w:tc>
      </w:tr>
      <w:tr w:rsidR="009214AE" w14:paraId="48D7742C" w14:textId="77777777">
        <w:tc>
          <w:tcPr>
            <w:tcW w:w="471" w:type="dxa"/>
            <w:tcBorders>
              <w:top w:val="single" w:sz="8" w:space="0" w:color="000000"/>
              <w:left w:val="single" w:sz="8" w:space="0" w:color="000000"/>
              <w:bottom w:val="single" w:sz="6" w:space="0" w:color="000000"/>
              <w:right w:val="single" w:sz="8" w:space="0" w:color="000000"/>
            </w:tcBorders>
            <w:vAlign w:val="center"/>
          </w:tcPr>
          <w:p w14:paraId="02EFB5E7" w14:textId="77777777" w:rsidR="009214AE" w:rsidRDefault="00C66335">
            <w:pPr>
              <w:pStyle w:val="biaogecenter"/>
              <w:wordWrap w:val="0"/>
            </w:pPr>
            <w:r>
              <w:rPr>
                <w:rFonts w:hAnsi="等线" w:hint="eastAsia"/>
                <w:color w:val="000000"/>
              </w:rPr>
              <w:t>10</w:t>
            </w:r>
          </w:p>
        </w:tc>
        <w:tc>
          <w:tcPr>
            <w:tcW w:w="1355" w:type="dxa"/>
            <w:tcBorders>
              <w:top w:val="single" w:sz="8" w:space="0" w:color="000000"/>
              <w:left w:val="single" w:sz="8" w:space="0" w:color="000000"/>
              <w:bottom w:val="single" w:sz="6" w:space="0" w:color="000000"/>
              <w:right w:val="single" w:sz="8" w:space="0" w:color="000000"/>
            </w:tcBorders>
            <w:vAlign w:val="center"/>
          </w:tcPr>
          <w:p w14:paraId="41220941" w14:textId="77777777" w:rsidR="009214AE" w:rsidRDefault="00C66335">
            <w:pPr>
              <w:pStyle w:val="biaogeleft"/>
              <w:wordWrap w:val="0"/>
            </w:pPr>
            <w:r>
              <w:rPr>
                <w:rFonts w:hAnsi="等线"/>
                <w:color w:val="000000"/>
              </w:rPr>
              <w:t>300592</w:t>
            </w:r>
          </w:p>
        </w:tc>
        <w:tc>
          <w:tcPr>
            <w:tcW w:w="1613" w:type="dxa"/>
            <w:tcBorders>
              <w:top w:val="single" w:sz="8" w:space="0" w:color="000000"/>
              <w:left w:val="single" w:sz="8" w:space="0" w:color="000000"/>
              <w:bottom w:val="single" w:sz="6" w:space="0" w:color="000000"/>
              <w:right w:val="single" w:sz="8" w:space="0" w:color="000000"/>
            </w:tcBorders>
            <w:vAlign w:val="center"/>
          </w:tcPr>
          <w:p w14:paraId="51C9CE25" w14:textId="77777777" w:rsidR="009214AE" w:rsidRDefault="00C66335">
            <w:pPr>
              <w:pStyle w:val="biaogeleft"/>
              <w:wordWrap w:val="0"/>
            </w:pPr>
            <w:r>
              <w:rPr>
                <w:rFonts w:hAnsi="等线"/>
                <w:color w:val="000000"/>
              </w:rPr>
              <w:t>华凯易佰</w:t>
            </w:r>
          </w:p>
        </w:tc>
        <w:tc>
          <w:tcPr>
            <w:tcW w:w="1647" w:type="dxa"/>
            <w:tcBorders>
              <w:top w:val="single" w:sz="8" w:space="0" w:color="000000"/>
              <w:left w:val="single" w:sz="8" w:space="0" w:color="000000"/>
              <w:bottom w:val="single" w:sz="6" w:space="0" w:color="000000"/>
              <w:right w:val="single" w:sz="8" w:space="0" w:color="000000"/>
            </w:tcBorders>
            <w:vAlign w:val="center"/>
          </w:tcPr>
          <w:p w14:paraId="45F62F84" w14:textId="77777777" w:rsidR="009214AE" w:rsidRDefault="00C66335">
            <w:pPr>
              <w:pStyle w:val="biaogeright"/>
              <w:wordWrap w:val="0"/>
            </w:pPr>
            <w:r>
              <w:rPr>
                <w:rFonts w:hAnsi="等线"/>
                <w:color w:val="000000"/>
              </w:rPr>
              <w:t>5,600</w:t>
            </w:r>
          </w:p>
        </w:tc>
        <w:tc>
          <w:tcPr>
            <w:tcW w:w="1647" w:type="dxa"/>
            <w:tcBorders>
              <w:top w:val="single" w:sz="8" w:space="0" w:color="000000"/>
              <w:left w:val="single" w:sz="8" w:space="0" w:color="000000"/>
              <w:bottom w:val="single" w:sz="6" w:space="0" w:color="000000"/>
              <w:right w:val="single" w:sz="8" w:space="0" w:color="000000"/>
            </w:tcBorders>
            <w:vAlign w:val="center"/>
          </w:tcPr>
          <w:p w14:paraId="1089BF23" w14:textId="77777777" w:rsidR="009214AE" w:rsidRDefault="00C66335">
            <w:pPr>
              <w:pStyle w:val="biaogeright"/>
              <w:wordWrap w:val="0"/>
            </w:pPr>
            <w:r>
              <w:rPr>
                <w:rFonts w:hAnsi="等线"/>
                <w:color w:val="000000"/>
              </w:rPr>
              <w:t>138,712.00</w:t>
            </w:r>
          </w:p>
        </w:tc>
        <w:tc>
          <w:tcPr>
            <w:tcW w:w="1681" w:type="dxa"/>
            <w:tcBorders>
              <w:top w:val="single" w:sz="8" w:space="0" w:color="000000"/>
              <w:left w:val="single" w:sz="8" w:space="0" w:color="000000"/>
              <w:bottom w:val="single" w:sz="6" w:space="0" w:color="000000"/>
              <w:right w:val="single" w:sz="8" w:space="0" w:color="000000"/>
            </w:tcBorders>
            <w:vAlign w:val="center"/>
          </w:tcPr>
          <w:p w14:paraId="0F764F93" w14:textId="77777777" w:rsidR="009214AE" w:rsidRDefault="00C66335">
            <w:pPr>
              <w:pStyle w:val="biaogeright"/>
              <w:wordWrap w:val="0"/>
            </w:pPr>
            <w:r>
              <w:rPr>
                <w:rFonts w:hAnsi="等线"/>
                <w:color w:val="000000"/>
              </w:rPr>
              <w:t>1.70</w:t>
            </w:r>
          </w:p>
        </w:tc>
      </w:tr>
    </w:tbl>
    <w:p w14:paraId="0C90978D" w14:textId="77777777" w:rsidR="009214AE" w:rsidRDefault="009214AE">
      <w:pPr>
        <w:widowControl/>
        <w:jc w:val="left"/>
        <w:rPr>
          <w:rFonts w:ascii="宋体" w:eastAsia="宋体" w:hAnsi="宋体" w:cs="宋体"/>
          <w:kern w:val="0"/>
          <w:sz w:val="24"/>
          <w:szCs w:val="24"/>
        </w:rPr>
      </w:pPr>
    </w:p>
    <w:p w14:paraId="2212AE5A" w14:textId="77777777" w:rsidR="009214AE" w:rsidRDefault="00C66335">
      <w:pPr>
        <w:pStyle w:val="zhangjiep"/>
        <w:ind w:firstLine="422"/>
      </w:pPr>
      <w:bookmarkStart w:id="208" w:name="_Toc124758506"/>
      <w:r>
        <w:rPr>
          <w:rFonts w:hAnsi="等线" w:hint="eastAsia"/>
          <w:b/>
          <w:color w:val="000000"/>
        </w:rPr>
        <w:t>4、报告期末按债券品种分类的债券投资组合</w:t>
      </w:r>
      <w:bookmarkEnd w:id="208"/>
    </w:p>
    <w:p w14:paraId="41B77A07" w14:textId="77777777" w:rsidR="009214AE" w:rsidRDefault="00C66335">
      <w:pPr>
        <w:pStyle w:val="neirong"/>
        <w:ind w:firstLineChars="200" w:firstLine="480"/>
      </w:pPr>
      <w:r>
        <w:rPr>
          <w:rFonts w:hint="eastAsia"/>
        </w:rPr>
        <w:t>本基金本报告期末未持有债券。</w:t>
      </w:r>
    </w:p>
    <w:p w14:paraId="36D13563" w14:textId="77777777" w:rsidR="009214AE" w:rsidRDefault="009214AE">
      <w:pPr>
        <w:widowControl/>
        <w:jc w:val="left"/>
        <w:rPr>
          <w:rFonts w:ascii="宋体" w:eastAsia="宋体" w:hAnsi="宋体" w:cs="宋体"/>
          <w:kern w:val="0"/>
          <w:sz w:val="24"/>
          <w:szCs w:val="24"/>
        </w:rPr>
      </w:pPr>
    </w:p>
    <w:p w14:paraId="12F9DE73" w14:textId="77777777" w:rsidR="009214AE" w:rsidRDefault="00C66335">
      <w:pPr>
        <w:pStyle w:val="zhangjiep"/>
        <w:ind w:firstLine="422"/>
      </w:pPr>
      <w:bookmarkStart w:id="209" w:name="_Toc124758507"/>
      <w:r>
        <w:rPr>
          <w:rFonts w:hAnsi="等线" w:hint="eastAsia"/>
          <w:b/>
          <w:color w:val="000000"/>
        </w:rPr>
        <w:t>5、报告期末按公允价值占基金资产净值比例大小排序的前五名债券投资明细</w:t>
      </w:r>
      <w:bookmarkEnd w:id="209"/>
    </w:p>
    <w:p w14:paraId="16D7A032" w14:textId="77777777" w:rsidR="009214AE" w:rsidRDefault="00C66335">
      <w:pPr>
        <w:pStyle w:val="neirong"/>
        <w:ind w:firstLineChars="200" w:firstLine="480"/>
      </w:pPr>
      <w:r>
        <w:rPr>
          <w:rFonts w:hint="eastAsia"/>
        </w:rPr>
        <w:t>本基金本报告期末未持有债券。</w:t>
      </w:r>
    </w:p>
    <w:p w14:paraId="69295D67" w14:textId="77777777" w:rsidR="009214AE" w:rsidRDefault="009214AE">
      <w:pPr>
        <w:widowControl/>
        <w:jc w:val="left"/>
        <w:rPr>
          <w:rFonts w:ascii="宋体" w:eastAsia="宋体" w:hAnsi="宋体" w:cs="宋体"/>
          <w:kern w:val="0"/>
          <w:sz w:val="24"/>
          <w:szCs w:val="24"/>
        </w:rPr>
      </w:pPr>
    </w:p>
    <w:p w14:paraId="72F11DF1" w14:textId="77777777" w:rsidR="009214AE" w:rsidRDefault="00C66335">
      <w:pPr>
        <w:pStyle w:val="zhangjiep"/>
        <w:ind w:firstLine="422"/>
      </w:pPr>
      <w:bookmarkStart w:id="210" w:name="_Toc124758508"/>
      <w:r>
        <w:rPr>
          <w:rFonts w:hAnsi="等线" w:hint="eastAsia"/>
          <w:b/>
          <w:color w:val="000000"/>
        </w:rPr>
        <w:t>6、报告期末按公允价值占基金资产净值比例大小排序的前十名资产支持证券投资明细</w:t>
      </w:r>
      <w:bookmarkEnd w:id="210"/>
    </w:p>
    <w:p w14:paraId="2716AB7A" w14:textId="77777777" w:rsidR="009214AE" w:rsidRDefault="00C66335">
      <w:pPr>
        <w:pStyle w:val="neirong"/>
        <w:ind w:firstLineChars="200" w:firstLine="480"/>
      </w:pPr>
      <w:r>
        <w:rPr>
          <w:rFonts w:hint="eastAsia"/>
        </w:rPr>
        <w:t>本基金本报告期末未持有资产支持证券。</w:t>
      </w:r>
    </w:p>
    <w:p w14:paraId="2BBD23CA" w14:textId="77777777" w:rsidR="009214AE" w:rsidRDefault="009214AE">
      <w:pPr>
        <w:widowControl/>
        <w:jc w:val="left"/>
        <w:rPr>
          <w:rFonts w:ascii="宋体" w:eastAsia="宋体" w:hAnsi="宋体" w:cs="宋体"/>
          <w:kern w:val="0"/>
          <w:sz w:val="24"/>
          <w:szCs w:val="24"/>
        </w:rPr>
      </w:pPr>
    </w:p>
    <w:p w14:paraId="1212C644" w14:textId="77777777" w:rsidR="009214AE" w:rsidRDefault="00C66335">
      <w:pPr>
        <w:pStyle w:val="zhangjiep"/>
        <w:ind w:firstLine="422"/>
      </w:pPr>
      <w:bookmarkStart w:id="211" w:name="_Toc124758509"/>
      <w:r>
        <w:rPr>
          <w:rFonts w:hAnsi="等线" w:hint="eastAsia"/>
          <w:b/>
          <w:color w:val="000000"/>
        </w:rPr>
        <w:t>7、报告期末按公允价值占基金资产净值比例大小排序的前五名贵金属投资明细</w:t>
      </w:r>
      <w:bookmarkEnd w:id="211"/>
    </w:p>
    <w:p w14:paraId="754CD5EC" w14:textId="77777777" w:rsidR="009214AE" w:rsidRDefault="00C66335">
      <w:pPr>
        <w:pStyle w:val="neirong"/>
        <w:ind w:firstLineChars="200" w:firstLine="480"/>
      </w:pPr>
      <w:r>
        <w:rPr>
          <w:rFonts w:hint="eastAsia"/>
        </w:rPr>
        <w:t>本基金本报告期末未持有贵金属。</w:t>
      </w:r>
    </w:p>
    <w:p w14:paraId="1FB7B9EB" w14:textId="77777777" w:rsidR="009214AE" w:rsidRDefault="009214AE">
      <w:pPr>
        <w:widowControl/>
        <w:jc w:val="left"/>
        <w:rPr>
          <w:rFonts w:ascii="宋体" w:eastAsia="宋体" w:hAnsi="宋体" w:cs="宋体"/>
          <w:kern w:val="0"/>
          <w:sz w:val="24"/>
          <w:szCs w:val="24"/>
        </w:rPr>
      </w:pPr>
    </w:p>
    <w:p w14:paraId="66643786" w14:textId="77777777" w:rsidR="009214AE" w:rsidRDefault="00C66335">
      <w:pPr>
        <w:pStyle w:val="zhangjiep"/>
        <w:ind w:firstLine="422"/>
      </w:pPr>
      <w:bookmarkStart w:id="212" w:name="_Toc124758510"/>
      <w:r>
        <w:rPr>
          <w:rFonts w:hAnsi="等线" w:hint="eastAsia"/>
          <w:b/>
          <w:color w:val="000000"/>
        </w:rPr>
        <w:t>8、报告期末按公允价值占基金资产净值比例大小排序的前五名权证投资明细</w:t>
      </w:r>
      <w:bookmarkEnd w:id="212"/>
    </w:p>
    <w:p w14:paraId="2DB2F0A3" w14:textId="77777777" w:rsidR="009214AE" w:rsidRDefault="00C66335">
      <w:pPr>
        <w:pStyle w:val="neirong"/>
        <w:ind w:firstLineChars="200" w:firstLine="480"/>
      </w:pPr>
      <w:r>
        <w:rPr>
          <w:rFonts w:hint="eastAsia"/>
        </w:rPr>
        <w:t>本基金本报告期末未持有权证。</w:t>
      </w:r>
    </w:p>
    <w:p w14:paraId="44C678B4" w14:textId="77777777" w:rsidR="009214AE" w:rsidRDefault="009214AE">
      <w:pPr>
        <w:widowControl/>
        <w:jc w:val="left"/>
        <w:rPr>
          <w:rFonts w:ascii="宋体" w:eastAsia="宋体" w:hAnsi="宋体" w:cs="宋体"/>
          <w:kern w:val="0"/>
          <w:sz w:val="24"/>
          <w:szCs w:val="24"/>
        </w:rPr>
      </w:pPr>
    </w:p>
    <w:p w14:paraId="0D1162EB" w14:textId="77777777" w:rsidR="009214AE" w:rsidRDefault="00C66335">
      <w:pPr>
        <w:pStyle w:val="zhangjiep"/>
        <w:ind w:firstLine="422"/>
      </w:pPr>
      <w:bookmarkStart w:id="213" w:name="_Toc124758511"/>
      <w:r>
        <w:rPr>
          <w:rFonts w:hAnsi="等线" w:hint="eastAsia"/>
          <w:b/>
          <w:color w:val="000000"/>
        </w:rPr>
        <w:t>9、报告期末本基金投资的股指期货交易情况说明</w:t>
      </w:r>
      <w:bookmarkEnd w:id="213"/>
    </w:p>
    <w:p w14:paraId="6F0C7675" w14:textId="77777777" w:rsidR="009214AE" w:rsidRDefault="00C66335">
      <w:pPr>
        <w:pStyle w:val="neirong"/>
        <w:ind w:firstLineChars="200" w:firstLine="480"/>
      </w:pPr>
      <w:r>
        <w:rPr>
          <w:rFonts w:hint="eastAsia"/>
        </w:rPr>
        <w:t>本基金本报告期末未投资股指期货。</w:t>
      </w:r>
    </w:p>
    <w:p w14:paraId="4C296356" w14:textId="77777777" w:rsidR="009214AE" w:rsidRDefault="009214AE">
      <w:pPr>
        <w:pStyle w:val="neirong"/>
        <w:ind w:firstLineChars="200" w:firstLine="480"/>
      </w:pPr>
    </w:p>
    <w:p w14:paraId="6AD4A565" w14:textId="77777777" w:rsidR="009214AE" w:rsidRDefault="00C66335">
      <w:pPr>
        <w:pStyle w:val="zhangjiep"/>
        <w:ind w:firstLine="422"/>
      </w:pPr>
      <w:bookmarkStart w:id="214" w:name="_Toc124758512"/>
      <w:r>
        <w:rPr>
          <w:rFonts w:hAnsi="等线" w:hint="eastAsia"/>
          <w:b/>
          <w:color w:val="000000"/>
        </w:rPr>
        <w:lastRenderedPageBreak/>
        <w:t>10、报告期末本基金投资的国债期货交易情况说明</w:t>
      </w:r>
      <w:bookmarkEnd w:id="214"/>
    </w:p>
    <w:p w14:paraId="7AD9F4A5" w14:textId="77777777" w:rsidR="009214AE" w:rsidRDefault="00C66335">
      <w:pPr>
        <w:pStyle w:val="zhangjiep2"/>
      </w:pPr>
      <w:r>
        <w:rPr>
          <w:rFonts w:hAnsi="等线" w:hint="eastAsia"/>
          <w:b/>
          <w:color w:val="000000"/>
        </w:rPr>
        <w:t>（1） 本期国债期货投资政策</w:t>
      </w:r>
    </w:p>
    <w:p w14:paraId="168B5FF2" w14:textId="77777777" w:rsidR="009214AE" w:rsidRDefault="00C66335">
      <w:pPr>
        <w:pStyle w:val="neirong"/>
        <w:spacing w:before="0"/>
        <w:ind w:left="0" w:firstLineChars="200" w:firstLine="480"/>
      </w:pPr>
      <w:r>
        <w:rPr>
          <w:rFonts w:hint="eastAsia"/>
        </w:rPr>
        <w:t>本基金本报告期末未投资国债期货。</w:t>
      </w:r>
    </w:p>
    <w:p w14:paraId="7BEC8015" w14:textId="77777777" w:rsidR="009214AE" w:rsidRDefault="009214AE">
      <w:pPr>
        <w:widowControl/>
        <w:jc w:val="left"/>
        <w:rPr>
          <w:rFonts w:ascii="宋体" w:eastAsia="宋体" w:hAnsi="宋体" w:cs="宋体"/>
          <w:kern w:val="0"/>
          <w:sz w:val="24"/>
          <w:szCs w:val="24"/>
        </w:rPr>
      </w:pPr>
    </w:p>
    <w:p w14:paraId="3AFA962C" w14:textId="77777777" w:rsidR="009214AE" w:rsidRDefault="00C66335">
      <w:pPr>
        <w:pStyle w:val="zhangjiep2"/>
      </w:pPr>
      <w:r>
        <w:rPr>
          <w:rFonts w:hAnsi="等线" w:hint="eastAsia"/>
          <w:b/>
          <w:color w:val="000000"/>
        </w:rPr>
        <w:t>（2）报告期末本基金投资的国债期货持仓和损益明细</w:t>
      </w:r>
    </w:p>
    <w:p w14:paraId="3A5FE93B" w14:textId="77777777" w:rsidR="009214AE" w:rsidRDefault="00C66335">
      <w:pPr>
        <w:pStyle w:val="neirong"/>
        <w:ind w:firstLineChars="200" w:firstLine="480"/>
      </w:pPr>
      <w:r>
        <w:rPr>
          <w:rFonts w:hint="eastAsia"/>
        </w:rPr>
        <w:t>本基金本报告期末未投资国债期货。</w:t>
      </w:r>
    </w:p>
    <w:p w14:paraId="0C834EB5" w14:textId="77777777" w:rsidR="009214AE" w:rsidRDefault="009214AE">
      <w:pPr>
        <w:widowControl/>
        <w:jc w:val="left"/>
        <w:rPr>
          <w:rFonts w:ascii="宋体" w:eastAsia="宋体" w:hAnsi="宋体" w:cs="宋体"/>
          <w:kern w:val="0"/>
          <w:sz w:val="24"/>
          <w:szCs w:val="24"/>
        </w:rPr>
      </w:pPr>
    </w:p>
    <w:p w14:paraId="246F3A2A" w14:textId="77777777" w:rsidR="009214AE" w:rsidRDefault="00C66335">
      <w:pPr>
        <w:pStyle w:val="zhangjiep2"/>
      </w:pPr>
      <w:r>
        <w:rPr>
          <w:rFonts w:hAnsi="等线" w:hint="eastAsia"/>
          <w:b/>
          <w:color w:val="000000"/>
        </w:rPr>
        <w:t>（3）本期国债期货投资评价</w:t>
      </w:r>
    </w:p>
    <w:p w14:paraId="5A1730E0" w14:textId="77777777" w:rsidR="009214AE" w:rsidRDefault="00C66335">
      <w:pPr>
        <w:pStyle w:val="neirong"/>
        <w:spacing w:before="0"/>
        <w:ind w:left="0" w:firstLineChars="200" w:firstLine="480"/>
      </w:pPr>
      <w:r>
        <w:rPr>
          <w:rFonts w:hint="eastAsia"/>
        </w:rPr>
        <w:t>本基金本报告期末未投资国债期货。</w:t>
      </w:r>
    </w:p>
    <w:p w14:paraId="46BAF67D" w14:textId="77777777" w:rsidR="009214AE" w:rsidRDefault="009214AE">
      <w:pPr>
        <w:widowControl/>
        <w:jc w:val="left"/>
        <w:rPr>
          <w:rFonts w:ascii="宋体" w:eastAsia="宋体" w:hAnsi="宋体" w:cs="宋体"/>
          <w:kern w:val="0"/>
          <w:sz w:val="24"/>
          <w:szCs w:val="24"/>
        </w:rPr>
      </w:pPr>
    </w:p>
    <w:p w14:paraId="0D8EEF95" w14:textId="77777777" w:rsidR="009214AE" w:rsidRDefault="00C66335">
      <w:pPr>
        <w:pStyle w:val="zhangjiep"/>
        <w:ind w:firstLine="422"/>
      </w:pPr>
      <w:bookmarkStart w:id="215" w:name="_Toc124758513"/>
      <w:r>
        <w:rPr>
          <w:rFonts w:hAnsi="等线" w:hint="eastAsia"/>
          <w:b/>
          <w:color w:val="000000"/>
        </w:rPr>
        <w:t>11、投资组合报告附注</w:t>
      </w:r>
      <w:bookmarkEnd w:id="215"/>
      <w:r>
        <w:rPr>
          <w:rFonts w:hAnsi="等线" w:hint="eastAsia"/>
          <w:b/>
          <w:color w:val="000000"/>
        </w:rPr>
        <w:t xml:space="preserve"> </w:t>
      </w:r>
    </w:p>
    <w:p w14:paraId="3F89D642" w14:textId="77777777" w:rsidR="009214AE" w:rsidRDefault="00C66335">
      <w:pPr>
        <w:pStyle w:val="zhangjiep2"/>
        <w:rPr>
          <w:rFonts w:hAnsi="等线"/>
          <w:b/>
          <w:color w:val="000000"/>
        </w:rPr>
      </w:pPr>
      <w:r>
        <w:rPr>
          <w:rFonts w:hAnsi="等线" w:hint="eastAsia"/>
          <w:b/>
          <w:color w:val="000000"/>
        </w:rPr>
        <w:t>（1）本基金本报告期投资的前十名证券的发行主体，本报告期没有出现被监管部门立案调查的情形，也没有出现在报告编制日前一年内受到公开谴责、处罚的情形。</w:t>
      </w:r>
    </w:p>
    <w:p w14:paraId="25ED857C" w14:textId="77777777" w:rsidR="009214AE" w:rsidRDefault="009214AE">
      <w:pPr>
        <w:widowControl/>
        <w:jc w:val="left"/>
        <w:rPr>
          <w:rFonts w:ascii="宋体" w:eastAsia="宋体" w:hAnsi="宋体" w:cs="宋体"/>
          <w:kern w:val="0"/>
          <w:sz w:val="24"/>
          <w:szCs w:val="24"/>
        </w:rPr>
      </w:pPr>
    </w:p>
    <w:p w14:paraId="2426A1EB" w14:textId="77777777" w:rsidR="009214AE" w:rsidRDefault="00C66335">
      <w:pPr>
        <w:pStyle w:val="zhangjiep2"/>
      </w:pPr>
      <w:r>
        <w:rPr>
          <w:rFonts w:hAnsi="等线" w:hint="eastAsia"/>
          <w:b/>
          <w:color w:val="000000"/>
        </w:rPr>
        <w:t>（2）本基金投资的前十名股票没有超出基金合同规定的备选股票库。</w:t>
      </w:r>
    </w:p>
    <w:p w14:paraId="791E6CDD" w14:textId="77777777" w:rsidR="009214AE" w:rsidRDefault="009214AE">
      <w:pPr>
        <w:widowControl/>
        <w:jc w:val="left"/>
        <w:rPr>
          <w:rFonts w:ascii="宋体" w:eastAsia="宋体" w:hAnsi="宋体" w:cs="宋体"/>
          <w:kern w:val="0"/>
          <w:sz w:val="24"/>
          <w:szCs w:val="24"/>
        </w:rPr>
      </w:pPr>
    </w:p>
    <w:p w14:paraId="1F4358D7" w14:textId="77777777" w:rsidR="009214AE" w:rsidRDefault="00C66335">
      <w:pPr>
        <w:pStyle w:val="zhangjiep2"/>
      </w:pPr>
      <w:r>
        <w:rPr>
          <w:rFonts w:hAnsi="等线" w:hint="eastAsia"/>
          <w:b/>
          <w:color w:val="000000"/>
        </w:rPr>
        <w:t>（3） 其他资产构成</w:t>
      </w:r>
    </w:p>
    <w:tbl>
      <w:tblPr>
        <w:tblW w:w="9045" w:type="dxa"/>
        <w:tblInd w:w="108" w:type="dxa"/>
        <w:tblLook w:val="04A0" w:firstRow="1" w:lastRow="0" w:firstColumn="1" w:lastColumn="0" w:noHBand="0" w:noVBand="1"/>
      </w:tblPr>
      <w:tblGrid>
        <w:gridCol w:w="1276"/>
        <w:gridCol w:w="3709"/>
        <w:gridCol w:w="4060"/>
      </w:tblGrid>
      <w:tr w:rsidR="009214AE" w14:paraId="775347D5"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75B40200" w14:textId="77777777" w:rsidR="009214AE" w:rsidRDefault="00C66335">
            <w:pPr>
              <w:pStyle w:val="biaogecenter"/>
              <w:wordWrap w:val="0"/>
            </w:pPr>
            <w:r>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tcPr>
          <w:p w14:paraId="15BDA84C" w14:textId="77777777" w:rsidR="009214AE" w:rsidRDefault="00C66335">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tcPr>
          <w:p w14:paraId="27EE2D79" w14:textId="77777777" w:rsidR="009214AE" w:rsidRDefault="00C66335">
            <w:pPr>
              <w:pStyle w:val="biaogecenter"/>
              <w:wordWrap w:val="0"/>
            </w:pPr>
            <w:r>
              <w:rPr>
                <w:rFonts w:hint="eastAsia"/>
              </w:rPr>
              <w:t>金额(元)</w:t>
            </w:r>
          </w:p>
        </w:tc>
      </w:tr>
      <w:tr w:rsidR="009214AE" w14:paraId="258F7C4D"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0F79E27" w14:textId="77777777" w:rsidR="009214AE" w:rsidRDefault="00C66335">
            <w:pPr>
              <w:pStyle w:val="biaogecenter"/>
              <w:wordWrap w:val="0"/>
            </w:pPr>
            <w:r>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tcPr>
          <w:p w14:paraId="467B2E09" w14:textId="77777777" w:rsidR="009214AE" w:rsidRDefault="00C66335">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tcPr>
          <w:p w14:paraId="7EA1F060" w14:textId="77777777" w:rsidR="009214AE" w:rsidRDefault="00C66335">
            <w:pPr>
              <w:pStyle w:val="biaogeright"/>
              <w:wordWrap w:val="0"/>
            </w:pPr>
            <w:r>
              <w:t>1,161.16</w:t>
            </w:r>
          </w:p>
        </w:tc>
      </w:tr>
      <w:tr w:rsidR="009214AE" w14:paraId="7F84FE20"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0CA05F55" w14:textId="77777777" w:rsidR="009214AE" w:rsidRDefault="00C66335">
            <w:pPr>
              <w:pStyle w:val="biaogecenter"/>
              <w:wordWrap w:val="0"/>
            </w:pPr>
            <w:r>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tcPr>
          <w:p w14:paraId="7F75ECAF" w14:textId="77777777" w:rsidR="009214AE" w:rsidRDefault="00C66335">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6A05E73D" w14:textId="77777777" w:rsidR="009214AE" w:rsidRDefault="00C66335">
            <w:pPr>
              <w:pStyle w:val="biaogeright"/>
              <w:wordWrap w:val="0"/>
            </w:pPr>
            <w:r>
              <w:t>-</w:t>
            </w:r>
          </w:p>
        </w:tc>
      </w:tr>
      <w:tr w:rsidR="009214AE" w14:paraId="22C2C5C2"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2C161234" w14:textId="77777777" w:rsidR="009214AE" w:rsidRDefault="00C66335">
            <w:pPr>
              <w:pStyle w:val="biaogecenter"/>
              <w:wordWrap w:val="0"/>
            </w:pPr>
            <w:r>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tcPr>
          <w:p w14:paraId="65C5230A" w14:textId="77777777" w:rsidR="009214AE" w:rsidRDefault="00C66335">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tcPr>
          <w:p w14:paraId="56DE21C7" w14:textId="77777777" w:rsidR="009214AE" w:rsidRDefault="00C66335">
            <w:pPr>
              <w:pStyle w:val="biaogeright"/>
              <w:wordWrap w:val="0"/>
            </w:pPr>
            <w:r>
              <w:t>-</w:t>
            </w:r>
          </w:p>
        </w:tc>
      </w:tr>
      <w:tr w:rsidR="009214AE" w14:paraId="1C8E706A"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25295D9F" w14:textId="77777777" w:rsidR="009214AE" w:rsidRDefault="00C66335">
            <w:pPr>
              <w:pStyle w:val="biaogecenter"/>
              <w:wordWrap w:val="0"/>
            </w:pPr>
            <w:r>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tcPr>
          <w:p w14:paraId="3EF974CE" w14:textId="77777777" w:rsidR="009214AE" w:rsidRDefault="00C66335">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tcPr>
          <w:p w14:paraId="0302C6BA" w14:textId="77777777" w:rsidR="009214AE" w:rsidRDefault="00C66335">
            <w:pPr>
              <w:pStyle w:val="biaogeright"/>
              <w:wordWrap w:val="0"/>
            </w:pPr>
            <w:r>
              <w:t>-</w:t>
            </w:r>
          </w:p>
        </w:tc>
      </w:tr>
      <w:tr w:rsidR="009214AE" w14:paraId="0D0DB604"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1F7B57BF" w14:textId="77777777" w:rsidR="009214AE" w:rsidRDefault="00C66335">
            <w:pPr>
              <w:pStyle w:val="biaogecenter"/>
              <w:wordWrap w:val="0"/>
            </w:pPr>
            <w:r>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tcPr>
          <w:p w14:paraId="59E1FE92" w14:textId="77777777" w:rsidR="009214AE" w:rsidRDefault="00C66335">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4DF00C1E" w14:textId="77777777" w:rsidR="009214AE" w:rsidRDefault="00C66335">
            <w:pPr>
              <w:pStyle w:val="biaogeright"/>
              <w:wordWrap w:val="0"/>
            </w:pPr>
            <w:r>
              <w:t>560.00</w:t>
            </w:r>
          </w:p>
        </w:tc>
      </w:tr>
      <w:tr w:rsidR="009214AE" w14:paraId="6B0B3545"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620C6622" w14:textId="77777777" w:rsidR="009214AE" w:rsidRDefault="00C66335">
            <w:pPr>
              <w:pStyle w:val="biaogecenter"/>
              <w:wordWrap w:val="0"/>
            </w:pPr>
            <w:r>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tcPr>
          <w:p w14:paraId="10B7066A" w14:textId="77777777" w:rsidR="009214AE" w:rsidRDefault="00C66335">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587DBEBD" w14:textId="77777777" w:rsidR="009214AE" w:rsidRDefault="00C66335">
            <w:pPr>
              <w:pStyle w:val="biaogeright"/>
              <w:wordWrap w:val="0"/>
            </w:pPr>
            <w:r>
              <w:t>-</w:t>
            </w:r>
          </w:p>
        </w:tc>
      </w:tr>
      <w:tr w:rsidR="009214AE" w14:paraId="794F93BD"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28078563" w14:textId="77777777" w:rsidR="009214AE" w:rsidRDefault="00C66335">
            <w:pPr>
              <w:pStyle w:val="biaogecenter"/>
              <w:wordWrap w:val="0"/>
            </w:pPr>
            <w:r>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tcPr>
          <w:p w14:paraId="43950167" w14:textId="77777777" w:rsidR="009214AE" w:rsidRDefault="00C66335">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tcPr>
          <w:p w14:paraId="4663AF79" w14:textId="77777777" w:rsidR="009214AE" w:rsidRDefault="00C66335">
            <w:pPr>
              <w:pStyle w:val="biaogeright"/>
              <w:wordWrap w:val="0"/>
            </w:pPr>
            <w:r>
              <w:t>-</w:t>
            </w:r>
          </w:p>
        </w:tc>
      </w:tr>
      <w:tr w:rsidR="009214AE" w14:paraId="41B65D78"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7CE3B13E" w14:textId="77777777" w:rsidR="009214AE" w:rsidRDefault="00C66335">
            <w:pPr>
              <w:pStyle w:val="biaogecenter"/>
              <w:wordWrap w:val="0"/>
            </w:pPr>
            <w:r>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tcPr>
          <w:p w14:paraId="461393D4" w14:textId="77777777" w:rsidR="009214AE" w:rsidRDefault="00C66335">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tcPr>
          <w:p w14:paraId="781B130A" w14:textId="77777777" w:rsidR="009214AE" w:rsidRDefault="00C66335">
            <w:pPr>
              <w:pStyle w:val="biaogeright"/>
              <w:wordWrap w:val="0"/>
            </w:pPr>
            <w:r>
              <w:t>1,721.16</w:t>
            </w:r>
          </w:p>
        </w:tc>
      </w:tr>
    </w:tbl>
    <w:p w14:paraId="0C2CA1BC" w14:textId="77777777" w:rsidR="009214AE" w:rsidRDefault="009214AE">
      <w:pPr>
        <w:widowControl/>
        <w:jc w:val="left"/>
        <w:rPr>
          <w:rFonts w:ascii="宋体" w:eastAsia="宋体" w:hAnsi="宋体" w:cs="宋体"/>
          <w:kern w:val="0"/>
          <w:sz w:val="24"/>
          <w:szCs w:val="24"/>
        </w:rPr>
      </w:pPr>
    </w:p>
    <w:p w14:paraId="2745544F" w14:textId="77777777" w:rsidR="009214AE" w:rsidRDefault="00C66335">
      <w:pPr>
        <w:pStyle w:val="zhangjiep2"/>
      </w:pPr>
      <w:r>
        <w:rPr>
          <w:rFonts w:hAnsi="等线" w:hint="eastAsia"/>
          <w:b/>
          <w:color w:val="000000"/>
        </w:rPr>
        <w:t>（4） 报告期末持有的处于转股期的可转换债券明细</w:t>
      </w:r>
    </w:p>
    <w:p w14:paraId="29C01838" w14:textId="77777777" w:rsidR="009214AE" w:rsidRDefault="00C66335">
      <w:pPr>
        <w:pStyle w:val="neirong"/>
        <w:ind w:firstLineChars="200" w:firstLine="480"/>
      </w:pPr>
      <w:r>
        <w:rPr>
          <w:rFonts w:hint="eastAsia"/>
        </w:rPr>
        <w:t>本基金本报告期末未持有处于转股期的可转换债券。</w:t>
      </w:r>
    </w:p>
    <w:p w14:paraId="496DD4B1" w14:textId="77777777" w:rsidR="009214AE" w:rsidRDefault="009214AE">
      <w:pPr>
        <w:widowControl/>
        <w:jc w:val="left"/>
        <w:rPr>
          <w:rFonts w:ascii="宋体" w:eastAsia="宋体" w:hAnsi="宋体" w:cs="宋体"/>
          <w:kern w:val="0"/>
          <w:sz w:val="24"/>
          <w:szCs w:val="24"/>
        </w:rPr>
      </w:pPr>
    </w:p>
    <w:p w14:paraId="1585548F" w14:textId="77777777" w:rsidR="009214AE" w:rsidRDefault="00C66335">
      <w:pPr>
        <w:pStyle w:val="zhangjiep2"/>
      </w:pPr>
      <w:r>
        <w:rPr>
          <w:rFonts w:hAnsi="等线" w:hint="eastAsia"/>
          <w:b/>
          <w:color w:val="000000"/>
        </w:rPr>
        <w:t>(5) 报告</w:t>
      </w:r>
      <w:proofErr w:type="gramStart"/>
      <w:r>
        <w:rPr>
          <w:rFonts w:hAnsi="等线" w:hint="eastAsia"/>
          <w:b/>
          <w:color w:val="000000"/>
        </w:rPr>
        <w:t>期末前</w:t>
      </w:r>
      <w:proofErr w:type="gramEnd"/>
      <w:r>
        <w:rPr>
          <w:rFonts w:hAnsi="等线" w:hint="eastAsia"/>
          <w:b/>
          <w:color w:val="000000"/>
        </w:rPr>
        <w:t>十名股票中存在流通受限情况的说明</w:t>
      </w:r>
    </w:p>
    <w:p w14:paraId="3709A5A7" w14:textId="77777777" w:rsidR="009214AE" w:rsidRDefault="00C66335">
      <w:pPr>
        <w:pStyle w:val="neirong"/>
        <w:ind w:firstLineChars="200" w:firstLine="480"/>
      </w:pPr>
      <w:r>
        <w:rPr>
          <w:rFonts w:hint="eastAsia"/>
        </w:rPr>
        <w:t>本基金本报告</w:t>
      </w:r>
      <w:proofErr w:type="gramStart"/>
      <w:r>
        <w:rPr>
          <w:rFonts w:hint="eastAsia"/>
        </w:rPr>
        <w:t>期末前</w:t>
      </w:r>
      <w:proofErr w:type="gramEnd"/>
      <w:r>
        <w:rPr>
          <w:rFonts w:hint="eastAsia"/>
        </w:rPr>
        <w:t>十名股票中不存在流通受限股票。</w:t>
      </w:r>
    </w:p>
    <w:p w14:paraId="0824B7E3" w14:textId="77777777" w:rsidR="009214AE" w:rsidRDefault="009214AE">
      <w:pPr>
        <w:widowControl/>
        <w:jc w:val="left"/>
        <w:rPr>
          <w:rFonts w:ascii="宋体" w:eastAsia="宋体" w:hAnsi="宋体" w:cs="宋体"/>
          <w:kern w:val="0"/>
          <w:sz w:val="24"/>
          <w:szCs w:val="24"/>
        </w:rPr>
      </w:pPr>
    </w:p>
    <w:p w14:paraId="03AF2622" w14:textId="77777777" w:rsidR="009214AE" w:rsidRDefault="00C66335">
      <w:pPr>
        <w:pStyle w:val="zhangjiep2"/>
      </w:pPr>
      <w:r>
        <w:rPr>
          <w:rFonts w:hAnsi="等线" w:hint="eastAsia"/>
          <w:b/>
          <w:color w:val="000000"/>
        </w:rPr>
        <w:t>(6)投资组合报告附注的其他文字描述部分</w:t>
      </w:r>
    </w:p>
    <w:p w14:paraId="71568F56" w14:textId="77777777" w:rsidR="009214AE" w:rsidRDefault="00C66335">
      <w:pPr>
        <w:autoSpaceDE w:val="0"/>
        <w:autoSpaceDN w:val="0"/>
        <w:spacing w:line="360" w:lineRule="auto"/>
        <w:ind w:firstLineChars="200" w:firstLine="480"/>
        <w:textAlignment w:val="bottom"/>
      </w:pPr>
      <w:r>
        <w:rPr>
          <w:rFonts w:ascii="宋体" w:eastAsia="宋体" w:hAnsi="宋体" w:cs="宋体" w:hint="eastAsia"/>
          <w:kern w:val="0"/>
          <w:sz w:val="24"/>
          <w:szCs w:val="24"/>
        </w:rPr>
        <w:t>由于四舍五入原因，分项之和与合计可能有尾差。</w:t>
      </w:r>
    </w:p>
    <w:p w14:paraId="20C5BDCC" w14:textId="77777777" w:rsidR="009214AE" w:rsidRDefault="009214AE">
      <w:pPr>
        <w:autoSpaceDE w:val="0"/>
        <w:autoSpaceDN w:val="0"/>
        <w:spacing w:line="360" w:lineRule="auto"/>
        <w:ind w:firstLineChars="200" w:firstLine="480"/>
        <w:textAlignment w:val="bottom"/>
        <w:rPr>
          <w:rFonts w:asciiTheme="minorEastAsia" w:hAnsiTheme="minorEastAsia"/>
          <w:bCs/>
          <w:sz w:val="24"/>
          <w:szCs w:val="24"/>
        </w:rPr>
      </w:pPr>
    </w:p>
    <w:p w14:paraId="5D0EEFC8" w14:textId="77777777" w:rsidR="009214AE" w:rsidRDefault="00C66335">
      <w:pPr>
        <w:autoSpaceDE w:val="0"/>
        <w:autoSpaceDN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十、基金净值表现</w:t>
      </w:r>
    </w:p>
    <w:p w14:paraId="2111C019" w14:textId="77777777" w:rsidR="009214AE" w:rsidRDefault="00C66335">
      <w:pPr>
        <w:autoSpaceDE w:val="0"/>
        <w:autoSpaceDN w:val="0"/>
        <w:spacing w:line="360" w:lineRule="auto"/>
        <w:ind w:firstLineChars="200" w:firstLine="482"/>
        <w:textAlignment w:val="bottom"/>
        <w:rPr>
          <w:rFonts w:ascii="宋体" w:eastAsia="宋体" w:hAnsi="宋体" w:cs="宋体"/>
          <w:kern w:val="0"/>
          <w:sz w:val="24"/>
          <w:szCs w:val="24"/>
        </w:rPr>
      </w:pPr>
      <w:r>
        <w:rPr>
          <w:rFonts w:asciiTheme="minorEastAsia" w:hAnsiTheme="minorEastAsia" w:hint="eastAsia"/>
          <w:b/>
          <w:sz w:val="24"/>
          <w:szCs w:val="24"/>
        </w:rPr>
        <w:t>1、</w:t>
      </w:r>
      <w:r>
        <w:rPr>
          <w:rFonts w:ascii="宋体" w:eastAsia="宋体" w:hAnsi="宋体" w:cs="宋体" w:hint="eastAsia"/>
          <w:kern w:val="0"/>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1033CE6" w14:textId="77777777" w:rsidR="009214AE" w:rsidRDefault="00C66335">
      <w:pPr>
        <w:autoSpaceDE w:val="0"/>
        <w:autoSpaceDN w:val="0"/>
        <w:spacing w:line="360" w:lineRule="auto"/>
        <w:textAlignment w:val="bottom"/>
        <w:rPr>
          <w:rFonts w:ascii="宋体" w:eastAsia="宋体" w:hAnsi="等线" w:cs="宋体"/>
          <w:color w:val="000000"/>
          <w:kern w:val="0"/>
          <w:sz w:val="24"/>
          <w:szCs w:val="24"/>
        </w:rPr>
      </w:pPr>
      <w:r>
        <w:rPr>
          <w:rFonts w:asciiTheme="minorEastAsia" w:hAnsiTheme="minorEastAsia" w:hint="eastAsia"/>
          <w:b/>
          <w:sz w:val="24"/>
          <w:szCs w:val="24"/>
        </w:rPr>
        <w:t>（1）</w:t>
      </w:r>
      <w:r>
        <w:rPr>
          <w:rFonts w:ascii="宋体" w:eastAsia="宋体" w:hAnsi="宋体" w:cs="宋体" w:hint="eastAsia"/>
          <w:kern w:val="0"/>
          <w:sz w:val="24"/>
          <w:szCs w:val="24"/>
        </w:rPr>
        <w:t>富荣量化精选混合发起</w:t>
      </w:r>
      <w:r>
        <w:rPr>
          <w:rFonts w:ascii="宋体" w:eastAsia="宋体" w:hAnsi="宋体" w:cs="宋体"/>
          <w:kern w:val="0"/>
          <w:sz w:val="24"/>
          <w:szCs w:val="24"/>
        </w:rPr>
        <w:t>A</w:t>
      </w:r>
      <w:r>
        <w:rPr>
          <w:rFonts w:ascii="宋体" w:eastAsia="宋体" w:hAnsi="宋体" w:cs="宋体" w:hint="eastAsia"/>
          <w:kern w:val="0"/>
          <w:sz w:val="24"/>
          <w:szCs w:val="24"/>
        </w:rPr>
        <w:t>净值表现（基金代码：014556）</w:t>
      </w:r>
    </w:p>
    <w:tbl>
      <w:tblPr>
        <w:tblW w:w="10303" w:type="dxa"/>
        <w:tblInd w:w="-855" w:type="dxa"/>
        <w:tblLook w:val="04A0" w:firstRow="1" w:lastRow="0" w:firstColumn="1" w:lastColumn="0" w:noHBand="0" w:noVBand="1"/>
      </w:tblPr>
      <w:tblGrid>
        <w:gridCol w:w="3262"/>
        <w:gridCol w:w="1284"/>
        <w:gridCol w:w="1269"/>
        <w:gridCol w:w="1133"/>
        <w:gridCol w:w="1278"/>
        <w:gridCol w:w="1133"/>
        <w:gridCol w:w="944"/>
      </w:tblGrid>
      <w:tr w:rsidR="009214AE" w14:paraId="0A811876" w14:textId="77777777">
        <w:tc>
          <w:tcPr>
            <w:tcW w:w="1583" w:type="pct"/>
            <w:tcBorders>
              <w:top w:val="single" w:sz="8" w:space="0" w:color="000000"/>
              <w:left w:val="single" w:sz="8" w:space="0" w:color="000000"/>
              <w:bottom w:val="single" w:sz="6" w:space="0" w:color="000000"/>
              <w:right w:val="single" w:sz="8" w:space="0" w:color="000000"/>
            </w:tcBorders>
            <w:vAlign w:val="center"/>
          </w:tcPr>
          <w:p w14:paraId="344417C6" w14:textId="77777777" w:rsidR="009214AE" w:rsidRDefault="00C66335">
            <w:pPr>
              <w:pStyle w:val="biaogeleft"/>
              <w:wordWrap w:val="0"/>
              <w:ind w:firstLineChars="300" w:firstLine="720"/>
            </w:pPr>
            <w:r>
              <w:rPr>
                <w:rFonts w:hint="eastAsia"/>
              </w:rPr>
              <w:t>阶段</w:t>
            </w:r>
          </w:p>
        </w:tc>
        <w:tc>
          <w:tcPr>
            <w:tcW w:w="623" w:type="pct"/>
            <w:tcBorders>
              <w:top w:val="single" w:sz="8" w:space="0" w:color="000000"/>
              <w:left w:val="single" w:sz="8" w:space="0" w:color="000000"/>
              <w:bottom w:val="single" w:sz="6" w:space="0" w:color="000000"/>
              <w:right w:val="single" w:sz="8" w:space="0" w:color="000000"/>
            </w:tcBorders>
            <w:vAlign w:val="center"/>
          </w:tcPr>
          <w:p w14:paraId="3350E710" w14:textId="77777777" w:rsidR="009214AE" w:rsidRDefault="00C66335">
            <w:pPr>
              <w:pStyle w:val="biaogecenter"/>
              <w:wordWrap w:val="0"/>
            </w:pPr>
            <w:r>
              <w:rPr>
                <w:rFonts w:hint="eastAsia"/>
              </w:rPr>
              <w:t>净值增长率①</w:t>
            </w:r>
          </w:p>
        </w:tc>
        <w:tc>
          <w:tcPr>
            <w:tcW w:w="616" w:type="pct"/>
            <w:tcBorders>
              <w:top w:val="single" w:sz="8" w:space="0" w:color="000000"/>
              <w:left w:val="single" w:sz="8" w:space="0" w:color="000000"/>
              <w:bottom w:val="single" w:sz="6" w:space="0" w:color="000000"/>
              <w:right w:val="single" w:sz="8" w:space="0" w:color="000000"/>
            </w:tcBorders>
            <w:vAlign w:val="center"/>
          </w:tcPr>
          <w:p w14:paraId="41BD2C60" w14:textId="77777777" w:rsidR="009214AE" w:rsidRDefault="00C66335">
            <w:pPr>
              <w:pStyle w:val="biaogecenter"/>
              <w:wordWrap w:val="0"/>
            </w:pPr>
            <w:r>
              <w:rPr>
                <w:rFonts w:hint="eastAsia"/>
              </w:rPr>
              <w:t>净值增长率标准差②</w:t>
            </w:r>
          </w:p>
        </w:tc>
        <w:tc>
          <w:tcPr>
            <w:tcW w:w="550" w:type="pct"/>
            <w:tcBorders>
              <w:top w:val="single" w:sz="8" w:space="0" w:color="000000"/>
              <w:left w:val="single" w:sz="8" w:space="0" w:color="000000"/>
              <w:bottom w:val="single" w:sz="6" w:space="0" w:color="000000"/>
              <w:right w:val="single" w:sz="8" w:space="0" w:color="000000"/>
            </w:tcBorders>
            <w:vAlign w:val="center"/>
          </w:tcPr>
          <w:p w14:paraId="115C375E" w14:textId="77777777" w:rsidR="009214AE" w:rsidRDefault="00C66335">
            <w:pPr>
              <w:pStyle w:val="biaogecenter"/>
              <w:wordWrap w:val="0"/>
            </w:pPr>
            <w:r>
              <w:rPr>
                <w:rFonts w:hint="eastAsia"/>
              </w:rPr>
              <w:t>业绩比较基准收益率③</w:t>
            </w:r>
          </w:p>
        </w:tc>
        <w:tc>
          <w:tcPr>
            <w:tcW w:w="620" w:type="pct"/>
            <w:tcBorders>
              <w:top w:val="single" w:sz="8" w:space="0" w:color="000000"/>
              <w:left w:val="single" w:sz="8" w:space="0" w:color="000000"/>
              <w:bottom w:val="single" w:sz="6" w:space="0" w:color="000000"/>
              <w:right w:val="single" w:sz="8" w:space="0" w:color="000000"/>
            </w:tcBorders>
            <w:vAlign w:val="center"/>
          </w:tcPr>
          <w:p w14:paraId="19C4D87C" w14:textId="77777777" w:rsidR="009214AE" w:rsidRDefault="00C66335">
            <w:pPr>
              <w:pStyle w:val="biaogecenter"/>
              <w:wordWrap w:val="0"/>
            </w:pPr>
            <w:r>
              <w:rPr>
                <w:rFonts w:hint="eastAsia"/>
              </w:rPr>
              <w:t>业绩比较基准收益率标准差④</w:t>
            </w:r>
          </w:p>
        </w:tc>
        <w:tc>
          <w:tcPr>
            <w:tcW w:w="550" w:type="pct"/>
            <w:tcBorders>
              <w:top w:val="single" w:sz="8" w:space="0" w:color="000000"/>
              <w:left w:val="single" w:sz="8" w:space="0" w:color="000000"/>
              <w:bottom w:val="single" w:sz="6" w:space="0" w:color="000000"/>
              <w:right w:val="single" w:sz="8" w:space="0" w:color="000000"/>
            </w:tcBorders>
            <w:vAlign w:val="center"/>
          </w:tcPr>
          <w:p w14:paraId="2FB1BD87" w14:textId="77777777" w:rsidR="009214AE" w:rsidRDefault="00C66335">
            <w:pPr>
              <w:pStyle w:val="biaogecenter"/>
              <w:wordWrap w:val="0"/>
            </w:pPr>
            <w:r>
              <w:rPr>
                <w:rFonts w:hint="eastAsia"/>
              </w:rPr>
              <w:t>①-③</w:t>
            </w:r>
          </w:p>
        </w:tc>
        <w:tc>
          <w:tcPr>
            <w:tcW w:w="458" w:type="pct"/>
            <w:tcBorders>
              <w:top w:val="single" w:sz="8" w:space="0" w:color="000000"/>
              <w:left w:val="single" w:sz="8" w:space="0" w:color="000000"/>
              <w:bottom w:val="single" w:sz="6" w:space="0" w:color="000000"/>
              <w:right w:val="single" w:sz="8" w:space="0" w:color="000000"/>
            </w:tcBorders>
            <w:vAlign w:val="center"/>
          </w:tcPr>
          <w:p w14:paraId="50C0AB86" w14:textId="77777777" w:rsidR="009214AE" w:rsidRDefault="00C66335">
            <w:pPr>
              <w:pStyle w:val="biaogecenter"/>
              <w:wordWrap w:val="0"/>
            </w:pPr>
            <w:r>
              <w:rPr>
                <w:rFonts w:hint="eastAsia"/>
              </w:rPr>
              <w:t>②-④</w:t>
            </w:r>
          </w:p>
        </w:tc>
      </w:tr>
      <w:tr w:rsidR="009214AE" w14:paraId="2D163A4B" w14:textId="77777777">
        <w:tc>
          <w:tcPr>
            <w:tcW w:w="1583" w:type="pct"/>
            <w:tcBorders>
              <w:top w:val="single" w:sz="8" w:space="0" w:color="000000"/>
              <w:left w:val="single" w:sz="8" w:space="0" w:color="000000"/>
              <w:bottom w:val="single" w:sz="8" w:space="0" w:color="000000"/>
              <w:right w:val="single" w:sz="8" w:space="0" w:color="000000"/>
            </w:tcBorders>
            <w:vAlign w:val="center"/>
          </w:tcPr>
          <w:p w14:paraId="1594261C" w14:textId="77777777" w:rsidR="009214AE" w:rsidRDefault="00C66335">
            <w:pPr>
              <w:pStyle w:val="biaogeleft"/>
              <w:wordWrap w:val="0"/>
              <w:rPr>
                <w:sz w:val="21"/>
                <w:szCs w:val="21"/>
              </w:rPr>
            </w:pPr>
            <w:r>
              <w:rPr>
                <w:rFonts w:asciiTheme="minorEastAsia" w:hAnsiTheme="minorEastAsia" w:hint="eastAsia"/>
                <w:bCs/>
                <w:sz w:val="21"/>
                <w:szCs w:val="21"/>
              </w:rPr>
              <w:t>2022.5.6~2022.12.31</w:t>
            </w:r>
          </w:p>
        </w:tc>
        <w:tc>
          <w:tcPr>
            <w:tcW w:w="623" w:type="pct"/>
            <w:tcBorders>
              <w:top w:val="single" w:sz="8" w:space="0" w:color="000000"/>
              <w:left w:val="single" w:sz="8" w:space="0" w:color="000000"/>
              <w:bottom w:val="single" w:sz="8" w:space="0" w:color="000000"/>
              <w:right w:val="single" w:sz="8" w:space="0" w:color="000000"/>
            </w:tcBorders>
            <w:vAlign w:val="center"/>
          </w:tcPr>
          <w:p w14:paraId="6F86BF55" w14:textId="77777777" w:rsidR="009214AE" w:rsidRDefault="00C66335">
            <w:pPr>
              <w:pStyle w:val="biaogecenter"/>
              <w:wordWrap w:val="0"/>
              <w:rPr>
                <w:sz w:val="21"/>
                <w:szCs w:val="21"/>
              </w:rPr>
            </w:pPr>
            <w:r>
              <w:rPr>
                <w:rFonts w:hint="eastAsia"/>
                <w:sz w:val="21"/>
                <w:szCs w:val="21"/>
              </w:rPr>
              <w:t>-9.01%</w:t>
            </w:r>
          </w:p>
        </w:tc>
        <w:tc>
          <w:tcPr>
            <w:tcW w:w="616" w:type="pct"/>
            <w:tcBorders>
              <w:top w:val="single" w:sz="8" w:space="0" w:color="000000"/>
              <w:left w:val="single" w:sz="8" w:space="0" w:color="000000"/>
              <w:bottom w:val="single" w:sz="8" w:space="0" w:color="000000"/>
              <w:right w:val="single" w:sz="8" w:space="0" w:color="000000"/>
            </w:tcBorders>
            <w:vAlign w:val="center"/>
          </w:tcPr>
          <w:p w14:paraId="1F6724CE" w14:textId="77777777" w:rsidR="009214AE" w:rsidRDefault="00C66335">
            <w:pPr>
              <w:pStyle w:val="biaogecenter"/>
              <w:wordWrap w:val="0"/>
              <w:rPr>
                <w:sz w:val="21"/>
                <w:szCs w:val="21"/>
              </w:rPr>
            </w:pPr>
            <w:r>
              <w:rPr>
                <w:rFonts w:hint="eastAsia"/>
                <w:sz w:val="21"/>
                <w:szCs w:val="21"/>
              </w:rPr>
              <w:t>0.68%</w:t>
            </w:r>
          </w:p>
        </w:tc>
        <w:tc>
          <w:tcPr>
            <w:tcW w:w="550" w:type="pct"/>
            <w:tcBorders>
              <w:top w:val="single" w:sz="8" w:space="0" w:color="000000"/>
              <w:left w:val="single" w:sz="8" w:space="0" w:color="000000"/>
              <w:bottom w:val="single" w:sz="8" w:space="0" w:color="000000"/>
              <w:right w:val="single" w:sz="8" w:space="0" w:color="000000"/>
            </w:tcBorders>
            <w:vAlign w:val="center"/>
          </w:tcPr>
          <w:p w14:paraId="52FBAF4D" w14:textId="77777777" w:rsidR="009214AE" w:rsidRDefault="00C66335">
            <w:pPr>
              <w:pStyle w:val="biaogecenter"/>
              <w:wordWrap w:val="0"/>
              <w:rPr>
                <w:sz w:val="21"/>
                <w:szCs w:val="21"/>
              </w:rPr>
            </w:pPr>
            <w:r>
              <w:rPr>
                <w:rFonts w:hint="eastAsia"/>
                <w:sz w:val="21"/>
                <w:szCs w:val="21"/>
              </w:rPr>
              <w:t>2.46%</w:t>
            </w:r>
          </w:p>
        </w:tc>
        <w:tc>
          <w:tcPr>
            <w:tcW w:w="620" w:type="pct"/>
            <w:tcBorders>
              <w:top w:val="single" w:sz="8" w:space="0" w:color="000000"/>
              <w:left w:val="single" w:sz="8" w:space="0" w:color="000000"/>
              <w:bottom w:val="single" w:sz="8" w:space="0" w:color="000000"/>
              <w:right w:val="single" w:sz="8" w:space="0" w:color="000000"/>
            </w:tcBorders>
            <w:vAlign w:val="center"/>
          </w:tcPr>
          <w:p w14:paraId="1C810D38" w14:textId="77777777" w:rsidR="009214AE" w:rsidRDefault="00C66335">
            <w:pPr>
              <w:pStyle w:val="biaogecenter"/>
              <w:wordWrap w:val="0"/>
              <w:rPr>
                <w:sz w:val="21"/>
                <w:szCs w:val="21"/>
              </w:rPr>
            </w:pPr>
            <w:r>
              <w:rPr>
                <w:rFonts w:hint="eastAsia"/>
                <w:sz w:val="21"/>
                <w:szCs w:val="21"/>
              </w:rPr>
              <w:t>0.79%</w:t>
            </w:r>
          </w:p>
        </w:tc>
        <w:tc>
          <w:tcPr>
            <w:tcW w:w="550" w:type="pct"/>
            <w:tcBorders>
              <w:top w:val="single" w:sz="8" w:space="0" w:color="000000"/>
              <w:left w:val="single" w:sz="8" w:space="0" w:color="000000"/>
              <w:bottom w:val="single" w:sz="8" w:space="0" w:color="000000"/>
              <w:right w:val="single" w:sz="8" w:space="0" w:color="000000"/>
            </w:tcBorders>
            <w:vAlign w:val="center"/>
          </w:tcPr>
          <w:p w14:paraId="1DE4D491" w14:textId="77777777" w:rsidR="009214AE" w:rsidRDefault="00C66335">
            <w:pPr>
              <w:pStyle w:val="biaogecenter"/>
              <w:wordWrap w:val="0"/>
              <w:rPr>
                <w:sz w:val="21"/>
                <w:szCs w:val="21"/>
              </w:rPr>
            </w:pPr>
            <w:r>
              <w:rPr>
                <w:rFonts w:hint="eastAsia"/>
                <w:sz w:val="21"/>
                <w:szCs w:val="21"/>
              </w:rPr>
              <w:t>-11.47%</w:t>
            </w:r>
          </w:p>
        </w:tc>
        <w:tc>
          <w:tcPr>
            <w:tcW w:w="458" w:type="pct"/>
            <w:tcBorders>
              <w:top w:val="single" w:sz="8" w:space="0" w:color="000000"/>
              <w:left w:val="single" w:sz="8" w:space="0" w:color="000000"/>
              <w:bottom w:val="single" w:sz="8" w:space="0" w:color="000000"/>
              <w:right w:val="single" w:sz="8" w:space="0" w:color="000000"/>
            </w:tcBorders>
            <w:vAlign w:val="center"/>
          </w:tcPr>
          <w:p w14:paraId="6EBB937E" w14:textId="77777777" w:rsidR="009214AE" w:rsidRDefault="00C66335">
            <w:pPr>
              <w:pStyle w:val="biaogecenter"/>
              <w:wordWrap w:val="0"/>
              <w:rPr>
                <w:sz w:val="21"/>
                <w:szCs w:val="21"/>
              </w:rPr>
            </w:pPr>
            <w:r>
              <w:rPr>
                <w:rFonts w:hint="eastAsia"/>
                <w:sz w:val="21"/>
                <w:szCs w:val="21"/>
              </w:rPr>
              <w:t>-0.11%</w:t>
            </w:r>
          </w:p>
        </w:tc>
      </w:tr>
      <w:tr w:rsidR="009214AE" w14:paraId="5F7B5633" w14:textId="77777777">
        <w:tc>
          <w:tcPr>
            <w:tcW w:w="1583" w:type="pct"/>
            <w:tcBorders>
              <w:top w:val="single" w:sz="8" w:space="0" w:color="000000"/>
              <w:left w:val="single" w:sz="8" w:space="0" w:color="000000"/>
              <w:bottom w:val="single" w:sz="8" w:space="0" w:color="000000"/>
              <w:right w:val="single" w:sz="8" w:space="0" w:color="000000"/>
            </w:tcBorders>
            <w:vAlign w:val="center"/>
          </w:tcPr>
          <w:p w14:paraId="48C709EA" w14:textId="77777777" w:rsidR="009214AE" w:rsidRDefault="00C66335">
            <w:pPr>
              <w:pStyle w:val="biaogeleft"/>
              <w:wordWrap w:val="0"/>
              <w:rPr>
                <w:rFonts w:asciiTheme="minorEastAsia" w:hAnsiTheme="minorEastAsia"/>
                <w:bCs/>
                <w:sz w:val="21"/>
                <w:szCs w:val="21"/>
              </w:rPr>
            </w:pPr>
            <w:r>
              <w:rPr>
                <w:rFonts w:asciiTheme="minorEastAsia" w:hAnsiTheme="minorEastAsia" w:hint="eastAsia"/>
                <w:bCs/>
                <w:sz w:val="21"/>
                <w:szCs w:val="21"/>
              </w:rPr>
              <w:t>2023.1.1~2023.12.31</w:t>
            </w:r>
          </w:p>
        </w:tc>
        <w:tc>
          <w:tcPr>
            <w:tcW w:w="623" w:type="pct"/>
            <w:tcBorders>
              <w:top w:val="single" w:sz="8" w:space="0" w:color="000000"/>
              <w:left w:val="single" w:sz="8" w:space="0" w:color="000000"/>
              <w:bottom w:val="single" w:sz="8" w:space="0" w:color="000000"/>
              <w:right w:val="single" w:sz="8" w:space="0" w:color="000000"/>
            </w:tcBorders>
          </w:tcPr>
          <w:p w14:paraId="16D43877" w14:textId="77777777" w:rsidR="009214AE" w:rsidRDefault="00C66335">
            <w:pPr>
              <w:pStyle w:val="biaogecenter"/>
              <w:wordWrap w:val="0"/>
              <w:rPr>
                <w:sz w:val="21"/>
                <w:szCs w:val="21"/>
              </w:rPr>
            </w:pPr>
            <w:r>
              <w:rPr>
                <w:sz w:val="21"/>
                <w:szCs w:val="21"/>
              </w:rPr>
              <w:t>-13.46%</w:t>
            </w:r>
          </w:p>
        </w:tc>
        <w:tc>
          <w:tcPr>
            <w:tcW w:w="616" w:type="pct"/>
            <w:tcBorders>
              <w:top w:val="single" w:sz="8" w:space="0" w:color="000000"/>
              <w:left w:val="single" w:sz="8" w:space="0" w:color="000000"/>
              <w:bottom w:val="single" w:sz="8" w:space="0" w:color="000000"/>
              <w:right w:val="single" w:sz="8" w:space="0" w:color="000000"/>
            </w:tcBorders>
          </w:tcPr>
          <w:p w14:paraId="6686FAA1" w14:textId="77777777" w:rsidR="009214AE" w:rsidRDefault="00C66335">
            <w:pPr>
              <w:pStyle w:val="biaogecenter"/>
              <w:wordWrap w:val="0"/>
              <w:rPr>
                <w:sz w:val="21"/>
                <w:szCs w:val="21"/>
              </w:rPr>
            </w:pPr>
            <w:r>
              <w:rPr>
                <w:sz w:val="21"/>
                <w:szCs w:val="21"/>
              </w:rPr>
              <w:t>0.76%</w:t>
            </w:r>
          </w:p>
        </w:tc>
        <w:tc>
          <w:tcPr>
            <w:tcW w:w="550" w:type="pct"/>
            <w:tcBorders>
              <w:top w:val="single" w:sz="8" w:space="0" w:color="000000"/>
              <w:left w:val="single" w:sz="8" w:space="0" w:color="000000"/>
              <w:bottom w:val="single" w:sz="8" w:space="0" w:color="000000"/>
              <w:right w:val="single" w:sz="8" w:space="0" w:color="000000"/>
            </w:tcBorders>
          </w:tcPr>
          <w:p w14:paraId="6349E4AD" w14:textId="77777777" w:rsidR="009214AE" w:rsidRDefault="00C66335">
            <w:pPr>
              <w:pStyle w:val="biaogecenter"/>
              <w:wordWrap w:val="0"/>
              <w:rPr>
                <w:sz w:val="21"/>
                <w:szCs w:val="21"/>
              </w:rPr>
            </w:pPr>
            <w:r>
              <w:rPr>
                <w:sz w:val="21"/>
                <w:szCs w:val="21"/>
              </w:rPr>
              <w:t>-4.50%</w:t>
            </w:r>
          </w:p>
        </w:tc>
        <w:tc>
          <w:tcPr>
            <w:tcW w:w="620" w:type="pct"/>
            <w:tcBorders>
              <w:top w:val="single" w:sz="8" w:space="0" w:color="000000"/>
              <w:left w:val="single" w:sz="8" w:space="0" w:color="000000"/>
              <w:bottom w:val="single" w:sz="8" w:space="0" w:color="000000"/>
              <w:right w:val="single" w:sz="8" w:space="0" w:color="000000"/>
            </w:tcBorders>
          </w:tcPr>
          <w:p w14:paraId="24D6BA29" w14:textId="77777777" w:rsidR="009214AE" w:rsidRDefault="00C66335">
            <w:pPr>
              <w:pStyle w:val="biaogecenter"/>
              <w:wordWrap w:val="0"/>
              <w:rPr>
                <w:sz w:val="21"/>
                <w:szCs w:val="21"/>
              </w:rPr>
            </w:pPr>
            <w:r>
              <w:rPr>
                <w:sz w:val="21"/>
                <w:szCs w:val="21"/>
              </w:rPr>
              <w:t>0.57%</w:t>
            </w:r>
          </w:p>
        </w:tc>
        <w:tc>
          <w:tcPr>
            <w:tcW w:w="550" w:type="pct"/>
            <w:tcBorders>
              <w:top w:val="single" w:sz="8" w:space="0" w:color="000000"/>
              <w:left w:val="single" w:sz="8" w:space="0" w:color="000000"/>
              <w:bottom w:val="single" w:sz="8" w:space="0" w:color="000000"/>
              <w:right w:val="single" w:sz="8" w:space="0" w:color="000000"/>
            </w:tcBorders>
          </w:tcPr>
          <w:p w14:paraId="5CB06D4B" w14:textId="77777777" w:rsidR="009214AE" w:rsidRDefault="00C66335">
            <w:pPr>
              <w:pStyle w:val="biaogecenter"/>
              <w:wordWrap w:val="0"/>
              <w:rPr>
                <w:sz w:val="21"/>
                <w:szCs w:val="21"/>
              </w:rPr>
            </w:pPr>
            <w:r>
              <w:rPr>
                <w:sz w:val="21"/>
                <w:szCs w:val="21"/>
              </w:rPr>
              <w:t>-8.96%</w:t>
            </w:r>
          </w:p>
        </w:tc>
        <w:tc>
          <w:tcPr>
            <w:tcW w:w="458" w:type="pct"/>
            <w:tcBorders>
              <w:top w:val="single" w:sz="8" w:space="0" w:color="000000"/>
              <w:left w:val="single" w:sz="8" w:space="0" w:color="000000"/>
              <w:bottom w:val="single" w:sz="8" w:space="0" w:color="000000"/>
              <w:right w:val="single" w:sz="8" w:space="0" w:color="000000"/>
            </w:tcBorders>
          </w:tcPr>
          <w:p w14:paraId="775DAB23" w14:textId="77777777" w:rsidR="009214AE" w:rsidRDefault="00C66335">
            <w:pPr>
              <w:pStyle w:val="biaogecenter"/>
              <w:wordWrap w:val="0"/>
              <w:rPr>
                <w:sz w:val="21"/>
                <w:szCs w:val="21"/>
              </w:rPr>
            </w:pPr>
            <w:r>
              <w:rPr>
                <w:sz w:val="21"/>
                <w:szCs w:val="21"/>
              </w:rPr>
              <w:t>0.19%</w:t>
            </w:r>
          </w:p>
        </w:tc>
      </w:tr>
      <w:tr w:rsidR="009214AE" w14:paraId="6031A80A" w14:textId="77777777">
        <w:tc>
          <w:tcPr>
            <w:tcW w:w="1583" w:type="pct"/>
            <w:tcBorders>
              <w:top w:val="single" w:sz="8" w:space="0" w:color="000000"/>
              <w:left w:val="single" w:sz="8" w:space="0" w:color="000000"/>
              <w:bottom w:val="single" w:sz="6" w:space="0" w:color="000000"/>
              <w:right w:val="single" w:sz="8" w:space="0" w:color="000000"/>
            </w:tcBorders>
            <w:vAlign w:val="center"/>
          </w:tcPr>
          <w:p w14:paraId="19A6BF5E" w14:textId="77777777" w:rsidR="009214AE" w:rsidRDefault="00C66335">
            <w:pPr>
              <w:pStyle w:val="biaogeleft"/>
              <w:wordWrap w:val="0"/>
              <w:rPr>
                <w:rFonts w:asciiTheme="minorEastAsia" w:hAnsiTheme="minorEastAsia"/>
                <w:bCs/>
                <w:sz w:val="21"/>
                <w:szCs w:val="21"/>
              </w:rPr>
            </w:pPr>
            <w:r>
              <w:rPr>
                <w:rFonts w:asciiTheme="minorEastAsia" w:hAnsiTheme="minorEastAsia" w:hint="eastAsia"/>
                <w:bCs/>
                <w:sz w:val="21"/>
                <w:szCs w:val="21"/>
              </w:rPr>
              <w:t>自基金合同生效日至2023.12.31</w:t>
            </w:r>
          </w:p>
        </w:tc>
        <w:tc>
          <w:tcPr>
            <w:tcW w:w="623" w:type="pct"/>
            <w:tcBorders>
              <w:top w:val="single" w:sz="8" w:space="0" w:color="000000"/>
              <w:left w:val="single" w:sz="8" w:space="0" w:color="000000"/>
              <w:bottom w:val="single" w:sz="6" w:space="0" w:color="000000"/>
              <w:right w:val="single" w:sz="8" w:space="0" w:color="000000"/>
            </w:tcBorders>
          </w:tcPr>
          <w:p w14:paraId="2D082EA6"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-21.26%</w:t>
            </w:r>
          </w:p>
        </w:tc>
        <w:tc>
          <w:tcPr>
            <w:tcW w:w="616" w:type="pct"/>
            <w:tcBorders>
              <w:top w:val="single" w:sz="8" w:space="0" w:color="000000"/>
              <w:left w:val="single" w:sz="8" w:space="0" w:color="000000"/>
              <w:bottom w:val="single" w:sz="6" w:space="0" w:color="000000"/>
              <w:right w:val="single" w:sz="8" w:space="0" w:color="000000"/>
            </w:tcBorders>
          </w:tcPr>
          <w:p w14:paraId="2DF2644E"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0.73%</w:t>
            </w:r>
          </w:p>
        </w:tc>
        <w:tc>
          <w:tcPr>
            <w:tcW w:w="550" w:type="pct"/>
            <w:tcBorders>
              <w:top w:val="single" w:sz="8" w:space="0" w:color="000000"/>
              <w:left w:val="single" w:sz="8" w:space="0" w:color="000000"/>
              <w:bottom w:val="single" w:sz="6" w:space="0" w:color="000000"/>
              <w:right w:val="single" w:sz="8" w:space="0" w:color="000000"/>
            </w:tcBorders>
          </w:tcPr>
          <w:p w14:paraId="46FEE18C"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-2.15%</w:t>
            </w:r>
          </w:p>
        </w:tc>
        <w:tc>
          <w:tcPr>
            <w:tcW w:w="620" w:type="pct"/>
            <w:tcBorders>
              <w:top w:val="single" w:sz="8" w:space="0" w:color="000000"/>
              <w:left w:val="single" w:sz="8" w:space="0" w:color="000000"/>
              <w:bottom w:val="single" w:sz="6" w:space="0" w:color="000000"/>
              <w:right w:val="single" w:sz="8" w:space="0" w:color="000000"/>
            </w:tcBorders>
          </w:tcPr>
          <w:p w14:paraId="3B1F9033"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0.67%</w:t>
            </w:r>
          </w:p>
        </w:tc>
        <w:tc>
          <w:tcPr>
            <w:tcW w:w="550" w:type="pct"/>
            <w:tcBorders>
              <w:top w:val="single" w:sz="8" w:space="0" w:color="000000"/>
              <w:left w:val="single" w:sz="8" w:space="0" w:color="000000"/>
              <w:bottom w:val="single" w:sz="6" w:space="0" w:color="000000"/>
              <w:right w:val="single" w:sz="8" w:space="0" w:color="000000"/>
            </w:tcBorders>
          </w:tcPr>
          <w:p w14:paraId="44EBD449"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-19.11%</w:t>
            </w:r>
          </w:p>
        </w:tc>
        <w:tc>
          <w:tcPr>
            <w:tcW w:w="458" w:type="pct"/>
            <w:tcBorders>
              <w:top w:val="single" w:sz="8" w:space="0" w:color="000000"/>
              <w:left w:val="single" w:sz="8" w:space="0" w:color="000000"/>
              <w:bottom w:val="single" w:sz="6" w:space="0" w:color="000000"/>
              <w:right w:val="single" w:sz="8" w:space="0" w:color="000000"/>
            </w:tcBorders>
          </w:tcPr>
          <w:p w14:paraId="263BD39B"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0.06%</w:t>
            </w:r>
          </w:p>
        </w:tc>
      </w:tr>
    </w:tbl>
    <w:p w14:paraId="6C087374" w14:textId="77777777" w:rsidR="009214AE" w:rsidRDefault="009214AE">
      <w:pPr>
        <w:pStyle w:val="biaogeleft"/>
        <w:rPr>
          <w:rFonts w:asciiTheme="minorEastAsia" w:hAnsiTheme="minorEastAsia"/>
          <w:b/>
        </w:rPr>
      </w:pPr>
    </w:p>
    <w:p w14:paraId="1B421198" w14:textId="77777777" w:rsidR="009214AE" w:rsidRDefault="00C66335">
      <w:pPr>
        <w:pStyle w:val="biaogeleft"/>
      </w:pPr>
      <w:r>
        <w:rPr>
          <w:rFonts w:asciiTheme="minorEastAsia" w:hAnsiTheme="minorEastAsia" w:hint="eastAsia"/>
          <w:b/>
        </w:rPr>
        <w:t>（2）</w:t>
      </w:r>
      <w:r>
        <w:rPr>
          <w:rFonts w:hint="eastAsia"/>
        </w:rPr>
        <w:t>富荣量化精选混合发起C净值表现（基金代码：014557）</w:t>
      </w:r>
    </w:p>
    <w:tbl>
      <w:tblPr>
        <w:tblW w:w="10200" w:type="dxa"/>
        <w:tblInd w:w="-720" w:type="dxa"/>
        <w:tblLook w:val="04A0" w:firstRow="1" w:lastRow="0" w:firstColumn="1" w:lastColumn="0" w:noHBand="0" w:noVBand="1"/>
      </w:tblPr>
      <w:tblGrid>
        <w:gridCol w:w="3239"/>
        <w:gridCol w:w="1257"/>
        <w:gridCol w:w="1258"/>
        <w:gridCol w:w="1119"/>
        <w:gridCol w:w="1326"/>
        <w:gridCol w:w="1051"/>
        <w:gridCol w:w="950"/>
      </w:tblGrid>
      <w:tr w:rsidR="009214AE" w14:paraId="5837D0B4" w14:textId="77777777">
        <w:tc>
          <w:tcPr>
            <w:tcW w:w="3239" w:type="dxa"/>
            <w:tcBorders>
              <w:top w:val="single" w:sz="8" w:space="0" w:color="000000"/>
              <w:left w:val="single" w:sz="8" w:space="0" w:color="000000"/>
              <w:bottom w:val="single" w:sz="6" w:space="0" w:color="000000"/>
              <w:right w:val="single" w:sz="8" w:space="0" w:color="000000"/>
            </w:tcBorders>
            <w:vAlign w:val="center"/>
          </w:tcPr>
          <w:p w14:paraId="50A9AFC9" w14:textId="77777777" w:rsidR="009214AE" w:rsidRDefault="00C66335">
            <w:pPr>
              <w:pStyle w:val="biaogeleft"/>
              <w:wordWrap w:val="0"/>
            </w:pPr>
            <w:r>
              <w:rPr>
                <w:rFonts w:hint="eastAsia"/>
              </w:rPr>
              <w:t>阶段</w:t>
            </w:r>
          </w:p>
        </w:tc>
        <w:tc>
          <w:tcPr>
            <w:tcW w:w="1257" w:type="dxa"/>
            <w:tcBorders>
              <w:top w:val="single" w:sz="8" w:space="0" w:color="000000"/>
              <w:left w:val="single" w:sz="8" w:space="0" w:color="000000"/>
              <w:bottom w:val="single" w:sz="6" w:space="0" w:color="000000"/>
              <w:right w:val="single" w:sz="8" w:space="0" w:color="000000"/>
            </w:tcBorders>
            <w:vAlign w:val="center"/>
          </w:tcPr>
          <w:p w14:paraId="18C99B5F" w14:textId="77777777" w:rsidR="009214AE" w:rsidRDefault="00C66335">
            <w:pPr>
              <w:pStyle w:val="biaogecenter"/>
              <w:wordWrap w:val="0"/>
            </w:pPr>
            <w:r>
              <w:rPr>
                <w:rFonts w:hint="eastAsia"/>
              </w:rPr>
              <w:t>净值增长率①</w:t>
            </w:r>
          </w:p>
        </w:tc>
        <w:tc>
          <w:tcPr>
            <w:tcW w:w="1258" w:type="dxa"/>
            <w:tcBorders>
              <w:top w:val="single" w:sz="8" w:space="0" w:color="000000"/>
              <w:left w:val="single" w:sz="8" w:space="0" w:color="000000"/>
              <w:bottom w:val="single" w:sz="6" w:space="0" w:color="000000"/>
              <w:right w:val="single" w:sz="8" w:space="0" w:color="000000"/>
            </w:tcBorders>
            <w:vAlign w:val="center"/>
          </w:tcPr>
          <w:p w14:paraId="095A4DD4" w14:textId="77777777" w:rsidR="009214AE" w:rsidRDefault="00C66335">
            <w:pPr>
              <w:pStyle w:val="biaogecenter"/>
              <w:wordWrap w:val="0"/>
            </w:pPr>
            <w:r>
              <w:rPr>
                <w:rFonts w:hint="eastAsia"/>
              </w:rPr>
              <w:t>净值增长率标准差②</w:t>
            </w:r>
          </w:p>
        </w:tc>
        <w:tc>
          <w:tcPr>
            <w:tcW w:w="1119" w:type="dxa"/>
            <w:tcBorders>
              <w:top w:val="single" w:sz="8" w:space="0" w:color="000000"/>
              <w:left w:val="single" w:sz="8" w:space="0" w:color="000000"/>
              <w:bottom w:val="single" w:sz="6" w:space="0" w:color="000000"/>
              <w:right w:val="single" w:sz="8" w:space="0" w:color="000000"/>
            </w:tcBorders>
            <w:vAlign w:val="center"/>
          </w:tcPr>
          <w:p w14:paraId="686867F9" w14:textId="77777777" w:rsidR="009214AE" w:rsidRDefault="00C66335">
            <w:pPr>
              <w:pStyle w:val="biaogecenter"/>
              <w:wordWrap w:val="0"/>
            </w:pPr>
            <w:r>
              <w:rPr>
                <w:rFonts w:hint="eastAsia"/>
              </w:rPr>
              <w:t>业绩比较基准收益率③</w:t>
            </w:r>
          </w:p>
        </w:tc>
        <w:tc>
          <w:tcPr>
            <w:tcW w:w="1326" w:type="dxa"/>
            <w:tcBorders>
              <w:top w:val="single" w:sz="8" w:space="0" w:color="000000"/>
              <w:left w:val="single" w:sz="8" w:space="0" w:color="000000"/>
              <w:bottom w:val="single" w:sz="6" w:space="0" w:color="000000"/>
              <w:right w:val="single" w:sz="8" w:space="0" w:color="000000"/>
            </w:tcBorders>
            <w:vAlign w:val="center"/>
          </w:tcPr>
          <w:p w14:paraId="0869B0E0" w14:textId="77777777" w:rsidR="009214AE" w:rsidRDefault="00C66335">
            <w:pPr>
              <w:pStyle w:val="biaogecenter"/>
              <w:wordWrap w:val="0"/>
            </w:pPr>
            <w:r>
              <w:rPr>
                <w:rFonts w:hint="eastAsia"/>
              </w:rPr>
              <w:t>业绩比较基准收益率标准差④</w:t>
            </w:r>
          </w:p>
        </w:tc>
        <w:tc>
          <w:tcPr>
            <w:tcW w:w="1051" w:type="dxa"/>
            <w:tcBorders>
              <w:top w:val="single" w:sz="8" w:space="0" w:color="000000"/>
              <w:left w:val="single" w:sz="8" w:space="0" w:color="000000"/>
              <w:bottom w:val="single" w:sz="6" w:space="0" w:color="000000"/>
              <w:right w:val="single" w:sz="8" w:space="0" w:color="000000"/>
            </w:tcBorders>
            <w:vAlign w:val="center"/>
          </w:tcPr>
          <w:p w14:paraId="59B326B0" w14:textId="77777777" w:rsidR="009214AE" w:rsidRDefault="00C66335">
            <w:pPr>
              <w:pStyle w:val="biaogecenter"/>
              <w:wordWrap w:val="0"/>
            </w:pPr>
            <w:r>
              <w:rPr>
                <w:rFonts w:hint="eastAsia"/>
              </w:rPr>
              <w:t>①-③</w:t>
            </w:r>
          </w:p>
        </w:tc>
        <w:tc>
          <w:tcPr>
            <w:tcW w:w="950" w:type="dxa"/>
            <w:tcBorders>
              <w:top w:val="single" w:sz="8" w:space="0" w:color="000000"/>
              <w:left w:val="single" w:sz="8" w:space="0" w:color="000000"/>
              <w:bottom w:val="single" w:sz="6" w:space="0" w:color="000000"/>
              <w:right w:val="single" w:sz="8" w:space="0" w:color="000000"/>
            </w:tcBorders>
            <w:vAlign w:val="center"/>
          </w:tcPr>
          <w:p w14:paraId="48E0194F" w14:textId="77777777" w:rsidR="009214AE" w:rsidRDefault="00C66335">
            <w:pPr>
              <w:pStyle w:val="biaogecenter"/>
              <w:wordWrap w:val="0"/>
            </w:pPr>
            <w:r>
              <w:rPr>
                <w:rFonts w:hint="eastAsia"/>
              </w:rPr>
              <w:t>②-④</w:t>
            </w:r>
          </w:p>
        </w:tc>
      </w:tr>
      <w:tr w:rsidR="009214AE" w14:paraId="19A2B5E8" w14:textId="77777777">
        <w:tc>
          <w:tcPr>
            <w:tcW w:w="3239" w:type="dxa"/>
            <w:tcBorders>
              <w:top w:val="single" w:sz="8" w:space="0" w:color="000000"/>
              <w:left w:val="single" w:sz="8" w:space="0" w:color="000000"/>
              <w:bottom w:val="single" w:sz="8" w:space="0" w:color="000000"/>
              <w:right w:val="single" w:sz="8" w:space="0" w:color="000000"/>
            </w:tcBorders>
            <w:vAlign w:val="center"/>
          </w:tcPr>
          <w:p w14:paraId="704E5D88" w14:textId="77777777" w:rsidR="009214AE" w:rsidRDefault="00C66335">
            <w:pPr>
              <w:pStyle w:val="biaogeleft"/>
            </w:pPr>
            <w:r>
              <w:rPr>
                <w:rFonts w:asciiTheme="minorEastAsia" w:hAnsiTheme="minorEastAsia" w:hint="eastAsia"/>
                <w:bCs/>
                <w:sz w:val="21"/>
                <w:szCs w:val="21"/>
              </w:rPr>
              <w:t>2022.5.6~2022.12.31</w:t>
            </w:r>
          </w:p>
        </w:tc>
        <w:tc>
          <w:tcPr>
            <w:tcW w:w="1257" w:type="dxa"/>
            <w:tcBorders>
              <w:top w:val="single" w:sz="8" w:space="0" w:color="000000"/>
              <w:left w:val="single" w:sz="8" w:space="0" w:color="000000"/>
              <w:bottom w:val="single" w:sz="8" w:space="0" w:color="000000"/>
              <w:right w:val="single" w:sz="8" w:space="0" w:color="000000"/>
            </w:tcBorders>
            <w:vAlign w:val="center"/>
          </w:tcPr>
          <w:p w14:paraId="096729F0" w14:textId="77777777" w:rsidR="009214AE" w:rsidRDefault="00C66335">
            <w:pPr>
              <w:pStyle w:val="biaogecenter"/>
              <w:wordWrap w:val="0"/>
              <w:rPr>
                <w:sz w:val="21"/>
                <w:szCs w:val="21"/>
              </w:rPr>
            </w:pPr>
            <w:r>
              <w:rPr>
                <w:rFonts w:hint="eastAsia"/>
                <w:sz w:val="21"/>
                <w:szCs w:val="21"/>
              </w:rPr>
              <w:t>-9.25%</w:t>
            </w:r>
          </w:p>
        </w:tc>
        <w:tc>
          <w:tcPr>
            <w:tcW w:w="1258" w:type="dxa"/>
            <w:tcBorders>
              <w:top w:val="single" w:sz="8" w:space="0" w:color="000000"/>
              <w:left w:val="single" w:sz="8" w:space="0" w:color="000000"/>
              <w:bottom w:val="single" w:sz="8" w:space="0" w:color="000000"/>
              <w:right w:val="single" w:sz="8" w:space="0" w:color="000000"/>
            </w:tcBorders>
            <w:vAlign w:val="center"/>
          </w:tcPr>
          <w:p w14:paraId="55C095A8" w14:textId="77777777" w:rsidR="009214AE" w:rsidRDefault="00C66335">
            <w:pPr>
              <w:pStyle w:val="biaogecenter"/>
              <w:wordWrap w:val="0"/>
              <w:rPr>
                <w:sz w:val="21"/>
                <w:szCs w:val="21"/>
              </w:rPr>
            </w:pPr>
            <w:r>
              <w:rPr>
                <w:rFonts w:hint="eastAsia"/>
                <w:sz w:val="21"/>
                <w:szCs w:val="21"/>
              </w:rPr>
              <w:t>0.68%</w:t>
            </w:r>
          </w:p>
        </w:tc>
        <w:tc>
          <w:tcPr>
            <w:tcW w:w="1119" w:type="dxa"/>
            <w:tcBorders>
              <w:top w:val="single" w:sz="8" w:space="0" w:color="000000"/>
              <w:left w:val="single" w:sz="8" w:space="0" w:color="000000"/>
              <w:bottom w:val="single" w:sz="8" w:space="0" w:color="000000"/>
              <w:right w:val="single" w:sz="8" w:space="0" w:color="000000"/>
            </w:tcBorders>
            <w:vAlign w:val="center"/>
          </w:tcPr>
          <w:p w14:paraId="583A3415" w14:textId="77777777" w:rsidR="009214AE" w:rsidRDefault="00C66335">
            <w:pPr>
              <w:pStyle w:val="biaogecenter"/>
              <w:wordWrap w:val="0"/>
              <w:rPr>
                <w:sz w:val="21"/>
                <w:szCs w:val="21"/>
              </w:rPr>
            </w:pPr>
            <w:r>
              <w:rPr>
                <w:rFonts w:hint="eastAsia"/>
                <w:sz w:val="21"/>
                <w:szCs w:val="21"/>
              </w:rPr>
              <w:t>2.46%</w:t>
            </w:r>
          </w:p>
        </w:tc>
        <w:tc>
          <w:tcPr>
            <w:tcW w:w="1326" w:type="dxa"/>
            <w:tcBorders>
              <w:top w:val="single" w:sz="8" w:space="0" w:color="000000"/>
              <w:left w:val="single" w:sz="8" w:space="0" w:color="000000"/>
              <w:bottom w:val="single" w:sz="8" w:space="0" w:color="000000"/>
              <w:right w:val="single" w:sz="8" w:space="0" w:color="000000"/>
            </w:tcBorders>
            <w:vAlign w:val="center"/>
          </w:tcPr>
          <w:p w14:paraId="4BECF29A" w14:textId="77777777" w:rsidR="009214AE" w:rsidRDefault="00C66335">
            <w:pPr>
              <w:pStyle w:val="biaogecenter"/>
              <w:wordWrap w:val="0"/>
              <w:jc w:val="both"/>
              <w:rPr>
                <w:sz w:val="21"/>
                <w:szCs w:val="21"/>
              </w:rPr>
            </w:pPr>
            <w:r>
              <w:rPr>
                <w:rFonts w:hint="eastAsia"/>
                <w:sz w:val="21"/>
                <w:szCs w:val="21"/>
              </w:rPr>
              <w:t>0.79%</w:t>
            </w:r>
          </w:p>
        </w:tc>
        <w:tc>
          <w:tcPr>
            <w:tcW w:w="1051" w:type="dxa"/>
            <w:tcBorders>
              <w:top w:val="single" w:sz="8" w:space="0" w:color="000000"/>
              <w:left w:val="single" w:sz="8" w:space="0" w:color="000000"/>
              <w:bottom w:val="single" w:sz="8" w:space="0" w:color="000000"/>
              <w:right w:val="single" w:sz="8" w:space="0" w:color="000000"/>
            </w:tcBorders>
            <w:vAlign w:val="center"/>
          </w:tcPr>
          <w:p w14:paraId="5C23EA24" w14:textId="77777777" w:rsidR="009214AE" w:rsidRDefault="00C66335">
            <w:pPr>
              <w:pStyle w:val="biaogecenter"/>
              <w:wordWrap w:val="0"/>
              <w:rPr>
                <w:sz w:val="21"/>
                <w:szCs w:val="21"/>
              </w:rPr>
            </w:pPr>
            <w:r>
              <w:rPr>
                <w:rFonts w:hint="eastAsia"/>
                <w:sz w:val="21"/>
                <w:szCs w:val="21"/>
              </w:rPr>
              <w:t>-11.71%</w:t>
            </w:r>
          </w:p>
        </w:tc>
        <w:tc>
          <w:tcPr>
            <w:tcW w:w="950" w:type="dxa"/>
            <w:tcBorders>
              <w:top w:val="single" w:sz="8" w:space="0" w:color="000000"/>
              <w:left w:val="single" w:sz="8" w:space="0" w:color="000000"/>
              <w:bottom w:val="single" w:sz="8" w:space="0" w:color="000000"/>
              <w:right w:val="single" w:sz="8" w:space="0" w:color="000000"/>
            </w:tcBorders>
            <w:vAlign w:val="center"/>
          </w:tcPr>
          <w:p w14:paraId="68DA4C01" w14:textId="77777777" w:rsidR="009214AE" w:rsidRDefault="00C66335">
            <w:pPr>
              <w:pStyle w:val="biaogecenter"/>
              <w:wordWrap w:val="0"/>
              <w:rPr>
                <w:sz w:val="21"/>
                <w:szCs w:val="21"/>
              </w:rPr>
            </w:pPr>
            <w:r>
              <w:rPr>
                <w:rFonts w:hint="eastAsia"/>
                <w:sz w:val="21"/>
                <w:szCs w:val="21"/>
              </w:rPr>
              <w:t>-0.11%</w:t>
            </w:r>
          </w:p>
        </w:tc>
      </w:tr>
      <w:tr w:rsidR="009214AE" w14:paraId="063F6631" w14:textId="77777777">
        <w:tc>
          <w:tcPr>
            <w:tcW w:w="3239" w:type="dxa"/>
            <w:tcBorders>
              <w:top w:val="single" w:sz="8" w:space="0" w:color="000000"/>
              <w:left w:val="single" w:sz="8" w:space="0" w:color="000000"/>
              <w:bottom w:val="single" w:sz="8" w:space="0" w:color="000000"/>
              <w:right w:val="single" w:sz="8" w:space="0" w:color="000000"/>
            </w:tcBorders>
            <w:vAlign w:val="center"/>
          </w:tcPr>
          <w:p w14:paraId="12293C35" w14:textId="77777777" w:rsidR="009214AE" w:rsidRDefault="00C66335">
            <w:pPr>
              <w:pStyle w:val="biaogeleft"/>
              <w:rPr>
                <w:rFonts w:asciiTheme="minorEastAsia" w:hAnsiTheme="minorEastAsia"/>
                <w:bCs/>
                <w:sz w:val="21"/>
                <w:szCs w:val="21"/>
              </w:rPr>
            </w:pPr>
            <w:r>
              <w:rPr>
                <w:rFonts w:asciiTheme="minorEastAsia" w:hAnsiTheme="minorEastAsia" w:hint="eastAsia"/>
                <w:bCs/>
                <w:sz w:val="21"/>
                <w:szCs w:val="21"/>
              </w:rPr>
              <w:t>2023.1.1~2023.12.31</w:t>
            </w:r>
          </w:p>
        </w:tc>
        <w:tc>
          <w:tcPr>
            <w:tcW w:w="1257" w:type="dxa"/>
            <w:tcBorders>
              <w:top w:val="single" w:sz="8" w:space="0" w:color="000000"/>
              <w:left w:val="single" w:sz="8" w:space="0" w:color="000000"/>
              <w:bottom w:val="single" w:sz="8" w:space="0" w:color="000000"/>
              <w:right w:val="single" w:sz="8" w:space="0" w:color="000000"/>
            </w:tcBorders>
            <w:vAlign w:val="center"/>
          </w:tcPr>
          <w:p w14:paraId="52F77633" w14:textId="77777777" w:rsidR="009214AE" w:rsidRDefault="00C66335">
            <w:pPr>
              <w:pStyle w:val="biaogecenter"/>
              <w:wordWrap w:val="0"/>
              <w:rPr>
                <w:sz w:val="21"/>
                <w:szCs w:val="21"/>
              </w:rPr>
            </w:pPr>
            <w:r>
              <w:rPr>
                <w:rFonts w:hAnsi="等线"/>
                <w:color w:val="000000"/>
                <w:sz w:val="21"/>
                <w:szCs w:val="21"/>
              </w:rPr>
              <w:t>-13.82%</w:t>
            </w:r>
          </w:p>
        </w:tc>
        <w:tc>
          <w:tcPr>
            <w:tcW w:w="1258" w:type="dxa"/>
            <w:tcBorders>
              <w:top w:val="single" w:sz="8" w:space="0" w:color="000000"/>
              <w:left w:val="single" w:sz="8" w:space="0" w:color="000000"/>
              <w:bottom w:val="single" w:sz="8" w:space="0" w:color="000000"/>
              <w:right w:val="single" w:sz="8" w:space="0" w:color="000000"/>
            </w:tcBorders>
            <w:vAlign w:val="center"/>
          </w:tcPr>
          <w:p w14:paraId="7A7E5E29" w14:textId="77777777" w:rsidR="009214AE" w:rsidRDefault="00C66335">
            <w:pPr>
              <w:pStyle w:val="biaogecenter"/>
              <w:wordWrap w:val="0"/>
              <w:rPr>
                <w:sz w:val="21"/>
                <w:szCs w:val="21"/>
              </w:rPr>
            </w:pPr>
            <w:r>
              <w:rPr>
                <w:rFonts w:hAnsi="等线"/>
                <w:color w:val="000000"/>
                <w:sz w:val="21"/>
                <w:szCs w:val="21"/>
              </w:rPr>
              <w:t>0.76%</w:t>
            </w:r>
          </w:p>
        </w:tc>
        <w:tc>
          <w:tcPr>
            <w:tcW w:w="1119" w:type="dxa"/>
            <w:tcBorders>
              <w:top w:val="single" w:sz="8" w:space="0" w:color="000000"/>
              <w:left w:val="single" w:sz="8" w:space="0" w:color="000000"/>
              <w:bottom w:val="single" w:sz="8" w:space="0" w:color="000000"/>
              <w:right w:val="single" w:sz="8" w:space="0" w:color="000000"/>
            </w:tcBorders>
            <w:vAlign w:val="center"/>
          </w:tcPr>
          <w:p w14:paraId="5CEF50B7" w14:textId="77777777" w:rsidR="009214AE" w:rsidRDefault="00C66335">
            <w:pPr>
              <w:pStyle w:val="biaogecenter"/>
              <w:wordWrap w:val="0"/>
              <w:rPr>
                <w:sz w:val="21"/>
                <w:szCs w:val="21"/>
              </w:rPr>
            </w:pPr>
            <w:r>
              <w:rPr>
                <w:rFonts w:hAnsi="等线"/>
                <w:color w:val="000000"/>
                <w:sz w:val="21"/>
                <w:szCs w:val="21"/>
              </w:rPr>
              <w:t>-4.50%</w:t>
            </w:r>
          </w:p>
        </w:tc>
        <w:tc>
          <w:tcPr>
            <w:tcW w:w="1326" w:type="dxa"/>
            <w:tcBorders>
              <w:top w:val="single" w:sz="8" w:space="0" w:color="000000"/>
              <w:left w:val="single" w:sz="8" w:space="0" w:color="000000"/>
              <w:bottom w:val="single" w:sz="8" w:space="0" w:color="000000"/>
              <w:right w:val="single" w:sz="8" w:space="0" w:color="000000"/>
            </w:tcBorders>
            <w:vAlign w:val="center"/>
          </w:tcPr>
          <w:p w14:paraId="63F86634" w14:textId="77777777" w:rsidR="009214AE" w:rsidRDefault="00C66335">
            <w:pPr>
              <w:pStyle w:val="biaogecenter"/>
              <w:wordWrap w:val="0"/>
              <w:jc w:val="both"/>
              <w:rPr>
                <w:sz w:val="21"/>
                <w:szCs w:val="21"/>
              </w:rPr>
            </w:pPr>
            <w:r>
              <w:rPr>
                <w:rFonts w:hAnsi="等线"/>
                <w:color w:val="000000"/>
                <w:sz w:val="21"/>
                <w:szCs w:val="21"/>
              </w:rPr>
              <w:t>0.57%</w:t>
            </w:r>
          </w:p>
        </w:tc>
        <w:tc>
          <w:tcPr>
            <w:tcW w:w="1051" w:type="dxa"/>
            <w:tcBorders>
              <w:top w:val="single" w:sz="8" w:space="0" w:color="000000"/>
              <w:left w:val="single" w:sz="8" w:space="0" w:color="000000"/>
              <w:bottom w:val="single" w:sz="8" w:space="0" w:color="000000"/>
              <w:right w:val="single" w:sz="8" w:space="0" w:color="000000"/>
            </w:tcBorders>
            <w:vAlign w:val="center"/>
          </w:tcPr>
          <w:p w14:paraId="4B75BE0B" w14:textId="77777777" w:rsidR="009214AE" w:rsidRDefault="00C66335">
            <w:pPr>
              <w:pStyle w:val="biaogecenter"/>
              <w:wordWrap w:val="0"/>
              <w:rPr>
                <w:sz w:val="21"/>
                <w:szCs w:val="21"/>
              </w:rPr>
            </w:pPr>
            <w:r>
              <w:rPr>
                <w:rFonts w:hAnsi="等线"/>
                <w:color w:val="000000"/>
                <w:sz w:val="21"/>
                <w:szCs w:val="21"/>
              </w:rPr>
              <w:t>-9.32%</w:t>
            </w:r>
          </w:p>
        </w:tc>
        <w:tc>
          <w:tcPr>
            <w:tcW w:w="950" w:type="dxa"/>
            <w:tcBorders>
              <w:top w:val="single" w:sz="8" w:space="0" w:color="000000"/>
              <w:left w:val="single" w:sz="8" w:space="0" w:color="000000"/>
              <w:bottom w:val="single" w:sz="8" w:space="0" w:color="000000"/>
              <w:right w:val="single" w:sz="8" w:space="0" w:color="000000"/>
            </w:tcBorders>
            <w:vAlign w:val="center"/>
          </w:tcPr>
          <w:p w14:paraId="7F088E13" w14:textId="77777777" w:rsidR="009214AE" w:rsidRDefault="00C66335">
            <w:pPr>
              <w:pStyle w:val="biaogecenter"/>
              <w:wordWrap w:val="0"/>
              <w:rPr>
                <w:sz w:val="21"/>
                <w:szCs w:val="21"/>
              </w:rPr>
            </w:pPr>
            <w:r>
              <w:rPr>
                <w:rFonts w:hAnsi="等线"/>
                <w:color w:val="000000"/>
                <w:sz w:val="21"/>
                <w:szCs w:val="21"/>
              </w:rPr>
              <w:t>0.19%</w:t>
            </w:r>
          </w:p>
        </w:tc>
      </w:tr>
      <w:tr w:rsidR="009214AE" w14:paraId="73E85A34" w14:textId="77777777">
        <w:tc>
          <w:tcPr>
            <w:tcW w:w="3239" w:type="dxa"/>
            <w:tcBorders>
              <w:top w:val="single" w:sz="8" w:space="0" w:color="000000"/>
              <w:left w:val="single" w:sz="8" w:space="0" w:color="000000"/>
              <w:bottom w:val="single" w:sz="6" w:space="0" w:color="000000"/>
              <w:right w:val="single" w:sz="8" w:space="0" w:color="000000"/>
            </w:tcBorders>
            <w:vAlign w:val="center"/>
          </w:tcPr>
          <w:p w14:paraId="49401FDF" w14:textId="77777777" w:rsidR="009214AE" w:rsidRDefault="00C66335">
            <w:pPr>
              <w:pStyle w:val="biaogeleft"/>
              <w:wordWrap w:val="0"/>
              <w:rPr>
                <w:rFonts w:asciiTheme="minorEastAsia" w:hAnsiTheme="minorEastAsia"/>
                <w:bCs/>
                <w:sz w:val="21"/>
                <w:szCs w:val="21"/>
              </w:rPr>
            </w:pPr>
            <w:r>
              <w:rPr>
                <w:rFonts w:asciiTheme="minorEastAsia" w:hAnsiTheme="minorEastAsia" w:hint="eastAsia"/>
                <w:bCs/>
                <w:sz w:val="21"/>
                <w:szCs w:val="21"/>
              </w:rPr>
              <w:t>自基金合同生效日至2023.12.31</w:t>
            </w:r>
          </w:p>
        </w:tc>
        <w:tc>
          <w:tcPr>
            <w:tcW w:w="1257" w:type="dxa"/>
            <w:tcBorders>
              <w:top w:val="single" w:sz="8" w:space="0" w:color="000000"/>
              <w:left w:val="single" w:sz="8" w:space="0" w:color="000000"/>
              <w:bottom w:val="single" w:sz="6" w:space="0" w:color="000000"/>
              <w:right w:val="single" w:sz="8" w:space="0" w:color="000000"/>
            </w:tcBorders>
          </w:tcPr>
          <w:p w14:paraId="3C137F16"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-21.79%</w:t>
            </w:r>
          </w:p>
        </w:tc>
        <w:tc>
          <w:tcPr>
            <w:tcW w:w="1258" w:type="dxa"/>
            <w:tcBorders>
              <w:top w:val="single" w:sz="8" w:space="0" w:color="000000"/>
              <w:left w:val="single" w:sz="8" w:space="0" w:color="000000"/>
              <w:bottom w:val="single" w:sz="6" w:space="0" w:color="000000"/>
              <w:right w:val="single" w:sz="8" w:space="0" w:color="000000"/>
            </w:tcBorders>
          </w:tcPr>
          <w:p w14:paraId="52FF36FF"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0.73%</w:t>
            </w:r>
          </w:p>
        </w:tc>
        <w:tc>
          <w:tcPr>
            <w:tcW w:w="1119" w:type="dxa"/>
            <w:tcBorders>
              <w:top w:val="single" w:sz="8" w:space="0" w:color="000000"/>
              <w:left w:val="single" w:sz="8" w:space="0" w:color="000000"/>
              <w:bottom w:val="single" w:sz="6" w:space="0" w:color="000000"/>
              <w:right w:val="single" w:sz="8" w:space="0" w:color="000000"/>
            </w:tcBorders>
          </w:tcPr>
          <w:p w14:paraId="23EDC3D5" w14:textId="77777777" w:rsidR="009214AE" w:rsidRDefault="00C66335">
            <w:pPr>
              <w:pStyle w:val="biaogecenter"/>
              <w:wordWrap w:val="0"/>
              <w:ind w:left="0"/>
              <w:rPr>
                <w:rFonts w:asciiTheme="minorEastAsia" w:hAnsiTheme="minorEastAsia"/>
                <w:bCs/>
                <w:sz w:val="21"/>
                <w:szCs w:val="21"/>
              </w:rPr>
            </w:pPr>
            <w:r>
              <w:rPr>
                <w:rFonts w:asciiTheme="minorEastAsia" w:hAnsiTheme="minorEastAsia"/>
                <w:bCs/>
                <w:sz w:val="21"/>
                <w:szCs w:val="21"/>
              </w:rPr>
              <w:t>-2.15%</w:t>
            </w:r>
          </w:p>
        </w:tc>
        <w:tc>
          <w:tcPr>
            <w:tcW w:w="1326" w:type="dxa"/>
            <w:tcBorders>
              <w:top w:val="single" w:sz="8" w:space="0" w:color="000000"/>
              <w:left w:val="single" w:sz="8" w:space="0" w:color="000000"/>
              <w:bottom w:val="single" w:sz="6" w:space="0" w:color="000000"/>
              <w:right w:val="single" w:sz="8" w:space="0" w:color="000000"/>
            </w:tcBorders>
          </w:tcPr>
          <w:p w14:paraId="737E8B22" w14:textId="77777777" w:rsidR="009214AE" w:rsidRDefault="00C66335">
            <w:pPr>
              <w:pStyle w:val="biaogecenter"/>
              <w:wordWrap w:val="0"/>
              <w:jc w:val="both"/>
              <w:rPr>
                <w:rFonts w:asciiTheme="minorEastAsia" w:hAnsiTheme="minorEastAsia"/>
                <w:bCs/>
                <w:sz w:val="21"/>
                <w:szCs w:val="21"/>
              </w:rPr>
            </w:pPr>
            <w:r>
              <w:rPr>
                <w:rFonts w:asciiTheme="minorEastAsia" w:hAnsiTheme="minorEastAsia"/>
                <w:bCs/>
                <w:sz w:val="21"/>
                <w:szCs w:val="21"/>
              </w:rPr>
              <w:t>0.67%</w:t>
            </w:r>
          </w:p>
        </w:tc>
        <w:tc>
          <w:tcPr>
            <w:tcW w:w="1051" w:type="dxa"/>
            <w:tcBorders>
              <w:top w:val="single" w:sz="8" w:space="0" w:color="000000"/>
              <w:left w:val="single" w:sz="8" w:space="0" w:color="000000"/>
              <w:bottom w:val="single" w:sz="6" w:space="0" w:color="000000"/>
              <w:right w:val="single" w:sz="8" w:space="0" w:color="000000"/>
            </w:tcBorders>
          </w:tcPr>
          <w:p w14:paraId="58AC7F80"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-19.64%</w:t>
            </w:r>
          </w:p>
        </w:tc>
        <w:tc>
          <w:tcPr>
            <w:tcW w:w="950" w:type="dxa"/>
            <w:tcBorders>
              <w:top w:val="single" w:sz="8" w:space="0" w:color="000000"/>
              <w:left w:val="single" w:sz="8" w:space="0" w:color="000000"/>
              <w:bottom w:val="single" w:sz="6" w:space="0" w:color="000000"/>
              <w:right w:val="single" w:sz="8" w:space="0" w:color="000000"/>
            </w:tcBorders>
          </w:tcPr>
          <w:p w14:paraId="6CA43DEB" w14:textId="77777777" w:rsidR="009214AE" w:rsidRDefault="00C66335">
            <w:pPr>
              <w:pStyle w:val="biaogecenter"/>
              <w:wordWrap w:val="0"/>
              <w:rPr>
                <w:rFonts w:asciiTheme="minorEastAsia" w:hAnsiTheme="minorEastAsia"/>
                <w:bCs/>
                <w:sz w:val="21"/>
                <w:szCs w:val="21"/>
              </w:rPr>
            </w:pPr>
            <w:r>
              <w:rPr>
                <w:rFonts w:asciiTheme="minorEastAsia" w:hAnsiTheme="minorEastAsia"/>
                <w:bCs/>
                <w:sz w:val="21"/>
                <w:szCs w:val="21"/>
              </w:rPr>
              <w:t>0.06%</w:t>
            </w:r>
          </w:p>
        </w:tc>
      </w:tr>
    </w:tbl>
    <w:p w14:paraId="33D96438" w14:textId="77777777" w:rsidR="009214AE" w:rsidRDefault="00C66335">
      <w:pPr>
        <w:autoSpaceDE w:val="0"/>
        <w:autoSpaceDN w:val="0"/>
        <w:spacing w:line="360" w:lineRule="auto"/>
        <w:ind w:firstLineChars="200" w:firstLine="480"/>
        <w:textAlignment w:val="bottom"/>
        <w:rPr>
          <w:rFonts w:ascii="宋体" w:eastAsia="宋体" w:hAnsi="宋体" w:cs="宋体"/>
          <w:kern w:val="0"/>
          <w:sz w:val="24"/>
          <w:szCs w:val="24"/>
        </w:rPr>
      </w:pPr>
      <w:r>
        <w:rPr>
          <w:rFonts w:ascii="宋体" w:eastAsia="宋体" w:hAnsi="宋体" w:cs="宋体" w:hint="eastAsia"/>
          <w:kern w:val="0"/>
          <w:sz w:val="24"/>
          <w:szCs w:val="24"/>
        </w:rPr>
        <w:t>注：本基金的业绩比较基准为：中证500指数收益率×70%+中</w:t>
      </w:r>
      <w:proofErr w:type="gramStart"/>
      <w:r>
        <w:rPr>
          <w:rFonts w:ascii="宋体" w:eastAsia="宋体" w:hAnsi="宋体" w:cs="宋体" w:hint="eastAsia"/>
          <w:kern w:val="0"/>
          <w:sz w:val="24"/>
          <w:szCs w:val="24"/>
        </w:rPr>
        <w:t>债综合</w:t>
      </w:r>
      <w:proofErr w:type="gramEnd"/>
      <w:r>
        <w:rPr>
          <w:rFonts w:ascii="宋体" w:eastAsia="宋体" w:hAnsi="宋体" w:cs="宋体" w:hint="eastAsia"/>
          <w:kern w:val="0"/>
          <w:sz w:val="24"/>
          <w:szCs w:val="24"/>
        </w:rPr>
        <w:t>指数收益率×30%</w:t>
      </w:r>
    </w:p>
    <w:p w14:paraId="35E67E67" w14:textId="77777777" w:rsidR="009214AE" w:rsidRDefault="00C66335">
      <w:pPr>
        <w:pStyle w:val="zhangjiep2"/>
        <w:ind w:firstLine="422"/>
      </w:pPr>
      <w:r>
        <w:rPr>
          <w:rFonts w:hAnsi="等线" w:hint="eastAsia"/>
          <w:b/>
          <w:color w:val="000000"/>
        </w:rPr>
        <w:t>2、自基金合同生效以来基金累计净值增长率变动及其与同期业绩比较基准收益率变动的比较</w:t>
      </w:r>
    </w:p>
    <w:p w14:paraId="668C08E3" w14:textId="77777777" w:rsidR="009214AE" w:rsidRDefault="00C6633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lastRenderedPageBreak/>
        <w:drawing>
          <wp:inline distT="0" distB="0" distL="0" distR="0" wp14:anchorId="2771C1E0" wp14:editId="5227830B">
            <wp:extent cx="5274310" cy="34264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274310" cy="3426460"/>
                    </a:xfrm>
                    <a:prstGeom prst="rect">
                      <a:avLst/>
                    </a:prstGeom>
                    <a:noFill/>
                    <a:ln>
                      <a:noFill/>
                    </a:ln>
                  </pic:spPr>
                </pic:pic>
              </a:graphicData>
            </a:graphic>
          </wp:inline>
        </w:drawing>
      </w:r>
    </w:p>
    <w:p w14:paraId="253DD3A5" w14:textId="77777777" w:rsidR="009214AE" w:rsidRDefault="00C6633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drawing>
          <wp:inline distT="0" distB="0" distL="0" distR="0" wp14:anchorId="50DB2093" wp14:editId="017D909B">
            <wp:extent cx="5274310" cy="34264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74310" cy="3426460"/>
                    </a:xfrm>
                    <a:prstGeom prst="rect">
                      <a:avLst/>
                    </a:prstGeom>
                    <a:noFill/>
                    <a:ln>
                      <a:noFill/>
                    </a:ln>
                  </pic:spPr>
                </pic:pic>
              </a:graphicData>
            </a:graphic>
          </wp:inline>
        </w:drawing>
      </w:r>
    </w:p>
    <w:p w14:paraId="4FED18FD" w14:textId="77777777" w:rsidR="009214AE" w:rsidRDefault="00C66335">
      <w:pPr>
        <w:autoSpaceDE w:val="0"/>
        <w:autoSpaceDN w:val="0"/>
        <w:spacing w:line="360" w:lineRule="auto"/>
        <w:ind w:firstLineChars="200" w:firstLine="480"/>
        <w:textAlignment w:val="bottom"/>
        <w:rPr>
          <w:rFonts w:asciiTheme="minorEastAsia" w:hAnsiTheme="minorEastAsia"/>
          <w:b/>
          <w:sz w:val="24"/>
          <w:szCs w:val="24"/>
        </w:rPr>
      </w:pPr>
      <w:r>
        <w:rPr>
          <w:rFonts w:ascii="宋体" w:eastAsia="宋体" w:hAnsi="宋体" w:cs="宋体" w:hint="eastAsia"/>
          <w:kern w:val="0"/>
          <w:sz w:val="24"/>
          <w:szCs w:val="24"/>
        </w:rPr>
        <w:t>注：本基金建仓期为6个月，建仓期结束时各项资产配置比例符合合同约定。</w:t>
      </w:r>
    </w:p>
    <w:p w14:paraId="55E476A7" w14:textId="77777777" w:rsidR="009214AE" w:rsidRDefault="009214AE">
      <w:pPr>
        <w:autoSpaceDE w:val="0"/>
        <w:autoSpaceDN w:val="0"/>
        <w:spacing w:line="360" w:lineRule="auto"/>
        <w:ind w:firstLineChars="200" w:firstLine="482"/>
        <w:textAlignment w:val="bottom"/>
        <w:rPr>
          <w:rFonts w:asciiTheme="minorEastAsia" w:hAnsiTheme="minorEastAsia"/>
          <w:b/>
          <w:sz w:val="24"/>
          <w:szCs w:val="24"/>
        </w:rPr>
      </w:pPr>
    </w:p>
    <w:p w14:paraId="38A8CF37" w14:textId="77777777" w:rsidR="009214AE" w:rsidRDefault="00C66335">
      <w:pPr>
        <w:autoSpaceDE w:val="0"/>
        <w:autoSpaceDN w:val="0"/>
        <w:spacing w:line="360" w:lineRule="auto"/>
        <w:textAlignment w:val="bottom"/>
        <w:rPr>
          <w:rFonts w:asciiTheme="minorEastAsia" w:hAnsiTheme="minorEastAsia"/>
          <w:bCs/>
          <w:sz w:val="24"/>
          <w:szCs w:val="24"/>
        </w:rPr>
      </w:pPr>
      <w:r>
        <w:rPr>
          <w:rFonts w:asciiTheme="minorEastAsia" w:hAnsiTheme="minorEastAsia"/>
          <w:bCs/>
          <w:sz w:val="24"/>
          <w:szCs w:val="24"/>
        </w:rPr>
        <w:br w:type="page"/>
      </w:r>
    </w:p>
    <w:p w14:paraId="3F22560F" w14:textId="77777777" w:rsidR="009214AE" w:rsidRDefault="00C66335">
      <w:pPr>
        <w:pStyle w:val="1"/>
        <w:jc w:val="center"/>
        <w:rPr>
          <w:sz w:val="30"/>
          <w:szCs w:val="30"/>
        </w:rPr>
      </w:pPr>
      <w:bookmarkStart w:id="216" w:name="_Toc416264546"/>
      <w:bookmarkStart w:id="217" w:name="_Toc26383"/>
      <w:bookmarkStart w:id="218" w:name="_Toc31469"/>
      <w:bookmarkStart w:id="219" w:name="_Toc139991741"/>
      <w:bookmarkStart w:id="220" w:name="_Toc21886"/>
      <w:bookmarkStart w:id="221" w:name="_Toc14725"/>
      <w:bookmarkStart w:id="222" w:name="_Toc16789"/>
      <w:bookmarkStart w:id="223" w:name="_Toc26152"/>
      <w:bookmarkStart w:id="224" w:name="_Toc22674"/>
      <w:bookmarkStart w:id="225" w:name="_Toc98560357"/>
      <w:bookmarkStart w:id="226" w:name="_Toc123102458"/>
      <w:bookmarkStart w:id="227" w:name="_Toc123112239"/>
      <w:bookmarkStart w:id="228" w:name="_Toc79392624"/>
      <w:bookmarkStart w:id="229" w:name="_Toc19520"/>
      <w:bookmarkStart w:id="230" w:name="_Toc48649710"/>
      <w:bookmarkStart w:id="231" w:name="_Toc123051457"/>
      <w:bookmarkStart w:id="232" w:name="_Toc352229757"/>
      <w:bookmarkStart w:id="233" w:name="_Toc141703891"/>
      <w:bookmarkStart w:id="234" w:name="_Toc2255"/>
      <w:bookmarkStart w:id="235" w:name="_Toc3244"/>
      <w:bookmarkStart w:id="236" w:name="_Toc26084"/>
      <w:bookmarkStart w:id="237" w:name="_Toc16442942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16"/>
      <w:bookmarkEnd w:id="237"/>
    </w:p>
    <w:p w14:paraId="234C5890" w14:textId="77777777" w:rsidR="009214AE" w:rsidRDefault="00C66335">
      <w:pPr>
        <w:autoSpaceDE w:val="0"/>
        <w:autoSpaceDN w:val="0"/>
        <w:spacing w:line="360" w:lineRule="auto"/>
        <w:ind w:firstLineChars="200" w:firstLine="480"/>
        <w:textAlignment w:val="bottom"/>
        <w:rPr>
          <w:bCs/>
          <w:sz w:val="24"/>
        </w:rPr>
      </w:pPr>
      <w:bookmarkStart w:id="238" w:name="_Toc416264547"/>
      <w:bookmarkStart w:id="239" w:name="_Toc214873600"/>
      <w:bookmarkStart w:id="240" w:name="_Toc263092319"/>
      <w:bookmarkStart w:id="241" w:name="_Toc2981"/>
      <w:bookmarkStart w:id="242" w:name="_Toc22538"/>
      <w:bookmarkStart w:id="243" w:name="_Toc578"/>
      <w:bookmarkStart w:id="244" w:name="_Toc11351"/>
      <w:bookmarkStart w:id="245" w:name="_Toc13343"/>
      <w:bookmarkStart w:id="246" w:name="_Toc3872"/>
      <w:bookmarkStart w:id="247" w:name="_Toc16437"/>
      <w:bookmarkStart w:id="248" w:name="_Toc801"/>
      <w:bookmarkStart w:id="249" w:name="_Toc21917"/>
      <w:bookmarkStart w:id="250" w:name="_Toc11395"/>
      <w:bookmarkStart w:id="251" w:name="_Toc5477"/>
      <w:bookmarkStart w:id="252" w:name="_Toc35222975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int="eastAsia"/>
          <w:bCs/>
          <w:sz w:val="24"/>
        </w:rPr>
        <w:t>一、基金资产总值</w:t>
      </w:r>
    </w:p>
    <w:p w14:paraId="42EE615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基金资产总值是指本基金拥有的各类有价证券、银行存款本息、基金应收款项以及其他资产所形成的价值总和。</w:t>
      </w:r>
    </w:p>
    <w:p w14:paraId="4E19C01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二、基金资产净值</w:t>
      </w:r>
    </w:p>
    <w:p w14:paraId="4CEC137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17B4A56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三、基金财产的账户</w:t>
      </w:r>
    </w:p>
    <w:p w14:paraId="08398DE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306711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四、基金财产的保管和处分</w:t>
      </w:r>
    </w:p>
    <w:p w14:paraId="492DA82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77995C8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517F77E4" w14:textId="77777777" w:rsidR="009214AE" w:rsidRDefault="00C66335">
      <w:pPr>
        <w:widowControl/>
        <w:jc w:val="left"/>
        <w:rPr>
          <w:bCs/>
          <w:sz w:val="24"/>
        </w:rPr>
      </w:pPr>
      <w:r>
        <w:rPr>
          <w:bCs/>
          <w:sz w:val="24"/>
        </w:rPr>
        <w:br w:type="page"/>
      </w:r>
    </w:p>
    <w:p w14:paraId="22273F5F" w14:textId="77777777" w:rsidR="009214AE" w:rsidRDefault="00C66335">
      <w:pPr>
        <w:pStyle w:val="1"/>
        <w:jc w:val="center"/>
        <w:rPr>
          <w:sz w:val="30"/>
          <w:szCs w:val="30"/>
        </w:rPr>
      </w:pPr>
      <w:bookmarkStart w:id="253" w:name="_Toc164429424"/>
      <w:r>
        <w:rPr>
          <w:rFonts w:hint="eastAsia"/>
          <w:sz w:val="30"/>
          <w:szCs w:val="30"/>
        </w:rPr>
        <w:lastRenderedPageBreak/>
        <w:t>第十一部分</w:t>
      </w:r>
      <w:r>
        <w:rPr>
          <w:sz w:val="30"/>
          <w:szCs w:val="30"/>
        </w:rPr>
        <w:t xml:space="preserve">  </w:t>
      </w:r>
      <w:r>
        <w:rPr>
          <w:rFonts w:hint="eastAsia"/>
          <w:sz w:val="30"/>
          <w:szCs w:val="30"/>
        </w:rPr>
        <w:t>基金资产的估值</w:t>
      </w:r>
      <w:bookmarkEnd w:id="238"/>
      <w:bookmarkEnd w:id="239"/>
      <w:bookmarkEnd w:id="240"/>
      <w:bookmarkEnd w:id="253"/>
    </w:p>
    <w:p w14:paraId="56B6D54F"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一、估值日</w:t>
      </w:r>
    </w:p>
    <w:p w14:paraId="3F22219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本基金的估值日为本基金相关的证券交易场所的交易日以及国家法律法规规定需要对外披露基金净值的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1B6ED122"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二、估值对象</w:t>
      </w:r>
    </w:p>
    <w:p w14:paraId="0559B8D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基金所拥有的股票、股指期货合约、国债期货合约、股票期权合约、债券和银行存款本息、资产支持证券、应收款项、其它投资等资产及负债。</w:t>
      </w:r>
    </w:p>
    <w:p w14:paraId="5E146EB0"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三、估值原则</w:t>
      </w:r>
    </w:p>
    <w:p w14:paraId="50E72F5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基金管理人在确定相关金融资产和金融负债的公允价值时，应符合《企业会计准则》、监管部门有关规定。</w:t>
      </w:r>
    </w:p>
    <w:p w14:paraId="500F77B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C717FC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3FC14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DE6551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585B8289"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四、估值方法</w:t>
      </w:r>
    </w:p>
    <w:p w14:paraId="49ABB589"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1</w:t>
      </w:r>
      <w:r>
        <w:rPr>
          <w:rFonts w:hint="eastAsia"/>
          <w:bCs/>
          <w:sz w:val="24"/>
        </w:rPr>
        <w:t>、证券交易所上市的有价证券的估值</w:t>
      </w:r>
    </w:p>
    <w:p w14:paraId="5B60149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003048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5ED18BC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27ED32B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）交易所上市交易的可转换债券以每日收盘价减去债券收盘价中所含的债券应收利息得到的净价进行估值；</w:t>
      </w:r>
    </w:p>
    <w:p w14:paraId="51C0020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4E1BAFE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738CC9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、处于未上市期间的有价证券应区分如下情况处理：</w:t>
      </w:r>
    </w:p>
    <w:p w14:paraId="790DD79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3144C5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5CC17DF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06098CAD"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766819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、同一证券同时在两个或两个以上市场交易的，按证券所处的市场分别估值。</w:t>
      </w:r>
    </w:p>
    <w:p w14:paraId="728584C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07436564" w14:textId="77777777" w:rsidR="009214AE" w:rsidRDefault="00C66335">
      <w:pPr>
        <w:autoSpaceDE w:val="0"/>
        <w:autoSpaceDN w:val="0"/>
        <w:spacing w:line="360" w:lineRule="auto"/>
        <w:ind w:firstLineChars="200" w:firstLine="480"/>
        <w:textAlignment w:val="bottom"/>
        <w:rPr>
          <w:bCs/>
          <w:sz w:val="24"/>
        </w:rPr>
      </w:pPr>
      <w:r>
        <w:rPr>
          <w:bCs/>
          <w:sz w:val="24"/>
        </w:rPr>
        <w:t>6</w:t>
      </w:r>
      <w:r>
        <w:rPr>
          <w:rFonts w:hint="eastAsia"/>
          <w:bCs/>
          <w:sz w:val="24"/>
        </w:rPr>
        <w:t>、本基金投资存托凭证的估值核算，依照境内上市交易的股票执行。</w:t>
      </w:r>
    </w:p>
    <w:p w14:paraId="3F956F7D" w14:textId="77777777" w:rsidR="009214AE" w:rsidRDefault="00C66335">
      <w:pPr>
        <w:autoSpaceDE w:val="0"/>
        <w:autoSpaceDN w:val="0"/>
        <w:spacing w:line="360" w:lineRule="auto"/>
        <w:ind w:firstLineChars="200" w:firstLine="480"/>
        <w:textAlignment w:val="bottom"/>
        <w:rPr>
          <w:bCs/>
          <w:sz w:val="24"/>
        </w:rPr>
      </w:pPr>
      <w:r>
        <w:rPr>
          <w:bCs/>
          <w:sz w:val="24"/>
        </w:rPr>
        <w:t>7</w:t>
      </w:r>
      <w:r>
        <w:rPr>
          <w:rFonts w:hint="eastAsia"/>
          <w:bCs/>
          <w:sz w:val="24"/>
        </w:rPr>
        <w:t>、其他资产按法律法规或监管机构有关规定进行估值。</w:t>
      </w:r>
    </w:p>
    <w:p w14:paraId="62E2F728" w14:textId="77777777" w:rsidR="009214AE" w:rsidRDefault="00C66335">
      <w:pPr>
        <w:autoSpaceDE w:val="0"/>
        <w:autoSpaceDN w:val="0"/>
        <w:spacing w:line="360" w:lineRule="auto"/>
        <w:ind w:firstLineChars="200" w:firstLine="480"/>
        <w:textAlignment w:val="bottom"/>
        <w:rPr>
          <w:bCs/>
          <w:sz w:val="24"/>
        </w:rPr>
      </w:pPr>
      <w:r>
        <w:rPr>
          <w:bCs/>
          <w:sz w:val="24"/>
        </w:rPr>
        <w:t>8</w:t>
      </w:r>
      <w:r>
        <w:rPr>
          <w:rFonts w:hint="eastAsia"/>
          <w:bCs/>
          <w:sz w:val="24"/>
        </w:rPr>
        <w:t>、如有确凿证据表明按上述方法进行估值不能客观反映其公允价值的，基金管理人可根据具体情况与基金托管人商定后，按最能反映公允价值的方法估值。</w:t>
      </w:r>
    </w:p>
    <w:p w14:paraId="3830B730" w14:textId="77777777" w:rsidR="009214AE" w:rsidRDefault="00C66335">
      <w:pPr>
        <w:autoSpaceDE w:val="0"/>
        <w:autoSpaceDN w:val="0"/>
        <w:spacing w:line="360" w:lineRule="auto"/>
        <w:ind w:firstLineChars="200" w:firstLine="480"/>
        <w:textAlignment w:val="bottom"/>
        <w:rPr>
          <w:bCs/>
          <w:sz w:val="24"/>
        </w:rPr>
      </w:pPr>
      <w:r>
        <w:rPr>
          <w:bCs/>
          <w:sz w:val="24"/>
        </w:rPr>
        <w:t>9</w:t>
      </w:r>
      <w:r>
        <w:rPr>
          <w:rFonts w:hint="eastAsia"/>
          <w:bCs/>
          <w:sz w:val="24"/>
        </w:rPr>
        <w:t>、当本基金发生大额申购或赎回情形时，基金管理人可以对本基金采用摆动定价机制，以确保基金估值的公平性。</w:t>
      </w:r>
    </w:p>
    <w:p w14:paraId="3FF0775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bCs/>
          <w:sz w:val="24"/>
        </w:rPr>
        <w:t>0</w:t>
      </w:r>
      <w:r>
        <w:rPr>
          <w:rFonts w:hint="eastAsia"/>
          <w:bCs/>
          <w:sz w:val="24"/>
        </w:rPr>
        <w:t>、相关法律法规以及监管部门有强制规定的，从其规定。如有新增事项，按国家最新规定估值。</w:t>
      </w:r>
    </w:p>
    <w:p w14:paraId="07201D3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0D156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根据有关法律法规，基金资产净值计算和基金会计核算的义务由基金管理人承担。本基金的基金会计</w:t>
      </w:r>
      <w:proofErr w:type="gramStart"/>
      <w:r>
        <w:rPr>
          <w:rFonts w:hint="eastAsia"/>
          <w:bCs/>
          <w:sz w:val="24"/>
        </w:rPr>
        <w:t>主责任</w:t>
      </w:r>
      <w:proofErr w:type="gramEnd"/>
      <w:r>
        <w:rPr>
          <w:rFonts w:hint="eastAsia"/>
          <w:bCs/>
          <w:sz w:val="24"/>
        </w:rPr>
        <w:t>方由基金管理人担任，基金托管人承担复核责任，因此，就与本基金有关的会计问题，如经相关各方在平等基础上充分讨论后，仍无法达成一致的意见，按照基金管理人对基金净值信息的计算结果对外予以公布。</w:t>
      </w:r>
    </w:p>
    <w:p w14:paraId="6EF9FAA2"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五、估值程序</w:t>
      </w:r>
    </w:p>
    <w:p w14:paraId="0711155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、各类基金份额净值是按照每个估值日闭市后，该类基金资产净值除以当</w:t>
      </w:r>
      <w:r>
        <w:rPr>
          <w:rFonts w:hint="eastAsia"/>
          <w:bCs/>
          <w:sz w:val="24"/>
        </w:rPr>
        <w:lastRenderedPageBreak/>
        <w:t>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位四舍五入，由此产生的误差计入基金财产。基金管理人可以设立大额赎回情形下的净值精度应急调整机制。国家另有规定的，从其规定。</w:t>
      </w:r>
    </w:p>
    <w:p w14:paraId="356B464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基金管理人每个估值日计算基金资产净值及各类基金份额净值，经基金托管人复核，并按规定公告。</w:t>
      </w:r>
    </w:p>
    <w:p w14:paraId="6F74C03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基金合同的规定暂停估值时除外。基金管理人每个估值日对基金资产估值后，将基金资产净值和各类基金份额净值结果发送基金托管人，经基金托管人复核无误后，由基金管理人按约定对外公布。</w:t>
      </w:r>
    </w:p>
    <w:p w14:paraId="6CFE68A0"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六、估值错误的处理</w:t>
      </w:r>
    </w:p>
    <w:p w14:paraId="7700A4F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基金管理人和基金托管人将采取必要、适当、合理的措施确保基金资产估值的准确性、及时性。当任一类基金份额净值小数点后四位以内</w:t>
      </w:r>
      <w:r>
        <w:rPr>
          <w:rFonts w:hint="eastAsia"/>
          <w:bCs/>
          <w:sz w:val="24"/>
        </w:rPr>
        <w:t>(</w:t>
      </w:r>
      <w:r>
        <w:rPr>
          <w:rFonts w:hint="eastAsia"/>
          <w:bCs/>
          <w:sz w:val="24"/>
        </w:rPr>
        <w:t>含第四位</w:t>
      </w:r>
      <w:r>
        <w:rPr>
          <w:rFonts w:hint="eastAsia"/>
          <w:bCs/>
          <w:sz w:val="24"/>
        </w:rPr>
        <w:t>)</w:t>
      </w:r>
      <w:r>
        <w:rPr>
          <w:rFonts w:hint="eastAsia"/>
          <w:bCs/>
          <w:sz w:val="24"/>
        </w:rPr>
        <w:t>发生估值错误时，视为该类基金份额净值错误。</w:t>
      </w:r>
    </w:p>
    <w:p w14:paraId="6EC514F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基金合同的当事人应按照以下约定处理：</w:t>
      </w:r>
    </w:p>
    <w:p w14:paraId="19C1DFA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、估值错误类型</w:t>
      </w:r>
    </w:p>
    <w:p w14:paraId="3DAD219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35EE929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上述估值错误的主要类型包括但不限于：资料申报差错、数据传输差错、数据计算差错、系统故障差错、下达指令差错等。</w:t>
      </w:r>
    </w:p>
    <w:p w14:paraId="1C7AAAE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、估值错误处理原则</w:t>
      </w:r>
    </w:p>
    <w:p w14:paraId="28FB706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1131ADE"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2</w:t>
      </w:r>
      <w:r>
        <w:rPr>
          <w:rFonts w:hint="eastAsia"/>
          <w:bCs/>
          <w:sz w:val="24"/>
        </w:rPr>
        <w:t>）估值错误的责任方对有关当事人的直接损失负责，不对间接损失负责，并且仅对估值错误的有关直接当事人负责，不对第三方负责。</w:t>
      </w:r>
    </w:p>
    <w:p w14:paraId="64FAAA7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6B503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52F0D01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、估值错误处理程序</w:t>
      </w:r>
    </w:p>
    <w:p w14:paraId="7B6B6C6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估值错误被发现后，有关的当事人应当及时进行处理，处理的程序如下：</w:t>
      </w:r>
    </w:p>
    <w:p w14:paraId="632A7CC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7002356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1FC7E9C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5360D2E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）根据估值错误处理的方法，需要修改基金份额登记机构交易数据的，由基金份额登记机构进行更正，并就估值错误的更正向有关当事人进行确认。</w:t>
      </w:r>
    </w:p>
    <w:p w14:paraId="4487F70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、基金份额净值估值错误处理的方法如下：</w:t>
      </w:r>
    </w:p>
    <w:p w14:paraId="2F1CC53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7DC6007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）错误偏差达到该类基金份额净值的</w:t>
      </w:r>
      <w:r>
        <w:rPr>
          <w:rFonts w:hint="eastAsia"/>
          <w:bCs/>
          <w:sz w:val="24"/>
        </w:rPr>
        <w:t>0.25%</w:t>
      </w:r>
      <w:r>
        <w:rPr>
          <w:rFonts w:hint="eastAsia"/>
          <w:bCs/>
          <w:sz w:val="24"/>
        </w:rPr>
        <w:t>时，基金管理人应当通报基金托管人并报中国证监会备案；错误偏差达到该类基金份额净值的</w:t>
      </w:r>
      <w:r>
        <w:rPr>
          <w:rFonts w:hint="eastAsia"/>
          <w:bCs/>
          <w:sz w:val="24"/>
        </w:rPr>
        <w:t>0.5%</w:t>
      </w:r>
      <w:r>
        <w:rPr>
          <w:rFonts w:hint="eastAsia"/>
          <w:bCs/>
          <w:sz w:val="24"/>
        </w:rPr>
        <w:t>时，基金管理人应当公告</w:t>
      </w:r>
      <w:r>
        <w:rPr>
          <w:bCs/>
          <w:sz w:val="24"/>
        </w:rPr>
        <w:t>、通报基金托管人</w:t>
      </w:r>
      <w:r>
        <w:rPr>
          <w:rFonts w:hint="eastAsia"/>
          <w:bCs/>
          <w:sz w:val="24"/>
        </w:rPr>
        <w:t>并报中国证监会备案。</w:t>
      </w:r>
    </w:p>
    <w:p w14:paraId="300C548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）前述内容如法律法规或监管机关另有规定的，从其规定处理。如果行业另有通行做法，基金管理人、基金托管人应本着平等和保护基金份额持有人利益的原则进行协商。</w:t>
      </w:r>
    </w:p>
    <w:p w14:paraId="6414B382"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lastRenderedPageBreak/>
        <w:t>七、暂停估值的情形</w:t>
      </w:r>
    </w:p>
    <w:p w14:paraId="09377FF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、基金投资所涉及的证券、期货交易市场遇法定节假日或因其他原因暂停营业时；</w:t>
      </w:r>
    </w:p>
    <w:p w14:paraId="3134ABE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、因不可抗力或其他情形致使基金管理人、基金托管人无法准确评估基金资产价值时；</w:t>
      </w:r>
    </w:p>
    <w:p w14:paraId="4CB384D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以上的，经与基金托管人协商确认后，基金管理人应当暂停基金估值；</w:t>
      </w:r>
    </w:p>
    <w:p w14:paraId="1DFC610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、法律法规、中国证监会和基金合同认定的其它情形。</w:t>
      </w:r>
    </w:p>
    <w:p w14:paraId="76244953"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八、基金净值的确认</w:t>
      </w:r>
    </w:p>
    <w:p w14:paraId="691DDCE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按约定对基金净值予以公布。</w:t>
      </w:r>
    </w:p>
    <w:p w14:paraId="39B15FF7"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九、特殊情形的处理</w:t>
      </w:r>
    </w:p>
    <w:p w14:paraId="64BB67D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14:paraId="048B662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由于不可抗力原因，或由于证券、期货交易所、证券经纪机构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2DB48E6" w14:textId="77777777" w:rsidR="009214AE" w:rsidRDefault="00C66335">
      <w:pPr>
        <w:autoSpaceDE w:val="0"/>
        <w:autoSpaceDN w:val="0"/>
        <w:spacing w:line="360" w:lineRule="auto"/>
        <w:ind w:firstLineChars="200" w:firstLine="482"/>
        <w:textAlignment w:val="bottom"/>
        <w:rPr>
          <w:b/>
          <w:bCs/>
          <w:sz w:val="24"/>
        </w:rPr>
      </w:pPr>
      <w:r>
        <w:rPr>
          <w:rFonts w:hint="eastAsia"/>
          <w:b/>
          <w:bCs/>
          <w:sz w:val="24"/>
        </w:rPr>
        <w:t>十、实施</w:t>
      </w:r>
      <w:proofErr w:type="gramStart"/>
      <w:r>
        <w:rPr>
          <w:rFonts w:hint="eastAsia"/>
          <w:b/>
          <w:bCs/>
          <w:sz w:val="24"/>
        </w:rPr>
        <w:t>侧袋机制</w:t>
      </w:r>
      <w:proofErr w:type="gramEnd"/>
      <w:r>
        <w:rPr>
          <w:rFonts w:hint="eastAsia"/>
          <w:b/>
          <w:bCs/>
          <w:sz w:val="24"/>
        </w:rPr>
        <w:t>期间的基金资产估值</w:t>
      </w:r>
    </w:p>
    <w:p w14:paraId="6188921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的基金净值信息。</w:t>
      </w:r>
    </w:p>
    <w:p w14:paraId="4F5A7EC3" w14:textId="77777777" w:rsidR="009214AE" w:rsidRDefault="00C66335">
      <w:pPr>
        <w:widowControl/>
        <w:jc w:val="left"/>
        <w:rPr>
          <w:bCs/>
          <w:sz w:val="24"/>
        </w:rPr>
      </w:pPr>
      <w:r>
        <w:rPr>
          <w:bCs/>
          <w:sz w:val="24"/>
        </w:rPr>
        <w:br w:type="page"/>
      </w:r>
    </w:p>
    <w:p w14:paraId="5DBDCDF6" w14:textId="77777777" w:rsidR="009214AE" w:rsidRDefault="00C66335">
      <w:pPr>
        <w:pStyle w:val="1"/>
        <w:jc w:val="center"/>
        <w:rPr>
          <w:sz w:val="30"/>
          <w:szCs w:val="30"/>
        </w:rPr>
      </w:pPr>
      <w:bookmarkStart w:id="254" w:name="_Toc416264548"/>
      <w:bookmarkStart w:id="255" w:name="_Toc263092320"/>
      <w:bookmarkStart w:id="256" w:name="_Toc164429425"/>
      <w:bookmarkEnd w:id="241"/>
      <w:bookmarkEnd w:id="242"/>
      <w:bookmarkEnd w:id="243"/>
      <w:bookmarkEnd w:id="244"/>
      <w:bookmarkEnd w:id="245"/>
      <w:bookmarkEnd w:id="246"/>
      <w:bookmarkEnd w:id="247"/>
      <w:bookmarkEnd w:id="248"/>
      <w:bookmarkEnd w:id="249"/>
      <w:bookmarkEnd w:id="250"/>
      <w:bookmarkEnd w:id="251"/>
      <w:bookmarkEnd w:id="252"/>
      <w:r>
        <w:rPr>
          <w:rFonts w:hint="eastAsia"/>
          <w:sz w:val="30"/>
          <w:szCs w:val="30"/>
        </w:rPr>
        <w:lastRenderedPageBreak/>
        <w:t>第十二部分</w:t>
      </w:r>
      <w:r>
        <w:rPr>
          <w:sz w:val="30"/>
          <w:szCs w:val="30"/>
        </w:rPr>
        <w:t xml:space="preserve">  </w:t>
      </w:r>
      <w:r>
        <w:rPr>
          <w:rFonts w:hint="eastAsia"/>
          <w:sz w:val="30"/>
          <w:szCs w:val="30"/>
        </w:rPr>
        <w:t>基金的收益分配</w:t>
      </w:r>
      <w:bookmarkEnd w:id="254"/>
      <w:bookmarkEnd w:id="255"/>
      <w:bookmarkEnd w:id="256"/>
    </w:p>
    <w:p w14:paraId="55934F60" w14:textId="77777777" w:rsidR="009214AE" w:rsidRDefault="00C66335">
      <w:pPr>
        <w:autoSpaceDE w:val="0"/>
        <w:autoSpaceDN w:val="0"/>
        <w:spacing w:line="360" w:lineRule="auto"/>
        <w:ind w:firstLineChars="200" w:firstLine="480"/>
        <w:textAlignment w:val="bottom"/>
        <w:rPr>
          <w:bCs/>
          <w:sz w:val="24"/>
        </w:rPr>
      </w:pPr>
      <w:bookmarkStart w:id="257" w:name="_Toc214873602"/>
      <w:bookmarkStart w:id="258" w:name="_Toc263092321"/>
      <w:bookmarkStart w:id="259" w:name="_Toc147463128"/>
      <w:bookmarkStart w:id="260" w:name="_Toc416264549"/>
      <w:bookmarkStart w:id="261" w:name="_Toc12357181"/>
      <w:bookmarkStart w:id="262" w:name="_Toc21073401"/>
      <w:bookmarkStart w:id="263" w:name="_Toc139991744"/>
      <w:bookmarkStart w:id="264" w:name="_Toc352229760"/>
      <w:bookmarkStart w:id="265" w:name="_Toc871"/>
      <w:bookmarkStart w:id="266" w:name="_Toc19714"/>
      <w:bookmarkStart w:id="267" w:name="_Toc141703894"/>
      <w:bookmarkStart w:id="268" w:name="_Toc7802"/>
      <w:bookmarkStart w:id="269" w:name="_Toc27832"/>
      <w:bookmarkStart w:id="270" w:name="_Toc31917"/>
      <w:bookmarkStart w:id="271" w:name="_Toc2623"/>
      <w:bookmarkStart w:id="272" w:name="_Toc17782"/>
      <w:r>
        <w:rPr>
          <w:rFonts w:hint="eastAsia"/>
          <w:bCs/>
          <w:sz w:val="24"/>
        </w:rPr>
        <w:t>一、基金利润的构成</w:t>
      </w:r>
    </w:p>
    <w:p w14:paraId="0F58FD2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63F39A0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二、基金可供分配利润</w:t>
      </w:r>
    </w:p>
    <w:p w14:paraId="1367E8F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基金可供分配利润指截至收益分配基准日基金未分配利润与未分配利润中已实现收益的孰低数。</w:t>
      </w:r>
    </w:p>
    <w:p w14:paraId="1461F67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三、基金收益分配原则</w:t>
      </w:r>
    </w:p>
    <w:p w14:paraId="0D393B2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、本基金收益分配方式分两种：现金分红与红利再投资，基金份额持有人可选择现金红利或将现金红利自动转为相应类别的基金份额进行再投资；</w:t>
      </w:r>
      <w:proofErr w:type="gramStart"/>
      <w:r>
        <w:rPr>
          <w:rFonts w:hint="eastAsia"/>
          <w:bCs/>
          <w:sz w:val="24"/>
        </w:rPr>
        <w:t>若基金</w:t>
      </w:r>
      <w:proofErr w:type="gramEnd"/>
      <w:r>
        <w:rPr>
          <w:rFonts w:hint="eastAsia"/>
          <w:bCs/>
          <w:sz w:val="24"/>
        </w:rPr>
        <w:t>份额持有人不选择，本基金默认的收益分配方式是现金分红；基金份额持有人可对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679F0DA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、基金收益分配后各类基金份额净值不能低于面值，即基金收益分配基准日的各类基金份额净值减去每单位该类别基金份额收益分配金额后不能低于面值；</w:t>
      </w:r>
    </w:p>
    <w:p w14:paraId="5BDC7CC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类基金份额收取销售服务费，各基金份额类别对应的可分配收益将有所不同，本基金每一基金份额享有同等分配权；</w:t>
      </w:r>
    </w:p>
    <w:p w14:paraId="34AB39A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、法律法规或监管机关另有规定的，从其规定。</w:t>
      </w:r>
    </w:p>
    <w:p w14:paraId="27CF9C5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2AD022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四、收益分配方案</w:t>
      </w:r>
    </w:p>
    <w:p w14:paraId="22378DF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基金收益分配方案中应载明截止收益分配基准日的可供分配利润、基金收益分配对象、分配时间、分配数额及比例、分配方式等内容。</w:t>
      </w:r>
    </w:p>
    <w:p w14:paraId="484F399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五、收益分配方案的确定、公告与实施</w:t>
      </w:r>
    </w:p>
    <w:p w14:paraId="22613A6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本基金收益分配方案由基金管理人拟定，并由基金托管人复核，依照《信息</w:t>
      </w:r>
      <w:r>
        <w:rPr>
          <w:rFonts w:hint="eastAsia"/>
          <w:bCs/>
          <w:sz w:val="24"/>
        </w:rPr>
        <w:lastRenderedPageBreak/>
        <w:t>披露办法》的有关规定在</w:t>
      </w:r>
      <w:r>
        <w:rPr>
          <w:rFonts w:asciiTheme="minorEastAsia" w:hAnsiTheme="minorEastAsia" w:cs="Times New Roman" w:hint="eastAsia"/>
          <w:sz w:val="24"/>
          <w:szCs w:val="24"/>
        </w:rPr>
        <w:t>规定</w:t>
      </w:r>
      <w:r>
        <w:rPr>
          <w:rFonts w:hint="eastAsia"/>
          <w:bCs/>
          <w:sz w:val="24"/>
        </w:rPr>
        <w:t>媒介公告。</w:t>
      </w:r>
    </w:p>
    <w:p w14:paraId="070A9ED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六、基金收益分配中发生的费用</w:t>
      </w:r>
    </w:p>
    <w:p w14:paraId="3D7C8FF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收益分配时所发生的银行转账或其他手续费用由投资者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14:paraId="6EAD071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7EF52AC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w:t>
      </w:r>
    </w:p>
    <w:p w14:paraId="1E773491" w14:textId="77777777" w:rsidR="009214AE" w:rsidRDefault="00C66335">
      <w:pPr>
        <w:widowControl/>
        <w:jc w:val="left"/>
        <w:rPr>
          <w:bCs/>
          <w:sz w:val="24"/>
        </w:rPr>
      </w:pPr>
      <w:r>
        <w:rPr>
          <w:bCs/>
          <w:sz w:val="24"/>
        </w:rPr>
        <w:br w:type="page"/>
      </w:r>
    </w:p>
    <w:p w14:paraId="5E286688" w14:textId="77777777" w:rsidR="009214AE" w:rsidRDefault="00C66335">
      <w:pPr>
        <w:pStyle w:val="1"/>
        <w:jc w:val="center"/>
        <w:rPr>
          <w:sz w:val="30"/>
          <w:szCs w:val="30"/>
        </w:rPr>
      </w:pPr>
      <w:bookmarkStart w:id="273" w:name="_Toc164429426"/>
      <w:r>
        <w:rPr>
          <w:rFonts w:hint="eastAsia"/>
          <w:sz w:val="30"/>
          <w:szCs w:val="30"/>
        </w:rPr>
        <w:lastRenderedPageBreak/>
        <w:t>第十三部分</w:t>
      </w:r>
      <w:r>
        <w:rPr>
          <w:sz w:val="30"/>
          <w:szCs w:val="30"/>
        </w:rPr>
        <w:t xml:space="preserve">  </w:t>
      </w:r>
      <w:r>
        <w:rPr>
          <w:rFonts w:hint="eastAsia"/>
          <w:sz w:val="30"/>
          <w:szCs w:val="30"/>
        </w:rPr>
        <w:t>基金费用与税收</w:t>
      </w:r>
      <w:bookmarkEnd w:id="257"/>
      <w:bookmarkEnd w:id="258"/>
      <w:bookmarkEnd w:id="259"/>
      <w:bookmarkEnd w:id="260"/>
      <w:bookmarkEnd w:id="261"/>
      <w:bookmarkEnd w:id="262"/>
      <w:bookmarkEnd w:id="273"/>
    </w:p>
    <w:p w14:paraId="4EF250AA" w14:textId="77777777" w:rsidR="009214AE" w:rsidRDefault="00C66335">
      <w:pPr>
        <w:autoSpaceDE w:val="0"/>
        <w:autoSpaceDN w:val="0"/>
        <w:spacing w:line="360" w:lineRule="auto"/>
        <w:ind w:firstLineChars="200" w:firstLine="480"/>
        <w:textAlignment w:val="bottom"/>
        <w:rPr>
          <w:bCs/>
          <w:sz w:val="24"/>
        </w:rPr>
      </w:pPr>
      <w:bookmarkStart w:id="274" w:name="_Toc416264550"/>
      <w:bookmarkStart w:id="275" w:name="_Toc263092322"/>
      <w:bookmarkStart w:id="276" w:name="_Toc214873603"/>
      <w:bookmarkStart w:id="277" w:name="_Toc19752"/>
      <w:bookmarkStart w:id="278" w:name="_Toc24601"/>
      <w:bookmarkStart w:id="279" w:name="_Toc352229761"/>
      <w:bookmarkStart w:id="280" w:name="_Toc32046"/>
      <w:bookmarkStart w:id="281" w:name="_Toc141703895"/>
      <w:bookmarkStart w:id="282" w:name="_Toc32227"/>
      <w:bookmarkStart w:id="283" w:name="_Toc19706"/>
      <w:bookmarkStart w:id="284" w:name="_Toc139991745"/>
      <w:bookmarkStart w:id="285" w:name="_Toc12105"/>
      <w:bookmarkStart w:id="286" w:name="_Toc6493"/>
      <w:bookmarkStart w:id="287" w:name="_Toc15779"/>
      <w:bookmarkStart w:id="288" w:name="_Toc13987"/>
      <w:bookmarkStart w:id="289" w:name="_Toc32041"/>
      <w:bookmarkStart w:id="290" w:name="_Toc3365"/>
      <w:bookmarkEnd w:id="263"/>
      <w:bookmarkEnd w:id="264"/>
      <w:bookmarkEnd w:id="265"/>
      <w:bookmarkEnd w:id="266"/>
      <w:bookmarkEnd w:id="267"/>
      <w:bookmarkEnd w:id="268"/>
      <w:bookmarkEnd w:id="269"/>
      <w:bookmarkEnd w:id="270"/>
      <w:bookmarkEnd w:id="271"/>
      <w:bookmarkEnd w:id="272"/>
      <w:r>
        <w:rPr>
          <w:rFonts w:hint="eastAsia"/>
          <w:bCs/>
          <w:sz w:val="24"/>
        </w:rPr>
        <w:t>一、基金费用的种类</w:t>
      </w:r>
    </w:p>
    <w:p w14:paraId="410D5AC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385F858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4391E5E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4F2DBDA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、除法律法规、中国证监会另有规定外，《基金合同》生效后与基金相关的信息披露费用；</w:t>
      </w:r>
    </w:p>
    <w:p w14:paraId="28D1E81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、《基金合同》生效后与基金相关的会计师费、律师费、诉讼费和仲裁费；</w:t>
      </w:r>
    </w:p>
    <w:p w14:paraId="17C0AEB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55FA7FF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、基金的证券、期货交易、结算费用；</w:t>
      </w:r>
    </w:p>
    <w:p w14:paraId="060BDB0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0FDE938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、基金的相关账户的开户及维护费用；</w:t>
      </w:r>
    </w:p>
    <w:p w14:paraId="68CD8E4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、按照国家有关规定和《基金合同》约定，可以在基金财产中列支的其他费用。</w:t>
      </w:r>
    </w:p>
    <w:p w14:paraId="30D858D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76D6080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0BFEC40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1.</w:t>
      </w:r>
      <w:r>
        <w:rPr>
          <w:bCs/>
          <w:sz w:val="24"/>
        </w:rPr>
        <w:t>2</w:t>
      </w:r>
      <w:r>
        <w:rPr>
          <w:rFonts w:hint="eastAsia"/>
          <w:bCs/>
          <w:sz w:val="24"/>
        </w:rPr>
        <w:t>%</w:t>
      </w:r>
      <w:r>
        <w:rPr>
          <w:rFonts w:hint="eastAsia"/>
          <w:bCs/>
          <w:sz w:val="24"/>
        </w:rPr>
        <w:t>的年费率计提。管理费的计算方法如下：</w:t>
      </w:r>
    </w:p>
    <w:p w14:paraId="47B3A93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1.</w:t>
      </w:r>
      <w:r>
        <w:rPr>
          <w:bCs/>
          <w:sz w:val="24"/>
        </w:rPr>
        <w:t>2</w:t>
      </w:r>
      <w:r>
        <w:rPr>
          <w:rFonts w:hint="eastAsia"/>
          <w:bCs/>
          <w:sz w:val="24"/>
        </w:rPr>
        <w:t>%</w:t>
      </w:r>
      <w:r>
        <w:rPr>
          <w:rFonts w:hint="eastAsia"/>
          <w:bCs/>
          <w:sz w:val="24"/>
        </w:rPr>
        <w:t>÷当年天数</w:t>
      </w:r>
    </w:p>
    <w:p w14:paraId="526EBCC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7D4D016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0E3C71F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基金管理费每日计提，逐日累计至每月月末，按月支付。由基金管理人于次月首日起</w:t>
      </w:r>
      <w:r>
        <w:rPr>
          <w:rFonts w:hint="eastAsia"/>
          <w:bCs/>
          <w:sz w:val="24"/>
        </w:rPr>
        <w:t>5</w:t>
      </w:r>
      <w:r>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3FEDC42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1F8B3D2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本基金的托管费按前一日基金资产净值的</w:t>
      </w:r>
      <w:r>
        <w:rPr>
          <w:rFonts w:hint="eastAsia"/>
          <w:bCs/>
          <w:sz w:val="24"/>
        </w:rPr>
        <w:t>0.</w:t>
      </w:r>
      <w:r>
        <w:rPr>
          <w:bCs/>
          <w:sz w:val="24"/>
        </w:rPr>
        <w:t>2</w:t>
      </w:r>
      <w:r>
        <w:rPr>
          <w:rFonts w:hint="eastAsia"/>
          <w:bCs/>
          <w:sz w:val="24"/>
        </w:rPr>
        <w:t>%</w:t>
      </w:r>
      <w:r>
        <w:rPr>
          <w:rFonts w:hint="eastAsia"/>
          <w:bCs/>
          <w:sz w:val="24"/>
        </w:rPr>
        <w:t>的年费率计提。托管费的计算方法如下：</w:t>
      </w:r>
    </w:p>
    <w:p w14:paraId="3BB5B5F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w:t>
      </w:r>
      <w:r>
        <w:rPr>
          <w:rFonts w:hint="eastAsia"/>
          <w:bCs/>
          <w:sz w:val="24"/>
        </w:rPr>
        <w:t>%</w:t>
      </w:r>
      <w:r>
        <w:rPr>
          <w:rFonts w:hint="eastAsia"/>
          <w:bCs/>
          <w:sz w:val="24"/>
        </w:rPr>
        <w:t>÷当年天数</w:t>
      </w:r>
    </w:p>
    <w:p w14:paraId="4513AD49"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H</w:t>
      </w:r>
      <w:r>
        <w:rPr>
          <w:rFonts w:hint="eastAsia"/>
          <w:bCs/>
          <w:sz w:val="24"/>
        </w:rPr>
        <w:t>为每日应计提的基金托管费</w:t>
      </w:r>
    </w:p>
    <w:p w14:paraId="1EEBA57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51374E7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基金托管费每日计提，逐日累计至每月月末，按月支付。由基金管理人于次月首日起</w:t>
      </w:r>
      <w:r>
        <w:rPr>
          <w:rFonts w:hint="eastAsia"/>
          <w:bCs/>
          <w:sz w:val="24"/>
        </w:rPr>
        <w:t>5</w:t>
      </w:r>
      <w:r>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51CA510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5994121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 xml:space="preserve">0.4% </w:t>
      </w:r>
      <w:r>
        <w:rPr>
          <w:rFonts w:hint="eastAsia"/>
          <w:bCs/>
          <w:sz w:val="24"/>
        </w:rPr>
        <w:t>。销售服务费的计算方法如下：</w:t>
      </w:r>
    </w:p>
    <w:p w14:paraId="20863F2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 xml:space="preserve">0.4% </w:t>
      </w:r>
      <w:r>
        <w:rPr>
          <w:rFonts w:hint="eastAsia"/>
          <w:bCs/>
          <w:sz w:val="24"/>
        </w:rPr>
        <w:t>÷当年天数</w:t>
      </w:r>
    </w:p>
    <w:p w14:paraId="5931128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4AA1C08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类基金份额基金资产净值</w:t>
      </w:r>
    </w:p>
    <w:p w14:paraId="3A64E1C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C</w:t>
      </w:r>
      <w:r>
        <w:rPr>
          <w:rFonts w:hint="eastAsia"/>
          <w:bCs/>
          <w:sz w:val="24"/>
        </w:rPr>
        <w:t>类基金份额的销售服务费每日计提，逐日累计至每月月末，按月支付。由基金管理人于次月首日起</w:t>
      </w:r>
      <w:r>
        <w:rPr>
          <w:rFonts w:hint="eastAsia"/>
          <w:bCs/>
          <w:sz w:val="24"/>
        </w:rPr>
        <w:t>5</w:t>
      </w:r>
      <w:r>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4B37439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w:t>
      </w:r>
      <w:r>
        <w:rPr>
          <w:bCs/>
          <w:sz w:val="24"/>
        </w:rPr>
        <w:t>0</w:t>
      </w:r>
      <w:r>
        <w:rPr>
          <w:rFonts w:hint="eastAsia"/>
          <w:bCs/>
          <w:sz w:val="24"/>
        </w:rPr>
        <w:t>项费用，根据有关法规及相应协议规定，按费用实际支出金额列入当期费用，由基金托管人从基金财产中支付。</w:t>
      </w:r>
    </w:p>
    <w:p w14:paraId="222A15E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三、不列入基金费用的项目</w:t>
      </w:r>
    </w:p>
    <w:p w14:paraId="43975BB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下列费用不列入基金费用：</w:t>
      </w:r>
    </w:p>
    <w:p w14:paraId="20A7688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5162017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37DE5CA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6895AEF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5165FEF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50F31D4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w:t>
      </w:r>
      <w:r>
        <w:rPr>
          <w:rFonts w:hint="eastAsia"/>
          <w:bCs/>
          <w:sz w:val="24"/>
        </w:rPr>
        <w:lastRenderedPageBreak/>
        <w:t>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账户资产变现后方可列支，有关费用可酌情收取或减免，但不得收取管理费，其他费用详见招募说明书“侧袋机制”部分的规定。</w:t>
      </w:r>
    </w:p>
    <w:p w14:paraId="19B6F49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五、基金税收</w:t>
      </w:r>
    </w:p>
    <w:p w14:paraId="1AD185B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本基金运作过程中涉及的各纳税主体，其纳税义务按国家税收法律、法规执行。</w:t>
      </w:r>
    </w:p>
    <w:p w14:paraId="7302AC6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p>
    <w:p w14:paraId="489D6BE6" w14:textId="77777777" w:rsidR="009214AE" w:rsidRDefault="009214AE">
      <w:pPr>
        <w:autoSpaceDE w:val="0"/>
        <w:autoSpaceDN w:val="0"/>
        <w:spacing w:line="360" w:lineRule="auto"/>
        <w:ind w:firstLineChars="200" w:firstLine="480"/>
        <w:textAlignment w:val="bottom"/>
        <w:rPr>
          <w:bCs/>
          <w:sz w:val="24"/>
        </w:rPr>
      </w:pPr>
    </w:p>
    <w:p w14:paraId="5A41271A" w14:textId="77777777" w:rsidR="009214AE" w:rsidRDefault="00C66335">
      <w:pPr>
        <w:widowControl/>
        <w:jc w:val="left"/>
        <w:rPr>
          <w:bCs/>
          <w:sz w:val="24"/>
        </w:rPr>
      </w:pPr>
      <w:r>
        <w:rPr>
          <w:bCs/>
          <w:sz w:val="24"/>
        </w:rPr>
        <w:br w:type="page"/>
      </w:r>
    </w:p>
    <w:p w14:paraId="1085F467" w14:textId="77777777" w:rsidR="009214AE" w:rsidRDefault="00C66335">
      <w:pPr>
        <w:pStyle w:val="1"/>
        <w:jc w:val="center"/>
        <w:rPr>
          <w:sz w:val="30"/>
          <w:szCs w:val="30"/>
        </w:rPr>
      </w:pPr>
      <w:bookmarkStart w:id="291" w:name="_Toc164429427"/>
      <w:r>
        <w:rPr>
          <w:rFonts w:hint="eastAsia"/>
          <w:sz w:val="30"/>
          <w:szCs w:val="30"/>
        </w:rPr>
        <w:lastRenderedPageBreak/>
        <w:t>第十四部分</w:t>
      </w:r>
      <w:r>
        <w:rPr>
          <w:sz w:val="30"/>
          <w:szCs w:val="30"/>
        </w:rPr>
        <w:t xml:space="preserve">  </w:t>
      </w:r>
      <w:r>
        <w:rPr>
          <w:rFonts w:hint="eastAsia"/>
          <w:sz w:val="30"/>
          <w:szCs w:val="30"/>
        </w:rPr>
        <w:t>基金的会计与审计</w:t>
      </w:r>
      <w:bookmarkEnd w:id="274"/>
      <w:bookmarkEnd w:id="275"/>
      <w:bookmarkEnd w:id="276"/>
      <w:bookmarkEnd w:id="291"/>
    </w:p>
    <w:p w14:paraId="7DFDD2B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一、基金会计政策</w:t>
      </w:r>
    </w:p>
    <w:p w14:paraId="0D8A3C6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、基金管理人为本基金的基金会计责任方，基金托管人承担复核责任；</w:t>
      </w:r>
    </w:p>
    <w:p w14:paraId="0B3D226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14:paraId="435D861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、基金核算以人民币为记账本位币，以人民币元为记账单位；</w:t>
      </w:r>
    </w:p>
    <w:p w14:paraId="75EEBEF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、会计制度执行国家有关会计制度；</w:t>
      </w:r>
    </w:p>
    <w:p w14:paraId="63208E3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、本基金独立建账、独立核算；</w:t>
      </w:r>
    </w:p>
    <w:p w14:paraId="72FD1D0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14:paraId="734EE30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、基金托管人每月与基金管理人就基金的会计核算、报表编制等进行核对并以托管协议约定的方式确认。</w:t>
      </w:r>
    </w:p>
    <w:p w14:paraId="3468E6A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二、基金的年度审计</w:t>
      </w:r>
    </w:p>
    <w:p w14:paraId="37655D6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46BDE06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、会计师事务所更换经办注册会计师，应事先征得基金管理人同意。</w:t>
      </w:r>
    </w:p>
    <w:p w14:paraId="7D55FBD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、基金管理人认为有充足理由更换会计师事务所，须通报基金托管人。更换会计师事务所需依照《信息披露办法》的有关规定在</w:t>
      </w:r>
      <w:r>
        <w:rPr>
          <w:rFonts w:asciiTheme="minorEastAsia" w:hAnsiTheme="minorEastAsia" w:cs="Times New Roman" w:hint="eastAsia"/>
          <w:sz w:val="24"/>
          <w:szCs w:val="24"/>
        </w:rPr>
        <w:t>规定</w:t>
      </w:r>
      <w:r>
        <w:rPr>
          <w:rFonts w:hint="eastAsia"/>
          <w:bCs/>
          <w:sz w:val="24"/>
        </w:rPr>
        <w:t>媒介公告。</w:t>
      </w:r>
    </w:p>
    <w:p w14:paraId="66AC85E8" w14:textId="77777777" w:rsidR="009214AE" w:rsidRDefault="00C66335">
      <w:pPr>
        <w:widowControl/>
        <w:jc w:val="left"/>
        <w:rPr>
          <w:bCs/>
          <w:sz w:val="24"/>
        </w:rPr>
      </w:pPr>
      <w:r>
        <w:rPr>
          <w:bCs/>
          <w:sz w:val="24"/>
        </w:rPr>
        <w:br w:type="page"/>
      </w:r>
    </w:p>
    <w:p w14:paraId="039A04B4" w14:textId="77777777" w:rsidR="009214AE" w:rsidRDefault="00C66335">
      <w:pPr>
        <w:pStyle w:val="1"/>
        <w:jc w:val="center"/>
        <w:rPr>
          <w:sz w:val="30"/>
          <w:szCs w:val="30"/>
        </w:rPr>
      </w:pPr>
      <w:bookmarkStart w:id="292" w:name="_Toc416264551"/>
      <w:bookmarkStart w:id="293" w:name="_Toc214873604"/>
      <w:bookmarkStart w:id="294" w:name="_Toc263092323"/>
      <w:bookmarkStart w:id="295" w:name="_Toc79978642"/>
      <w:bookmarkStart w:id="296" w:name="_Toc128310499"/>
      <w:bookmarkStart w:id="297" w:name="_Toc15351"/>
      <w:bookmarkStart w:id="298" w:name="_Toc19558"/>
      <w:bookmarkStart w:id="299" w:name="_Toc178"/>
      <w:bookmarkStart w:id="300" w:name="_Toc15525"/>
      <w:bookmarkStart w:id="301" w:name="_Toc352229762"/>
      <w:bookmarkStart w:id="302" w:name="_Toc93226149"/>
      <w:bookmarkStart w:id="303" w:name="_Toc22552"/>
      <w:bookmarkStart w:id="304" w:name="_Toc141703896"/>
      <w:bookmarkStart w:id="305" w:name="_Toc20052"/>
      <w:bookmarkStart w:id="306" w:name="_Toc25883"/>
      <w:bookmarkStart w:id="307" w:name="_Toc21829"/>
      <w:bookmarkStart w:id="308" w:name="_Toc1617"/>
      <w:bookmarkStart w:id="309" w:name="_Toc92662707"/>
      <w:bookmarkStart w:id="310" w:name="_Toc3656"/>
      <w:bookmarkStart w:id="311" w:name="_Toc12761"/>
      <w:bookmarkStart w:id="312" w:name="_Toc139991746"/>
      <w:bookmarkStart w:id="313" w:name="_Toc16442942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eastAsia"/>
          <w:sz w:val="30"/>
          <w:szCs w:val="30"/>
        </w:rPr>
        <w:lastRenderedPageBreak/>
        <w:t>第十五部分</w:t>
      </w:r>
      <w:r>
        <w:rPr>
          <w:sz w:val="30"/>
          <w:szCs w:val="30"/>
        </w:rPr>
        <w:t xml:space="preserve">  </w:t>
      </w:r>
      <w:r>
        <w:rPr>
          <w:rFonts w:hint="eastAsia"/>
          <w:sz w:val="30"/>
          <w:szCs w:val="30"/>
        </w:rPr>
        <w:t>基金的信息披露</w:t>
      </w:r>
      <w:bookmarkEnd w:id="292"/>
      <w:bookmarkEnd w:id="293"/>
      <w:bookmarkEnd w:id="294"/>
      <w:bookmarkEnd w:id="295"/>
      <w:bookmarkEnd w:id="313"/>
    </w:p>
    <w:p w14:paraId="46B324B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一、本基金的信息披露应符合《基金法》、《运作办法》、《流动性风险管理规定》、《信息披露办法》、《基金合同》及其他有关规定。相关法律法规关于信息披露的披露方式、登载媒介、报备方式等规定发生变化时，本基金从其最新规定。</w:t>
      </w:r>
    </w:p>
    <w:p w14:paraId="61934FB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二、信息披露义务人</w:t>
      </w:r>
    </w:p>
    <w:p w14:paraId="6B66599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本基金信息披露义务人包括基金管理人、基金托管人、召集基金份额持有人大会的基金份额持有人及其日常机构等法律、行政法规和中国证监会规定的自然人、法人和非法人组织。</w:t>
      </w:r>
    </w:p>
    <w:p w14:paraId="50884A4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7965DD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本基金信息披露义务人应当在中国证监会规定时间内，将应予披露的基金信息通过符合中国证监会</w:t>
      </w:r>
      <w:r>
        <w:rPr>
          <w:rFonts w:asciiTheme="minorEastAsia" w:hAnsiTheme="minorEastAsia" w:cs="Times New Roman" w:hint="eastAsia"/>
          <w:sz w:val="24"/>
          <w:szCs w:val="24"/>
        </w:rPr>
        <w:t>规定条件的用以进行信息披露</w:t>
      </w:r>
      <w:r>
        <w:rPr>
          <w:rFonts w:hint="eastAsia"/>
          <w:bCs/>
          <w:sz w:val="24"/>
        </w:rPr>
        <w:t>的全国性报刊（以下简称“</w:t>
      </w:r>
      <w:r>
        <w:rPr>
          <w:rFonts w:asciiTheme="minorEastAsia" w:hAnsiTheme="minorEastAsia" w:cs="Times New Roman" w:hint="eastAsia"/>
          <w:sz w:val="24"/>
          <w:szCs w:val="24"/>
        </w:rPr>
        <w:t>规定</w:t>
      </w:r>
      <w:r>
        <w:rPr>
          <w:rFonts w:hint="eastAsia"/>
          <w:bCs/>
          <w:sz w:val="24"/>
        </w:rPr>
        <w:t>报刊”）及《信息披露办法》</w:t>
      </w:r>
      <w:r>
        <w:rPr>
          <w:rFonts w:asciiTheme="minorEastAsia" w:hAnsiTheme="minorEastAsia" w:cs="Times New Roman" w:hint="eastAsia"/>
          <w:sz w:val="24"/>
          <w:szCs w:val="24"/>
        </w:rPr>
        <w:t>规定的</w:t>
      </w:r>
      <w:r>
        <w:rPr>
          <w:rFonts w:hint="eastAsia"/>
          <w:bCs/>
          <w:sz w:val="24"/>
        </w:rPr>
        <w:t>互联网网站（以下简称“</w:t>
      </w:r>
      <w:r>
        <w:rPr>
          <w:rFonts w:asciiTheme="minorEastAsia" w:hAnsiTheme="minorEastAsia" w:cs="Times New Roman" w:hint="eastAsia"/>
          <w:sz w:val="24"/>
          <w:szCs w:val="24"/>
        </w:rPr>
        <w:t>规定</w:t>
      </w:r>
      <w:r>
        <w:rPr>
          <w:rFonts w:hint="eastAsia"/>
          <w:bCs/>
          <w:sz w:val="24"/>
        </w:rPr>
        <w:t>网站”）等媒介披露，并保证基金投资者能够按照《基金合同》约定的时间和方式查阅或者复制公开披露的信息资料。</w:t>
      </w:r>
    </w:p>
    <w:p w14:paraId="7E9A9EA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三、本基金信息披露义务人承诺公开披露的基金信息，不得有下列行为：</w:t>
      </w:r>
    </w:p>
    <w:p w14:paraId="0CC44FB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、虚假记载、误导性陈述或者重大遗漏；</w:t>
      </w:r>
    </w:p>
    <w:p w14:paraId="623224F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、对证券投资业绩进行预测；</w:t>
      </w:r>
    </w:p>
    <w:p w14:paraId="38C13EF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、违规承诺收益或者承担损失；</w:t>
      </w:r>
    </w:p>
    <w:p w14:paraId="68999A1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、诋毁其他基金管理人、基金托管人或者基金销售机构；</w:t>
      </w:r>
    </w:p>
    <w:p w14:paraId="67BA4B8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、登载任何自然人、法人和非法人组织的祝贺性、恭维性或推荐性的文字；</w:t>
      </w:r>
    </w:p>
    <w:p w14:paraId="70F1A4E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、中国证监会禁止的其他行为。</w:t>
      </w:r>
    </w:p>
    <w:p w14:paraId="0150511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0142CB8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本基金公开披露的信息采用阿拉伯数字；除特别说明外，货币单位为人民币元。</w:t>
      </w:r>
    </w:p>
    <w:p w14:paraId="7A869F0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五、公开披露的基金信息</w:t>
      </w:r>
    </w:p>
    <w:p w14:paraId="1990DD73"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公开披露的基金信息包括：</w:t>
      </w:r>
    </w:p>
    <w:p w14:paraId="658C4B9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（一）基金招募说明书、基金合同、基金托管协议、基金产品资料概要</w:t>
      </w:r>
    </w:p>
    <w:p w14:paraId="523C85E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14:paraId="76EA6CB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A58F13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6129701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DBEF2C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7174D23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（二）基金份额发售公告</w:t>
      </w:r>
    </w:p>
    <w:p w14:paraId="29B1C04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基金管理人应当就基金份额发售的具体事宜编制基金份额发售公告，并在披露招募说明书的当日登载于规定媒介上。</w:t>
      </w:r>
    </w:p>
    <w:p w14:paraId="232B43E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（三）基金合同生效公告</w:t>
      </w:r>
    </w:p>
    <w:p w14:paraId="4DD7FCE2"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基金管理人应当在收到中国证监会确认文件的次日在规定媒介上登载基金合同生效公告。</w:t>
      </w:r>
    </w:p>
    <w:p w14:paraId="720D446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基金合同生效公告中将说明基金募集情况及发起资金提供方持有的基金份额、承诺持有的期限等情况。</w:t>
      </w:r>
    </w:p>
    <w:p w14:paraId="0205857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（四）基金净值信息</w:t>
      </w:r>
    </w:p>
    <w:p w14:paraId="28DD4D7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基金合同生效后，在开始办理基金份额申购或者赎回前，基金管理人应当至少每周在规定网站披露一次各类基金份额净值和各类基金份额累计净值。</w:t>
      </w:r>
    </w:p>
    <w:p w14:paraId="4CF0B88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在开始办理基金份额申购或者赎回后，基金管理人应当在不晚于每个开放日的次日，通过其规定网站、基金销售机构网站或营业网点披露开放日的各类基金份额净值和各类基金份额累计净值。</w:t>
      </w:r>
    </w:p>
    <w:p w14:paraId="49E3E0A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基金管理人应当在不晚于半年度和年度最后一日的次日，在规定网站披露半年度和年度最后一日的各类基金份额净值和各类基金份额累计净值。</w:t>
      </w:r>
    </w:p>
    <w:p w14:paraId="462EE0D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（五）基金份额申购、赎回价格</w:t>
      </w:r>
    </w:p>
    <w:p w14:paraId="0F74F82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份额申购、赎回价格的计算方式及有关申购、赎回费率，并保证投资人能够在基金销售机构网站或营业网点查阅或者复制前述信息资料。</w:t>
      </w:r>
    </w:p>
    <w:p w14:paraId="15605AF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（六）基金定期报告，包括基金年度报告、基金中期报告和基金季度报告</w:t>
      </w:r>
    </w:p>
    <w:p w14:paraId="2C8E801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71D3A07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5EC0712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17C13FA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6BB2DD4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w:t>
      </w:r>
      <w:r>
        <w:rPr>
          <w:rFonts w:hint="eastAsia"/>
          <w:bCs/>
          <w:sz w:val="24"/>
        </w:rPr>
        <w:lastRenderedPageBreak/>
        <w:t>策的其他重要信息”项下披露该投资者的类别、报告期末持有份额及占比、报告期内持有份额变化情况及本基金的特有风险，中国证监会认定的特殊情形除外。</w:t>
      </w:r>
    </w:p>
    <w:p w14:paraId="47DED151"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基金管理人应当在基金年度报告和中期报告中披露基金组合资产情况及其流动性风险分析等。</w:t>
      </w:r>
    </w:p>
    <w:p w14:paraId="4A10EE0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（七）临时报告</w:t>
      </w:r>
    </w:p>
    <w:p w14:paraId="0687BDE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本基金发生重大事件，有关信息披露义务人应当依照《信息披露办法》的有关规定编制临时报告书，并登载在规定报刊和规定网站上。</w:t>
      </w:r>
    </w:p>
    <w:p w14:paraId="208D5EC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前款所称重大事件，是指可能对基金份额持有人权益或者基金份额的价格产生重大影响的下列事件：</w:t>
      </w:r>
    </w:p>
    <w:p w14:paraId="6A7A991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7C4EFCA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、基金合同终止、基金清算；</w:t>
      </w:r>
    </w:p>
    <w:p w14:paraId="7D3FD74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1532B09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54AE273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8233AF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3A99718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2BA59F3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0BDAB46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6048046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45DD983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1265E8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80589B6"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780B9B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061C74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、管理费、托管费、销售服务费、申购费、赎回费等费用计提标准、计提方式和费率发生变更；</w:t>
      </w:r>
    </w:p>
    <w:p w14:paraId="1227875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、某一类基金份额净值计价错误达该类基金份额净值百分之零点五；</w:t>
      </w:r>
    </w:p>
    <w:p w14:paraId="117F576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5D4861C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18</w:t>
      </w:r>
      <w:r>
        <w:rPr>
          <w:rFonts w:hint="eastAsia"/>
          <w:bCs/>
          <w:sz w:val="24"/>
        </w:rPr>
        <w:t>、本基金发生巨额赎回并延期办理；</w:t>
      </w:r>
    </w:p>
    <w:p w14:paraId="3CDD0AC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、本基金连续发生巨额赎回并暂停接受赎回申请或延缓支付赎回款项；</w:t>
      </w:r>
    </w:p>
    <w:p w14:paraId="06F45B0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、本基金暂停接受申购、赎回申请或重新接受申购、赎回申请；</w:t>
      </w:r>
    </w:p>
    <w:p w14:paraId="6755CFDF"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、发生涉及基金申购、赎回事项调整或潜在影响投资者赎回等重大事项时；</w:t>
      </w:r>
    </w:p>
    <w:p w14:paraId="6214892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、本基金推出新业务或服务；</w:t>
      </w:r>
    </w:p>
    <w:p w14:paraId="48DEB9F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、本基金管理人采用摆动定价机制进行估值；</w:t>
      </w:r>
    </w:p>
    <w:p w14:paraId="239225C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、调整基金份额类别设置；</w:t>
      </w:r>
    </w:p>
    <w:p w14:paraId="38C041B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25</w:t>
      </w:r>
      <w:r>
        <w:rPr>
          <w:rFonts w:hint="eastAsia"/>
          <w:bCs/>
          <w:sz w:val="24"/>
        </w:rPr>
        <w:t>、基金信息披露义务人认为可能对基金份额持有人权益或者基金份额的价格产生重大影响的其他事项或中国证监会规定的其他事项。</w:t>
      </w:r>
    </w:p>
    <w:p w14:paraId="42A533E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（八）澄清公告</w:t>
      </w:r>
    </w:p>
    <w:p w14:paraId="56C5613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6D2F403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（九）基金份额持有人大会决议</w:t>
      </w:r>
    </w:p>
    <w:p w14:paraId="48BF518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基金份额持有人大会决定的事项，应当依法报中国证监会备案，并按照《信息披露办法》予以公告。</w:t>
      </w:r>
    </w:p>
    <w:p w14:paraId="6EA76FE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（十）清算报告</w:t>
      </w:r>
    </w:p>
    <w:p w14:paraId="287CABD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基金合同终止事由发生后，基金管理人应当依法组织基金财产清算小组对基金财产进行清算并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51D81BB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（十一）基金投资股指期货的信息披露</w:t>
      </w:r>
    </w:p>
    <w:p w14:paraId="6AABE417"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F5A316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（十二）投资国债期货的信息披露</w:t>
      </w:r>
    </w:p>
    <w:p w14:paraId="2227121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在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4FEDE0F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（十三）参与融资交易的信息披露</w:t>
      </w:r>
    </w:p>
    <w:p w14:paraId="73DCFB3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基金管理人应当在季度报告、中期报告、年度报告等定期报告和招募说明书（更新）等文件中披露参与融资交易情况，包括投资策略、业务开展情况、损益情况、风险及其管理情况等。</w:t>
      </w:r>
    </w:p>
    <w:p w14:paraId="7F9E346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（十四）基金投资股票期权的信息披露</w:t>
      </w:r>
    </w:p>
    <w:p w14:paraId="734C97D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C6A509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（十五）基金投资资产支持证券的信息披露</w:t>
      </w:r>
    </w:p>
    <w:p w14:paraId="75A2E5A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551435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（十六）本基金投资存托凭证的信息披露依照境内上市交易的股票执行。</w:t>
      </w:r>
    </w:p>
    <w:p w14:paraId="199103E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（十七）有关发起资金认购的基金份额的信息披露</w:t>
      </w:r>
    </w:p>
    <w:p w14:paraId="6B4F573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基金管理人应当按照相关法律的规定和监管机构的要求，在基金年度报告、中期报告、季度报告中分别披露基金管理人固有资金、基金管理人股东、基金管理人高级管理人员或基金经理持有基金的份额、期限</w:t>
      </w:r>
      <w:proofErr w:type="gramStart"/>
      <w:r>
        <w:rPr>
          <w:rFonts w:hint="eastAsia"/>
          <w:bCs/>
          <w:sz w:val="24"/>
        </w:rPr>
        <w:t>及期间</w:t>
      </w:r>
      <w:proofErr w:type="gramEnd"/>
      <w:r>
        <w:rPr>
          <w:rFonts w:hint="eastAsia"/>
          <w:bCs/>
          <w:sz w:val="24"/>
        </w:rPr>
        <w:t>的变动情况。</w:t>
      </w:r>
    </w:p>
    <w:p w14:paraId="5DD279FA"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（十八）实施</w:t>
      </w:r>
      <w:proofErr w:type="gramStart"/>
      <w:r>
        <w:rPr>
          <w:rFonts w:hint="eastAsia"/>
          <w:bCs/>
          <w:sz w:val="24"/>
        </w:rPr>
        <w:t>侧袋机制</w:t>
      </w:r>
      <w:proofErr w:type="gramEnd"/>
      <w:r>
        <w:rPr>
          <w:rFonts w:hint="eastAsia"/>
          <w:bCs/>
          <w:sz w:val="24"/>
        </w:rPr>
        <w:t>期间的信息披露</w:t>
      </w:r>
    </w:p>
    <w:p w14:paraId="6E9E5C49" w14:textId="77777777" w:rsidR="009214AE" w:rsidRDefault="00C66335">
      <w:pPr>
        <w:autoSpaceDE w:val="0"/>
        <w:autoSpaceDN w:val="0"/>
        <w:spacing w:line="360" w:lineRule="auto"/>
        <w:ind w:firstLineChars="200" w:firstLine="480"/>
        <w:textAlignment w:val="bottom"/>
        <w:rPr>
          <w:bCs/>
          <w:sz w:val="24"/>
        </w:rPr>
      </w:pPr>
      <w:r>
        <w:rPr>
          <w:rFonts w:hint="eastAsia"/>
          <w:bCs/>
          <w:sz w:val="24"/>
        </w:rPr>
        <w:lastRenderedPageBreak/>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4C474F0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（十九）中国证监会规定的其他信息。</w:t>
      </w:r>
    </w:p>
    <w:p w14:paraId="66AEEE8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六、信息披露事务管理</w:t>
      </w:r>
    </w:p>
    <w:p w14:paraId="60023D2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50F03E1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2B8B7C3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2128D46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基金管理人、基金托管人应当在</w:t>
      </w:r>
      <w:r>
        <w:rPr>
          <w:rFonts w:asciiTheme="minorEastAsia" w:hAnsiTheme="minorEastAsia" w:cs="Times New Roman" w:hint="eastAsia"/>
          <w:sz w:val="24"/>
          <w:szCs w:val="24"/>
        </w:rPr>
        <w:t>规定</w:t>
      </w:r>
      <w:r>
        <w:rPr>
          <w:rFonts w:hint="eastAsia"/>
          <w:bCs/>
          <w:sz w:val="24"/>
        </w:rPr>
        <w:t>报刊中选择一家报刊披露本基金信息。基金管理人、基金托管人应当向中国证监会基金电子信息披露网站报送拟披露的基金信息，并保证相关报送信息的真实、准确、完整、及时。</w:t>
      </w:r>
    </w:p>
    <w:p w14:paraId="36690A0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基金管理人、基金托管人除依法在</w:t>
      </w:r>
      <w:r>
        <w:rPr>
          <w:rFonts w:asciiTheme="minorEastAsia" w:hAnsiTheme="minorEastAsia" w:cs="Times New Roman" w:hint="eastAsia"/>
          <w:sz w:val="24"/>
          <w:szCs w:val="24"/>
        </w:rPr>
        <w:t>规定</w:t>
      </w:r>
      <w:r>
        <w:rPr>
          <w:rFonts w:hint="eastAsia"/>
          <w:bCs/>
          <w:sz w:val="24"/>
        </w:rPr>
        <w:t>媒介上披露信息外，还可以根据需要在其他公共媒介披露信息，但是其他公共媒介不得早于</w:t>
      </w:r>
      <w:r>
        <w:rPr>
          <w:rFonts w:asciiTheme="minorEastAsia" w:hAnsiTheme="minorEastAsia" w:cs="Times New Roman" w:hint="eastAsia"/>
          <w:sz w:val="24"/>
          <w:szCs w:val="24"/>
        </w:rPr>
        <w:t>规定</w:t>
      </w:r>
      <w:r>
        <w:rPr>
          <w:rFonts w:hint="eastAsia"/>
          <w:bCs/>
          <w:sz w:val="24"/>
        </w:rPr>
        <w:t>媒介披露信息，并且在不同媒介上披露同一信息的内容应当一致。</w:t>
      </w:r>
    </w:p>
    <w:p w14:paraId="76B342A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5610E7C5"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七、信息披露文件的存放与查阅</w:t>
      </w:r>
    </w:p>
    <w:p w14:paraId="61984802"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依法必须披露的信息发布后，基金管理人、基金托管人应当按照相关法律法规规定将信息置备于公司住所，供社会公众查阅、复制。</w:t>
      </w:r>
    </w:p>
    <w:p w14:paraId="2A0F4D9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八、暂停或延迟信息披露的情形</w:t>
      </w:r>
    </w:p>
    <w:p w14:paraId="28208408"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当出现下述情况时，基金管理人和基金托管人可暂停或延迟披露基金相关信息：</w:t>
      </w:r>
    </w:p>
    <w:p w14:paraId="0275E92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007DF9C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、出现《基金合同》约定的暂停估值的情形时；</w:t>
      </w:r>
    </w:p>
    <w:p w14:paraId="7BE4DA47" w14:textId="77777777" w:rsidR="009214AE" w:rsidRDefault="00C66335">
      <w:pPr>
        <w:autoSpaceDE w:val="0"/>
        <w:autoSpaceDN w:val="0"/>
        <w:spacing w:line="360" w:lineRule="auto"/>
        <w:ind w:firstLineChars="200" w:firstLine="480"/>
        <w:textAlignment w:val="bottom"/>
        <w:rPr>
          <w:bCs/>
          <w:sz w:val="24"/>
        </w:rPr>
      </w:pPr>
      <w:r>
        <w:rPr>
          <w:bCs/>
          <w:sz w:val="24"/>
        </w:rPr>
        <w:lastRenderedPageBreak/>
        <w:t>3</w:t>
      </w:r>
      <w:r>
        <w:rPr>
          <w:rFonts w:hint="eastAsia"/>
          <w:bCs/>
          <w:sz w:val="24"/>
        </w:rPr>
        <w:t>、法律法规、中国证监会规定或基金合同认定的其他情形。</w:t>
      </w:r>
    </w:p>
    <w:p w14:paraId="1596DE76" w14:textId="77777777" w:rsidR="009214AE" w:rsidRDefault="00C66335">
      <w:pPr>
        <w:widowControl/>
        <w:jc w:val="left"/>
        <w:rPr>
          <w:bCs/>
          <w:sz w:val="24"/>
        </w:rPr>
      </w:pPr>
      <w:r>
        <w:rPr>
          <w:bCs/>
          <w:sz w:val="24"/>
        </w:rPr>
        <w:br w:type="page"/>
      </w:r>
    </w:p>
    <w:p w14:paraId="57E1014C" w14:textId="77777777" w:rsidR="009214AE" w:rsidRDefault="00C66335">
      <w:pPr>
        <w:pStyle w:val="1"/>
        <w:jc w:val="center"/>
        <w:rPr>
          <w:sz w:val="30"/>
          <w:szCs w:val="30"/>
        </w:rPr>
      </w:pPr>
      <w:bookmarkStart w:id="314" w:name="_Toc164429429"/>
      <w:r>
        <w:rPr>
          <w:rFonts w:hint="eastAsia"/>
          <w:sz w:val="30"/>
          <w:szCs w:val="30"/>
        </w:rPr>
        <w:lastRenderedPageBreak/>
        <w:t>第十六部分</w:t>
      </w:r>
      <w:r>
        <w:rPr>
          <w:sz w:val="30"/>
          <w:szCs w:val="30"/>
        </w:rPr>
        <w:t xml:space="preserve">  </w:t>
      </w:r>
      <w:proofErr w:type="gramStart"/>
      <w:r>
        <w:rPr>
          <w:rFonts w:hint="eastAsia"/>
          <w:sz w:val="30"/>
          <w:szCs w:val="30"/>
        </w:rPr>
        <w:t>侧袋机制</w:t>
      </w:r>
      <w:bookmarkEnd w:id="314"/>
      <w:proofErr w:type="gramEnd"/>
    </w:p>
    <w:p w14:paraId="6DFBB5C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一、</w:t>
      </w:r>
      <w:proofErr w:type="gramStart"/>
      <w:r>
        <w:rPr>
          <w:rFonts w:hint="eastAsia"/>
          <w:bCs/>
          <w:sz w:val="24"/>
        </w:rPr>
        <w:t>侧袋机制</w:t>
      </w:r>
      <w:proofErr w:type="gramEnd"/>
      <w:r>
        <w:rPr>
          <w:rFonts w:hint="eastAsia"/>
          <w:bCs/>
          <w:sz w:val="24"/>
        </w:rPr>
        <w:t>的实施条件</w:t>
      </w:r>
    </w:p>
    <w:p w14:paraId="6C7A303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2699B256"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基金管理人应当在启用</w:t>
      </w:r>
      <w:proofErr w:type="gramStart"/>
      <w:r>
        <w:rPr>
          <w:rFonts w:hint="eastAsia"/>
          <w:bCs/>
          <w:sz w:val="24"/>
        </w:rPr>
        <w:t>侧袋机制</w:t>
      </w:r>
      <w:proofErr w:type="gramEnd"/>
      <w:r>
        <w:rPr>
          <w:rFonts w:hint="eastAsia"/>
          <w:bCs/>
          <w:sz w:val="24"/>
        </w:rPr>
        <w:t>后及时发布临时公告，并及时聘请符合《中华人民共和国证券法》规定的会计师事务所进行审计并披露专项审计意见。</w:t>
      </w:r>
    </w:p>
    <w:p w14:paraId="715B51C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二、实施</w:t>
      </w:r>
      <w:proofErr w:type="gramStart"/>
      <w:r>
        <w:rPr>
          <w:rFonts w:hint="eastAsia"/>
          <w:bCs/>
          <w:sz w:val="24"/>
        </w:rPr>
        <w:t>侧袋机制</w:t>
      </w:r>
      <w:proofErr w:type="gramEnd"/>
      <w:r>
        <w:rPr>
          <w:rFonts w:hint="eastAsia"/>
          <w:bCs/>
          <w:sz w:val="24"/>
        </w:rPr>
        <w:t>期间基金份额的申购与赎回</w:t>
      </w:r>
    </w:p>
    <w:p w14:paraId="575E070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、启用</w:t>
      </w:r>
      <w:proofErr w:type="gramStart"/>
      <w:r>
        <w:rPr>
          <w:rFonts w:hint="eastAsia"/>
          <w:bCs/>
          <w:sz w:val="24"/>
        </w:rPr>
        <w:t>侧袋机制</w:t>
      </w:r>
      <w:proofErr w:type="gramEnd"/>
      <w:r>
        <w:rPr>
          <w:rFonts w:hint="eastAsia"/>
          <w:bCs/>
          <w:sz w:val="24"/>
        </w:rPr>
        <w:t>当日，基金登记机构以基金份额持有人的原有账户份额为基础，确认</w:t>
      </w:r>
      <w:proofErr w:type="gramStart"/>
      <w:r>
        <w:rPr>
          <w:rFonts w:hint="eastAsia"/>
          <w:bCs/>
          <w:sz w:val="24"/>
        </w:rPr>
        <w:t>相应侧袋账户</w:t>
      </w:r>
      <w:proofErr w:type="gramEnd"/>
      <w:r>
        <w:rPr>
          <w:rFonts w:hint="eastAsia"/>
          <w:bCs/>
          <w:sz w:val="24"/>
        </w:rPr>
        <w:t>基金份额持有人名册和份额；当日收到的申购申请，按照启用</w:t>
      </w:r>
      <w:proofErr w:type="gramStart"/>
      <w:r>
        <w:rPr>
          <w:rFonts w:hint="eastAsia"/>
          <w:bCs/>
          <w:sz w:val="24"/>
        </w:rPr>
        <w:t>侧袋机制</w:t>
      </w:r>
      <w:proofErr w:type="gramEnd"/>
      <w:r>
        <w:rPr>
          <w:rFonts w:hint="eastAsia"/>
          <w:bCs/>
          <w:sz w:val="24"/>
        </w:rPr>
        <w:t>后</w:t>
      </w:r>
      <w:proofErr w:type="gramStart"/>
      <w:r>
        <w:rPr>
          <w:rFonts w:hint="eastAsia"/>
          <w:bCs/>
          <w:sz w:val="24"/>
        </w:rPr>
        <w:t>的主袋账户</w:t>
      </w:r>
      <w:proofErr w:type="gramEnd"/>
      <w:r>
        <w:rPr>
          <w:rFonts w:hint="eastAsia"/>
          <w:bCs/>
          <w:sz w:val="24"/>
        </w:rPr>
        <w:t>份额办理；当日收到的赎回申请，仅</w:t>
      </w:r>
      <w:proofErr w:type="gramStart"/>
      <w:r>
        <w:rPr>
          <w:rFonts w:hint="eastAsia"/>
          <w:bCs/>
          <w:sz w:val="24"/>
        </w:rPr>
        <w:t>办理主袋账户</w:t>
      </w:r>
      <w:proofErr w:type="gramEnd"/>
      <w:r>
        <w:rPr>
          <w:rFonts w:hint="eastAsia"/>
          <w:bCs/>
          <w:sz w:val="24"/>
        </w:rPr>
        <w:t>的赎回申请并支付赎回款项。</w:t>
      </w:r>
    </w:p>
    <w:p w14:paraId="4D40849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、实施</w:t>
      </w:r>
      <w:proofErr w:type="gramStart"/>
      <w:r>
        <w:rPr>
          <w:rFonts w:hint="eastAsia"/>
          <w:bCs/>
          <w:sz w:val="24"/>
        </w:rPr>
        <w:t>侧袋机制</w:t>
      </w:r>
      <w:proofErr w:type="gramEnd"/>
      <w:r>
        <w:rPr>
          <w:rFonts w:hint="eastAsia"/>
          <w:bCs/>
          <w:sz w:val="24"/>
        </w:rPr>
        <w:t>期间，基金管理人不</w:t>
      </w:r>
      <w:proofErr w:type="gramStart"/>
      <w:r>
        <w:rPr>
          <w:rFonts w:hint="eastAsia"/>
          <w:bCs/>
          <w:sz w:val="24"/>
        </w:rPr>
        <w:t>办理侧袋账户</w:t>
      </w:r>
      <w:proofErr w:type="gramEnd"/>
      <w:r>
        <w:rPr>
          <w:rFonts w:hint="eastAsia"/>
          <w:bCs/>
          <w:sz w:val="24"/>
        </w:rPr>
        <w:t>份额的申购、赎回和转换；同时，基金管理人按照基金合同和招募说明书的约定</w:t>
      </w:r>
      <w:proofErr w:type="gramStart"/>
      <w:r>
        <w:rPr>
          <w:rFonts w:hint="eastAsia"/>
          <w:bCs/>
          <w:sz w:val="24"/>
        </w:rPr>
        <w:t>办理主袋账户</w:t>
      </w:r>
      <w:proofErr w:type="gramEnd"/>
      <w:r>
        <w:rPr>
          <w:rFonts w:hint="eastAsia"/>
          <w:bCs/>
          <w:sz w:val="24"/>
        </w:rPr>
        <w:t>份额的赎回，并</w:t>
      </w:r>
      <w:proofErr w:type="gramStart"/>
      <w:r>
        <w:rPr>
          <w:rFonts w:hint="eastAsia"/>
          <w:bCs/>
          <w:sz w:val="24"/>
        </w:rPr>
        <w:t>根据主袋账户</w:t>
      </w:r>
      <w:proofErr w:type="gramEnd"/>
      <w:r>
        <w:rPr>
          <w:rFonts w:hint="eastAsia"/>
          <w:bCs/>
          <w:sz w:val="24"/>
        </w:rPr>
        <w:t>运作情况确定是否暂停申购。</w:t>
      </w:r>
    </w:p>
    <w:p w14:paraId="3F2A6D2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、除基金管理人应</w:t>
      </w:r>
      <w:proofErr w:type="gramStart"/>
      <w:r>
        <w:rPr>
          <w:rFonts w:hint="eastAsia"/>
          <w:bCs/>
          <w:sz w:val="24"/>
        </w:rPr>
        <w:t>按照主袋账户</w:t>
      </w:r>
      <w:proofErr w:type="gramEnd"/>
      <w:r>
        <w:rPr>
          <w:rFonts w:hint="eastAsia"/>
          <w:bCs/>
          <w:sz w:val="24"/>
        </w:rPr>
        <w:t>的份额净值</w:t>
      </w:r>
      <w:proofErr w:type="gramStart"/>
      <w:r>
        <w:rPr>
          <w:rFonts w:hint="eastAsia"/>
          <w:bCs/>
          <w:sz w:val="24"/>
        </w:rPr>
        <w:t>办理主袋账户</w:t>
      </w:r>
      <w:proofErr w:type="gramEnd"/>
      <w:r>
        <w:rPr>
          <w:rFonts w:hint="eastAsia"/>
          <w:bCs/>
          <w:sz w:val="24"/>
        </w:rPr>
        <w:t>份额的申购和赎回外，本招募说明书“基金份额的申购与赎回”部分的申购、赎回规定</w:t>
      </w:r>
      <w:proofErr w:type="gramStart"/>
      <w:r>
        <w:rPr>
          <w:rFonts w:hint="eastAsia"/>
          <w:bCs/>
          <w:sz w:val="24"/>
        </w:rPr>
        <w:t>适用于主袋账户</w:t>
      </w:r>
      <w:proofErr w:type="gramEnd"/>
      <w:r>
        <w:rPr>
          <w:rFonts w:hint="eastAsia"/>
          <w:bCs/>
          <w:sz w:val="24"/>
        </w:rPr>
        <w:t>份额。巨额赎回按照单个开放</w:t>
      </w:r>
      <w:proofErr w:type="gramStart"/>
      <w:r>
        <w:rPr>
          <w:rFonts w:hint="eastAsia"/>
          <w:bCs/>
          <w:sz w:val="24"/>
        </w:rPr>
        <w:t>日内主袋账户</w:t>
      </w:r>
      <w:proofErr w:type="gramEnd"/>
      <w:r>
        <w:rPr>
          <w:rFonts w:hint="eastAsia"/>
          <w:bCs/>
          <w:sz w:val="24"/>
        </w:rPr>
        <w:t>份额净赎回申请超过前一开放</w:t>
      </w:r>
      <w:proofErr w:type="gramStart"/>
      <w:r>
        <w:rPr>
          <w:rFonts w:hint="eastAsia"/>
          <w:bCs/>
          <w:sz w:val="24"/>
        </w:rPr>
        <w:t>日主袋账户</w:t>
      </w:r>
      <w:proofErr w:type="gramEnd"/>
      <w:r>
        <w:rPr>
          <w:rFonts w:hint="eastAsia"/>
          <w:bCs/>
          <w:sz w:val="24"/>
        </w:rPr>
        <w:t>总份额的</w:t>
      </w:r>
      <w:r>
        <w:rPr>
          <w:rFonts w:hint="eastAsia"/>
          <w:bCs/>
          <w:sz w:val="24"/>
        </w:rPr>
        <w:t>10%</w:t>
      </w:r>
      <w:r>
        <w:rPr>
          <w:rFonts w:hint="eastAsia"/>
          <w:bCs/>
          <w:sz w:val="24"/>
        </w:rPr>
        <w:t>认定。</w:t>
      </w:r>
    </w:p>
    <w:p w14:paraId="59AAD0D4"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三、实施</w:t>
      </w:r>
      <w:proofErr w:type="gramStart"/>
      <w:r>
        <w:rPr>
          <w:rFonts w:hint="eastAsia"/>
          <w:bCs/>
          <w:sz w:val="24"/>
        </w:rPr>
        <w:t>侧袋机制</w:t>
      </w:r>
      <w:proofErr w:type="gramEnd"/>
      <w:r>
        <w:rPr>
          <w:rFonts w:hint="eastAsia"/>
          <w:bCs/>
          <w:sz w:val="24"/>
        </w:rPr>
        <w:t>期间的基金投资</w:t>
      </w:r>
    </w:p>
    <w:p w14:paraId="091A366D" w14:textId="77777777" w:rsidR="009214AE" w:rsidRDefault="00C66335">
      <w:pPr>
        <w:autoSpaceDE w:val="0"/>
        <w:autoSpaceDN w:val="0"/>
        <w:spacing w:line="360" w:lineRule="auto"/>
        <w:ind w:firstLineChars="200" w:firstLine="480"/>
        <w:textAlignment w:val="bottom"/>
        <w:rPr>
          <w:bCs/>
          <w:sz w:val="24"/>
        </w:rPr>
      </w:pPr>
      <w:proofErr w:type="gramStart"/>
      <w:r>
        <w:rPr>
          <w:rFonts w:hint="eastAsia"/>
          <w:bCs/>
          <w:sz w:val="24"/>
        </w:rPr>
        <w:t>侧袋机制</w:t>
      </w:r>
      <w:proofErr w:type="gramEnd"/>
      <w:r>
        <w:rPr>
          <w:rFonts w:hint="eastAsia"/>
          <w:bCs/>
          <w:sz w:val="24"/>
        </w:rPr>
        <w:t>实施期间，招募说明书“基金的投资”部分约定的投资组合比例、投资策略、组合限制、业绩比较基准、风险收益特征等约定仅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。基金管理人计算各项投资运作指标和基金业绩指标时仅需</w:t>
      </w:r>
      <w:proofErr w:type="gramStart"/>
      <w:r>
        <w:rPr>
          <w:rFonts w:hint="eastAsia"/>
          <w:bCs/>
          <w:sz w:val="24"/>
        </w:rPr>
        <w:t>考虑主袋账户</w:t>
      </w:r>
      <w:proofErr w:type="gramEnd"/>
      <w:r>
        <w:rPr>
          <w:rFonts w:hint="eastAsia"/>
          <w:bCs/>
          <w:sz w:val="24"/>
        </w:rPr>
        <w:t>资产。</w:t>
      </w:r>
    </w:p>
    <w:p w14:paraId="4DA6AC2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基金管理人原则上应当在</w:t>
      </w:r>
      <w:proofErr w:type="gramStart"/>
      <w:r>
        <w:rPr>
          <w:rFonts w:hint="eastAsia"/>
          <w:bCs/>
          <w:sz w:val="24"/>
        </w:rPr>
        <w:t>侧袋机制</w:t>
      </w:r>
      <w:proofErr w:type="gramEnd"/>
      <w:r>
        <w:rPr>
          <w:rFonts w:hint="eastAsia"/>
          <w:bCs/>
          <w:sz w:val="24"/>
        </w:rPr>
        <w:t>启用后</w:t>
      </w:r>
      <w:r>
        <w:rPr>
          <w:rFonts w:hint="eastAsia"/>
          <w:bCs/>
          <w:sz w:val="24"/>
        </w:rPr>
        <w:t>20</w:t>
      </w:r>
      <w:r>
        <w:rPr>
          <w:rFonts w:hint="eastAsia"/>
          <w:bCs/>
          <w:sz w:val="24"/>
        </w:rPr>
        <w:t>个交易日内完成</w:t>
      </w:r>
      <w:proofErr w:type="gramStart"/>
      <w:r>
        <w:rPr>
          <w:rFonts w:hint="eastAsia"/>
          <w:bCs/>
          <w:sz w:val="24"/>
        </w:rPr>
        <w:t>对主袋账户</w:t>
      </w:r>
      <w:proofErr w:type="gramEnd"/>
      <w:r>
        <w:rPr>
          <w:rFonts w:hint="eastAsia"/>
          <w:bCs/>
          <w:sz w:val="24"/>
        </w:rPr>
        <w:t>投资组合的调整，因资产流动性受限等中国证监会规定的情形除外。</w:t>
      </w:r>
    </w:p>
    <w:p w14:paraId="0E27CCC9"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基金管理人不得</w:t>
      </w:r>
      <w:proofErr w:type="gramStart"/>
      <w:r>
        <w:rPr>
          <w:rFonts w:hint="eastAsia"/>
          <w:bCs/>
          <w:sz w:val="24"/>
        </w:rPr>
        <w:t>在侧袋账户</w:t>
      </w:r>
      <w:proofErr w:type="gramEnd"/>
      <w:r>
        <w:rPr>
          <w:rFonts w:hint="eastAsia"/>
          <w:bCs/>
          <w:sz w:val="24"/>
        </w:rPr>
        <w:t>中进行除特定资产处置变现以外的其他投资操作。</w:t>
      </w:r>
    </w:p>
    <w:p w14:paraId="27E7E25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期间的基金估值</w:t>
      </w:r>
    </w:p>
    <w:p w14:paraId="05E3A4C3" w14:textId="77777777" w:rsidR="009214AE" w:rsidRDefault="00C66335">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的，基金管理人和基金托管人</w:t>
      </w:r>
      <w:proofErr w:type="gramStart"/>
      <w:r>
        <w:rPr>
          <w:rFonts w:hint="eastAsia"/>
          <w:bCs/>
          <w:sz w:val="24"/>
        </w:rPr>
        <w:t>应对主袋账户</w:t>
      </w:r>
      <w:proofErr w:type="gramEnd"/>
      <w:r>
        <w:rPr>
          <w:rFonts w:hint="eastAsia"/>
          <w:bCs/>
          <w:sz w:val="24"/>
        </w:rPr>
        <w:t>资产进行估</w:t>
      </w:r>
      <w:r>
        <w:rPr>
          <w:rFonts w:hint="eastAsia"/>
          <w:bCs/>
          <w:sz w:val="24"/>
        </w:rPr>
        <w:lastRenderedPageBreak/>
        <w:t>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roofErr w:type="gramStart"/>
      <w:r>
        <w:rPr>
          <w:rFonts w:hint="eastAsia"/>
          <w:bCs/>
          <w:sz w:val="24"/>
        </w:rPr>
        <w:t>侧袋账户</w:t>
      </w:r>
      <w:proofErr w:type="gramEnd"/>
      <w:r>
        <w:rPr>
          <w:rFonts w:hint="eastAsia"/>
          <w:bCs/>
          <w:sz w:val="24"/>
        </w:rPr>
        <w:t>的会计核算应符合《企业会计准则》的相关要求。</w:t>
      </w:r>
    </w:p>
    <w:p w14:paraId="09348F4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五、</w:t>
      </w:r>
      <w:proofErr w:type="gramStart"/>
      <w:r>
        <w:rPr>
          <w:rFonts w:hint="eastAsia"/>
          <w:bCs/>
          <w:sz w:val="24"/>
        </w:rPr>
        <w:t>实施侧袋账户</w:t>
      </w:r>
      <w:proofErr w:type="gramEnd"/>
      <w:r>
        <w:rPr>
          <w:rFonts w:hint="eastAsia"/>
          <w:bCs/>
          <w:sz w:val="24"/>
        </w:rPr>
        <w:t>期间的基金费用</w:t>
      </w:r>
    </w:p>
    <w:p w14:paraId="406A5B3C"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主袋账户</w:t>
      </w:r>
      <w:proofErr w:type="gramEnd"/>
      <w:r>
        <w:rPr>
          <w:rFonts w:hint="eastAsia"/>
          <w:bCs/>
          <w:sz w:val="24"/>
        </w:rPr>
        <w:t>的管理费、托管费、销售服务费</w:t>
      </w:r>
      <w:proofErr w:type="gramStart"/>
      <w:r>
        <w:rPr>
          <w:rFonts w:hint="eastAsia"/>
          <w:bCs/>
          <w:sz w:val="24"/>
        </w:rPr>
        <w:t>按主袋账户</w:t>
      </w:r>
      <w:proofErr w:type="gramEnd"/>
      <w:r>
        <w:rPr>
          <w:rFonts w:hint="eastAsia"/>
          <w:bCs/>
          <w:sz w:val="24"/>
        </w:rPr>
        <w:t>基金资产净值作为基数计提。</w:t>
      </w:r>
    </w:p>
    <w:p w14:paraId="4B3AD39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w:t>
      </w:r>
      <w:proofErr w:type="gramStart"/>
      <w:r>
        <w:rPr>
          <w:rFonts w:hint="eastAsia"/>
          <w:bCs/>
          <w:sz w:val="24"/>
        </w:rPr>
        <w:t>与侧袋账户</w:t>
      </w:r>
      <w:proofErr w:type="gramEnd"/>
      <w:r>
        <w:rPr>
          <w:rFonts w:hint="eastAsia"/>
          <w:bCs/>
          <w:sz w:val="24"/>
        </w:rPr>
        <w:t>有关的费用可</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w:t>
      </w:r>
    </w:p>
    <w:p w14:paraId="2AD4ADB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六、</w:t>
      </w:r>
      <w:proofErr w:type="gramStart"/>
      <w:r>
        <w:rPr>
          <w:rFonts w:hint="eastAsia"/>
          <w:bCs/>
          <w:sz w:val="24"/>
        </w:rPr>
        <w:t>侧袋账户</w:t>
      </w:r>
      <w:proofErr w:type="gramEnd"/>
      <w:r>
        <w:rPr>
          <w:rFonts w:hint="eastAsia"/>
          <w:bCs/>
          <w:sz w:val="24"/>
        </w:rPr>
        <w:t>中特定资产的处置变现和支付</w:t>
      </w:r>
    </w:p>
    <w:p w14:paraId="3C19E9A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特定资产以可出售、可转让、恢复交易等方式恢复流动性后，基金管理人应当按照基金份额持有人利益最大化原则，采取将特定资产予以处置变现等方式，及时</w:t>
      </w:r>
      <w:proofErr w:type="gramStart"/>
      <w:r>
        <w:rPr>
          <w:rFonts w:hint="eastAsia"/>
          <w:bCs/>
          <w:sz w:val="24"/>
        </w:rPr>
        <w:t>向侧袋账户</w:t>
      </w:r>
      <w:proofErr w:type="gramEnd"/>
      <w:r>
        <w:rPr>
          <w:rFonts w:hint="eastAsia"/>
          <w:bCs/>
          <w:sz w:val="24"/>
        </w:rPr>
        <w:t>份额持有人支付对应变现款项。</w:t>
      </w:r>
    </w:p>
    <w:p w14:paraId="49248148" w14:textId="77777777" w:rsidR="009214AE" w:rsidRDefault="00C66335">
      <w:pPr>
        <w:autoSpaceDE w:val="0"/>
        <w:autoSpaceDN w:val="0"/>
        <w:spacing w:line="360" w:lineRule="auto"/>
        <w:ind w:firstLineChars="200" w:firstLine="480"/>
        <w:textAlignment w:val="bottom"/>
        <w:rPr>
          <w:bCs/>
          <w:sz w:val="24"/>
        </w:rPr>
      </w:pPr>
      <w:proofErr w:type="gramStart"/>
      <w:r>
        <w:rPr>
          <w:rFonts w:hint="eastAsia"/>
          <w:bCs/>
          <w:sz w:val="24"/>
        </w:rPr>
        <w:t>侧袋机制</w:t>
      </w:r>
      <w:proofErr w:type="gramEnd"/>
      <w:r>
        <w:rPr>
          <w:rFonts w:hint="eastAsia"/>
          <w:bCs/>
          <w:sz w:val="24"/>
        </w:rPr>
        <w:t>实施期间，</w:t>
      </w:r>
      <w:proofErr w:type="gramStart"/>
      <w:r>
        <w:rPr>
          <w:rFonts w:hint="eastAsia"/>
          <w:bCs/>
          <w:sz w:val="24"/>
        </w:rPr>
        <w:t>无论侧袋账户</w:t>
      </w:r>
      <w:proofErr w:type="gramEnd"/>
      <w:r>
        <w:rPr>
          <w:rFonts w:hint="eastAsia"/>
          <w:bCs/>
          <w:sz w:val="24"/>
        </w:rPr>
        <w:t>资产是否全部完成变现，基金管理人都应当及时</w:t>
      </w:r>
      <w:proofErr w:type="gramStart"/>
      <w:r>
        <w:rPr>
          <w:rFonts w:hint="eastAsia"/>
          <w:bCs/>
          <w:sz w:val="24"/>
        </w:rPr>
        <w:t>向侧袋账户</w:t>
      </w:r>
      <w:proofErr w:type="gramEnd"/>
      <w:r>
        <w:rPr>
          <w:rFonts w:hint="eastAsia"/>
          <w:bCs/>
          <w:sz w:val="24"/>
        </w:rPr>
        <w:t>全部份额持有人支付已变现部分对应的款项。</w:t>
      </w:r>
      <w:proofErr w:type="gramStart"/>
      <w:r>
        <w:rPr>
          <w:rFonts w:hint="eastAsia"/>
          <w:bCs/>
          <w:sz w:val="24"/>
        </w:rPr>
        <w:t>若侧袋</w:t>
      </w:r>
      <w:proofErr w:type="gramEnd"/>
      <w:r>
        <w:rPr>
          <w:rFonts w:hint="eastAsia"/>
          <w:bCs/>
          <w:sz w:val="24"/>
        </w:rPr>
        <w:t>账户资产无法一次性完成处置变现，基金管理人在每次处置变现后均应按照相关法律法规要求及时发布临时公告。</w:t>
      </w:r>
    </w:p>
    <w:p w14:paraId="18807F0D" w14:textId="77777777" w:rsidR="009214AE" w:rsidRDefault="00C66335">
      <w:pPr>
        <w:autoSpaceDE w:val="0"/>
        <w:autoSpaceDN w:val="0"/>
        <w:spacing w:line="360" w:lineRule="auto"/>
        <w:ind w:firstLineChars="200" w:firstLine="480"/>
        <w:textAlignment w:val="bottom"/>
        <w:rPr>
          <w:bCs/>
          <w:sz w:val="24"/>
        </w:rPr>
      </w:pPr>
      <w:proofErr w:type="gramStart"/>
      <w:r>
        <w:rPr>
          <w:rFonts w:hint="eastAsia"/>
          <w:bCs/>
          <w:sz w:val="24"/>
        </w:rPr>
        <w:t>侧袋账户</w:t>
      </w:r>
      <w:proofErr w:type="gramEnd"/>
      <w:r>
        <w:rPr>
          <w:rFonts w:hint="eastAsia"/>
          <w:bCs/>
          <w:sz w:val="24"/>
        </w:rPr>
        <w:t>资产全部完成变现并终止</w:t>
      </w:r>
      <w:proofErr w:type="gramStart"/>
      <w:r>
        <w:rPr>
          <w:rFonts w:hint="eastAsia"/>
          <w:bCs/>
          <w:sz w:val="24"/>
        </w:rPr>
        <w:t>侧袋机制</w:t>
      </w:r>
      <w:proofErr w:type="gramEnd"/>
      <w:r>
        <w:rPr>
          <w:rFonts w:hint="eastAsia"/>
          <w:bCs/>
          <w:sz w:val="24"/>
        </w:rPr>
        <w:t>后，基金管理人应及时聘请符合《中华人民共和国证券法》规定的会计师事务所进行审计并披露专项审计意见。</w:t>
      </w:r>
    </w:p>
    <w:p w14:paraId="1496CBAD" w14:textId="77777777" w:rsidR="009214AE" w:rsidRDefault="00C66335">
      <w:pPr>
        <w:autoSpaceDE w:val="0"/>
        <w:autoSpaceDN w:val="0"/>
        <w:spacing w:line="360" w:lineRule="auto"/>
        <w:ind w:firstLineChars="200" w:firstLine="480"/>
        <w:textAlignment w:val="bottom"/>
        <w:rPr>
          <w:bCs/>
          <w:sz w:val="24"/>
        </w:rPr>
      </w:pPr>
      <w:r>
        <w:rPr>
          <w:rFonts w:hint="eastAsia"/>
          <w:bCs/>
          <w:sz w:val="24"/>
        </w:rPr>
        <w:t>七、</w:t>
      </w:r>
      <w:proofErr w:type="gramStart"/>
      <w:r>
        <w:rPr>
          <w:rFonts w:hint="eastAsia"/>
          <w:bCs/>
          <w:sz w:val="24"/>
        </w:rPr>
        <w:t>侧袋机制</w:t>
      </w:r>
      <w:proofErr w:type="gramEnd"/>
      <w:r>
        <w:rPr>
          <w:rFonts w:hint="eastAsia"/>
          <w:bCs/>
          <w:sz w:val="24"/>
        </w:rPr>
        <w:t>的信息披露</w:t>
      </w:r>
    </w:p>
    <w:p w14:paraId="781056EE" w14:textId="77777777" w:rsidR="009214AE" w:rsidRDefault="00C66335">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、临时公告</w:t>
      </w:r>
    </w:p>
    <w:p w14:paraId="25E3D35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在</w:t>
      </w:r>
      <w:proofErr w:type="gramStart"/>
      <w:r>
        <w:rPr>
          <w:rFonts w:hint="eastAsia"/>
          <w:bCs/>
          <w:sz w:val="24"/>
        </w:rPr>
        <w:t>启用侧袋机制</w:t>
      </w:r>
      <w:proofErr w:type="gramEnd"/>
      <w:r>
        <w:rPr>
          <w:rFonts w:hint="eastAsia"/>
          <w:bCs/>
          <w:sz w:val="24"/>
        </w:rPr>
        <w:t>、处置特定资产、终止</w:t>
      </w:r>
      <w:proofErr w:type="gramStart"/>
      <w:r>
        <w:rPr>
          <w:rFonts w:hint="eastAsia"/>
          <w:bCs/>
          <w:sz w:val="24"/>
        </w:rPr>
        <w:t>侧袋机制</w:t>
      </w:r>
      <w:proofErr w:type="gramEnd"/>
      <w:r>
        <w:rPr>
          <w:rFonts w:hint="eastAsia"/>
          <w:bCs/>
          <w:sz w:val="24"/>
        </w:rPr>
        <w:t>以及发生其他可能对投资者利益产生重大影响的事项后基金管理人应及时发布临时公告。</w:t>
      </w:r>
    </w:p>
    <w:p w14:paraId="302E587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、基金净值信息</w:t>
      </w:r>
    </w:p>
    <w:p w14:paraId="7D039940" w14:textId="77777777" w:rsidR="009214AE" w:rsidRDefault="00C66335">
      <w:pPr>
        <w:autoSpaceDE w:val="0"/>
        <w:autoSpaceDN w:val="0"/>
        <w:spacing w:line="360" w:lineRule="auto"/>
        <w:ind w:firstLineChars="200" w:firstLine="480"/>
        <w:textAlignment w:val="bottom"/>
        <w:rPr>
          <w:bCs/>
          <w:sz w:val="24"/>
        </w:rPr>
      </w:pPr>
      <w:r>
        <w:rPr>
          <w:rFonts w:hint="eastAsia"/>
          <w:bCs/>
          <w:sz w:val="24"/>
        </w:rPr>
        <w:t>基金管理人应按照招募说明书“基金的信息披露”部分规定的基金净值信息披露方式和频率</w:t>
      </w:r>
      <w:proofErr w:type="gramStart"/>
      <w:r>
        <w:rPr>
          <w:rFonts w:hint="eastAsia"/>
          <w:bCs/>
          <w:sz w:val="24"/>
        </w:rPr>
        <w:t>披露主袋账户</w:t>
      </w:r>
      <w:proofErr w:type="gramEnd"/>
      <w:r>
        <w:rPr>
          <w:rFonts w:hint="eastAsia"/>
          <w:bCs/>
          <w:sz w:val="24"/>
        </w:rPr>
        <w:t>份额的各类基金份额净值和基金份额累计净值。实施</w:t>
      </w:r>
      <w:proofErr w:type="gramStart"/>
      <w:r>
        <w:rPr>
          <w:rFonts w:hint="eastAsia"/>
          <w:bCs/>
          <w:sz w:val="24"/>
        </w:rPr>
        <w:t>侧袋机制</w:t>
      </w:r>
      <w:proofErr w:type="gramEnd"/>
      <w:r>
        <w:rPr>
          <w:rFonts w:hint="eastAsia"/>
          <w:bCs/>
          <w:sz w:val="24"/>
        </w:rPr>
        <w:t>期间本基金暂停</w:t>
      </w:r>
      <w:proofErr w:type="gramStart"/>
      <w:r>
        <w:rPr>
          <w:rFonts w:hint="eastAsia"/>
          <w:bCs/>
          <w:sz w:val="24"/>
        </w:rPr>
        <w:t>披露侧袋账户</w:t>
      </w:r>
      <w:proofErr w:type="gramEnd"/>
      <w:r>
        <w:rPr>
          <w:rFonts w:hint="eastAsia"/>
          <w:bCs/>
          <w:sz w:val="24"/>
        </w:rPr>
        <w:t>份额净值。</w:t>
      </w:r>
    </w:p>
    <w:p w14:paraId="0E1B20EB"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、定期报告</w:t>
      </w:r>
    </w:p>
    <w:p w14:paraId="41CA83CE" w14:textId="77777777" w:rsidR="009214AE" w:rsidRDefault="00C66335">
      <w:pPr>
        <w:autoSpaceDE w:val="0"/>
        <w:autoSpaceDN w:val="0"/>
        <w:spacing w:line="360" w:lineRule="auto"/>
        <w:ind w:firstLineChars="200" w:firstLine="480"/>
        <w:textAlignment w:val="bottom"/>
        <w:rPr>
          <w:bCs/>
          <w:sz w:val="24"/>
        </w:rPr>
      </w:pPr>
      <w:proofErr w:type="gramStart"/>
      <w:r>
        <w:rPr>
          <w:rFonts w:hint="eastAsia"/>
          <w:bCs/>
          <w:sz w:val="24"/>
        </w:rPr>
        <w:t>侧袋机制</w:t>
      </w:r>
      <w:proofErr w:type="gramEnd"/>
      <w:r>
        <w:rPr>
          <w:rFonts w:hint="eastAsia"/>
          <w:bCs/>
          <w:sz w:val="24"/>
        </w:rPr>
        <w:t>实施期间，基金管理人应当在基金定期报告中披露报告期</w:t>
      </w:r>
      <w:proofErr w:type="gramStart"/>
      <w:r>
        <w:rPr>
          <w:rFonts w:hint="eastAsia"/>
          <w:bCs/>
          <w:sz w:val="24"/>
        </w:rPr>
        <w:t>内侧袋</w:t>
      </w:r>
      <w:proofErr w:type="gramEnd"/>
      <w:r>
        <w:rPr>
          <w:rFonts w:hint="eastAsia"/>
          <w:bCs/>
          <w:sz w:val="24"/>
        </w:rPr>
        <w:t>账户相关信息，基金定期报告中的基金会计报表仅需</w:t>
      </w:r>
      <w:proofErr w:type="gramStart"/>
      <w:r>
        <w:rPr>
          <w:rFonts w:hint="eastAsia"/>
          <w:bCs/>
          <w:sz w:val="24"/>
        </w:rPr>
        <w:t>针对主袋账户</w:t>
      </w:r>
      <w:proofErr w:type="gramEnd"/>
      <w:r>
        <w:rPr>
          <w:rFonts w:hint="eastAsia"/>
          <w:bCs/>
          <w:sz w:val="24"/>
        </w:rPr>
        <w:t>进行编制。会计师事务所对基金年度报告进行审计时，应对报告期内基金</w:t>
      </w:r>
      <w:proofErr w:type="gramStart"/>
      <w:r>
        <w:rPr>
          <w:rFonts w:hint="eastAsia"/>
          <w:bCs/>
          <w:sz w:val="24"/>
        </w:rPr>
        <w:t>侧袋机制</w:t>
      </w:r>
      <w:proofErr w:type="gramEnd"/>
      <w:r>
        <w:rPr>
          <w:rFonts w:hint="eastAsia"/>
          <w:bCs/>
          <w:sz w:val="24"/>
        </w:rPr>
        <w:t>运行相关的会</w:t>
      </w:r>
      <w:r>
        <w:rPr>
          <w:rFonts w:hint="eastAsia"/>
          <w:bCs/>
          <w:sz w:val="24"/>
        </w:rPr>
        <w:lastRenderedPageBreak/>
        <w:t>计核算和年度报告披露等发表审计意见。</w:t>
      </w:r>
    </w:p>
    <w:p w14:paraId="112F44AA" w14:textId="77777777" w:rsidR="009214AE" w:rsidRDefault="00C66335">
      <w:pPr>
        <w:widowControl/>
        <w:jc w:val="left"/>
        <w:rPr>
          <w:bCs/>
          <w:sz w:val="24"/>
        </w:rPr>
      </w:pPr>
      <w:r>
        <w:rPr>
          <w:bCs/>
          <w:sz w:val="24"/>
        </w:rPr>
        <w:br w:type="page"/>
      </w:r>
    </w:p>
    <w:p w14:paraId="5D69E487" w14:textId="77777777" w:rsidR="009214AE" w:rsidRDefault="00C66335">
      <w:pPr>
        <w:pStyle w:val="1"/>
        <w:jc w:val="center"/>
        <w:rPr>
          <w:sz w:val="30"/>
          <w:szCs w:val="30"/>
        </w:rPr>
      </w:pPr>
      <w:bookmarkStart w:id="315" w:name="_Toc147463125"/>
      <w:bookmarkStart w:id="316" w:name="_Toc12357178"/>
      <w:bookmarkStart w:id="317" w:name="_Toc416264552"/>
      <w:bookmarkStart w:id="318" w:name="_Toc214873605"/>
      <w:bookmarkStart w:id="319" w:name="_Toc263092324"/>
      <w:bookmarkStart w:id="320" w:name="_Toc21073398"/>
      <w:bookmarkStart w:id="321" w:name="_Toc93226150"/>
      <w:bookmarkStart w:id="322" w:name="_Toc92662708"/>
      <w:bookmarkStart w:id="323" w:name="_Toc23859"/>
      <w:bookmarkStart w:id="324" w:name="_Toc21206"/>
      <w:bookmarkStart w:id="325" w:name="_Toc139991747"/>
      <w:bookmarkStart w:id="326" w:name="_Toc141703897"/>
      <w:bookmarkStart w:id="327" w:name="_Toc10894"/>
      <w:bookmarkStart w:id="328" w:name="_Toc13255"/>
      <w:bookmarkStart w:id="329" w:name="_Toc18007"/>
      <w:bookmarkStart w:id="330" w:name="_Toc28961"/>
      <w:bookmarkStart w:id="331" w:name="_Toc18747"/>
      <w:bookmarkStart w:id="332" w:name="_Toc1043"/>
      <w:bookmarkStart w:id="333" w:name="_Toc31736"/>
      <w:bookmarkStart w:id="334" w:name="_Toc29695"/>
      <w:bookmarkStart w:id="335" w:name="_Toc128310500"/>
      <w:bookmarkStart w:id="336" w:name="_Toc17499"/>
      <w:bookmarkStart w:id="337" w:name="_Toc352229763"/>
      <w:bookmarkStart w:id="338" w:name="_Toc164429430"/>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hint="eastAsia"/>
          <w:sz w:val="30"/>
          <w:szCs w:val="30"/>
        </w:rPr>
        <w:lastRenderedPageBreak/>
        <w:t>第十七部分</w:t>
      </w:r>
      <w:r>
        <w:rPr>
          <w:sz w:val="30"/>
          <w:szCs w:val="30"/>
        </w:rPr>
        <w:t xml:space="preserve">  </w:t>
      </w:r>
      <w:r>
        <w:rPr>
          <w:rFonts w:hint="eastAsia"/>
          <w:sz w:val="30"/>
          <w:szCs w:val="30"/>
        </w:rPr>
        <w:t>风险揭示</w:t>
      </w:r>
      <w:bookmarkEnd w:id="315"/>
      <w:bookmarkEnd w:id="316"/>
      <w:bookmarkEnd w:id="317"/>
      <w:bookmarkEnd w:id="318"/>
      <w:bookmarkEnd w:id="319"/>
      <w:bookmarkEnd w:id="320"/>
      <w:bookmarkEnd w:id="338"/>
    </w:p>
    <w:p w14:paraId="427106C7"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051DE42D"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66C74AB1"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068958EC"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5E25096F"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4DE7CDE7"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50D2E3F2"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57F8A43"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48E813E4"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0A4FECB8"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37390EFC"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23009F9B"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9F7D0C7" w14:textId="77777777" w:rsidR="009214AE" w:rsidRDefault="00C66335">
      <w:pPr>
        <w:pStyle w:val="aff2"/>
        <w:numPr>
          <w:ilvl w:val="0"/>
          <w:numId w:val="3"/>
        </w:numPr>
        <w:adjustRightInd w:val="0"/>
        <w:snapToGrid w:val="0"/>
        <w:spacing w:line="360" w:lineRule="auto"/>
        <w:ind w:firstLineChars="0"/>
        <w:rPr>
          <w:rFonts w:asciiTheme="minorEastAsia" w:hAnsiTheme="minorEastAsia" w:cs="Arial"/>
          <w:bCs/>
          <w:sz w:val="24"/>
          <w:szCs w:val="24"/>
        </w:rPr>
      </w:pPr>
      <w:r>
        <w:rPr>
          <w:rFonts w:asciiTheme="minorEastAsia" w:hAnsiTheme="minorEastAsia" w:cs="Arial" w:hint="eastAsia"/>
          <w:bCs/>
          <w:sz w:val="24"/>
          <w:szCs w:val="24"/>
        </w:rPr>
        <w:t>本基金的申购、赎回安排</w:t>
      </w:r>
    </w:p>
    <w:p w14:paraId="63114978" w14:textId="77777777" w:rsidR="009214AE" w:rsidRDefault="00C66335">
      <w:pPr>
        <w:pStyle w:val="aff2"/>
        <w:numPr>
          <w:ilvl w:val="0"/>
          <w:numId w:val="3"/>
        </w:numPr>
        <w:adjustRightInd w:val="0"/>
        <w:snapToGrid w:val="0"/>
        <w:spacing w:line="360" w:lineRule="auto"/>
        <w:ind w:firstLineChars="0"/>
        <w:rPr>
          <w:rFonts w:asciiTheme="minorEastAsia" w:hAnsiTheme="minorEastAsia" w:cs="Arial"/>
          <w:bCs/>
          <w:sz w:val="24"/>
          <w:szCs w:val="24"/>
        </w:rPr>
      </w:pPr>
      <w:r>
        <w:rPr>
          <w:rFonts w:asciiTheme="minorEastAsia" w:hAnsiTheme="minorEastAsia" w:cs="Arial" w:hint="eastAsia"/>
          <w:bCs/>
          <w:sz w:val="24"/>
          <w:szCs w:val="24"/>
        </w:rPr>
        <w:t>拟投资市场、行业及资产的流动性风险评估</w:t>
      </w:r>
    </w:p>
    <w:p w14:paraId="293C5F01"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投资范围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0C157E1C"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Pr>
          <w:rFonts w:asciiTheme="minorEastAsia" w:hAnsiTheme="minorEastAsia" w:cs="Arial"/>
          <w:bCs/>
          <w:sz w:val="24"/>
          <w:szCs w:val="24"/>
        </w:rPr>
        <w:t>3</w:t>
      </w:r>
      <w:r>
        <w:rPr>
          <w:rFonts w:asciiTheme="minorEastAsia" w:hAnsiTheme="minorEastAsia" w:cs="Arial" w:hint="eastAsia"/>
          <w:bCs/>
          <w:sz w:val="24"/>
          <w:szCs w:val="24"/>
        </w:rPr>
        <w:t xml:space="preserve">）巨额赎回情形下的流动性风险管理措施 </w:t>
      </w:r>
    </w:p>
    <w:p w14:paraId="2F93BC5C"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的基金份额超过上一开放日基金总份额一定比例以上的，基金管理人有权对其采取延期办理赎回申请的措施。</w:t>
      </w:r>
    </w:p>
    <w:p w14:paraId="51ADD423"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（4）实施备用的流动性风险管理工具的情形、程序及对投资者的潜在影响</w:t>
      </w:r>
    </w:p>
    <w:p w14:paraId="14B01DD5"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摆动定价、</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4375230F"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是一种流动性风险管理工具，是将特定资产分离</w:t>
      </w:r>
      <w:proofErr w:type="gramStart"/>
      <w:r>
        <w:rPr>
          <w:rFonts w:asciiTheme="minorEastAsia" w:hAnsiTheme="minorEastAsia" w:cs="Arial" w:hint="eastAsia"/>
          <w:bCs/>
          <w:sz w:val="24"/>
          <w:szCs w:val="24"/>
        </w:rPr>
        <w:t>至专门的侧袋</w:t>
      </w:r>
      <w:proofErr w:type="gramEnd"/>
      <w:r>
        <w:rPr>
          <w:rFonts w:asciiTheme="minorEastAsia" w:hAnsiTheme="minorEastAsia" w:cs="Arial" w:hint="eastAsia"/>
          <w:bCs/>
          <w:sz w:val="24"/>
          <w:szCs w:val="24"/>
        </w:rPr>
        <w:t>账户进行处置清算，并以处置变现后的款项向基金份额持有人进行支付，目的在于有效隔离并化解风险。但基金启用</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后，</w:t>
      </w:r>
      <w:proofErr w:type="gramStart"/>
      <w:r>
        <w:rPr>
          <w:rFonts w:asciiTheme="minorEastAsia" w:hAnsiTheme="minorEastAsia" w:cs="Arial" w:hint="eastAsia"/>
          <w:bCs/>
          <w:sz w:val="24"/>
          <w:szCs w:val="24"/>
        </w:rPr>
        <w:t>侧袋账户</w:t>
      </w:r>
      <w:proofErr w:type="gramEnd"/>
      <w:r>
        <w:rPr>
          <w:rFonts w:asciiTheme="minorEastAsia" w:hAnsiTheme="minorEastAsia" w:cs="Arial" w:hint="eastAsia"/>
          <w:bCs/>
          <w:sz w:val="24"/>
          <w:szCs w:val="24"/>
        </w:rPr>
        <w:t>份额将停止披露基金份额净值，并不得办理申购、赎回和转换，</w:t>
      </w:r>
      <w:proofErr w:type="gramStart"/>
      <w:r>
        <w:rPr>
          <w:rFonts w:asciiTheme="minorEastAsia" w:hAnsiTheme="minorEastAsia" w:cs="Arial" w:hint="eastAsia"/>
          <w:bCs/>
          <w:sz w:val="24"/>
          <w:szCs w:val="24"/>
        </w:rPr>
        <w:t>仅主袋</w:t>
      </w:r>
      <w:proofErr w:type="gramEnd"/>
      <w:r>
        <w:rPr>
          <w:rFonts w:asciiTheme="minorEastAsia" w:hAnsiTheme="minorEastAsia" w:cs="Arial" w:hint="eastAsia"/>
          <w:bCs/>
          <w:sz w:val="24"/>
          <w:szCs w:val="24"/>
        </w:rPr>
        <w:t>账户份额正常开放赎回，因此启用</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时持有基金份额的持有人将在启用</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后同时</w:t>
      </w:r>
      <w:proofErr w:type="gramStart"/>
      <w:r>
        <w:rPr>
          <w:rFonts w:asciiTheme="minorEastAsia" w:hAnsiTheme="minorEastAsia" w:cs="Arial" w:hint="eastAsia"/>
          <w:bCs/>
          <w:sz w:val="24"/>
          <w:szCs w:val="24"/>
        </w:rPr>
        <w:t>持有主袋账户</w:t>
      </w:r>
      <w:proofErr w:type="gramEnd"/>
      <w:r>
        <w:rPr>
          <w:rFonts w:asciiTheme="minorEastAsia" w:hAnsiTheme="minorEastAsia" w:cs="Arial" w:hint="eastAsia"/>
          <w:bCs/>
          <w:sz w:val="24"/>
          <w:szCs w:val="24"/>
        </w:rPr>
        <w:t>份额和</w:t>
      </w:r>
      <w:proofErr w:type="gramStart"/>
      <w:r>
        <w:rPr>
          <w:rFonts w:asciiTheme="minorEastAsia" w:hAnsiTheme="minorEastAsia" w:cs="Arial" w:hint="eastAsia"/>
          <w:bCs/>
          <w:sz w:val="24"/>
          <w:szCs w:val="24"/>
        </w:rPr>
        <w:t>侧袋</w:t>
      </w:r>
      <w:proofErr w:type="gramEnd"/>
      <w:r>
        <w:rPr>
          <w:rFonts w:asciiTheme="minorEastAsia" w:hAnsiTheme="minorEastAsia" w:cs="Arial" w:hint="eastAsia"/>
          <w:bCs/>
          <w:sz w:val="24"/>
          <w:szCs w:val="24"/>
        </w:rPr>
        <w:t>账户份额，</w:t>
      </w:r>
      <w:proofErr w:type="gramStart"/>
      <w:r>
        <w:rPr>
          <w:rFonts w:asciiTheme="minorEastAsia" w:hAnsiTheme="minorEastAsia" w:cs="Arial" w:hint="eastAsia"/>
          <w:bCs/>
          <w:sz w:val="24"/>
          <w:szCs w:val="24"/>
        </w:rPr>
        <w:t>侧袋账户</w:t>
      </w:r>
      <w:proofErr w:type="gramEnd"/>
      <w:r>
        <w:rPr>
          <w:rFonts w:asciiTheme="minorEastAsia" w:hAnsiTheme="minorEastAsia" w:cs="Arial" w:hint="eastAsia"/>
          <w:bCs/>
          <w:sz w:val="24"/>
          <w:szCs w:val="24"/>
        </w:rPr>
        <w:t>份额不能赎回，其对应特定资产的变现时间具有不确定性，最终变现价格也具有不确定性并且有可能大幅低于启用</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时的特定资产的估值，基金份额持有人可能因此面临损失。</w:t>
      </w:r>
    </w:p>
    <w:p w14:paraId="7FCED681"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实施</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期间，因本基金不</w:t>
      </w:r>
      <w:proofErr w:type="gramStart"/>
      <w:r>
        <w:rPr>
          <w:rFonts w:asciiTheme="minorEastAsia" w:hAnsiTheme="minorEastAsia" w:cs="Arial" w:hint="eastAsia"/>
          <w:bCs/>
          <w:sz w:val="24"/>
          <w:szCs w:val="24"/>
        </w:rPr>
        <w:t>披露侧袋账户</w:t>
      </w:r>
      <w:proofErr w:type="gramEnd"/>
      <w:r>
        <w:rPr>
          <w:rFonts w:asciiTheme="minorEastAsia" w:hAnsiTheme="minorEastAsia" w:cs="Arial" w:hint="eastAsia"/>
          <w:bCs/>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D080DD2"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基金管理人将</w:t>
      </w:r>
      <w:proofErr w:type="gramStart"/>
      <w:r>
        <w:rPr>
          <w:rFonts w:asciiTheme="minorEastAsia" w:hAnsiTheme="minorEastAsia" w:cs="Arial" w:hint="eastAsia"/>
          <w:bCs/>
          <w:sz w:val="24"/>
          <w:szCs w:val="24"/>
        </w:rPr>
        <w:t>根据主袋账户</w:t>
      </w:r>
      <w:proofErr w:type="gramEnd"/>
      <w:r>
        <w:rPr>
          <w:rFonts w:asciiTheme="minorEastAsia" w:hAnsiTheme="minorEastAsia" w:cs="Arial" w:hint="eastAsia"/>
          <w:bCs/>
          <w:sz w:val="24"/>
          <w:szCs w:val="24"/>
        </w:rPr>
        <w:t>运作情况合理确定申购政策,因此实施</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后主袋账户份额存在暂停申购的可能。</w:t>
      </w:r>
    </w:p>
    <w:p w14:paraId="79070DF9"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启用</w:t>
      </w:r>
      <w:proofErr w:type="gramStart"/>
      <w:r>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后，基金管理人计算各项投资运作指标和基金业绩指标时仅需</w:t>
      </w:r>
      <w:proofErr w:type="gramStart"/>
      <w:r>
        <w:rPr>
          <w:rFonts w:asciiTheme="minorEastAsia" w:hAnsiTheme="minorEastAsia" w:cs="Arial" w:hint="eastAsia"/>
          <w:bCs/>
          <w:sz w:val="24"/>
          <w:szCs w:val="24"/>
        </w:rPr>
        <w:lastRenderedPageBreak/>
        <w:t>考虑主袋账户</w:t>
      </w:r>
      <w:proofErr w:type="gramEnd"/>
      <w:r>
        <w:rPr>
          <w:rFonts w:asciiTheme="minorEastAsia" w:hAnsiTheme="minorEastAsia" w:cs="Arial" w:hint="eastAsia"/>
          <w:bCs/>
          <w:sz w:val="24"/>
          <w:szCs w:val="24"/>
        </w:rPr>
        <w:t>资产，基金业绩指标应当</w:t>
      </w:r>
      <w:proofErr w:type="gramStart"/>
      <w:r>
        <w:rPr>
          <w:rFonts w:asciiTheme="minorEastAsia" w:hAnsiTheme="minorEastAsia" w:cs="Arial" w:hint="eastAsia"/>
          <w:bCs/>
          <w:sz w:val="24"/>
          <w:szCs w:val="24"/>
        </w:rPr>
        <w:t>以主袋账户</w:t>
      </w:r>
      <w:proofErr w:type="gramEnd"/>
      <w:r>
        <w:rPr>
          <w:rFonts w:asciiTheme="minorEastAsia" w:hAnsiTheme="minorEastAsia" w:cs="Arial" w:hint="eastAsia"/>
          <w:bCs/>
          <w:sz w:val="24"/>
          <w:szCs w:val="24"/>
        </w:rPr>
        <w:t>资产为基准，因此本基金披露的业绩指标不能反映特定资产的真实价值及变化情况。</w:t>
      </w:r>
    </w:p>
    <w:p w14:paraId="1EAFFDC0"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60A65EA1"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98922F3"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4D0EA3A9"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5A96D00"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0FC77457"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71C6F130"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781FB87E"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73F5B5ED"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、股指期货、国债期货投资风险</w:t>
      </w:r>
    </w:p>
    <w:p w14:paraId="3451448D"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CBFAE04"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w:t>
      </w:r>
      <w:r>
        <w:rPr>
          <w:rFonts w:asciiTheme="minorEastAsia" w:hAnsiTheme="minorEastAsia" w:cs="Arial" w:hint="eastAsia"/>
          <w:bCs/>
          <w:sz w:val="24"/>
          <w:szCs w:val="24"/>
        </w:rPr>
        <w:lastRenderedPageBreak/>
        <w:t>证金，按规定将被强制平仓，可能给投资带来重大损失。</w:t>
      </w:r>
    </w:p>
    <w:p w14:paraId="50838C4B"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3、资产支持证券投资风险</w:t>
      </w:r>
    </w:p>
    <w:p w14:paraId="61AA05F7"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2B3C413"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4、股票期权投资风险</w:t>
      </w:r>
    </w:p>
    <w:p w14:paraId="5575E398"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6A91E21"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40F59EA5"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29D404CC" w14:textId="77777777" w:rsidR="009214AE" w:rsidRDefault="00C66335">
      <w:pPr>
        <w:spacing w:line="360" w:lineRule="auto"/>
        <w:ind w:firstLine="480"/>
        <w:rPr>
          <w:rFonts w:hAnsi="宋体"/>
          <w:bCs/>
          <w:sz w:val="24"/>
          <w:szCs w:val="24"/>
        </w:rPr>
      </w:pPr>
      <w:r>
        <w:rPr>
          <w:rFonts w:asciiTheme="minorEastAsia" w:hAnsiTheme="minorEastAsia" w:cs="Arial" w:hint="eastAsia"/>
          <w:bCs/>
          <w:sz w:val="24"/>
          <w:szCs w:val="24"/>
        </w:rPr>
        <w:t>6、</w:t>
      </w:r>
      <w:r>
        <w:rPr>
          <w:rFonts w:asciiTheme="minorEastAsia" w:hAnsiTheme="minorEastAsia" w:hint="eastAsia"/>
          <w:bCs/>
          <w:sz w:val="24"/>
          <w:szCs w:val="24"/>
        </w:rPr>
        <w:t>参与</w:t>
      </w:r>
      <w:r>
        <w:rPr>
          <w:rFonts w:hAnsi="宋体" w:hint="eastAsia"/>
          <w:bCs/>
          <w:sz w:val="24"/>
          <w:szCs w:val="24"/>
        </w:rPr>
        <w:t>融资业务相关风险</w:t>
      </w:r>
    </w:p>
    <w:p w14:paraId="45C8CC51" w14:textId="77777777" w:rsidR="009214AE" w:rsidRDefault="00C66335">
      <w:pPr>
        <w:adjustRightInd w:val="0"/>
        <w:snapToGrid w:val="0"/>
        <w:spacing w:line="360" w:lineRule="auto"/>
        <w:ind w:firstLineChars="200" w:firstLine="480"/>
        <w:rPr>
          <w:rFonts w:hAnsi="宋体"/>
          <w:sz w:val="24"/>
          <w:szCs w:val="24"/>
        </w:rPr>
      </w:pPr>
      <w:r>
        <w:rPr>
          <w:rFonts w:hAnsi="宋体" w:hint="eastAsia"/>
          <w:sz w:val="24"/>
          <w:szCs w:val="24"/>
        </w:rPr>
        <w:t>本基金可根据法律法规的规定参与融资业务，参与融资交易的风险主要包括流动性风险、信用风险等，这些风险可能会给基金净值带来一定的负面影响和损失。为了更好的防范融资交易所面临的各类风险，基金管理人将遵守审慎经营原则，制定科学合理的投资策略和风险管理制度，有效防范和控制风险，切实维护基金财产的安全和基金份额持有人利益。</w:t>
      </w:r>
    </w:p>
    <w:p w14:paraId="435320D5"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sz w:val="24"/>
          <w:szCs w:val="24"/>
        </w:rPr>
        <w:lastRenderedPageBreak/>
        <w:t>7、</w:t>
      </w:r>
      <w:r>
        <w:rPr>
          <w:rFonts w:asciiTheme="minorEastAsia" w:hAnsiTheme="minorEastAsia" w:cs="Arial" w:hint="eastAsia"/>
          <w:bCs/>
          <w:sz w:val="24"/>
          <w:szCs w:val="24"/>
        </w:rPr>
        <w:t>与发起</w:t>
      </w:r>
      <w:proofErr w:type="gramStart"/>
      <w:r>
        <w:rPr>
          <w:rFonts w:asciiTheme="minorEastAsia" w:hAnsiTheme="minorEastAsia" w:cs="Arial" w:hint="eastAsia"/>
          <w:bCs/>
          <w:sz w:val="24"/>
          <w:szCs w:val="24"/>
        </w:rPr>
        <w:t>式基金</w:t>
      </w:r>
      <w:proofErr w:type="gramEnd"/>
      <w:r>
        <w:rPr>
          <w:rFonts w:asciiTheme="minorEastAsia" w:hAnsiTheme="minorEastAsia" w:cs="Arial" w:hint="eastAsia"/>
          <w:bCs/>
          <w:sz w:val="24"/>
          <w:szCs w:val="24"/>
        </w:rPr>
        <w:t>运作方式相关的基金合同提前终止风险</w:t>
      </w:r>
    </w:p>
    <w:p w14:paraId="671F6A50"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本基金的《基金合同》生效之日起三年后的对应日，</w:t>
      </w:r>
      <w:proofErr w:type="gramStart"/>
      <w:r>
        <w:rPr>
          <w:rFonts w:asciiTheme="minorEastAsia" w:hAnsiTheme="minorEastAsia" w:cs="Arial" w:hint="eastAsia"/>
          <w:bCs/>
          <w:sz w:val="24"/>
          <w:szCs w:val="24"/>
        </w:rPr>
        <w:t>若基金</w:t>
      </w:r>
      <w:proofErr w:type="gramEnd"/>
      <w:r>
        <w:rPr>
          <w:rFonts w:asciiTheme="minorEastAsia" w:hAnsiTheme="minorEastAsia" w:cs="Arial" w:hint="eastAsia"/>
          <w:bCs/>
          <w:sz w:val="24"/>
          <w:szCs w:val="24"/>
        </w:rPr>
        <w:t>资产净值低于2亿元，本基金将根据《基金合同》的约定进行基金财产清算并终止，无需召开基金份额持有人大会审议，且不得通过召开基金份额持有人大会延续基金合同期限，存在着基金合同提前终止的风险。</w:t>
      </w:r>
    </w:p>
    <w:p w14:paraId="3B3E5E39"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62B17E68"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4E4B437B"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3868AE82"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22FB8F7D"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27BC7538"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03E9B1C6" w14:textId="77777777" w:rsidR="009214AE" w:rsidRDefault="00C6633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20FEB619" w14:textId="77777777" w:rsidR="009214AE" w:rsidRDefault="009214AE">
      <w:pPr>
        <w:widowControl/>
        <w:spacing w:line="360" w:lineRule="auto"/>
        <w:jc w:val="left"/>
        <w:rPr>
          <w:rFonts w:asciiTheme="minorEastAsia" w:hAnsiTheme="minorEastAsia" w:cs="Times New Roman"/>
          <w:b/>
          <w:bCs/>
          <w:kern w:val="44"/>
          <w:sz w:val="24"/>
          <w:szCs w:val="24"/>
        </w:rPr>
        <w:sectPr w:rsidR="009214AE" w:rsidSect="004C0C2D">
          <w:footerReference w:type="default" r:id="rId26"/>
          <w:pgSz w:w="11906" w:h="16838"/>
          <w:pgMar w:top="1440" w:right="1800" w:bottom="1440" w:left="1800" w:header="851" w:footer="992" w:gutter="0"/>
          <w:pgNumType w:chapStyle="1"/>
          <w:cols w:space="720"/>
          <w:docGrid w:type="lines" w:linePitch="312"/>
        </w:sectPr>
      </w:pPr>
    </w:p>
    <w:p w14:paraId="669C8F22" w14:textId="77777777" w:rsidR="009214AE" w:rsidRDefault="00C66335">
      <w:pPr>
        <w:pStyle w:val="1"/>
        <w:ind w:firstLine="600"/>
        <w:jc w:val="center"/>
      </w:pPr>
      <w:bookmarkStart w:id="339" w:name="_Toc164429431"/>
      <w:r>
        <w:rPr>
          <w:rFonts w:hint="eastAsia"/>
          <w:sz w:val="30"/>
          <w:szCs w:val="30"/>
        </w:rPr>
        <w:lastRenderedPageBreak/>
        <w:t>第十八部分</w:t>
      </w:r>
      <w:r>
        <w:rPr>
          <w:sz w:val="30"/>
          <w:szCs w:val="30"/>
        </w:rPr>
        <w:t xml:space="preserve">  </w:t>
      </w:r>
      <w:bookmarkEnd w:id="321"/>
      <w:bookmarkEnd w:id="322"/>
      <w:r>
        <w:rPr>
          <w:rFonts w:hint="eastAsia"/>
          <w:sz w:val="30"/>
          <w:szCs w:val="30"/>
        </w:rPr>
        <w:t>基金合同的变更、终止与基金财产的清算</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9"/>
    </w:p>
    <w:p w14:paraId="1F2BFD95" w14:textId="77777777" w:rsidR="009214AE" w:rsidRDefault="00C66335">
      <w:pPr>
        <w:autoSpaceDE w:val="0"/>
        <w:autoSpaceDN w:val="0"/>
        <w:spacing w:line="360" w:lineRule="auto"/>
        <w:ind w:firstLineChars="200" w:firstLine="480"/>
        <w:textAlignment w:val="bottom"/>
        <w:rPr>
          <w:bCs/>
          <w:sz w:val="24"/>
        </w:rPr>
      </w:pPr>
      <w:bookmarkStart w:id="340" w:name="_Toc79392639"/>
      <w:bookmarkStart w:id="341" w:name="_Toc11049"/>
      <w:bookmarkStart w:id="342" w:name="_Toc12028"/>
      <w:bookmarkStart w:id="343" w:name="_Toc29289"/>
      <w:bookmarkStart w:id="344" w:name="_Toc21351"/>
      <w:bookmarkStart w:id="345" w:name="_Toc352229764"/>
      <w:bookmarkStart w:id="346" w:name="_Toc93226151"/>
      <w:bookmarkStart w:id="347" w:name="_Toc8512"/>
      <w:bookmarkStart w:id="348" w:name="_Toc1421"/>
      <w:bookmarkStart w:id="349" w:name="_Toc1173"/>
      <w:bookmarkStart w:id="350" w:name="_Toc193"/>
      <w:bookmarkStart w:id="351" w:name="_Toc31866"/>
      <w:bookmarkStart w:id="352" w:name="_Toc11802"/>
      <w:bookmarkStart w:id="353" w:name="_Toc139991748"/>
      <w:bookmarkStart w:id="354" w:name="_Toc92662709"/>
      <w:bookmarkStart w:id="355" w:name="_Toc128310501"/>
      <w:bookmarkStart w:id="356" w:name="_Toc141703898"/>
      <w:bookmarkStart w:id="357" w:name="_Toc3056"/>
      <w:r>
        <w:rPr>
          <w:bCs/>
          <w:sz w:val="24"/>
        </w:rPr>
        <w:t>一、《基金合同》的变更</w:t>
      </w:r>
      <w:bookmarkEnd w:id="340"/>
    </w:p>
    <w:p w14:paraId="75AC0069" w14:textId="77777777" w:rsidR="009214AE" w:rsidRDefault="00C66335">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298C0B1" w14:textId="77777777" w:rsidR="009214AE" w:rsidRDefault="00C66335">
      <w:pPr>
        <w:autoSpaceDE w:val="0"/>
        <w:autoSpaceDN w:val="0"/>
        <w:spacing w:line="360" w:lineRule="auto"/>
        <w:ind w:firstLineChars="200" w:firstLine="480"/>
        <w:textAlignment w:val="bottom"/>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依照《信息披露办法》的有关规定</w:t>
      </w:r>
      <w:r>
        <w:rPr>
          <w:bCs/>
          <w:sz w:val="24"/>
        </w:rPr>
        <w:t>在</w:t>
      </w:r>
      <w:r>
        <w:rPr>
          <w:rFonts w:asciiTheme="minorEastAsia" w:hAnsiTheme="minorEastAsia" w:cs="Times New Roman" w:hint="eastAsia"/>
          <w:sz w:val="24"/>
          <w:szCs w:val="24"/>
        </w:rPr>
        <w:t>规定</w:t>
      </w:r>
      <w:r>
        <w:rPr>
          <w:bCs/>
          <w:sz w:val="24"/>
        </w:rPr>
        <w:t>媒介公告。</w:t>
      </w:r>
    </w:p>
    <w:p w14:paraId="19252C95" w14:textId="77777777" w:rsidR="009214AE" w:rsidRDefault="00C66335">
      <w:pPr>
        <w:autoSpaceDE w:val="0"/>
        <w:autoSpaceDN w:val="0"/>
        <w:spacing w:line="360" w:lineRule="auto"/>
        <w:ind w:firstLineChars="200" w:firstLine="480"/>
        <w:textAlignment w:val="bottom"/>
        <w:rPr>
          <w:bCs/>
          <w:sz w:val="24"/>
        </w:rPr>
      </w:pPr>
      <w:r>
        <w:rPr>
          <w:bCs/>
          <w:sz w:val="24"/>
        </w:rPr>
        <w:t>二、《基金合同》的终止事由</w:t>
      </w:r>
    </w:p>
    <w:p w14:paraId="422C0148" w14:textId="77777777" w:rsidR="009214AE" w:rsidRDefault="00C66335">
      <w:pPr>
        <w:autoSpaceDE w:val="0"/>
        <w:autoSpaceDN w:val="0"/>
        <w:spacing w:line="360" w:lineRule="auto"/>
        <w:ind w:firstLineChars="200" w:firstLine="480"/>
        <w:textAlignment w:val="bottom"/>
        <w:rPr>
          <w:bCs/>
          <w:sz w:val="24"/>
        </w:rPr>
      </w:pPr>
      <w:r>
        <w:rPr>
          <w:bCs/>
          <w:sz w:val="24"/>
        </w:rPr>
        <w:t>有下列情形之一的</w:t>
      </w:r>
      <w:r>
        <w:rPr>
          <w:rFonts w:hint="eastAsia"/>
          <w:bCs/>
          <w:sz w:val="24"/>
        </w:rPr>
        <w:t>，经履行相关程序后</w:t>
      </w:r>
      <w:r>
        <w:rPr>
          <w:bCs/>
          <w:sz w:val="24"/>
        </w:rPr>
        <w:t>，《基金合同》应当终止：</w:t>
      </w:r>
    </w:p>
    <w:p w14:paraId="2D3A06FE" w14:textId="77777777" w:rsidR="009214AE" w:rsidRDefault="00C66335">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62AFDF7" w14:textId="77777777" w:rsidR="009214AE" w:rsidRDefault="00C66335">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A5DAF57" w14:textId="77777777" w:rsidR="009214AE" w:rsidRDefault="00C6633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、基金合同生效之日起三年后的年度对应日，基金资产净值低于</w:t>
      </w:r>
      <w:r>
        <w:rPr>
          <w:rFonts w:hint="eastAsia"/>
          <w:bCs/>
          <w:sz w:val="24"/>
        </w:rPr>
        <w:t>2</w:t>
      </w:r>
      <w:r>
        <w:rPr>
          <w:rFonts w:hint="eastAsia"/>
          <w:bCs/>
          <w:sz w:val="24"/>
        </w:rPr>
        <w:t>亿元；</w:t>
      </w:r>
    </w:p>
    <w:p w14:paraId="571C88CD" w14:textId="77777777" w:rsidR="009214AE" w:rsidRDefault="00C66335">
      <w:pPr>
        <w:autoSpaceDE w:val="0"/>
        <w:autoSpaceDN w:val="0"/>
        <w:spacing w:line="360" w:lineRule="auto"/>
        <w:ind w:firstLineChars="200" w:firstLine="480"/>
        <w:textAlignment w:val="bottom"/>
        <w:rPr>
          <w:bCs/>
          <w:sz w:val="24"/>
        </w:rPr>
      </w:pPr>
      <w:r>
        <w:rPr>
          <w:bCs/>
          <w:sz w:val="24"/>
        </w:rPr>
        <w:t>4</w:t>
      </w:r>
      <w:r>
        <w:rPr>
          <w:bCs/>
          <w:sz w:val="24"/>
        </w:rPr>
        <w:t>、《基金合同》约定的其他情形；</w:t>
      </w:r>
    </w:p>
    <w:p w14:paraId="7CB90566" w14:textId="77777777" w:rsidR="009214AE" w:rsidRDefault="00C66335">
      <w:pPr>
        <w:autoSpaceDE w:val="0"/>
        <w:autoSpaceDN w:val="0"/>
        <w:spacing w:line="360" w:lineRule="auto"/>
        <w:ind w:firstLineChars="200" w:firstLine="480"/>
        <w:textAlignment w:val="bottom"/>
        <w:rPr>
          <w:bCs/>
          <w:sz w:val="24"/>
        </w:rPr>
      </w:pPr>
      <w:r>
        <w:rPr>
          <w:bCs/>
          <w:sz w:val="24"/>
        </w:rPr>
        <w:t>5</w:t>
      </w:r>
      <w:r>
        <w:rPr>
          <w:bCs/>
          <w:sz w:val="24"/>
        </w:rPr>
        <w:t>、相关法律法规和中国证监会规定的其他情况。</w:t>
      </w:r>
    </w:p>
    <w:p w14:paraId="61110D98" w14:textId="77777777" w:rsidR="009214AE" w:rsidRDefault="00C66335">
      <w:pPr>
        <w:autoSpaceDE w:val="0"/>
        <w:autoSpaceDN w:val="0"/>
        <w:spacing w:line="360" w:lineRule="auto"/>
        <w:ind w:firstLineChars="200" w:firstLine="480"/>
        <w:textAlignment w:val="bottom"/>
        <w:rPr>
          <w:bCs/>
          <w:sz w:val="24"/>
        </w:rPr>
      </w:pPr>
      <w:r>
        <w:rPr>
          <w:bCs/>
          <w:sz w:val="24"/>
        </w:rPr>
        <w:t>三、基金财产的清算</w:t>
      </w:r>
    </w:p>
    <w:p w14:paraId="66435DA7" w14:textId="77777777" w:rsidR="009214AE" w:rsidRDefault="00C66335">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16CBCEA" w14:textId="77777777" w:rsidR="009214AE" w:rsidRDefault="00C66335">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03983068" w14:textId="77777777" w:rsidR="009214AE" w:rsidRDefault="00C66335">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085BFA1" w14:textId="77777777" w:rsidR="009214AE" w:rsidRDefault="00C66335">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26153FA8"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1</w:t>
      </w:r>
      <w:r>
        <w:rPr>
          <w:bCs/>
          <w:sz w:val="24"/>
        </w:rPr>
        <w:t>）</w:t>
      </w:r>
      <w:r>
        <w:rPr>
          <w:rFonts w:hint="eastAsia"/>
          <w:bCs/>
          <w:sz w:val="24"/>
        </w:rPr>
        <w:t>基金财产清算小组成立后</w:t>
      </w:r>
      <w:r>
        <w:rPr>
          <w:bCs/>
          <w:sz w:val="24"/>
        </w:rPr>
        <w:t>，由基金财产清算小组统一接管基金；</w:t>
      </w:r>
    </w:p>
    <w:p w14:paraId="1837E468"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334216A0"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096ADA19" w14:textId="77777777" w:rsidR="009214AE" w:rsidRDefault="00C66335">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633DA45E"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）聘请会计师事务所对清算报告进行外部审计，聘请律师事务所对清算报告出具法律意见书；</w:t>
      </w:r>
    </w:p>
    <w:p w14:paraId="4ED7A3F2"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1B94B63" w14:textId="77777777" w:rsidR="009214AE" w:rsidRDefault="00C66335">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C8DF1F3" w14:textId="77777777" w:rsidR="009214AE" w:rsidRDefault="00C66335">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6C87E113" w14:textId="77777777" w:rsidR="009214AE" w:rsidRDefault="00C66335">
      <w:pPr>
        <w:autoSpaceDE w:val="0"/>
        <w:autoSpaceDN w:val="0"/>
        <w:spacing w:line="360" w:lineRule="auto"/>
        <w:ind w:firstLineChars="200" w:firstLine="480"/>
        <w:textAlignment w:val="bottom"/>
        <w:rPr>
          <w:bCs/>
          <w:sz w:val="24"/>
        </w:rPr>
      </w:pPr>
      <w:r>
        <w:rPr>
          <w:bCs/>
          <w:sz w:val="24"/>
        </w:rPr>
        <w:t>四、清算费用</w:t>
      </w:r>
    </w:p>
    <w:p w14:paraId="33D28206" w14:textId="77777777" w:rsidR="009214AE" w:rsidRDefault="00C66335">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2DD2FE37" w14:textId="77777777" w:rsidR="009214AE" w:rsidRDefault="00C66335">
      <w:pPr>
        <w:autoSpaceDE w:val="0"/>
        <w:autoSpaceDN w:val="0"/>
        <w:spacing w:line="360" w:lineRule="auto"/>
        <w:ind w:firstLineChars="200" w:firstLine="480"/>
        <w:textAlignment w:val="bottom"/>
        <w:rPr>
          <w:bCs/>
          <w:sz w:val="24"/>
        </w:rPr>
      </w:pPr>
      <w:r>
        <w:rPr>
          <w:bCs/>
          <w:sz w:val="24"/>
        </w:rPr>
        <w:t>五、基金财产清算剩余资产的分配</w:t>
      </w:r>
    </w:p>
    <w:p w14:paraId="126F5C40" w14:textId="77777777" w:rsidR="009214AE" w:rsidRDefault="00C66335">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w:t>
      </w:r>
      <w:r>
        <w:rPr>
          <w:rFonts w:hint="eastAsia"/>
          <w:bCs/>
          <w:sz w:val="24"/>
        </w:rPr>
        <w:t>基金</w:t>
      </w:r>
      <w:r>
        <w:rPr>
          <w:bCs/>
          <w:sz w:val="24"/>
        </w:rPr>
        <w:t>所欠税款并清偿基金债务后，按基金份额持有人持有的基金份额比例进行分配。</w:t>
      </w:r>
    </w:p>
    <w:p w14:paraId="5532B5AD" w14:textId="77777777" w:rsidR="009214AE" w:rsidRDefault="00C66335">
      <w:pPr>
        <w:autoSpaceDE w:val="0"/>
        <w:autoSpaceDN w:val="0"/>
        <w:spacing w:line="360" w:lineRule="auto"/>
        <w:ind w:firstLineChars="200" w:firstLine="480"/>
        <w:textAlignment w:val="bottom"/>
        <w:rPr>
          <w:bCs/>
          <w:sz w:val="24"/>
        </w:rPr>
      </w:pPr>
      <w:r>
        <w:rPr>
          <w:bCs/>
          <w:sz w:val="24"/>
        </w:rPr>
        <w:t>六、基金财产清算的公告</w:t>
      </w:r>
    </w:p>
    <w:p w14:paraId="1570910E" w14:textId="77777777" w:rsidR="009214AE" w:rsidRDefault="00C66335">
      <w:pPr>
        <w:autoSpaceDE w:val="0"/>
        <w:autoSpaceDN w:val="0"/>
        <w:spacing w:line="360" w:lineRule="auto"/>
        <w:ind w:firstLineChars="200" w:firstLine="480"/>
        <w:textAlignment w:val="bottom"/>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1A798C72" w14:textId="77777777" w:rsidR="009214AE" w:rsidRDefault="00C66335">
      <w:pPr>
        <w:autoSpaceDE w:val="0"/>
        <w:autoSpaceDN w:val="0"/>
        <w:spacing w:line="360" w:lineRule="auto"/>
        <w:ind w:firstLineChars="200" w:firstLine="480"/>
        <w:textAlignment w:val="bottom"/>
        <w:rPr>
          <w:bCs/>
          <w:sz w:val="24"/>
        </w:rPr>
      </w:pPr>
      <w:r>
        <w:rPr>
          <w:bCs/>
          <w:sz w:val="24"/>
        </w:rPr>
        <w:t>七、基金财产清算账册及文件的保存</w:t>
      </w:r>
    </w:p>
    <w:p w14:paraId="440DBA65" w14:textId="77777777" w:rsidR="009214AE" w:rsidRDefault="00C66335">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不低于法律法规规定的最低期限</w:t>
      </w:r>
      <w:r>
        <w:rPr>
          <w:rFonts w:asciiTheme="minorEastAsia" w:hAnsiTheme="minorEastAsia" w:cs="Times New Roman" w:hint="eastAsia"/>
          <w:sz w:val="24"/>
          <w:szCs w:val="24"/>
        </w:rPr>
        <w:t>。</w:t>
      </w:r>
    </w:p>
    <w:p w14:paraId="09A11BD2" w14:textId="77777777" w:rsidR="009214AE" w:rsidRDefault="009214AE">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9214AE" w:rsidSect="004C0C2D">
          <w:footerReference w:type="default" r:id="rId27"/>
          <w:pgSz w:w="11906" w:h="16838"/>
          <w:pgMar w:top="1440" w:right="1800" w:bottom="1440" w:left="1800" w:header="851" w:footer="992" w:gutter="0"/>
          <w:pgNumType w:chapStyle="1"/>
          <w:cols w:space="720"/>
          <w:docGrid w:type="lines" w:linePitch="312"/>
        </w:sectPr>
      </w:pPr>
      <w:bookmarkStart w:id="358" w:name="_Toc416264553"/>
      <w:bookmarkStart w:id="359" w:name="_Toc214873607"/>
      <w:bookmarkStart w:id="360" w:name="_Toc263092326"/>
      <w:bookmarkStart w:id="361" w:name="_Toc139991749"/>
      <w:bookmarkStart w:id="362" w:name="_Toc25647"/>
      <w:bookmarkStart w:id="363" w:name="_Toc7170"/>
      <w:bookmarkStart w:id="364" w:name="_Toc352229765"/>
      <w:bookmarkStart w:id="365" w:name="_Toc22978"/>
      <w:bookmarkStart w:id="366" w:name="_Toc6237"/>
      <w:bookmarkStart w:id="367" w:name="_Toc8059"/>
      <w:bookmarkStart w:id="368" w:name="_Toc123102466"/>
      <w:bookmarkStart w:id="369" w:name="_Toc9005"/>
      <w:bookmarkStart w:id="370" w:name="_Toc98560364"/>
      <w:bookmarkStart w:id="371" w:name="_Toc8049"/>
      <w:bookmarkStart w:id="372" w:name="_Toc29891"/>
      <w:bookmarkStart w:id="373" w:name="_Toc123051465"/>
      <w:bookmarkStart w:id="374" w:name="_Toc123112247"/>
      <w:bookmarkStart w:id="375" w:name="_Toc141703899"/>
      <w:bookmarkStart w:id="376" w:name="_Toc11113"/>
      <w:bookmarkStart w:id="377" w:name="_Toc10006"/>
      <w:bookmarkStart w:id="378" w:name="_Toc27464"/>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4B4EE1B" w14:textId="77777777" w:rsidR="009214AE" w:rsidRDefault="00C66335">
      <w:pPr>
        <w:pStyle w:val="1"/>
        <w:jc w:val="center"/>
        <w:rPr>
          <w:sz w:val="30"/>
          <w:szCs w:val="30"/>
        </w:rPr>
      </w:pPr>
      <w:bookmarkStart w:id="379" w:name="_Toc164429432"/>
      <w:r>
        <w:rPr>
          <w:rFonts w:hint="eastAsia"/>
          <w:sz w:val="30"/>
          <w:szCs w:val="30"/>
        </w:rPr>
        <w:lastRenderedPageBreak/>
        <w:t>第十九部分</w:t>
      </w:r>
      <w:r>
        <w:rPr>
          <w:sz w:val="30"/>
          <w:szCs w:val="30"/>
        </w:rPr>
        <w:t xml:space="preserve">  </w:t>
      </w:r>
      <w:r>
        <w:rPr>
          <w:rFonts w:hint="eastAsia"/>
          <w:sz w:val="30"/>
          <w:szCs w:val="30"/>
        </w:rPr>
        <w:t>基金合同的内容摘要</w:t>
      </w:r>
      <w:bookmarkEnd w:id="358"/>
      <w:bookmarkEnd w:id="359"/>
      <w:bookmarkEnd w:id="360"/>
      <w:bookmarkEnd w:id="379"/>
    </w:p>
    <w:p w14:paraId="2C1F38BC" w14:textId="77777777" w:rsidR="009214AE" w:rsidRDefault="00C66335">
      <w:pPr>
        <w:widowControl/>
        <w:spacing w:line="360" w:lineRule="auto"/>
        <w:ind w:firstLineChars="200" w:firstLine="482"/>
        <w:jc w:val="left"/>
        <w:outlineLvl w:val="1"/>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44D03D3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（一）基金管理人的权利与义务</w:t>
      </w:r>
    </w:p>
    <w:p w14:paraId="03CA4F2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034BB75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0AC5E14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645FEB4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4ED22A7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6FB4422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715A454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（6）依据基金合同及有关法律规定监督基金托管人，如认为基金托管人违反了基金合同及国家有关法律规定，应呈报中国证监会和其他监管部门，并采取必要措施保护基金投资人的利益；</w:t>
      </w:r>
    </w:p>
    <w:p w14:paraId="2F20ABB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1367FC6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174B818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46B48D5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179EAA5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（11）在基金合同约定的范围内，拒绝或暂停受理申购、赎回与转换申请； </w:t>
      </w:r>
    </w:p>
    <w:p w14:paraId="3CF9380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3FE814E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（13）在法律法规允许的前提下，为基金的利益依法为基金进行融资； </w:t>
      </w:r>
    </w:p>
    <w:p w14:paraId="4576B50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（14）以基金管理人的名义，代表基金份额持有人的利益行使诉讼权利或者实施其他法律行为；</w:t>
      </w:r>
    </w:p>
    <w:p w14:paraId="760B1EC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（15）选择、更换律师事务所、会计师事务所、证券经纪商、期货经纪机构或其他为基金提供服务的外部机构；</w:t>
      </w:r>
    </w:p>
    <w:p w14:paraId="23A8F80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（16）在符合有关法律、法规的前提下，制订和调整有关基金认购、申购、赎回、转换、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过户、转托管、收益分配和定期定额投资等业务规则；</w:t>
      </w:r>
    </w:p>
    <w:p w14:paraId="2440443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（17）法律法规及中国证监会规定的和基金合同约定的其他权利。</w:t>
      </w:r>
    </w:p>
    <w:p w14:paraId="5085CEB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385923E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4EC3C07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46BC7E9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4852028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0D380FC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3AC1D5C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39330BA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7652259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4879B0C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7F7EC94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3DFCC1F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24A9453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但因向审计、法律等外部专业顾问提供，以及依法律法规、监管要求向有权机关提供的情况除外；</w:t>
      </w:r>
    </w:p>
    <w:p w14:paraId="0CD23DA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7895141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0A3105C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15B6B4E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1D47AC9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B4AAB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6B061F7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64F23B7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BE16F8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528123B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3F44768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r>
        <w:rPr>
          <w:rFonts w:asciiTheme="minorEastAsia" w:hAnsiTheme="minorEastAsia" w:cs="Times New Roman" w:hint="eastAsia"/>
          <w:bCs/>
          <w:sz w:val="24"/>
          <w:szCs w:val="24"/>
        </w:rPr>
        <w:tab/>
      </w:r>
    </w:p>
    <w:p w14:paraId="4084F33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47733F5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2B52264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09934FA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7364908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（二）基金托管人的权利与义务</w:t>
      </w:r>
    </w:p>
    <w:p w14:paraId="7409DF2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39C330C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103389D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243B58B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3C64D8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3998011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176F98A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2F40978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5C0149B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3874E19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7004DD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1B6994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5231BE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1EF3127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6E19128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（6）按规定开设基金财产的资金账户和证券账户等投资所需账户，按照基金合同、托管协议的约定，根据基金管理人的投资指令，及时办理清算、交割事宜；</w:t>
      </w:r>
    </w:p>
    <w:p w14:paraId="52E801E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因向审计、法律等外部专业顾问提供，以及依法律法规、监管要求向有权机关提供的情况除外；</w:t>
      </w:r>
    </w:p>
    <w:p w14:paraId="299E04B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（8）复核、审查基金管理人计算的基金资产净值、各类基金份额净值、基金份额申购、赎回价格；</w:t>
      </w:r>
    </w:p>
    <w:p w14:paraId="2E27956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3F9A8D3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2728752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（11）保存基金托管业务活动的记录、账册、报表和其他相关资料不低于法律法规规定的最低期限；</w:t>
      </w:r>
    </w:p>
    <w:p w14:paraId="56237B3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（12）从基金管理人或其委托的基金登记机构处接收并保存基金份额持有人名册；</w:t>
      </w:r>
    </w:p>
    <w:p w14:paraId="2A3BA8B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4DC4D20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12BACE1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2381C10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（16）按照法律法规和基金合同及托管协议的规定监督基金管理人的投资运作；</w:t>
      </w:r>
    </w:p>
    <w:p w14:paraId="43D797A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40E2385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4198247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（19）因违反基金合同及托管协议导致基金财产损失时，应承担赔偿责任，其赔偿责任不因其退任而免除；</w:t>
      </w:r>
    </w:p>
    <w:p w14:paraId="04BADDC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0FDB66F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6F09469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51E56E7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（三）基金份额持有人的权利与义务</w:t>
      </w:r>
    </w:p>
    <w:p w14:paraId="69CC794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除法律法规另有规定或基金合同另有约定外，同一类别的每份基金份额具有同等的合法权益。</w:t>
      </w:r>
    </w:p>
    <w:p w14:paraId="645506F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2CF8DC5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622AC32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1D8ED56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（3）依法转让或者申请赎回其持有的基金份额；</w:t>
      </w:r>
    </w:p>
    <w:p w14:paraId="0B9D25B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26BC7C6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27FE3C1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F54E83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575CA0D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1792B69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7274777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791795D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18DC97A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61B291D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1A9203C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（4）交纳基金认购、申购款项及法律法规和基金合同所规定的费用；</w:t>
      </w:r>
    </w:p>
    <w:p w14:paraId="6EA8C4B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5B90446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489CF0A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47C9B46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2019A21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（9）发起资金提供方持有发起资金认购的基金份额自基金合同生效之日起不少于3年；</w:t>
      </w:r>
    </w:p>
    <w:p w14:paraId="126B1BD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（10）法律法规及中国证监会规定的和基金合同约定的其他义务。</w:t>
      </w:r>
    </w:p>
    <w:p w14:paraId="32174997" w14:textId="77777777" w:rsidR="009214AE" w:rsidRDefault="00C66335">
      <w:pPr>
        <w:widowControl/>
        <w:spacing w:line="360" w:lineRule="auto"/>
        <w:ind w:firstLineChars="200" w:firstLine="482"/>
        <w:jc w:val="left"/>
        <w:outlineLvl w:val="1"/>
        <w:rPr>
          <w:rFonts w:asciiTheme="minorEastAsia" w:hAnsiTheme="minorEastAsia" w:cs="Times New Roman"/>
          <w:b/>
          <w:sz w:val="24"/>
          <w:szCs w:val="24"/>
        </w:rPr>
      </w:pPr>
      <w:r>
        <w:rPr>
          <w:rFonts w:asciiTheme="minorEastAsia" w:hAnsiTheme="minorEastAsia" w:cs="Times New Roman" w:hint="eastAsia"/>
          <w:b/>
          <w:sz w:val="24"/>
          <w:szCs w:val="24"/>
        </w:rPr>
        <w:t>二、基金份额持有人大会召集、议事及表决的程序和规则</w:t>
      </w:r>
    </w:p>
    <w:p w14:paraId="426EFAD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369949B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份额持有人大会不设日常机构。</w:t>
      </w:r>
    </w:p>
    <w:p w14:paraId="31AED6B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1B70ECE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1、除法律法规、中国证监会另有规定或基金合同另有约定外，当出现或需要决定下列事由之一的，应当召开基金份额持有人大会：</w:t>
      </w:r>
    </w:p>
    <w:p w14:paraId="563CFE0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w:t>
      </w:r>
    </w:p>
    <w:p w14:paraId="7CEA67D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479FD69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59F82D0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20E36A8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（5）调整基金管理人、基金托管人的报酬标准或提高销售服务费率；</w:t>
      </w:r>
    </w:p>
    <w:p w14:paraId="4F79F3B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1486877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0806F87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0E76646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EF6198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723E620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14:paraId="5E4293E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3B31198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65AC24C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180AF77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（1）法律法规要求增加的基金费用的收取；</w:t>
      </w:r>
    </w:p>
    <w:p w14:paraId="77C4C45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（2）调整本基金的申购费率、调低赎回费率或销售服务费率、调整收费方式；</w:t>
      </w:r>
    </w:p>
    <w:p w14:paraId="52ADCA5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70398D5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6AEFC22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（5）在法律法规允许的情况下，且在对现有基金份额持有人利益无实质性不利影响的前提下，推出新业务或服务；</w:t>
      </w:r>
    </w:p>
    <w:p w14:paraId="0AF84F1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（6）基金管理人、销售机构、基金登记机构等调整有关基金认购、申购、赎回、转换、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过户、转托管等业务的规则；</w:t>
      </w:r>
    </w:p>
    <w:p w14:paraId="72FE5DF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（7）基金管理人调整基金份额类别设置、增加新的基金份额类别、停止现有基金份额类别的销售等或对基金份额分类办法及规则进行调整；</w:t>
      </w:r>
    </w:p>
    <w:p w14:paraId="2367092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（8）按照法律法规和基金合同规定不需召开基金份额持有人大会的其他情形。</w:t>
      </w:r>
    </w:p>
    <w:p w14:paraId="42D6B09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4140D2F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6EEA263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27C9200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w:t>
      </w:r>
      <w:r>
        <w:rPr>
          <w:rFonts w:asciiTheme="minorEastAsia" w:hAnsiTheme="minorEastAsia" w:cs="Times New Roman" w:hint="eastAsia"/>
          <w:bCs/>
          <w:sz w:val="24"/>
          <w:szCs w:val="24"/>
        </w:rPr>
        <w:lastRenderedPageBreak/>
        <w:t>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9DEF67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9A26DC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75B364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613D1AD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003C02B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1、召开基金份额持有人大会，召集人应于会议召开前30日，在规定媒介公告。基金份额持有人大会通知应至少载明以下内容：</w:t>
      </w:r>
    </w:p>
    <w:p w14:paraId="194151C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79EAAEE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3B4404C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3B7808E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06FA721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50F8A77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（6）出席会议者必须准备的文件和必须履行的手续；</w:t>
      </w:r>
    </w:p>
    <w:p w14:paraId="6E3D4D6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40CF6C1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71A78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5335FB8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590051E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7C53B4A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47714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9D139D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AA585E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B1019E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63BFC62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4F22C35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3AC479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0342DF5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77EFFF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经会议通知载明，本基金的基金份额持有人亦可采用其他非书面方式授权其代理人出席基金份额持有人大会并行使表决权，具体方式由会议召集人确定并在会议通知中列明。</w:t>
      </w:r>
    </w:p>
    <w:p w14:paraId="1E2FA8F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w:t>
      </w:r>
      <w:r>
        <w:rPr>
          <w:rFonts w:asciiTheme="minorEastAsia" w:hAnsiTheme="minorEastAsia" w:cs="Times New Roman" w:hint="eastAsia"/>
          <w:bCs/>
          <w:sz w:val="24"/>
          <w:szCs w:val="24"/>
        </w:rPr>
        <w:lastRenderedPageBreak/>
        <w:t>讯方式开会的程序进行。基金份额持有人可以采用书面、网络、电话、短信或其他方式进行表决，具体方式由会议召集人确定并在会议通知中列明。</w:t>
      </w:r>
    </w:p>
    <w:p w14:paraId="2572CA1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FC0194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47962D0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74A51E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2934645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59F9D5D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608C6A9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5E247D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54EB289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5C823EF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0BB6767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71EB091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60C9C0F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基金份额持有人所持每份基金份额有一票表决权。</w:t>
      </w:r>
    </w:p>
    <w:p w14:paraId="36FC30A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03E237C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881A17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401CD8A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DAF766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3F5D0B3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6F83AAE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在上述规则的前提下，具体规则以召集人发布的基金份额持有人大会通知为准。</w:t>
      </w:r>
    </w:p>
    <w:p w14:paraId="2941023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3DFDDF5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4F6E597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76ACE9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3783948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（3）如果会议主持人或基金份额持有人或代理人对于提交的表决结果有怀疑，可以在宣布表决结果后立即对所投票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4DE6B31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2670AF2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4BFD31E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4B71567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560F1FB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1D40C5C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58F0981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2107B60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3FDECDD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（九）实施</w:t>
      </w: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期间基金份额持有人大会的特殊约定</w:t>
      </w:r>
    </w:p>
    <w:p w14:paraId="618B536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若本基金</w:t>
      </w:r>
      <w:proofErr w:type="gramStart"/>
      <w:r>
        <w:rPr>
          <w:rFonts w:asciiTheme="minorEastAsia" w:hAnsiTheme="minorEastAsia" w:cs="Times New Roman" w:hint="eastAsia"/>
          <w:bCs/>
          <w:sz w:val="24"/>
          <w:szCs w:val="24"/>
        </w:rPr>
        <w:t>实施侧袋机制</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则相关</w:t>
      </w:r>
      <w:proofErr w:type="gramEnd"/>
      <w:r>
        <w:rPr>
          <w:rFonts w:asciiTheme="minorEastAsia" w:hAnsiTheme="minorEastAsia" w:cs="Times New Roman" w:hint="eastAsia"/>
          <w:bCs/>
          <w:sz w:val="24"/>
          <w:szCs w:val="24"/>
        </w:rPr>
        <w:t>基金份额或表决权的比例</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w:t>
      </w:r>
      <w:proofErr w:type="gramStart"/>
      <w:r>
        <w:rPr>
          <w:rFonts w:asciiTheme="minorEastAsia" w:hAnsiTheme="minorEastAsia" w:cs="Times New Roman" w:hint="eastAsia"/>
          <w:bCs/>
          <w:sz w:val="24"/>
          <w:szCs w:val="24"/>
        </w:rPr>
        <w:t>人和侧袋份额</w:t>
      </w:r>
      <w:proofErr w:type="gramEnd"/>
      <w:r>
        <w:rPr>
          <w:rFonts w:asciiTheme="minorEastAsia" w:hAnsiTheme="minorEastAsia" w:cs="Times New Roman" w:hint="eastAsia"/>
          <w:bCs/>
          <w:sz w:val="24"/>
          <w:szCs w:val="24"/>
        </w:rPr>
        <w:t>持有人分别持有或代表的基金份额或表决权符合该等比例，但</w:t>
      </w:r>
      <w:proofErr w:type="gramStart"/>
      <w:r>
        <w:rPr>
          <w:rFonts w:asciiTheme="minorEastAsia" w:hAnsiTheme="minorEastAsia" w:cs="Times New Roman" w:hint="eastAsia"/>
          <w:bCs/>
          <w:sz w:val="24"/>
          <w:szCs w:val="24"/>
        </w:rPr>
        <w:t>若相关</w:t>
      </w:r>
      <w:proofErr w:type="gramEnd"/>
      <w:r>
        <w:rPr>
          <w:rFonts w:asciiTheme="minorEastAsia" w:hAnsiTheme="minorEastAsia" w:cs="Times New Roman" w:hint="eastAsia"/>
          <w:bCs/>
          <w:sz w:val="24"/>
          <w:szCs w:val="24"/>
        </w:rPr>
        <w:t>基金份额持有人大会召集和审议事项不</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的，则仅</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持有人持有或代表的基金份额或表决权符合该等比例：</w:t>
      </w:r>
    </w:p>
    <w:p w14:paraId="390C376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1、基金份额持有人行使提议权、召集权、提名权所需单独或合计代表相关基金份额10%以上（含10%）；</w:t>
      </w:r>
    </w:p>
    <w:p w14:paraId="24B6CDE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2、现场开会的到会者在权益登记日代表的基金份额不少于本基金在权益登记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1405DC1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3FD8B7D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4、在参与基金份额持有人大会投票的基金份额持有人所持有的基金份额小于在权益登记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811A55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5802076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60E3B93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1B462E6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实施期间，基金份额持有人大会审议事项</w:t>
      </w:r>
      <w:proofErr w:type="gramStart"/>
      <w:r>
        <w:rPr>
          <w:rFonts w:asciiTheme="minorEastAsia" w:hAnsiTheme="minorEastAsia" w:cs="Times New Roman" w:hint="eastAsia"/>
          <w:bCs/>
          <w:sz w:val="24"/>
          <w:szCs w:val="24"/>
        </w:rPr>
        <w:t>涉及主袋账户</w:t>
      </w:r>
      <w:proofErr w:type="gramEnd"/>
      <w:r>
        <w:rPr>
          <w:rFonts w:asciiTheme="minorEastAsia" w:hAnsiTheme="minorEastAsia" w:cs="Times New Roman" w:hint="eastAsia"/>
          <w:bCs/>
          <w:sz w:val="24"/>
          <w:szCs w:val="24"/>
        </w:rPr>
        <w:t>和</w:t>
      </w:r>
      <w:proofErr w:type="gramStart"/>
      <w:r>
        <w:rPr>
          <w:rFonts w:asciiTheme="minorEastAsia" w:hAnsiTheme="minorEastAsia" w:cs="Times New Roman" w:hint="eastAsia"/>
          <w:bCs/>
          <w:sz w:val="24"/>
          <w:szCs w:val="24"/>
        </w:rPr>
        <w:t>侧袋</w:t>
      </w:r>
      <w:proofErr w:type="gramEnd"/>
      <w:r>
        <w:rPr>
          <w:rFonts w:asciiTheme="minorEastAsia" w:hAnsiTheme="minorEastAsia" w:cs="Times New Roman" w:hint="eastAsia"/>
          <w:bCs/>
          <w:sz w:val="24"/>
          <w:szCs w:val="24"/>
        </w:rPr>
        <w:t>账户的，应分别</w:t>
      </w:r>
      <w:proofErr w:type="gramStart"/>
      <w:r>
        <w:rPr>
          <w:rFonts w:asciiTheme="minorEastAsia" w:hAnsiTheme="minorEastAsia" w:cs="Times New Roman" w:hint="eastAsia"/>
          <w:bCs/>
          <w:sz w:val="24"/>
          <w:szCs w:val="24"/>
        </w:rPr>
        <w:t>由主袋账户</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的基金份额持有人进行表决，同</w:t>
      </w:r>
      <w:proofErr w:type="gramStart"/>
      <w:r>
        <w:rPr>
          <w:rFonts w:asciiTheme="minorEastAsia" w:hAnsiTheme="minorEastAsia" w:cs="Times New Roman" w:hint="eastAsia"/>
          <w:bCs/>
          <w:sz w:val="24"/>
          <w:szCs w:val="24"/>
        </w:rPr>
        <w:t>一主侧袋账户</w:t>
      </w:r>
      <w:proofErr w:type="gramEnd"/>
      <w:r>
        <w:rPr>
          <w:rFonts w:asciiTheme="minorEastAsia" w:hAnsiTheme="minorEastAsia" w:cs="Times New Roman" w:hint="eastAsia"/>
          <w:bCs/>
          <w:sz w:val="24"/>
          <w:szCs w:val="24"/>
        </w:rPr>
        <w:t>内的每份基金份额具有平等的表决权。表决事项未</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份额无表决权。</w:t>
      </w:r>
    </w:p>
    <w:p w14:paraId="6E70008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59D25C8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（十）本部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在履行适当程序并公告后，可直接对本部分内容进行修改和调整，无需召开基金份额持有人大会审议。</w:t>
      </w:r>
    </w:p>
    <w:p w14:paraId="76351E3A" w14:textId="77777777" w:rsidR="009214AE" w:rsidRDefault="00C66335">
      <w:pPr>
        <w:widowControl/>
        <w:spacing w:line="360" w:lineRule="auto"/>
        <w:ind w:firstLineChars="200" w:firstLine="482"/>
        <w:jc w:val="left"/>
        <w:outlineLvl w:val="1"/>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6ED5A03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146F3AD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0A31F9A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2、关于基金合同变更的基金份额持有人大会决议自生效后方可执行，并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生效后依照《信息披露办法》的有关规定在规定媒介公告。</w:t>
      </w:r>
    </w:p>
    <w:p w14:paraId="3A42DBC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31F5200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有下列情形之一的，经履行相关程序后，基金合同应当终止：</w:t>
      </w:r>
    </w:p>
    <w:p w14:paraId="23DB819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37085DA5"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56FD553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3、基金合同生效之日起三年后的年度对应日，基金资产净值低于2亿元；</w:t>
      </w:r>
    </w:p>
    <w:p w14:paraId="4FBAE364"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4、基金合同约定的其他情形；</w:t>
      </w:r>
    </w:p>
    <w:p w14:paraId="4FB246F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5、相关法律法规和中国证监会规定的其他情况。</w:t>
      </w:r>
    </w:p>
    <w:p w14:paraId="0558A70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350C8DB6"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3DA5549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AABC82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7B2B489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468C34A0"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（1）基金财产清算小组成立后，由基金财产清算小组统一接管基金；</w:t>
      </w:r>
    </w:p>
    <w:p w14:paraId="0BCBB67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2123D2F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766212F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2B7F875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（5）聘请会计师事务所对清算报告进行外部审计，聘请律师事务所对清算报告出具法律意见书；</w:t>
      </w:r>
    </w:p>
    <w:p w14:paraId="56790CF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7CF36E8A"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21E4AC48"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5CB1FB4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（四）清算费用</w:t>
      </w:r>
    </w:p>
    <w:p w14:paraId="3301CAAE"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66C940A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（五）基金财产清算剩余资产的分配</w:t>
      </w:r>
    </w:p>
    <w:p w14:paraId="51C29039"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依据基金财产清算的分配方案，将基金财产清算后的全部剩余资产扣除基金财产清算费用、交纳基金所欠税款并清偿基金债务后，按基金份额持有人持有的基金份额比例进行分配。</w:t>
      </w:r>
    </w:p>
    <w:p w14:paraId="3023CC13"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（六）基金财产清算的公告</w:t>
      </w:r>
    </w:p>
    <w:p w14:paraId="6858C7EC"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清算过程中的有关重大事项须及时公告；基金财产清算报告</w:t>
      </w:r>
      <w:proofErr w:type="gramStart"/>
      <w:r>
        <w:rPr>
          <w:rFonts w:asciiTheme="minorEastAsia" w:hAnsiTheme="minorEastAsia" w:cs="Times New Roman" w:hint="eastAsia"/>
          <w:bCs/>
          <w:sz w:val="24"/>
          <w:szCs w:val="24"/>
        </w:rPr>
        <w:t>经符合</w:t>
      </w:r>
      <w:proofErr w:type="gramEnd"/>
      <w:r>
        <w:rPr>
          <w:rFonts w:asciiTheme="minorEastAsia" w:hAnsiTheme="minorEastAsia" w:cs="Times New Roman"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30FA8C77"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（七）基金财产清算账册及文件的保存</w:t>
      </w:r>
    </w:p>
    <w:p w14:paraId="16EB8202"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基金财产清算账册及有关文件由基金托管人保存不低于法律法规规定的最低期限。</w:t>
      </w:r>
    </w:p>
    <w:p w14:paraId="63E732DC" w14:textId="77777777" w:rsidR="009214AE" w:rsidRDefault="00C66335">
      <w:pPr>
        <w:widowControl/>
        <w:spacing w:line="360" w:lineRule="auto"/>
        <w:ind w:firstLineChars="200" w:firstLine="482"/>
        <w:jc w:val="left"/>
        <w:outlineLvl w:val="1"/>
        <w:rPr>
          <w:rFonts w:asciiTheme="minorEastAsia" w:hAnsiTheme="minorEastAsia" w:cs="Times New Roman"/>
          <w:b/>
          <w:sz w:val="24"/>
          <w:szCs w:val="24"/>
        </w:rPr>
      </w:pPr>
      <w:r>
        <w:rPr>
          <w:rFonts w:asciiTheme="minorEastAsia" w:hAnsiTheme="minorEastAsia" w:cs="Times New Roman" w:hint="eastAsia"/>
          <w:b/>
          <w:sz w:val="24"/>
          <w:szCs w:val="24"/>
        </w:rPr>
        <w:t>四、争议解决方式</w:t>
      </w:r>
    </w:p>
    <w:p w14:paraId="3796FB3D"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根据该会当时有效的仲裁规则进行仲裁，仲裁地点为深圳市，仲裁裁决是终局性的并对各方当事人具有约束力。除非仲裁裁决另有规定，仲裁费由败诉方承担。</w:t>
      </w:r>
    </w:p>
    <w:p w14:paraId="36311A6B"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4CF4ABF"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基金合同受中国（为本基金合同之目的，不含台湾、香港、澳门地区）法律管辖并从其解释。</w:t>
      </w:r>
    </w:p>
    <w:p w14:paraId="6F734CFD" w14:textId="77777777" w:rsidR="009214AE" w:rsidRDefault="00C66335">
      <w:pPr>
        <w:widowControl/>
        <w:spacing w:line="360" w:lineRule="auto"/>
        <w:ind w:firstLineChars="200" w:firstLine="482"/>
        <w:jc w:val="left"/>
        <w:outlineLvl w:val="1"/>
        <w:rPr>
          <w:rFonts w:asciiTheme="minorEastAsia" w:hAnsiTheme="minorEastAsia" w:cs="Times New Roman"/>
          <w:b/>
          <w:sz w:val="24"/>
          <w:szCs w:val="24"/>
        </w:rPr>
      </w:pPr>
      <w:r>
        <w:rPr>
          <w:rFonts w:asciiTheme="minorEastAsia" w:hAnsiTheme="minorEastAsia" w:cs="Times New Roman" w:hint="eastAsia"/>
          <w:b/>
          <w:sz w:val="24"/>
          <w:szCs w:val="24"/>
        </w:rPr>
        <w:t>五、基金合同存放地和投资者取得基金合同的方式</w:t>
      </w:r>
    </w:p>
    <w:p w14:paraId="355D6A51" w14:textId="77777777" w:rsidR="009214AE" w:rsidRDefault="00C6633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基金合同可印制成册，供投资人在基金管理人、基金托管人、销售机构的办公场所和营业场所查阅。</w:t>
      </w:r>
    </w:p>
    <w:p w14:paraId="5BC4682F" w14:textId="77777777" w:rsidR="009214AE" w:rsidRDefault="00C6633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18DDCD36" w14:textId="77777777" w:rsidR="009214AE" w:rsidRDefault="00C66335">
      <w:pPr>
        <w:pStyle w:val="1"/>
        <w:jc w:val="center"/>
        <w:rPr>
          <w:sz w:val="30"/>
          <w:szCs w:val="30"/>
        </w:rPr>
      </w:pPr>
      <w:bookmarkStart w:id="380" w:name="_Toc214873614"/>
      <w:bookmarkStart w:id="381" w:name="_Toc263092327"/>
      <w:bookmarkStart w:id="382" w:name="_Toc416264554"/>
      <w:bookmarkStart w:id="383" w:name="_Toc13398"/>
      <w:bookmarkStart w:id="384" w:name="_Toc123051466"/>
      <w:bookmarkStart w:id="385" w:name="_Toc8710"/>
      <w:bookmarkStart w:id="386" w:name="_Toc21240"/>
      <w:bookmarkStart w:id="387" w:name="_Toc139991750"/>
      <w:bookmarkStart w:id="388" w:name="_Toc23022"/>
      <w:bookmarkStart w:id="389" w:name="_Toc48649720"/>
      <w:bookmarkStart w:id="390" w:name="_Toc27058"/>
      <w:bookmarkStart w:id="391" w:name="_Toc352229766"/>
      <w:bookmarkStart w:id="392" w:name="_Toc9708"/>
      <w:bookmarkStart w:id="393" w:name="_Toc23166"/>
      <w:bookmarkStart w:id="394" w:name="_Toc7367"/>
      <w:bookmarkStart w:id="395" w:name="_Toc30645"/>
      <w:bookmarkStart w:id="396" w:name="_Toc141703901"/>
      <w:bookmarkStart w:id="397" w:name="_Toc28549"/>
      <w:bookmarkStart w:id="398" w:name="_Toc98560365"/>
      <w:bookmarkStart w:id="399" w:name="_Toc123102467"/>
      <w:bookmarkStart w:id="400" w:name="_Toc123112248"/>
      <w:bookmarkStart w:id="401" w:name="_Toc12191"/>
      <w:bookmarkStart w:id="402" w:name="_Toc79392641"/>
      <w:bookmarkStart w:id="403" w:name="_Toc164429433"/>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lastRenderedPageBreak/>
        <w:t>第二十部分</w:t>
      </w:r>
      <w:r>
        <w:rPr>
          <w:sz w:val="30"/>
          <w:szCs w:val="30"/>
        </w:rPr>
        <w:t xml:space="preserve">  </w:t>
      </w:r>
      <w:r>
        <w:rPr>
          <w:rFonts w:hint="eastAsia"/>
          <w:sz w:val="30"/>
          <w:szCs w:val="30"/>
        </w:rPr>
        <w:t>基金托管协议的内容摘要</w:t>
      </w:r>
      <w:bookmarkEnd w:id="380"/>
      <w:bookmarkEnd w:id="381"/>
      <w:bookmarkEnd w:id="382"/>
      <w:bookmarkEnd w:id="403"/>
    </w:p>
    <w:p w14:paraId="101646F2"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一、基金托管协议当事人</w:t>
      </w:r>
    </w:p>
    <w:p w14:paraId="41AC597A"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0BF17391"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48EB37C6"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住所：广东省广州市南沙区横</w:t>
      </w:r>
      <w:proofErr w:type="gramStart"/>
      <w:r>
        <w:rPr>
          <w:rFonts w:asciiTheme="minorEastAsia" w:hAnsiTheme="minorEastAsia" w:cs="Arial" w:hint="eastAsia"/>
          <w:kern w:val="0"/>
          <w:sz w:val="24"/>
          <w:szCs w:val="24"/>
        </w:rPr>
        <w:t>沥</w:t>
      </w:r>
      <w:proofErr w:type="gramEnd"/>
      <w:r>
        <w:rPr>
          <w:rFonts w:asciiTheme="minorEastAsia" w:hAnsiTheme="minorEastAsia" w:cs="Arial" w:hint="eastAsia"/>
          <w:kern w:val="0"/>
          <w:sz w:val="24"/>
          <w:szCs w:val="24"/>
        </w:rPr>
        <w:t>镇汇通二街2号3110房</w:t>
      </w:r>
    </w:p>
    <w:p w14:paraId="02C78651"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法定代表人：王亦伟</w:t>
      </w:r>
    </w:p>
    <w:p w14:paraId="3B788DAB"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设立日期：2016年1月25日</w:t>
      </w:r>
      <w:r>
        <w:rPr>
          <w:rFonts w:asciiTheme="minorEastAsia" w:hAnsiTheme="minorEastAsia" w:cs="Arial" w:hint="eastAsia"/>
          <w:kern w:val="0"/>
          <w:sz w:val="24"/>
          <w:szCs w:val="24"/>
        </w:rPr>
        <w:tab/>
      </w:r>
    </w:p>
    <w:p w14:paraId="1ADFB477"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131AED75"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0B146C23"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29852AE5"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存续期限：永续经营</w:t>
      </w:r>
    </w:p>
    <w:p w14:paraId="74CB6529" w14:textId="77777777" w:rsidR="009214AE" w:rsidRDefault="00C6633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联系电话：0755-84356633</w:t>
      </w:r>
    </w:p>
    <w:p w14:paraId="39F4CB28" w14:textId="77777777" w:rsidR="009214AE" w:rsidRDefault="00C6633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7F22A1B5"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名称：中国工商银行股份有限公司</w:t>
      </w:r>
    </w:p>
    <w:p w14:paraId="6EA29756"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住所：北京市西城区复兴门内大街55号（100032）</w:t>
      </w:r>
    </w:p>
    <w:p w14:paraId="6E949E5F" w14:textId="1459AB19"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w:t>
      </w:r>
      <w:r w:rsidR="00782781" w:rsidRPr="00782781">
        <w:rPr>
          <w:rFonts w:ascii="宋体" w:hAnsi="宋体" w:hint="eastAsia"/>
          <w:color w:val="000000"/>
          <w:sz w:val="24"/>
        </w:rPr>
        <w:t>廖林</w:t>
      </w:r>
    </w:p>
    <w:p w14:paraId="568CA483"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电话：（010）66105799</w:t>
      </w:r>
    </w:p>
    <w:p w14:paraId="6C90151F"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传真：（010）66105798</w:t>
      </w:r>
    </w:p>
    <w:p w14:paraId="6E8736CD"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联系人：郭明</w:t>
      </w:r>
    </w:p>
    <w:p w14:paraId="544E5015"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成立时间：1984年1月1日</w:t>
      </w:r>
    </w:p>
    <w:p w14:paraId="5B6307F9"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0135CD34"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注册资本：人民币34,932,123.46万元</w:t>
      </w:r>
    </w:p>
    <w:p w14:paraId="080DED08"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批准设立机关和设立文号：国务院《关于中国人民银行专门行使中央银行职能的决定》（国发[1983]146号）</w:t>
      </w:r>
    </w:p>
    <w:p w14:paraId="194AF4AC"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6B992244" w14:textId="77777777" w:rsidR="009214AE" w:rsidRDefault="00C6633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Pr>
          <w:rFonts w:ascii="宋体" w:hAnsi="宋体" w:hint="eastAsia"/>
          <w:color w:val="000000"/>
          <w:sz w:val="24"/>
        </w:rPr>
        <w:t>付业务</w:t>
      </w:r>
      <w:proofErr w:type="gramEnd"/>
      <w:r>
        <w:rPr>
          <w:rFonts w:ascii="宋体" w:hAnsi="宋体" w:hint="eastAsia"/>
          <w:color w:val="000000"/>
          <w:sz w:val="24"/>
        </w:rPr>
        <w:t>；代理证券投资基金清算业务（银证转账）；保险代理业务；代理政策性银行、外国政</w:t>
      </w:r>
      <w:r>
        <w:rPr>
          <w:rFonts w:ascii="宋体" w:hAnsi="宋体" w:hint="eastAsia"/>
          <w:color w:val="000000"/>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6CC4809A" w14:textId="77777777" w:rsidR="009214AE" w:rsidRDefault="009214AE">
      <w:pPr>
        <w:adjustRightInd w:val="0"/>
        <w:snapToGrid w:val="0"/>
        <w:spacing w:line="360" w:lineRule="auto"/>
        <w:ind w:firstLineChars="200" w:firstLine="480"/>
        <w:rPr>
          <w:rFonts w:ascii="宋体" w:hAnsi="宋体"/>
          <w:color w:val="000000"/>
          <w:sz w:val="24"/>
        </w:rPr>
      </w:pPr>
    </w:p>
    <w:p w14:paraId="498679C6"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46FA751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（一）基金托管人对基金管理人的投资行为行使监督权</w:t>
      </w:r>
    </w:p>
    <w:p w14:paraId="116A3312"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1、基金托管人根据有关法律法规的规定和《基金合同》的约定，对下述基金投资范围、投资对象进行监督。</w:t>
      </w:r>
    </w:p>
    <w:p w14:paraId="3235F2D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本基金将投资于以下金融工具：</w:t>
      </w:r>
    </w:p>
    <w:p w14:paraId="5AB2BA09"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本基金的投资范围为具有良好流动性的金融工具，包括国内依法发行上市的股票（</w:t>
      </w:r>
      <w:proofErr w:type="gramStart"/>
      <w:r>
        <w:rPr>
          <w:rFonts w:asciiTheme="minorEastAsia" w:hAnsiTheme="minorEastAsia" w:cs="Arial" w:hint="eastAsia"/>
          <w:color w:val="000000"/>
          <w:sz w:val="24"/>
          <w:szCs w:val="24"/>
        </w:rPr>
        <w:t>含科创板</w:t>
      </w:r>
      <w:proofErr w:type="gramEnd"/>
      <w:r>
        <w:rPr>
          <w:rFonts w:asciiTheme="minorEastAsia" w:hAnsiTheme="minorEastAsia" w:cs="Arial" w:hint="eastAsia"/>
          <w:color w:val="000000"/>
          <w:sz w:val="24"/>
          <w:szCs w:val="24"/>
        </w:rPr>
        <w:t>、创业板、存托凭证及其他经中国证监会核准或注册上市的股票）、债券（包括国债、央行票据、金融债券、企业债券、公司债券、中期票据、短期融资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1597DC7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本基金将根据法律法规的规定参与融资业务。在未来条件许可的情况下，本基金可根据相关法律法规，在履行适当程序后，参与融券业务和转融通证券出借业务。</w:t>
      </w:r>
    </w:p>
    <w:p w14:paraId="7DF26C7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583909B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2、基金托管人根据有关法律法规的规定及《基金合同》的约定对下述基金投融资比例进行监督：</w:t>
      </w:r>
    </w:p>
    <w:p w14:paraId="1F37B47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（1）按法律法规的规定及《基金合同》的约定，本基金的投资资产配置比</w:t>
      </w:r>
      <w:r>
        <w:rPr>
          <w:rFonts w:asciiTheme="minorEastAsia" w:hAnsiTheme="minorEastAsia" w:cs="Arial" w:hint="eastAsia"/>
          <w:color w:val="000000"/>
          <w:sz w:val="24"/>
          <w:szCs w:val="24"/>
        </w:rPr>
        <w:lastRenderedPageBreak/>
        <w:t>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3713D98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0F8DF4A1"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（2）根据法律法规的规定及《基金合同》的约定，本基金投资组合遵循以下投资限制： </w:t>
      </w:r>
    </w:p>
    <w:p w14:paraId="53EE885F"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1）股票资产占基金资产的比例为60%-95%；</w:t>
      </w:r>
    </w:p>
    <w:p w14:paraId="00F2941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每个交易日日终在扣除国债期货、股指期货、股票期权合约需缴纳的交易保证金后，本基金保持不低于基金资产净值5%的现金或者到期日在一年以内的政府债券，其中，现金不包括结算备付金、存出保证金、应收申购款等； </w:t>
      </w:r>
    </w:p>
    <w:p w14:paraId="7527AED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0E6C27D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4）本基金管理人管理的且由本基金托管人托管的全部基金持有一家公司发行的证券，不超过该证券的10％；</w:t>
      </w:r>
    </w:p>
    <w:p w14:paraId="6640E9C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5）本基金投资于同一原始权益人的各类资产支持证券的比例，不得超过基金资产净值的10%；</w:t>
      </w:r>
    </w:p>
    <w:p w14:paraId="6355312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6）本基金持有的全部资产支持证券，其市值不得超过基金资产净值的20%；</w:t>
      </w:r>
    </w:p>
    <w:p w14:paraId="564AEE3F"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7）本基金持有的同一(指同一信用级别)资产支持证券的比例，不得超过该资产支持证券规模的10%；</w:t>
      </w:r>
    </w:p>
    <w:p w14:paraId="13A2BB42"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8）本基金管理人管理的且由本基金托管人托管的全部证券投资基金投资于同一原始权益人的各类资产支持证券，不得超过其各类资产支持证券合计规模的10%；</w:t>
      </w:r>
    </w:p>
    <w:p w14:paraId="64F69AA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6398FEE5"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7F77706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11）本基金进入全国银行间同业市场进行债券回购的资金余额不得超过基金</w:t>
      </w:r>
      <w:r>
        <w:rPr>
          <w:rFonts w:asciiTheme="minorEastAsia" w:hAnsiTheme="minorEastAsia" w:cs="Arial" w:hint="eastAsia"/>
          <w:color w:val="000000"/>
          <w:sz w:val="24"/>
          <w:szCs w:val="24"/>
        </w:rPr>
        <w:lastRenderedPageBreak/>
        <w:t>资产净值的40%；本基金在全国银行间同业市场的债券回购最长期限为1年，债券回购到期后不得展期；</w:t>
      </w:r>
    </w:p>
    <w:p w14:paraId="2421129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12）本基金参与股指期货、国债期货交易依据下列标准建构组合：</w:t>
      </w:r>
    </w:p>
    <w:p w14:paraId="23D3E52F"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130BEEE1"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4BD7E70F"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③在任何交易日日终，持有的卖出股指期货合约价值不得超过基金持有的股票总市值的20%；在任何交易日日终，持有的卖出国债期货合约价值不得超过基金持有的债券总市值的30%；</w:t>
      </w:r>
    </w:p>
    <w:p w14:paraId="34C80291"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8173F87"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EED097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5691EC88"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14）基金总资产不得超过基金净资产的140%；</w:t>
      </w:r>
    </w:p>
    <w:p w14:paraId="372BFB5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14:paraId="2D571672"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16）本基金主动投资于流动性受限资产的市值合计不得超过基金资产净值的15%；</w:t>
      </w:r>
    </w:p>
    <w:p w14:paraId="0104F054"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因证券市场波动、上市公司股票停牌、基金规模变动等基金管理人之外的因素致使基金不符合前款所规定比例限制的，基金管理人不得主动新增流动性受限资产的投资；</w:t>
      </w:r>
    </w:p>
    <w:p w14:paraId="358482F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7A1C76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18）本基金参与股票期权交易的，需遵守下列投资比例限制：</w:t>
      </w:r>
    </w:p>
    <w:p w14:paraId="546C89A5"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①本基金因未平仓的期权合约支付和收取的权利金总额不得超过基金资产净值的10%；</w:t>
      </w:r>
    </w:p>
    <w:p w14:paraId="62E9721B"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30CB569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③本基金未平仓的期权合约面值不得超过基金资产净值的20%。其中，合约面值按照行权价乘以合约乘数计算；</w:t>
      </w:r>
    </w:p>
    <w:p w14:paraId="03C6B8F4"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19）本基金投资存托凭证的比例限制依照境内上市交易的股票执行，与境内上市交易的股票合并计算；</w:t>
      </w:r>
    </w:p>
    <w:p w14:paraId="79B21C0A"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20）本基金参与融资的，每个交易日日终，本基金持有的融资买入股票与其他有价证券市值之和，不得超过基金资产净值的95%；</w:t>
      </w:r>
    </w:p>
    <w:p w14:paraId="40EA9CB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38A5C9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6E0FC7DA"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6E72E7B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3、基金托管人根据有关法律法规的规定及《基金合同》的约定对下述基金投资禁止行为进行监督： </w:t>
      </w:r>
    </w:p>
    <w:p w14:paraId="4930122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根据法律法规的规定及《基金合同》的约定，本基金禁止从事下列行为：</w:t>
      </w:r>
    </w:p>
    <w:p w14:paraId="54351E5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（1）承销证券；</w:t>
      </w:r>
    </w:p>
    <w:p w14:paraId="14D99D9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（2）违反规定向他人贷款或提供担保；</w:t>
      </w:r>
    </w:p>
    <w:p w14:paraId="7B8057B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05B2E759"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（4）买卖其他基金份额，但法律法规或中国证监会另有规定的除外；</w:t>
      </w:r>
    </w:p>
    <w:p w14:paraId="3B61F435"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37E27BE8"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06B84748"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4、基金托管人依据以下约定对基金管理人参与银行间债券市场投资进行监督。</w:t>
      </w:r>
    </w:p>
    <w:p w14:paraId="66933A05"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3925B9BE"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基金管理人在银行间市场进行现券买卖和回购交易时，以DVP(券款兑付)的交易结算方式进行交易。</w:t>
      </w:r>
    </w:p>
    <w:p w14:paraId="7753856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5、关于银行存款投资</w:t>
      </w:r>
    </w:p>
    <w:p w14:paraId="5A311F39"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2987BC14"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6、基金托管人对基金投资流通受限证券的监督</w:t>
      </w:r>
    </w:p>
    <w:p w14:paraId="57471418"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5CDACBD6"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w:t>
      </w:r>
      <w:r>
        <w:rPr>
          <w:rFonts w:asciiTheme="minorEastAsia" w:hAnsiTheme="minorEastAsia" w:cs="Arial" w:hint="eastAsia"/>
          <w:color w:val="000000"/>
          <w:sz w:val="24"/>
          <w:szCs w:val="24"/>
        </w:rPr>
        <w:lastRenderedPageBreak/>
        <w:t>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w:t>
      </w:r>
    </w:p>
    <w:p w14:paraId="50CAB8E4"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C23EF1A"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w:t>
      </w:r>
      <w:proofErr w:type="gramStart"/>
      <w:r>
        <w:rPr>
          <w:rFonts w:asciiTheme="minorEastAsia" w:hAnsiTheme="minorEastAsia" w:cs="Arial" w:hint="eastAsia"/>
          <w:color w:val="000000"/>
          <w:sz w:val="24"/>
          <w:szCs w:val="24"/>
        </w:rPr>
        <w:t>于首次</w:t>
      </w:r>
      <w:proofErr w:type="gramEnd"/>
      <w:r>
        <w:rPr>
          <w:rFonts w:asciiTheme="minorEastAsia" w:hAnsiTheme="minorEastAsia" w:cs="Arial" w:hint="eastAsia"/>
          <w:color w:val="000000"/>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59987DFA"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Pr>
          <w:rFonts w:asciiTheme="minorEastAsia" w:hAnsiTheme="minorEastAsia" w:cs="Arial" w:hint="eastAsia"/>
          <w:color w:val="000000"/>
          <w:sz w:val="24"/>
          <w:szCs w:val="24"/>
        </w:rPr>
        <w:t>于拟执行</w:t>
      </w:r>
      <w:proofErr w:type="gramEnd"/>
      <w:r>
        <w:rPr>
          <w:rFonts w:asciiTheme="minorEastAsia" w:hAnsiTheme="minorEastAsia" w:cs="Arial" w:hint="eastAsia"/>
          <w:color w:val="000000"/>
          <w:sz w:val="24"/>
          <w:szCs w:val="24"/>
        </w:rPr>
        <w:t>投资指令前两个工作日将上述信息书面发至基金托管人，保证基金托管人有足够的时间进行审核。</w:t>
      </w:r>
    </w:p>
    <w:p w14:paraId="4A25CF3D"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78C34D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48D33813"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（二）基金托管人应根据有关法律法规的规定及《基金合同》的约定，对基金资产净值计算、各类基金份额净值计算、应收资金到账、基金费用开支及收入</w:t>
      </w:r>
      <w:r>
        <w:rPr>
          <w:rFonts w:asciiTheme="minorEastAsia" w:hAnsiTheme="minorEastAsia" w:cs="Arial" w:hint="eastAsia"/>
          <w:color w:val="000000"/>
          <w:sz w:val="24"/>
          <w:szCs w:val="24"/>
        </w:rPr>
        <w:lastRenderedPageBreak/>
        <w:t>确定、基金收益分配、相关信息披露、基金宣传推介材料中登载基金业绩表现数据等进行监督和核查。</w:t>
      </w:r>
    </w:p>
    <w:p w14:paraId="6A1B1E4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2D662AF1"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438A3784"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对于依据交易程序尚未成交的</w:t>
      </w:r>
      <w:proofErr w:type="gramStart"/>
      <w:r>
        <w:rPr>
          <w:rFonts w:asciiTheme="minorEastAsia" w:hAnsiTheme="minorEastAsia" w:cs="Arial" w:hint="eastAsia"/>
          <w:color w:val="000000"/>
          <w:sz w:val="24"/>
          <w:szCs w:val="24"/>
        </w:rPr>
        <w:t>且基金</w:t>
      </w:r>
      <w:proofErr w:type="gramEnd"/>
      <w:r>
        <w:rPr>
          <w:rFonts w:asciiTheme="minorEastAsia" w:hAnsiTheme="minorEastAsia" w:cs="Arial" w:hint="eastAsia"/>
          <w:color w:val="000000"/>
          <w:sz w:val="24"/>
          <w:szCs w:val="24"/>
        </w:rPr>
        <w:t>托管人在交易前能够监控的投资指令，基金托管人发现该投资指令违反有关法律法规规定或者违反《基金合同》约定的，应当拒绝执行，立即通知基金管理人，并有权中国证监会报告。</w:t>
      </w:r>
    </w:p>
    <w:p w14:paraId="2880A63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6A76191F"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4FAEA57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基金托管人发现基金管理人有重大违规行为，应立即报告中国证监会，同时通知基金管理人限期纠正。</w:t>
      </w:r>
    </w:p>
    <w:p w14:paraId="7A0F5D1C" w14:textId="77777777" w:rsidR="009214AE" w:rsidRDefault="00C6633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基金托管人根据本协议规定行使监督权，或采取拖延、欺诈等手段妨碍基金托管人进行有效监督，情节严重或经基金托管人提出警告仍不改正的，基金托管人有权报告中国证监会。</w:t>
      </w:r>
    </w:p>
    <w:p w14:paraId="3A73FDEC" w14:textId="77777777" w:rsidR="009214AE" w:rsidRDefault="009214AE">
      <w:pPr>
        <w:adjustRightInd w:val="0"/>
        <w:snapToGrid w:val="0"/>
        <w:spacing w:line="360" w:lineRule="auto"/>
        <w:ind w:firstLineChars="200" w:firstLine="480"/>
        <w:rPr>
          <w:rFonts w:asciiTheme="minorEastAsia" w:hAnsiTheme="minorEastAsia" w:cs="Arial"/>
          <w:color w:val="000000"/>
          <w:sz w:val="24"/>
          <w:szCs w:val="24"/>
        </w:rPr>
      </w:pPr>
    </w:p>
    <w:p w14:paraId="0EE11F3A"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6D77BB6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审查基金管理人计算的基金资产净值和各类基金份额净值、根据</w:t>
      </w:r>
      <w:r>
        <w:rPr>
          <w:rFonts w:ascii="宋体" w:hAnsi="宋体" w:hint="eastAsia"/>
          <w:sz w:val="24"/>
          <w:szCs w:val="24"/>
        </w:rPr>
        <w:lastRenderedPageBreak/>
        <w:t>管理人指令办理清算交收、相关信息披露和监督基金投资运作等行为。</w:t>
      </w:r>
    </w:p>
    <w:p w14:paraId="255D354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03D112E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基金管理人发现基金托管人有重大违规行为，应立即报告中国证监会和银行业监督管理机构，同时通知基金托管人限期纠正。</w:t>
      </w:r>
    </w:p>
    <w:p w14:paraId="06CEC6F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基金托管人应积极配合基金管理人的核查行为，包括但不限于：提交相关资料以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管理人核查托管财产的完整性和真实性，在规定时间内答复基金管理人并改正。</w:t>
      </w:r>
    </w:p>
    <w:p w14:paraId="45B2C6AB"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有权报告中国证监会。</w:t>
      </w:r>
    </w:p>
    <w:p w14:paraId="767C7405" w14:textId="77777777" w:rsidR="009214AE" w:rsidRDefault="009214AE">
      <w:pPr>
        <w:spacing w:line="360" w:lineRule="auto"/>
        <w:ind w:firstLineChars="200" w:firstLine="480"/>
        <w:rPr>
          <w:rFonts w:ascii="宋体" w:hAnsi="宋体"/>
          <w:sz w:val="24"/>
          <w:szCs w:val="24"/>
        </w:rPr>
      </w:pPr>
    </w:p>
    <w:p w14:paraId="1F7BE538"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四、基金财产保管</w:t>
      </w:r>
    </w:p>
    <w:p w14:paraId="6F15637E"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2296C3EC"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1、基金财产应独立于基金管理人、基金托管人的固有财产。</w:t>
      </w:r>
    </w:p>
    <w:p w14:paraId="0CE704FC"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2、基金托管人应安全保管基金财产。未经基金管理人的正当指令，不得自行运用、处分、分配基金的任何财产。</w:t>
      </w:r>
    </w:p>
    <w:p w14:paraId="15B6FFA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3、基金托管人按照规定开设基金财产的资金账户和证券账户等投资所需账户。</w:t>
      </w:r>
    </w:p>
    <w:p w14:paraId="2879934A"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4、基金托管人对所托管的不同基金财产分别设置账户，与基金托管人的其他业务和其他基金的托管业务实行严格的分账管理，独立核算，确保基金财产的完整与独立。</w:t>
      </w:r>
    </w:p>
    <w:p w14:paraId="5B14428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5、对于因基金认（申）购、基金投资过程中产生的应收财产，应由基金管</w:t>
      </w:r>
      <w:r>
        <w:rPr>
          <w:rFonts w:ascii="宋体" w:hAnsi="宋体" w:hint="eastAsia"/>
          <w:sz w:val="24"/>
          <w:szCs w:val="24"/>
        </w:rPr>
        <w:lastRenderedPageBreak/>
        <w:t>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但应予以必要的协助和配合。</w:t>
      </w:r>
    </w:p>
    <w:p w14:paraId="3348AA7B"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（二）募集资金的验证</w:t>
      </w:r>
    </w:p>
    <w:p w14:paraId="05C0F31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募集期内销售机构按销售与服务代理协议的约定，将认购资金划入基金管理人在具有托管资格的商业银行开设的富荣基金管理有限公司基金认购专户。该账户由基金管理人开立并管理。基金募集期满或基金停止募集时，发起资金提供方、发起资金提供方使用发起资金认购的金额及其承诺的持有期限符合《基金法》、《运作办法》等有关规定后，由基金管理人聘请符合《中华人民共和国证券法》规定的会计师事务所进行验资，出具验资报告，验资报告需对发起资金提供方及其持有份额进行专门说明。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5639D0D4" w14:textId="77777777" w:rsidR="009214AE" w:rsidRDefault="00C66335">
      <w:pPr>
        <w:spacing w:line="360" w:lineRule="auto"/>
        <w:ind w:firstLineChars="200" w:firstLine="480"/>
        <w:rPr>
          <w:rFonts w:ascii="宋体" w:hAnsi="宋体"/>
          <w:sz w:val="24"/>
          <w:szCs w:val="24"/>
        </w:rPr>
      </w:pPr>
      <w:proofErr w:type="gramStart"/>
      <w:r>
        <w:rPr>
          <w:rFonts w:ascii="宋体" w:hAnsi="宋体" w:hint="eastAsia"/>
          <w:sz w:val="24"/>
          <w:szCs w:val="24"/>
        </w:rPr>
        <w:t>若基金</w:t>
      </w:r>
      <w:proofErr w:type="gramEnd"/>
      <w:r>
        <w:rPr>
          <w:rFonts w:ascii="宋体" w:hAnsi="宋体" w:hint="eastAsia"/>
          <w:sz w:val="24"/>
          <w:szCs w:val="24"/>
        </w:rPr>
        <w:t>募集期限届满，未能达到《基金合同》生效的条件，由基金管理人按规定办理退款事宜。</w:t>
      </w:r>
    </w:p>
    <w:p w14:paraId="030D4650"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（三）基金的银行账户的开立和管理</w:t>
      </w:r>
    </w:p>
    <w:p w14:paraId="2F4F10C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07427D9B"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1CD9645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资产托管专户的管理应符合《人民币银行结算账户管理办法》、《现金管理暂行条例》、《人民币利率管理规定》、《利率管理暂行规定》、《支付结算办法》以及银行业监督管理机构的其他规定。</w:t>
      </w:r>
    </w:p>
    <w:p w14:paraId="5AEB7748"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（四）基金证券账户与证券交易资金账户的开设和管理</w:t>
      </w:r>
    </w:p>
    <w:p w14:paraId="164BF3E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w:t>
      </w:r>
      <w:r>
        <w:rPr>
          <w:rFonts w:ascii="宋体" w:hAnsi="宋体" w:hint="eastAsia"/>
          <w:sz w:val="24"/>
          <w:szCs w:val="24"/>
        </w:rPr>
        <w:lastRenderedPageBreak/>
        <w:t>任公司上海分公司/深圳分公司开设证券账户。</w:t>
      </w:r>
    </w:p>
    <w:p w14:paraId="7AD8AA3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基金托管人以基金托管人的名义在中国证券登记结算有限责任公司上海分公司/深圳分公司开立基金证券交易资金账户，用于证券清算。</w:t>
      </w:r>
    </w:p>
    <w:p w14:paraId="65074D95"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6438372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法律法规等有关规定对相关账户的开立和管理另有规定的，从其规定办理。</w:t>
      </w:r>
    </w:p>
    <w:p w14:paraId="5BA8ADD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（五）债券托管账户的开立和管理</w:t>
      </w:r>
    </w:p>
    <w:p w14:paraId="712195F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30836A3E"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2、基金管理人和基金托管人应一起负责为基金对外签订全国银行间债券市场回购主协议，正本由基金托管人保管，基金管理人保存副本。</w:t>
      </w:r>
    </w:p>
    <w:p w14:paraId="3C8F9EDF"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（六）其他账户的开设和管理</w:t>
      </w:r>
    </w:p>
    <w:p w14:paraId="6CCE9C6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D5277D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（七）基金财产投资的有关实物证券的保管</w:t>
      </w:r>
    </w:p>
    <w:p w14:paraId="6FCBCF3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78D94A9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（八）与基金财产有关的重大合同的保管</w:t>
      </w:r>
    </w:p>
    <w:p w14:paraId="430F8C5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w:t>
      </w:r>
      <w:r>
        <w:rPr>
          <w:rFonts w:ascii="宋体" w:hAnsi="宋体" w:hint="eastAsia"/>
          <w:sz w:val="24"/>
          <w:szCs w:val="24"/>
        </w:rPr>
        <w:lastRenderedPageBreak/>
        <w:t>基金托管人至少各持有一份正本的原件。基金管理人在合同签署后5个工作日内通过专人送达、挂号邮寄等安全方式将合同原件送达基金托管人处。合同原件应存放于基金管理人和基金托管人各自文件保管部门20年以上，法律法规另有规定的从其规定。</w:t>
      </w:r>
    </w:p>
    <w:p w14:paraId="46881829" w14:textId="77777777" w:rsidR="009214AE" w:rsidRDefault="009214AE">
      <w:pPr>
        <w:spacing w:line="360" w:lineRule="auto"/>
        <w:ind w:firstLineChars="200" w:firstLine="480"/>
        <w:rPr>
          <w:rFonts w:ascii="宋体" w:hAnsi="宋体"/>
          <w:sz w:val="24"/>
          <w:szCs w:val="24"/>
        </w:rPr>
      </w:pPr>
    </w:p>
    <w:p w14:paraId="6E13B0F6"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五、基金资产净值计算和会计核算</w:t>
      </w:r>
    </w:p>
    <w:p w14:paraId="0478C5E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w:t>
      </w:r>
    </w:p>
    <w:p w14:paraId="284DF8F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1、基金资产净值的计算、复核的时间和程序</w:t>
      </w:r>
    </w:p>
    <w:p w14:paraId="52556D8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基金负债后的价值。各类基金份额净值是指计算日该类基金资产净值除以该计算日该类基金份额总份额后的数值。各类基金份额净值的计算保留到小数点后4位，小数点后第5位四舍五入，由此产生的误差计入基金财产。</w:t>
      </w:r>
    </w:p>
    <w:p w14:paraId="3257C4A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每工作日对基金资产估值。估值原则应符合《基金合同》、《证券投资基金会计核算业务指引》及其他法律、法规的规定。用于基金信息披露的基金资产净值和各类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6C20617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3147AC1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（二）基金资产估值方法</w:t>
      </w:r>
    </w:p>
    <w:p w14:paraId="25A16EBB"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1、估值对象</w:t>
      </w:r>
    </w:p>
    <w:p w14:paraId="3D21D240"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基金所拥有的股票、债券、股指期货合约、国债期货合约、股票期权合约和银行存款本息、资产支持证券、应收款项、其它投资等资产及负债。</w:t>
      </w:r>
    </w:p>
    <w:p w14:paraId="558BC4A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2、估值方法</w:t>
      </w:r>
    </w:p>
    <w:p w14:paraId="6E05227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本基金的估值方法为：</w:t>
      </w:r>
    </w:p>
    <w:p w14:paraId="56085EF0"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（1）证券交易所上市的有价证券的估值</w:t>
      </w:r>
    </w:p>
    <w:p w14:paraId="1A2EF51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67CDC9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②交易所上市交易或挂牌转让的不含</w:t>
      </w:r>
      <w:proofErr w:type="gramStart"/>
      <w:r>
        <w:rPr>
          <w:rFonts w:asciiTheme="minorEastAsia" w:hAnsiTheme="minorEastAsia" w:cs="Arial" w:hint="eastAsia"/>
          <w:sz w:val="24"/>
          <w:szCs w:val="24"/>
        </w:rPr>
        <w:t>权固定</w:t>
      </w:r>
      <w:proofErr w:type="gramEnd"/>
      <w:r>
        <w:rPr>
          <w:rFonts w:asciiTheme="minorEastAsia" w:hAnsiTheme="minorEastAsia" w:cs="Arial" w:hint="eastAsia"/>
          <w:sz w:val="24"/>
          <w:szCs w:val="24"/>
        </w:rPr>
        <w:t>收益品种，选取估值日第三方估值机构提供的相应品种当日的估值净价进行估值；</w:t>
      </w:r>
    </w:p>
    <w:p w14:paraId="4F26EB36"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③交易所上市交易或挂牌转让的含</w:t>
      </w:r>
      <w:proofErr w:type="gramStart"/>
      <w:r>
        <w:rPr>
          <w:rFonts w:asciiTheme="minorEastAsia" w:hAnsiTheme="minorEastAsia" w:cs="Arial" w:hint="eastAsia"/>
          <w:sz w:val="24"/>
          <w:szCs w:val="24"/>
        </w:rPr>
        <w:t>权固定</w:t>
      </w:r>
      <w:proofErr w:type="gramEnd"/>
      <w:r>
        <w:rPr>
          <w:rFonts w:asciiTheme="minorEastAsia" w:hAnsiTheme="minorEastAsia" w:cs="Arial" w:hint="eastAsia"/>
          <w:sz w:val="24"/>
          <w:szCs w:val="24"/>
        </w:rPr>
        <w:t>收益品种，选取估值日第三方估值机构提供的相应品种当日的唯一估值净价或推荐估值净价进行估值；</w:t>
      </w:r>
    </w:p>
    <w:p w14:paraId="231A6178"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④交易所上市交易的可转换债券以每日收盘价减去债券收盘价中所含的债券应收利息得到的净价进行估值；</w:t>
      </w:r>
    </w:p>
    <w:p w14:paraId="4619ECD2"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⑤交易所上市不存在活跃市场的有价证券，采用估值技术确定公允价值。交易所市场挂牌转让的资产支持证券，采用估值技术确定公允价值；</w:t>
      </w:r>
    </w:p>
    <w:p w14:paraId="6B9EFEEA"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DA653EA"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（2）处于未上市期间的有价证券应区分如下情况处理：</w:t>
      </w:r>
    </w:p>
    <w:p w14:paraId="00EE0A0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①送股、转增股、配股和公开增发的新股，按估值日在证券交易所挂牌的同一股票的估值方法估值；该日无交易的，以最近一日的市价（收盘价）估值。</w:t>
      </w:r>
    </w:p>
    <w:p w14:paraId="470490F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②首次公开发行未上市的股票、债券，采用估值技术确定公允价值，在估值技术难以可靠计量公允价值的情况下，按成本估值。</w:t>
      </w:r>
    </w:p>
    <w:p w14:paraId="1539C0A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等流通受限股票，按监管机构或行业协会有关规定确定公允价值。</w:t>
      </w:r>
    </w:p>
    <w:p w14:paraId="639F933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（3）对全国银行间市场上不含权的固定收益品种，按照第三方估值机构提</w:t>
      </w:r>
      <w:r>
        <w:rPr>
          <w:rFonts w:asciiTheme="minorEastAsia" w:hAnsiTheme="minorEastAsia" w:cs="Arial" w:hint="eastAsia"/>
          <w:sz w:val="24"/>
          <w:szCs w:val="24"/>
        </w:rPr>
        <w:lastRenderedPageBreak/>
        <w:t xml:space="preserve">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7BDF7DB1"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（4）同一证券同时在两个或两个以上市场交易的，按证券所处的市场分别估值。 </w:t>
      </w:r>
    </w:p>
    <w:p w14:paraId="47E5F1E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5B7DF578"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（6）本基金投资存托凭证的估值核算，依照境内上市交易的股票执行。</w:t>
      </w:r>
    </w:p>
    <w:p w14:paraId="0A3EF28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（7）其他资产按法律法规或监管机构有关规定进行估值。</w:t>
      </w:r>
    </w:p>
    <w:p w14:paraId="2BEB2180"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（8）如有确凿证据表明按上述方法进行估值不能客观反映其公允价值的，基金管理人可根据具体情况与基金托管人商定后，按最能反映公允价值的方法估值。</w:t>
      </w:r>
    </w:p>
    <w:p w14:paraId="7670FA06"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（9）当本基金发生大额申购或赎回情形时，基金管理人可以对本基金采用摆动定价机制，以确保基金估值的公平性。</w:t>
      </w:r>
    </w:p>
    <w:p w14:paraId="67349FCE"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（10）相关法律法规以及监管部门有强制规定的，从其规定。如有新增事项，按国家最新规定估值。</w:t>
      </w:r>
    </w:p>
    <w:p w14:paraId="68E383C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B42DF8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根据有关法律法规，基金资产净值计算和基金会计核算的义务由基金管理人承担。本基金的基金会计</w:t>
      </w:r>
      <w:proofErr w:type="gramStart"/>
      <w:r>
        <w:rPr>
          <w:rFonts w:asciiTheme="minorEastAsia" w:hAnsiTheme="minorEastAsia" w:cs="Arial" w:hint="eastAsia"/>
          <w:sz w:val="24"/>
          <w:szCs w:val="24"/>
        </w:rPr>
        <w:t>主责任</w:t>
      </w:r>
      <w:proofErr w:type="gramEnd"/>
      <w:r>
        <w:rPr>
          <w:rFonts w:asciiTheme="minorEastAsia" w:hAnsiTheme="minorEastAsia" w:cs="Arial" w:hint="eastAsia"/>
          <w:sz w:val="24"/>
          <w:szCs w:val="24"/>
        </w:rPr>
        <w:t>方由基金管理人担任，基金托管人承担复核责任，因此，就与本基金有关的会计问题，如经相关各方在平等基础上充分讨论后，仍无法达成一致的意见，按照基金管理人对基金净值信息的计算结果对外予以公布。</w:t>
      </w:r>
    </w:p>
    <w:p w14:paraId="4F870CE6"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（三）估值差错处理</w:t>
      </w:r>
    </w:p>
    <w:p w14:paraId="0B06A3F5"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因基金估值错误给投资者造成损失的应先由基金管理人承担，基金管理人对不应由其承担的责任，有权向过错人追偿。</w:t>
      </w:r>
    </w:p>
    <w:p w14:paraId="18CC9DA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当基金管理人计算的基金资产净值、各类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7CC923F3"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于一方当事人提供的信息错误，另一方当事人在采取了必要合理的措施后仍不能发现该错误，进而导致基金资产净值、任一类基金份额净值计算错误造成投资者或基金的损失，以及由此造成以后交易日基金资产净值、任一类基金份额净值计算顺延错误而引起的投资者或基金的损失，由提供错误信息的当事人一方负责赔偿。</w:t>
      </w:r>
    </w:p>
    <w:p w14:paraId="4B750D06"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由于证券、期货交易所及其登记结算公司等第三方机构发送的数据错误，或由于其他不可抗力原因，基金管理人和基金托管人虽然已经采取必要、适当、合理的措施进行检查，但是未能发现该错误或</w:t>
      </w:r>
      <w:proofErr w:type="gramStart"/>
      <w:r>
        <w:rPr>
          <w:rFonts w:asciiTheme="minorEastAsia" w:hAnsiTheme="minorEastAsia" w:cs="Arial" w:hint="eastAsia"/>
          <w:sz w:val="24"/>
          <w:szCs w:val="24"/>
        </w:rPr>
        <w:t>虽发现</w:t>
      </w:r>
      <w:proofErr w:type="gramEnd"/>
      <w:r>
        <w:rPr>
          <w:rFonts w:asciiTheme="minorEastAsia" w:hAnsiTheme="minorEastAsia" w:cs="Arial" w:hint="eastAsia"/>
          <w:sz w:val="24"/>
          <w:szCs w:val="24"/>
        </w:rPr>
        <w:t>错误但因前述原因无法及时更正的，由此造成的基金资产估值错误，基金管理人和基金托管人可以免除赔偿责任。但基金管理人和基金托管人应当积极采取必要的措施消除或减轻由此造成的影响。</w:t>
      </w:r>
    </w:p>
    <w:p w14:paraId="648180C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5737790A"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（四）基金账册的建立</w:t>
      </w:r>
    </w:p>
    <w:p w14:paraId="062B476F"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56015C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12309D2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（五）基金定期报告的编制和复核</w:t>
      </w:r>
    </w:p>
    <w:p w14:paraId="6E09D8E7"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基金财务报表由基金管理人和基金托管人每</w:t>
      </w:r>
      <w:proofErr w:type="gramStart"/>
      <w:r>
        <w:rPr>
          <w:rFonts w:asciiTheme="minorEastAsia" w:hAnsiTheme="minorEastAsia" w:cs="Arial" w:hint="eastAsia"/>
          <w:sz w:val="24"/>
          <w:szCs w:val="24"/>
        </w:rPr>
        <w:t>月分别独立</w:t>
      </w:r>
      <w:proofErr w:type="gramEnd"/>
      <w:r>
        <w:rPr>
          <w:rFonts w:asciiTheme="minorEastAsia" w:hAnsiTheme="minorEastAsia" w:cs="Arial" w:hint="eastAsia"/>
          <w:sz w:val="24"/>
          <w:szCs w:val="24"/>
        </w:rPr>
        <w:t>编制。月度报表的编制，应于每月终了后5个工作日内完成。</w:t>
      </w:r>
    </w:p>
    <w:p w14:paraId="0AD2F9CD"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管理人在每个季度结束之日起15个工作日内完成季度报告编制并公告；在会计年度半年终了后两个月内完成中期报告编制并公告；在会计年度结束后三个月内完成年度报告编制并公告。</w:t>
      </w:r>
    </w:p>
    <w:p w14:paraId="5AC5E5E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75115369"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Pr>
          <w:rFonts w:asciiTheme="minorEastAsia" w:hAnsiTheme="minorEastAsia" w:cs="Arial" w:hint="eastAsia"/>
          <w:sz w:val="24"/>
          <w:szCs w:val="24"/>
        </w:rPr>
        <w:t>于应当</w:t>
      </w:r>
      <w:proofErr w:type="gramEnd"/>
      <w:r>
        <w:rPr>
          <w:rFonts w:asciiTheme="minorEastAsia" w:hAnsiTheme="minorEastAsia" w:cs="Arial" w:hint="eastAsia"/>
          <w:sz w:val="24"/>
          <w:szCs w:val="24"/>
        </w:rPr>
        <w:t>发布公告之日之前就相关报表达成一致，基金管理人有权按照其编制的报表对外发布公告，基金托管人有权就相关情况报证监会备案。</w:t>
      </w:r>
    </w:p>
    <w:p w14:paraId="34B9DF74" w14:textId="77777777" w:rsidR="009214AE" w:rsidRDefault="00C6633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基金托管人在对财务会计报告、季度报告、中期报告或年度报告复核完毕后，需盖章确认或出具相应的复核确认书或进行电子确认，以</w:t>
      </w:r>
      <w:proofErr w:type="gramStart"/>
      <w:r>
        <w:rPr>
          <w:rFonts w:asciiTheme="minorEastAsia" w:hAnsiTheme="minorEastAsia" w:cs="Arial" w:hint="eastAsia"/>
          <w:sz w:val="24"/>
          <w:szCs w:val="24"/>
        </w:rPr>
        <w:t>备有权</w:t>
      </w:r>
      <w:proofErr w:type="gramEnd"/>
      <w:r>
        <w:rPr>
          <w:rFonts w:asciiTheme="minorEastAsia" w:hAnsiTheme="minorEastAsia" w:cs="Arial" w:hint="eastAsia"/>
          <w:sz w:val="24"/>
          <w:szCs w:val="24"/>
        </w:rPr>
        <w:t>机构对相关文件审核时提示。</w:t>
      </w:r>
    </w:p>
    <w:p w14:paraId="59BE25CD" w14:textId="77777777" w:rsidR="009214AE" w:rsidRDefault="009214AE">
      <w:pPr>
        <w:adjustRightInd w:val="0"/>
        <w:snapToGrid w:val="0"/>
        <w:spacing w:line="360" w:lineRule="auto"/>
        <w:ind w:firstLineChars="200" w:firstLine="480"/>
        <w:rPr>
          <w:rFonts w:asciiTheme="minorEastAsia" w:hAnsiTheme="minorEastAsia" w:cs="Arial"/>
          <w:sz w:val="24"/>
          <w:szCs w:val="24"/>
        </w:rPr>
      </w:pPr>
    </w:p>
    <w:p w14:paraId="6EBD204E"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688D53AF"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基金管理人和基金托管人须分别妥善保管的基金份额持有人名册，包括《基</w:t>
      </w:r>
      <w:r>
        <w:rPr>
          <w:rFonts w:ascii="宋体" w:hAnsi="宋体" w:hint="eastAsia"/>
          <w:sz w:val="24"/>
          <w:szCs w:val="24"/>
        </w:rPr>
        <w:lastRenderedPageBreak/>
        <w:t>金合同》生效日、《基金合同》终止日、基金份额持有人大会权益登记日、每年6月30日、12月31日的基金份额持有人名册。基金份额持有人名册的内容必须包括基金份额持有人的名称和持有的基金份额。</w:t>
      </w:r>
    </w:p>
    <w:p w14:paraId="10D04A7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14:paraId="21C4EA82"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A6530B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托管人以电子版形式妥善保管基金份额持有人名册，并定期刻成光盘备份，保存期限为20年，法律法规另有规定的从其规定。基金托管人不得将所保管的基金份额持有人名册用于基金托管业务以外的其他用途，并应遵守保密义务，法律法规另有规定的从其规定。</w:t>
      </w:r>
    </w:p>
    <w:p w14:paraId="370A3B10" w14:textId="77777777" w:rsidR="009214AE" w:rsidRDefault="00C66335">
      <w:pPr>
        <w:spacing w:line="360" w:lineRule="auto"/>
        <w:ind w:firstLineChars="200" w:firstLine="480"/>
        <w:rPr>
          <w:rFonts w:ascii="宋体" w:hAnsi="宋体"/>
          <w:sz w:val="24"/>
          <w:szCs w:val="24"/>
        </w:rPr>
      </w:pPr>
      <w:proofErr w:type="gramStart"/>
      <w:r>
        <w:rPr>
          <w:rFonts w:ascii="宋体" w:hAnsi="宋体" w:hint="eastAsia"/>
          <w:sz w:val="24"/>
          <w:szCs w:val="24"/>
        </w:rPr>
        <w:t>若基金</w:t>
      </w:r>
      <w:proofErr w:type="gramEnd"/>
      <w:r>
        <w:rPr>
          <w:rFonts w:ascii="宋体" w:hAnsi="宋体" w:hint="eastAsia"/>
          <w:sz w:val="24"/>
          <w:szCs w:val="24"/>
        </w:rPr>
        <w:t>管理人或基金托管人由于自身原因无法妥善保管基金份额持有人名册，应按有关法规规定各自承担相应的责任。</w:t>
      </w:r>
    </w:p>
    <w:p w14:paraId="1E88AE34" w14:textId="77777777" w:rsidR="009214AE" w:rsidRDefault="009214AE">
      <w:pPr>
        <w:spacing w:line="360" w:lineRule="auto"/>
        <w:ind w:firstLineChars="200" w:firstLine="480"/>
        <w:rPr>
          <w:rFonts w:ascii="宋体" w:hAnsi="宋体"/>
          <w:sz w:val="24"/>
          <w:szCs w:val="24"/>
        </w:rPr>
      </w:pPr>
    </w:p>
    <w:p w14:paraId="7C8FCF1D"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七、争议解决方式</w:t>
      </w:r>
    </w:p>
    <w:p w14:paraId="34097DA7" w14:textId="77777777" w:rsidR="009214AE" w:rsidRDefault="00C66335">
      <w:pPr>
        <w:adjustRightInd w:val="0"/>
        <w:snapToGrid w:val="0"/>
        <w:spacing w:line="360" w:lineRule="auto"/>
        <w:ind w:firstLineChars="200" w:firstLine="480"/>
        <w:rPr>
          <w:rFonts w:ascii="宋体" w:hAnsi="宋体"/>
          <w:sz w:val="24"/>
          <w:szCs w:val="24"/>
        </w:rPr>
      </w:pPr>
      <w:r>
        <w:rPr>
          <w:rFonts w:ascii="宋体" w:hAnsi="宋体" w:hint="eastAsia"/>
          <w:sz w:val="24"/>
          <w:szCs w:val="24"/>
        </w:rPr>
        <w:t>双方当事人同意，因本协议而产生的或与本协议有关的一切争议，除经友好协商可以解决的，应提交深圳国际仲裁院，根据该会当时有效的仲裁规则进行仲裁，仲裁的地点在深圳，仲裁裁决是终局性的并对协议双方均有约束力。除非仲裁裁决另有规定，仲裁费用由败诉方承担。</w:t>
      </w:r>
    </w:p>
    <w:p w14:paraId="6B263BB8" w14:textId="77777777" w:rsidR="009214AE" w:rsidRDefault="00C66335">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34CDE9B2" w14:textId="77777777" w:rsidR="009214AE" w:rsidRDefault="00C66335">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本协议受中国（为本协议之目的，不含台湾、香港、澳门地区）法律管辖。</w:t>
      </w:r>
    </w:p>
    <w:p w14:paraId="5A8B2236" w14:textId="77777777" w:rsidR="009214AE" w:rsidRDefault="009214AE">
      <w:pPr>
        <w:adjustRightInd w:val="0"/>
        <w:snapToGrid w:val="0"/>
        <w:spacing w:line="360" w:lineRule="auto"/>
        <w:ind w:firstLineChars="200" w:firstLine="480"/>
        <w:rPr>
          <w:rFonts w:ascii="宋体" w:hAnsi="宋体"/>
          <w:sz w:val="24"/>
          <w:szCs w:val="24"/>
        </w:rPr>
      </w:pPr>
    </w:p>
    <w:p w14:paraId="26AC5593" w14:textId="77777777" w:rsidR="009214AE" w:rsidRDefault="00C6633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八、基金托管协议的变更、终止与基金财产的清算</w:t>
      </w:r>
    </w:p>
    <w:p w14:paraId="3C5BA7B8"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（一）托管协议的变更与终止</w:t>
      </w:r>
    </w:p>
    <w:p w14:paraId="233E03FB"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1、托管协议的变更程序</w:t>
      </w:r>
    </w:p>
    <w:p w14:paraId="1D2B684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本协议双方当事人经协商一致，可以对协议的内容进行变更。变更后的托管协议，其内容不得与《基金合同》的规定有任何冲突。基金托管协议的变更报中国证监会备案。</w:t>
      </w:r>
    </w:p>
    <w:p w14:paraId="254B8F0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2、基金托管协议终止的情形</w:t>
      </w:r>
    </w:p>
    <w:p w14:paraId="5EBB04B0"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发生以下情况，本托管协议终止：</w:t>
      </w:r>
    </w:p>
    <w:p w14:paraId="47AFCB8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（1）《基金合同》终止；</w:t>
      </w:r>
    </w:p>
    <w:p w14:paraId="3E1FA99F"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（2）基金托管人解散、依法被撤销、破产或有其他基金托管人接管基金资产；</w:t>
      </w:r>
    </w:p>
    <w:p w14:paraId="5FBB1FB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（3）基金管理人解散、依法被撤销、破产或有其他基金管理人接管基金管理权；</w:t>
      </w:r>
    </w:p>
    <w:p w14:paraId="28BC78FD"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（4）发生法律法规、中国证监会或《基金合同》规定的终止事项。</w:t>
      </w:r>
    </w:p>
    <w:p w14:paraId="617A3CA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（二）基金财产的清算</w:t>
      </w:r>
    </w:p>
    <w:p w14:paraId="2975BC18"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1、基金财产清算小组：自出现《基金合同》终止事由之日起30个工作日内成立清算小组，基金管理人组织基金财产清算小组并在中国证监会的监督下进行基金清算。</w:t>
      </w:r>
    </w:p>
    <w:p w14:paraId="24BDAE00"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2、在基金财产清算小组接管基金财产之前，基金管理人和基金托管人应按照《基金合同》和本托管协议的规定继续履行保护基金财产安全的职责。</w:t>
      </w:r>
    </w:p>
    <w:p w14:paraId="1BC9023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966545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4、基金财产清算小组职责：基金财产清算小组负责基金财产的保管、清理、估价、变现和分配。基金财产清算小组可以依法进行必要的民事活动。</w:t>
      </w:r>
    </w:p>
    <w:p w14:paraId="35BD6F95"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5、基金财产清算程序：</w:t>
      </w:r>
      <w:r>
        <w:rPr>
          <w:rFonts w:ascii="宋体" w:hAnsi="宋体" w:hint="eastAsia"/>
          <w:sz w:val="24"/>
          <w:szCs w:val="24"/>
        </w:rPr>
        <w:tab/>
      </w:r>
    </w:p>
    <w:p w14:paraId="3F6E7DE5"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（1）基金财产清算小组成立后，由基金财产清算小组统一接管基金；</w:t>
      </w:r>
    </w:p>
    <w:p w14:paraId="0CE0A112"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（2）对基金财产和债权债务进行清理和确认；</w:t>
      </w:r>
    </w:p>
    <w:p w14:paraId="208FF21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lastRenderedPageBreak/>
        <w:t>（3）对基金财产进行估值和变现；</w:t>
      </w:r>
    </w:p>
    <w:p w14:paraId="4D46A82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（4）制作清算报告；</w:t>
      </w:r>
    </w:p>
    <w:p w14:paraId="2AACE30A"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（5）聘请会计师事务所对清算报告进行外部审计，聘请律师事务所对清算报告出具法律意见书；</w:t>
      </w:r>
    </w:p>
    <w:p w14:paraId="458EC36F"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10EC5A23"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564A97E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6、清算费用</w:t>
      </w:r>
    </w:p>
    <w:p w14:paraId="06B252B0"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021ACE48"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7、基金财产按下列顺序清偿：</w:t>
      </w:r>
    </w:p>
    <w:p w14:paraId="5968574D"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(1)支付清算费用；</w:t>
      </w:r>
    </w:p>
    <w:p w14:paraId="12EA1931"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(2)交纳所欠税款；</w:t>
      </w:r>
    </w:p>
    <w:p w14:paraId="39D52CB7"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(3)清偿基金债务；</w:t>
      </w:r>
    </w:p>
    <w:p w14:paraId="42213FFF"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(4)按基金份额持有人持有的基金份额比例进行分配。</w:t>
      </w:r>
    </w:p>
    <w:p w14:paraId="10A0F979"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基金财产未按前款(1)－(3)项规定清偿前，不分配给基金份额持有人。</w:t>
      </w:r>
    </w:p>
    <w:p w14:paraId="0A8F56A6"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（三）基金财产清算的公告</w:t>
      </w:r>
    </w:p>
    <w:p w14:paraId="37FBE0EB"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w:t>
      </w:r>
      <w:proofErr w:type="gramStart"/>
      <w:r>
        <w:rPr>
          <w:rFonts w:ascii="宋体" w:hAnsi="宋体" w:hint="eastAsia"/>
          <w:sz w:val="24"/>
          <w:szCs w:val="24"/>
        </w:rPr>
        <w:t>经符合</w:t>
      </w:r>
      <w:proofErr w:type="gramEnd"/>
      <w:r>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4F05D34"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（四）基金财产清算账册及文件的保存</w:t>
      </w:r>
    </w:p>
    <w:p w14:paraId="243478D2" w14:textId="77777777" w:rsidR="009214AE" w:rsidRDefault="00C66335">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基金财产清算账册及有关文件由基金托管人保存20年以上，法律法规另有规定的从其规定。</w:t>
      </w:r>
    </w:p>
    <w:p w14:paraId="0C0BDD78" w14:textId="77777777" w:rsidR="009214AE" w:rsidRDefault="009214AE">
      <w:pPr>
        <w:spacing w:line="360" w:lineRule="auto"/>
        <w:ind w:firstLineChars="200" w:firstLine="480"/>
        <w:rPr>
          <w:rFonts w:ascii="宋体" w:hAnsi="宋体"/>
          <w:sz w:val="24"/>
          <w:szCs w:val="24"/>
        </w:rPr>
      </w:pPr>
    </w:p>
    <w:p w14:paraId="3E3BFB84" w14:textId="77777777" w:rsidR="009214AE" w:rsidRDefault="00C66335">
      <w:pPr>
        <w:pStyle w:val="1"/>
        <w:jc w:val="center"/>
        <w:rPr>
          <w:sz w:val="30"/>
          <w:szCs w:val="30"/>
        </w:rPr>
      </w:pPr>
      <w:bookmarkStart w:id="404" w:name="_Toc214873621"/>
      <w:bookmarkStart w:id="405" w:name="_Toc21073396"/>
      <w:bookmarkStart w:id="406" w:name="_Toc416264555"/>
      <w:bookmarkStart w:id="407" w:name="_Toc12357176"/>
      <w:bookmarkStart w:id="408" w:name="_Toc147463123"/>
      <w:bookmarkStart w:id="409" w:name="_Toc263092328"/>
      <w:bookmarkStart w:id="410" w:name="_Toc24923"/>
      <w:bookmarkStart w:id="411" w:name="_Toc98560366"/>
      <w:bookmarkStart w:id="412" w:name="_Toc23999"/>
      <w:bookmarkStart w:id="413" w:name="_Toc25651"/>
      <w:bookmarkStart w:id="414" w:name="_Toc30350"/>
      <w:bookmarkStart w:id="415" w:name="_Toc1790"/>
      <w:bookmarkStart w:id="416" w:name="_Toc123112249"/>
      <w:bookmarkStart w:id="417" w:name="_Toc21983"/>
      <w:bookmarkStart w:id="418" w:name="_Toc6202"/>
      <w:bookmarkStart w:id="419" w:name="_Toc3319"/>
      <w:bookmarkStart w:id="420" w:name="_Toc139991751"/>
      <w:bookmarkStart w:id="421" w:name="_Toc6110"/>
      <w:bookmarkStart w:id="422" w:name="_Toc7288"/>
      <w:bookmarkStart w:id="423" w:name="_Toc123102468"/>
      <w:bookmarkStart w:id="424" w:name="_Toc123051467"/>
      <w:bookmarkStart w:id="425" w:name="_Toc141703902"/>
      <w:bookmarkStart w:id="426" w:name="_Toc8636"/>
      <w:bookmarkStart w:id="427" w:name="_Toc35222976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sz w:val="30"/>
          <w:szCs w:val="30"/>
        </w:rPr>
        <w:br w:type="page"/>
      </w:r>
    </w:p>
    <w:p w14:paraId="1E2CD644" w14:textId="77777777" w:rsidR="009214AE" w:rsidRDefault="00C66335">
      <w:pPr>
        <w:pStyle w:val="1"/>
        <w:jc w:val="center"/>
        <w:rPr>
          <w:sz w:val="30"/>
          <w:szCs w:val="30"/>
        </w:rPr>
      </w:pPr>
      <w:bookmarkStart w:id="428" w:name="_Toc164429434"/>
      <w:r>
        <w:rPr>
          <w:rFonts w:hint="eastAsia"/>
          <w:sz w:val="30"/>
          <w:szCs w:val="30"/>
        </w:rPr>
        <w:lastRenderedPageBreak/>
        <w:t>第二十一部分</w:t>
      </w:r>
      <w:r>
        <w:rPr>
          <w:sz w:val="30"/>
          <w:szCs w:val="30"/>
        </w:rPr>
        <w:t xml:space="preserve">  </w:t>
      </w:r>
      <w:r>
        <w:rPr>
          <w:rFonts w:hint="eastAsia"/>
          <w:sz w:val="30"/>
          <w:szCs w:val="30"/>
        </w:rPr>
        <w:t>对基金份额持有人的服务</w:t>
      </w:r>
      <w:bookmarkEnd w:id="428"/>
    </w:p>
    <w:p w14:paraId="3924A3FA"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4DB38D47"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7C3FC65D"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5A9DB5E"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5051691C"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5E3A2758"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8044271"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675E355"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39F1E82"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免费信息订阅服务。投资人可以通过拨打基金管理人客服热线提交信息定制申请，在申请获基金管理人确认后，基金管理人将通过手机短信、电子邮件等方式为客户发送所定制的信息。可定制的信息包括：月度电子对账单、持有基金周末净值等信息。基金管理人将根据业务发展需要和实际情况，适时调整发送的定制信息内容。</w:t>
      </w:r>
    </w:p>
    <w:p w14:paraId="0A62008D"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（五）客户投诉受理服务</w:t>
      </w:r>
    </w:p>
    <w:p w14:paraId="6CBBD1D9"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投资人可以通过客服热线、书信、电子邮件等渠道，对基金管理人和销售机构所提供的服务进行投诉。基金管理人承诺在 20个工作日之内对基金投资人的投诉做出回复。</w:t>
      </w:r>
    </w:p>
    <w:p w14:paraId="7C6E6D9C"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（六）基金管理人联系方式 </w:t>
      </w:r>
    </w:p>
    <w:p w14:paraId="336FFC93"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6A395377"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3443E1AF"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2B35CE2B"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客户服务部门地址：深圳市福田区八卦四路52号安吉尔大厦24层，富荣基金管理有限公司客户服务部门（收）</w:t>
      </w:r>
    </w:p>
    <w:p w14:paraId="4A33080F"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22C90962" w14:textId="77777777" w:rsidR="009214AE" w:rsidRDefault="00C66335">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p>
    <w:p w14:paraId="1579B797" w14:textId="77777777" w:rsidR="009214AE" w:rsidRDefault="009214AE">
      <w:pPr>
        <w:spacing w:line="360" w:lineRule="auto"/>
        <w:ind w:firstLineChars="200" w:firstLine="480"/>
        <w:rPr>
          <w:rFonts w:asciiTheme="minorEastAsia" w:hAnsiTheme="minorEastAsia" w:cs="Arial"/>
          <w:sz w:val="24"/>
          <w:szCs w:val="24"/>
        </w:rPr>
      </w:pPr>
    </w:p>
    <w:p w14:paraId="7984DE2A" w14:textId="77777777" w:rsidR="009214AE" w:rsidRDefault="009214AE">
      <w:pPr>
        <w:spacing w:line="360" w:lineRule="auto"/>
        <w:ind w:firstLineChars="200" w:firstLine="480"/>
        <w:rPr>
          <w:rFonts w:asciiTheme="minorEastAsia" w:hAnsiTheme="minorEastAsia" w:cs="Arial"/>
          <w:sz w:val="24"/>
          <w:szCs w:val="24"/>
        </w:rPr>
      </w:pPr>
    </w:p>
    <w:p w14:paraId="794BE7F1" w14:textId="77777777" w:rsidR="009214AE" w:rsidRDefault="009214AE">
      <w:pPr>
        <w:spacing w:line="360" w:lineRule="auto"/>
        <w:ind w:firstLineChars="200" w:firstLine="480"/>
        <w:rPr>
          <w:rFonts w:asciiTheme="minorEastAsia" w:hAnsiTheme="minorEastAsia" w:cs="Arial"/>
          <w:sz w:val="24"/>
          <w:szCs w:val="24"/>
        </w:rPr>
      </w:pPr>
    </w:p>
    <w:p w14:paraId="700DFDF6" w14:textId="77777777" w:rsidR="009214AE" w:rsidRDefault="009214AE">
      <w:pPr>
        <w:spacing w:line="360" w:lineRule="auto"/>
        <w:ind w:firstLineChars="200" w:firstLine="480"/>
        <w:rPr>
          <w:rFonts w:asciiTheme="minorEastAsia" w:hAnsiTheme="minorEastAsia" w:cs="Arial"/>
          <w:sz w:val="24"/>
          <w:szCs w:val="24"/>
        </w:rPr>
      </w:pPr>
    </w:p>
    <w:p w14:paraId="63D4B87B" w14:textId="77777777" w:rsidR="009214AE" w:rsidRDefault="00C66335">
      <w:pPr>
        <w:pStyle w:val="1"/>
        <w:jc w:val="center"/>
        <w:rPr>
          <w:sz w:val="30"/>
          <w:szCs w:val="30"/>
        </w:rPr>
      </w:pPr>
      <w:r>
        <w:rPr>
          <w:sz w:val="30"/>
          <w:szCs w:val="30"/>
        </w:rPr>
        <w:br w:type="page"/>
      </w:r>
    </w:p>
    <w:p w14:paraId="72B63919" w14:textId="77777777" w:rsidR="009214AE" w:rsidRDefault="00C66335">
      <w:pPr>
        <w:pStyle w:val="1"/>
        <w:jc w:val="center"/>
        <w:rPr>
          <w:rFonts w:asciiTheme="minorEastAsia" w:hAnsiTheme="minorEastAsia"/>
        </w:rPr>
      </w:pPr>
      <w:bookmarkStart w:id="429" w:name="_Toc164429435"/>
      <w:r>
        <w:rPr>
          <w:rFonts w:hint="eastAsia"/>
          <w:sz w:val="30"/>
          <w:szCs w:val="30"/>
        </w:rPr>
        <w:lastRenderedPageBreak/>
        <w:t>第二十二部分</w:t>
      </w:r>
      <w:r>
        <w:rPr>
          <w:sz w:val="30"/>
          <w:szCs w:val="30"/>
        </w:rPr>
        <w:t xml:space="preserve">  </w:t>
      </w:r>
      <w:r>
        <w:rPr>
          <w:rFonts w:hint="eastAsia"/>
          <w:sz w:val="30"/>
          <w:szCs w:val="30"/>
        </w:rPr>
        <w:t>其他应披露事项</w:t>
      </w:r>
      <w:bookmarkStart w:id="430" w:name="_Toc214873622"/>
      <w:bookmarkStart w:id="431" w:name="_Toc416264556"/>
      <w:bookmarkStart w:id="432" w:name="_Toc530223198"/>
      <w:bookmarkStart w:id="433" w:name="_Toc263092329"/>
      <w:bookmarkEnd w:id="404"/>
      <w:bookmarkEnd w:id="405"/>
      <w:bookmarkEnd w:id="406"/>
      <w:bookmarkEnd w:id="407"/>
      <w:bookmarkEnd w:id="408"/>
      <w:bookmarkEnd w:id="409"/>
      <w:bookmarkEnd w:id="429"/>
    </w:p>
    <w:tbl>
      <w:tblPr>
        <w:tblStyle w:val="afb"/>
        <w:tblW w:w="10065" w:type="dxa"/>
        <w:tblInd w:w="-459" w:type="dxa"/>
        <w:tblLook w:val="04A0" w:firstRow="1" w:lastRow="0" w:firstColumn="1" w:lastColumn="0" w:noHBand="0" w:noVBand="1"/>
      </w:tblPr>
      <w:tblGrid>
        <w:gridCol w:w="709"/>
        <w:gridCol w:w="7229"/>
        <w:gridCol w:w="2127"/>
      </w:tblGrid>
      <w:tr w:rsidR="009214AE" w14:paraId="4C7B8AE8" w14:textId="77777777">
        <w:tc>
          <w:tcPr>
            <w:tcW w:w="709" w:type="dxa"/>
          </w:tcPr>
          <w:p w14:paraId="53B95BEF" w14:textId="77777777" w:rsidR="009214AE" w:rsidRDefault="00C66335">
            <w:pPr>
              <w:jc w:val="center"/>
              <w:rPr>
                <w:rFonts w:ascii="宋体" w:eastAsia="宋体" w:hAnsi="宋体"/>
                <w:color w:val="000000"/>
                <w:sz w:val="22"/>
              </w:rPr>
            </w:pPr>
            <w:r>
              <w:rPr>
                <w:rFonts w:ascii="宋体" w:eastAsia="宋体" w:hAnsi="宋体" w:hint="eastAsia"/>
                <w:color w:val="000000"/>
                <w:sz w:val="22"/>
              </w:rPr>
              <w:t>序号</w:t>
            </w:r>
          </w:p>
        </w:tc>
        <w:tc>
          <w:tcPr>
            <w:tcW w:w="7229" w:type="dxa"/>
          </w:tcPr>
          <w:p w14:paraId="0908B060" w14:textId="77777777" w:rsidR="009214AE" w:rsidRDefault="00C66335">
            <w:pPr>
              <w:jc w:val="center"/>
              <w:rPr>
                <w:rFonts w:ascii="宋体" w:eastAsia="宋体" w:hAnsi="宋体"/>
                <w:color w:val="000000"/>
                <w:sz w:val="22"/>
              </w:rPr>
            </w:pPr>
            <w:r>
              <w:rPr>
                <w:rFonts w:ascii="宋体" w:eastAsia="宋体" w:hAnsi="宋体" w:hint="eastAsia"/>
                <w:color w:val="000000"/>
                <w:sz w:val="22"/>
              </w:rPr>
              <w:t>公告事项</w:t>
            </w:r>
          </w:p>
        </w:tc>
        <w:tc>
          <w:tcPr>
            <w:tcW w:w="2127" w:type="dxa"/>
          </w:tcPr>
          <w:p w14:paraId="2D631078" w14:textId="77777777" w:rsidR="009214AE" w:rsidRDefault="00C66335">
            <w:pPr>
              <w:jc w:val="center"/>
              <w:rPr>
                <w:rFonts w:ascii="宋体" w:eastAsia="宋体" w:hAnsi="宋体"/>
                <w:color w:val="000000"/>
                <w:sz w:val="22"/>
              </w:rPr>
            </w:pPr>
            <w:r>
              <w:rPr>
                <w:rFonts w:ascii="宋体" w:eastAsia="宋体" w:hAnsi="宋体" w:hint="eastAsia"/>
                <w:color w:val="000000"/>
                <w:sz w:val="22"/>
              </w:rPr>
              <w:t>披露日期</w:t>
            </w:r>
          </w:p>
        </w:tc>
      </w:tr>
      <w:tr w:rsidR="009214AE" w14:paraId="73CC36B1" w14:textId="77777777">
        <w:tc>
          <w:tcPr>
            <w:tcW w:w="709" w:type="dxa"/>
          </w:tcPr>
          <w:p w14:paraId="3A8CD2C7" w14:textId="77777777" w:rsidR="009214AE" w:rsidRDefault="00C66335">
            <w:pPr>
              <w:jc w:val="left"/>
              <w:rPr>
                <w:rFonts w:ascii="宋体" w:eastAsia="宋体" w:hAnsi="宋体"/>
                <w:color w:val="000000"/>
                <w:sz w:val="22"/>
              </w:rPr>
            </w:pPr>
            <w:r>
              <w:rPr>
                <w:rFonts w:ascii="宋体" w:eastAsia="宋体" w:hAnsi="宋体" w:hint="eastAsia"/>
                <w:color w:val="000000"/>
                <w:sz w:val="22"/>
              </w:rPr>
              <w:t>1</w:t>
            </w:r>
          </w:p>
        </w:tc>
        <w:tc>
          <w:tcPr>
            <w:tcW w:w="7229" w:type="dxa"/>
          </w:tcPr>
          <w:p w14:paraId="477EF6BB"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2022</w:t>
            </w:r>
            <w:r>
              <w:rPr>
                <w:rFonts w:hint="eastAsia"/>
              </w:rPr>
              <w:t>年年度报告提示性公告</w:t>
            </w:r>
          </w:p>
        </w:tc>
        <w:tc>
          <w:tcPr>
            <w:tcW w:w="2127" w:type="dxa"/>
          </w:tcPr>
          <w:p w14:paraId="6CCC46FD"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3</w:t>
            </w:r>
            <w:r>
              <w:rPr>
                <w:rFonts w:hint="eastAsia"/>
              </w:rPr>
              <w:t>月</w:t>
            </w:r>
            <w:r>
              <w:rPr>
                <w:rFonts w:hint="eastAsia"/>
              </w:rPr>
              <w:t>31</w:t>
            </w:r>
            <w:r>
              <w:rPr>
                <w:rFonts w:hint="eastAsia"/>
              </w:rPr>
              <w:t>日</w:t>
            </w:r>
          </w:p>
        </w:tc>
      </w:tr>
      <w:tr w:rsidR="009214AE" w14:paraId="111A4CC5" w14:textId="77777777">
        <w:tc>
          <w:tcPr>
            <w:tcW w:w="709" w:type="dxa"/>
          </w:tcPr>
          <w:p w14:paraId="7C5B1BF5" w14:textId="77777777" w:rsidR="009214AE" w:rsidRDefault="00C66335">
            <w:pPr>
              <w:jc w:val="left"/>
              <w:rPr>
                <w:rFonts w:ascii="宋体" w:eastAsia="宋体" w:hAnsi="宋体"/>
                <w:color w:val="000000"/>
                <w:sz w:val="22"/>
              </w:rPr>
            </w:pPr>
            <w:r>
              <w:rPr>
                <w:rFonts w:ascii="宋体" w:eastAsia="宋体" w:hAnsi="宋体" w:hint="eastAsia"/>
                <w:color w:val="000000"/>
                <w:sz w:val="22"/>
              </w:rPr>
              <w:t>2</w:t>
            </w:r>
          </w:p>
        </w:tc>
        <w:tc>
          <w:tcPr>
            <w:tcW w:w="7229" w:type="dxa"/>
          </w:tcPr>
          <w:p w14:paraId="4E4C895A" w14:textId="77777777" w:rsidR="009214AE" w:rsidRDefault="00C66335">
            <w:pPr>
              <w:jc w:val="left"/>
              <w:rPr>
                <w:rFonts w:ascii="宋体" w:eastAsia="宋体" w:hAnsi="宋体"/>
                <w:color w:val="000000"/>
                <w:sz w:val="22"/>
              </w:rPr>
            </w:pPr>
            <w:r>
              <w:rPr>
                <w:rFonts w:hint="eastAsia"/>
              </w:rPr>
              <w:t>富荣基金管理有限公司高级管理人员变更公告</w:t>
            </w:r>
          </w:p>
        </w:tc>
        <w:tc>
          <w:tcPr>
            <w:tcW w:w="2127" w:type="dxa"/>
          </w:tcPr>
          <w:p w14:paraId="693E2B91"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4</w:t>
            </w:r>
            <w:r>
              <w:rPr>
                <w:rFonts w:hint="eastAsia"/>
              </w:rPr>
              <w:t>月</w:t>
            </w:r>
            <w:r>
              <w:rPr>
                <w:rFonts w:hint="eastAsia"/>
              </w:rPr>
              <w:t>7</w:t>
            </w:r>
            <w:r>
              <w:rPr>
                <w:rFonts w:hint="eastAsia"/>
              </w:rPr>
              <w:t>日</w:t>
            </w:r>
          </w:p>
        </w:tc>
      </w:tr>
      <w:tr w:rsidR="009214AE" w14:paraId="6DADFCD0" w14:textId="77777777">
        <w:tc>
          <w:tcPr>
            <w:tcW w:w="709" w:type="dxa"/>
          </w:tcPr>
          <w:p w14:paraId="38FFD50B" w14:textId="77777777" w:rsidR="009214AE" w:rsidRDefault="00C66335">
            <w:pPr>
              <w:jc w:val="left"/>
              <w:rPr>
                <w:rFonts w:ascii="宋体" w:eastAsia="宋体" w:hAnsi="宋体"/>
                <w:color w:val="000000"/>
                <w:sz w:val="22"/>
              </w:rPr>
            </w:pPr>
            <w:r>
              <w:rPr>
                <w:rFonts w:ascii="宋体" w:eastAsia="宋体" w:hAnsi="宋体" w:hint="eastAsia"/>
                <w:color w:val="000000"/>
                <w:sz w:val="22"/>
              </w:rPr>
              <w:t>3</w:t>
            </w:r>
          </w:p>
        </w:tc>
        <w:tc>
          <w:tcPr>
            <w:tcW w:w="7229" w:type="dxa"/>
          </w:tcPr>
          <w:p w14:paraId="499CD8AB" w14:textId="77777777" w:rsidR="009214AE" w:rsidRDefault="00C66335">
            <w:pPr>
              <w:jc w:val="left"/>
              <w:rPr>
                <w:rFonts w:ascii="宋体" w:eastAsia="宋体" w:hAnsi="宋体"/>
                <w:color w:val="000000"/>
                <w:sz w:val="22"/>
              </w:rPr>
            </w:pPr>
            <w:r>
              <w:rPr>
                <w:rFonts w:hint="eastAsia"/>
              </w:rPr>
              <w:t>富荣基金管理有限公司住所变更公告</w:t>
            </w:r>
          </w:p>
        </w:tc>
        <w:tc>
          <w:tcPr>
            <w:tcW w:w="2127" w:type="dxa"/>
          </w:tcPr>
          <w:p w14:paraId="2130F183"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4</w:t>
            </w:r>
            <w:r>
              <w:rPr>
                <w:rFonts w:hint="eastAsia"/>
              </w:rPr>
              <w:t>月</w:t>
            </w:r>
            <w:r>
              <w:rPr>
                <w:rFonts w:hint="eastAsia"/>
              </w:rPr>
              <w:t>12</w:t>
            </w:r>
            <w:r>
              <w:rPr>
                <w:rFonts w:hint="eastAsia"/>
              </w:rPr>
              <w:t>日</w:t>
            </w:r>
          </w:p>
        </w:tc>
      </w:tr>
      <w:tr w:rsidR="009214AE" w14:paraId="30717633" w14:textId="77777777">
        <w:tc>
          <w:tcPr>
            <w:tcW w:w="709" w:type="dxa"/>
          </w:tcPr>
          <w:p w14:paraId="46C8A9AE" w14:textId="77777777" w:rsidR="009214AE" w:rsidRDefault="00C66335">
            <w:pPr>
              <w:jc w:val="left"/>
              <w:rPr>
                <w:rFonts w:ascii="宋体" w:eastAsia="宋体" w:hAnsi="宋体"/>
                <w:color w:val="000000"/>
                <w:sz w:val="22"/>
              </w:rPr>
            </w:pPr>
            <w:r>
              <w:rPr>
                <w:rFonts w:ascii="宋体" w:eastAsia="宋体" w:hAnsi="宋体" w:hint="eastAsia"/>
                <w:color w:val="000000"/>
                <w:sz w:val="22"/>
              </w:rPr>
              <w:t>4</w:t>
            </w:r>
          </w:p>
        </w:tc>
        <w:tc>
          <w:tcPr>
            <w:tcW w:w="7229" w:type="dxa"/>
          </w:tcPr>
          <w:p w14:paraId="1B224444" w14:textId="77777777" w:rsidR="009214AE" w:rsidRDefault="00C66335">
            <w:pPr>
              <w:jc w:val="left"/>
              <w:rPr>
                <w:rFonts w:ascii="宋体" w:eastAsia="宋体" w:hAnsi="宋体"/>
                <w:color w:val="000000"/>
                <w:sz w:val="22"/>
              </w:rPr>
            </w:pPr>
            <w:r>
              <w:rPr>
                <w:rFonts w:hint="eastAsia"/>
              </w:rPr>
              <w:t>富荣量化精选混合型发起式证券投资基金招募说明书更新及产品资料概要更新的提示性公告</w:t>
            </w:r>
          </w:p>
        </w:tc>
        <w:tc>
          <w:tcPr>
            <w:tcW w:w="2127" w:type="dxa"/>
          </w:tcPr>
          <w:p w14:paraId="0CA1A632"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4</w:t>
            </w:r>
            <w:r>
              <w:rPr>
                <w:rFonts w:hint="eastAsia"/>
              </w:rPr>
              <w:t>月</w:t>
            </w:r>
            <w:r>
              <w:rPr>
                <w:rFonts w:hint="eastAsia"/>
              </w:rPr>
              <w:t>13</w:t>
            </w:r>
            <w:r>
              <w:rPr>
                <w:rFonts w:hint="eastAsia"/>
              </w:rPr>
              <w:t>日</w:t>
            </w:r>
          </w:p>
        </w:tc>
      </w:tr>
      <w:tr w:rsidR="009214AE" w14:paraId="3AAE7F18" w14:textId="77777777">
        <w:tc>
          <w:tcPr>
            <w:tcW w:w="709" w:type="dxa"/>
          </w:tcPr>
          <w:p w14:paraId="0BD0588C" w14:textId="77777777" w:rsidR="009214AE" w:rsidRDefault="00C66335">
            <w:pPr>
              <w:jc w:val="left"/>
              <w:rPr>
                <w:rFonts w:ascii="宋体" w:eastAsia="宋体" w:hAnsi="宋体"/>
                <w:color w:val="000000"/>
                <w:sz w:val="22"/>
              </w:rPr>
            </w:pPr>
            <w:r>
              <w:rPr>
                <w:rFonts w:ascii="宋体" w:eastAsia="宋体" w:hAnsi="宋体" w:hint="eastAsia"/>
                <w:color w:val="000000"/>
                <w:sz w:val="22"/>
              </w:rPr>
              <w:t>5</w:t>
            </w:r>
          </w:p>
        </w:tc>
        <w:tc>
          <w:tcPr>
            <w:tcW w:w="7229" w:type="dxa"/>
          </w:tcPr>
          <w:p w14:paraId="52E1BA6A"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2023</w:t>
            </w:r>
            <w:r>
              <w:rPr>
                <w:rFonts w:hint="eastAsia"/>
              </w:rPr>
              <w:t>年第</w:t>
            </w:r>
            <w:r>
              <w:rPr>
                <w:rFonts w:hint="eastAsia"/>
              </w:rPr>
              <w:t>1</w:t>
            </w:r>
            <w:r>
              <w:rPr>
                <w:rFonts w:hint="eastAsia"/>
              </w:rPr>
              <w:t>季度报告提示性公告</w:t>
            </w:r>
          </w:p>
        </w:tc>
        <w:tc>
          <w:tcPr>
            <w:tcW w:w="2127" w:type="dxa"/>
          </w:tcPr>
          <w:p w14:paraId="38B96041"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4</w:t>
            </w:r>
            <w:r>
              <w:rPr>
                <w:rFonts w:hint="eastAsia"/>
              </w:rPr>
              <w:t>月</w:t>
            </w:r>
            <w:r>
              <w:rPr>
                <w:rFonts w:hint="eastAsia"/>
              </w:rPr>
              <w:t>24</w:t>
            </w:r>
            <w:r>
              <w:rPr>
                <w:rFonts w:hint="eastAsia"/>
              </w:rPr>
              <w:t>日</w:t>
            </w:r>
          </w:p>
        </w:tc>
      </w:tr>
      <w:tr w:rsidR="009214AE" w14:paraId="67695009" w14:textId="77777777">
        <w:tc>
          <w:tcPr>
            <w:tcW w:w="709" w:type="dxa"/>
          </w:tcPr>
          <w:p w14:paraId="534EA19F" w14:textId="77777777" w:rsidR="009214AE" w:rsidRDefault="00C66335">
            <w:pPr>
              <w:jc w:val="left"/>
              <w:rPr>
                <w:rFonts w:ascii="宋体" w:eastAsia="宋体" w:hAnsi="宋体"/>
                <w:color w:val="000000"/>
                <w:sz w:val="22"/>
              </w:rPr>
            </w:pPr>
            <w:r>
              <w:rPr>
                <w:rFonts w:ascii="宋体" w:eastAsia="宋体" w:hAnsi="宋体" w:hint="eastAsia"/>
                <w:color w:val="000000"/>
                <w:sz w:val="22"/>
              </w:rPr>
              <w:t>6</w:t>
            </w:r>
          </w:p>
        </w:tc>
        <w:tc>
          <w:tcPr>
            <w:tcW w:w="7229" w:type="dxa"/>
          </w:tcPr>
          <w:p w14:paraId="0A9B2BCE" w14:textId="77777777" w:rsidR="009214AE" w:rsidRDefault="00C66335">
            <w:pPr>
              <w:jc w:val="left"/>
              <w:rPr>
                <w:rFonts w:ascii="宋体" w:eastAsia="宋体" w:hAnsi="宋体"/>
                <w:color w:val="000000"/>
                <w:sz w:val="22"/>
              </w:rPr>
            </w:pPr>
            <w:r>
              <w:rPr>
                <w:rFonts w:hint="eastAsia"/>
              </w:rPr>
              <w:t>富荣基金管理有限公司关于总经理代为履行督察长职务的公告</w:t>
            </w:r>
          </w:p>
        </w:tc>
        <w:tc>
          <w:tcPr>
            <w:tcW w:w="2127" w:type="dxa"/>
          </w:tcPr>
          <w:p w14:paraId="7DEC258B"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6</w:t>
            </w:r>
            <w:r>
              <w:rPr>
                <w:rFonts w:hint="eastAsia"/>
              </w:rPr>
              <w:t>月</w:t>
            </w:r>
            <w:r>
              <w:rPr>
                <w:rFonts w:hint="eastAsia"/>
              </w:rPr>
              <w:t>14</w:t>
            </w:r>
            <w:r>
              <w:rPr>
                <w:rFonts w:hint="eastAsia"/>
              </w:rPr>
              <w:t>日</w:t>
            </w:r>
          </w:p>
        </w:tc>
      </w:tr>
      <w:tr w:rsidR="009214AE" w14:paraId="5631A3F5" w14:textId="77777777">
        <w:tc>
          <w:tcPr>
            <w:tcW w:w="709" w:type="dxa"/>
          </w:tcPr>
          <w:p w14:paraId="4E3063ED" w14:textId="77777777" w:rsidR="009214AE" w:rsidRDefault="00C66335">
            <w:pPr>
              <w:jc w:val="left"/>
              <w:rPr>
                <w:rFonts w:ascii="宋体" w:eastAsia="宋体" w:hAnsi="宋体"/>
                <w:color w:val="000000"/>
                <w:sz w:val="22"/>
              </w:rPr>
            </w:pPr>
            <w:r>
              <w:rPr>
                <w:rFonts w:ascii="宋体" w:eastAsia="宋体" w:hAnsi="宋体" w:hint="eastAsia"/>
                <w:color w:val="000000"/>
                <w:sz w:val="22"/>
              </w:rPr>
              <w:t>7</w:t>
            </w:r>
          </w:p>
        </w:tc>
        <w:tc>
          <w:tcPr>
            <w:tcW w:w="7229" w:type="dxa"/>
          </w:tcPr>
          <w:p w14:paraId="31766233" w14:textId="77777777" w:rsidR="009214AE" w:rsidRDefault="00C66335">
            <w:pPr>
              <w:jc w:val="left"/>
              <w:rPr>
                <w:rFonts w:ascii="宋体" w:eastAsia="宋体" w:hAnsi="宋体"/>
                <w:color w:val="000000"/>
                <w:sz w:val="22"/>
              </w:rPr>
            </w:pPr>
            <w:r>
              <w:rPr>
                <w:rFonts w:hint="eastAsia"/>
              </w:rPr>
              <w:t>富荣基金管理有限公司高级管理人员变更公告</w:t>
            </w:r>
          </w:p>
        </w:tc>
        <w:tc>
          <w:tcPr>
            <w:tcW w:w="2127" w:type="dxa"/>
          </w:tcPr>
          <w:p w14:paraId="25A215F8"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6</w:t>
            </w:r>
            <w:r>
              <w:rPr>
                <w:rFonts w:hint="eastAsia"/>
              </w:rPr>
              <w:t>月</w:t>
            </w:r>
            <w:r>
              <w:rPr>
                <w:rFonts w:hint="eastAsia"/>
              </w:rPr>
              <w:t>15</w:t>
            </w:r>
            <w:r>
              <w:rPr>
                <w:rFonts w:hint="eastAsia"/>
              </w:rPr>
              <w:t>日</w:t>
            </w:r>
          </w:p>
        </w:tc>
      </w:tr>
      <w:tr w:rsidR="009214AE" w14:paraId="1F6D2F06" w14:textId="77777777">
        <w:tc>
          <w:tcPr>
            <w:tcW w:w="709" w:type="dxa"/>
          </w:tcPr>
          <w:p w14:paraId="496BD82D" w14:textId="77777777" w:rsidR="009214AE" w:rsidRDefault="00C66335">
            <w:pPr>
              <w:jc w:val="left"/>
              <w:rPr>
                <w:rFonts w:ascii="宋体" w:eastAsia="宋体" w:hAnsi="宋体"/>
                <w:color w:val="000000"/>
                <w:sz w:val="22"/>
              </w:rPr>
            </w:pPr>
            <w:r>
              <w:rPr>
                <w:rFonts w:ascii="宋体" w:eastAsia="宋体" w:hAnsi="宋体" w:hint="eastAsia"/>
                <w:color w:val="000000"/>
                <w:sz w:val="22"/>
              </w:rPr>
              <w:t>8</w:t>
            </w:r>
          </w:p>
        </w:tc>
        <w:tc>
          <w:tcPr>
            <w:tcW w:w="7229" w:type="dxa"/>
          </w:tcPr>
          <w:p w14:paraId="49511EF3" w14:textId="77777777" w:rsidR="009214AE" w:rsidRDefault="00C66335">
            <w:pPr>
              <w:jc w:val="left"/>
              <w:rPr>
                <w:rFonts w:ascii="宋体" w:eastAsia="宋体" w:hAnsi="宋体"/>
                <w:color w:val="000000"/>
                <w:sz w:val="22"/>
              </w:rPr>
            </w:pPr>
            <w:r>
              <w:rPr>
                <w:rFonts w:hint="eastAsia"/>
              </w:rPr>
              <w:t>富荣基金管理有限公司基金行业高级管理人员变更公告</w:t>
            </w:r>
          </w:p>
        </w:tc>
        <w:tc>
          <w:tcPr>
            <w:tcW w:w="2127" w:type="dxa"/>
          </w:tcPr>
          <w:p w14:paraId="481D19A2"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6</w:t>
            </w:r>
            <w:r>
              <w:rPr>
                <w:rFonts w:hint="eastAsia"/>
              </w:rPr>
              <w:t>月</w:t>
            </w:r>
            <w:r>
              <w:rPr>
                <w:rFonts w:hint="eastAsia"/>
              </w:rPr>
              <w:t>17</w:t>
            </w:r>
            <w:r>
              <w:rPr>
                <w:rFonts w:hint="eastAsia"/>
              </w:rPr>
              <w:t>日</w:t>
            </w:r>
          </w:p>
        </w:tc>
      </w:tr>
      <w:tr w:rsidR="009214AE" w14:paraId="11CC7B5D" w14:textId="77777777">
        <w:tc>
          <w:tcPr>
            <w:tcW w:w="709" w:type="dxa"/>
          </w:tcPr>
          <w:p w14:paraId="3AB1C47C" w14:textId="77777777" w:rsidR="009214AE" w:rsidRDefault="00C66335">
            <w:pPr>
              <w:jc w:val="left"/>
              <w:rPr>
                <w:rFonts w:ascii="宋体" w:eastAsia="宋体" w:hAnsi="宋体"/>
                <w:color w:val="000000"/>
                <w:sz w:val="22"/>
              </w:rPr>
            </w:pPr>
            <w:r>
              <w:rPr>
                <w:rFonts w:ascii="宋体" w:eastAsia="宋体" w:hAnsi="宋体" w:hint="eastAsia"/>
                <w:color w:val="000000"/>
                <w:sz w:val="22"/>
              </w:rPr>
              <w:t>9</w:t>
            </w:r>
          </w:p>
        </w:tc>
        <w:tc>
          <w:tcPr>
            <w:tcW w:w="7229" w:type="dxa"/>
          </w:tcPr>
          <w:p w14:paraId="50CB9194"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2023</w:t>
            </w:r>
            <w:r>
              <w:rPr>
                <w:rFonts w:hint="eastAsia"/>
              </w:rPr>
              <w:t>年第</w:t>
            </w:r>
            <w:r>
              <w:rPr>
                <w:rFonts w:hint="eastAsia"/>
              </w:rPr>
              <w:t>2</w:t>
            </w:r>
            <w:r>
              <w:rPr>
                <w:rFonts w:hint="eastAsia"/>
              </w:rPr>
              <w:t>季度报告提示性公告</w:t>
            </w:r>
          </w:p>
        </w:tc>
        <w:tc>
          <w:tcPr>
            <w:tcW w:w="2127" w:type="dxa"/>
          </w:tcPr>
          <w:p w14:paraId="2C9CAE03"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7</w:t>
            </w:r>
            <w:r>
              <w:rPr>
                <w:rFonts w:hint="eastAsia"/>
              </w:rPr>
              <w:t>月</w:t>
            </w:r>
            <w:r>
              <w:rPr>
                <w:rFonts w:hint="eastAsia"/>
              </w:rPr>
              <w:t>21</w:t>
            </w:r>
            <w:r>
              <w:rPr>
                <w:rFonts w:hint="eastAsia"/>
              </w:rPr>
              <w:t>日</w:t>
            </w:r>
          </w:p>
        </w:tc>
      </w:tr>
      <w:tr w:rsidR="009214AE" w14:paraId="7843FCBB" w14:textId="77777777">
        <w:tc>
          <w:tcPr>
            <w:tcW w:w="709" w:type="dxa"/>
          </w:tcPr>
          <w:p w14:paraId="6CA56331" w14:textId="77777777" w:rsidR="009214AE" w:rsidRDefault="00C66335">
            <w:pPr>
              <w:jc w:val="left"/>
              <w:rPr>
                <w:rFonts w:ascii="宋体" w:eastAsia="宋体" w:hAnsi="宋体"/>
                <w:color w:val="000000"/>
                <w:sz w:val="22"/>
              </w:rPr>
            </w:pPr>
            <w:r>
              <w:rPr>
                <w:rFonts w:ascii="宋体" w:eastAsia="宋体" w:hAnsi="宋体" w:hint="eastAsia"/>
                <w:color w:val="000000"/>
                <w:sz w:val="22"/>
              </w:rPr>
              <w:t>10</w:t>
            </w:r>
          </w:p>
        </w:tc>
        <w:tc>
          <w:tcPr>
            <w:tcW w:w="7229" w:type="dxa"/>
          </w:tcPr>
          <w:p w14:paraId="1FDB48C9" w14:textId="77777777" w:rsidR="009214AE" w:rsidRDefault="00C66335">
            <w:pPr>
              <w:jc w:val="left"/>
              <w:rPr>
                <w:rFonts w:ascii="宋体" w:eastAsia="宋体" w:hAnsi="宋体"/>
                <w:color w:val="000000"/>
                <w:sz w:val="22"/>
              </w:rPr>
            </w:pPr>
            <w:r>
              <w:rPr>
                <w:rFonts w:hint="eastAsia"/>
              </w:rPr>
              <w:t>富荣基金管理有限公司关于调低旗下部分基金费率并修订基金合同的公告</w:t>
            </w:r>
          </w:p>
        </w:tc>
        <w:tc>
          <w:tcPr>
            <w:tcW w:w="2127" w:type="dxa"/>
          </w:tcPr>
          <w:p w14:paraId="3A8415C5"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8</w:t>
            </w:r>
            <w:r>
              <w:rPr>
                <w:rFonts w:hint="eastAsia"/>
              </w:rPr>
              <w:t>月</w:t>
            </w:r>
            <w:r>
              <w:rPr>
                <w:rFonts w:hint="eastAsia"/>
              </w:rPr>
              <w:t>23</w:t>
            </w:r>
            <w:r>
              <w:rPr>
                <w:rFonts w:hint="eastAsia"/>
              </w:rPr>
              <w:t>日</w:t>
            </w:r>
          </w:p>
        </w:tc>
      </w:tr>
      <w:tr w:rsidR="009214AE" w14:paraId="567FAC6A" w14:textId="77777777">
        <w:tc>
          <w:tcPr>
            <w:tcW w:w="709" w:type="dxa"/>
          </w:tcPr>
          <w:p w14:paraId="63438DCA" w14:textId="77777777" w:rsidR="009214AE" w:rsidRDefault="00C66335">
            <w:pPr>
              <w:jc w:val="left"/>
              <w:rPr>
                <w:rFonts w:ascii="宋体" w:eastAsia="宋体" w:hAnsi="宋体"/>
                <w:color w:val="000000"/>
                <w:sz w:val="22"/>
              </w:rPr>
            </w:pPr>
            <w:r>
              <w:rPr>
                <w:rFonts w:ascii="宋体" w:eastAsia="宋体" w:hAnsi="宋体" w:hint="eastAsia"/>
                <w:color w:val="000000"/>
                <w:sz w:val="22"/>
              </w:rPr>
              <w:t>11</w:t>
            </w:r>
          </w:p>
        </w:tc>
        <w:tc>
          <w:tcPr>
            <w:tcW w:w="7229" w:type="dxa"/>
          </w:tcPr>
          <w:p w14:paraId="31A361F7"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2023</w:t>
            </w:r>
            <w:r>
              <w:rPr>
                <w:rFonts w:hint="eastAsia"/>
              </w:rPr>
              <w:t>年中期报告提示性公告</w:t>
            </w:r>
          </w:p>
        </w:tc>
        <w:tc>
          <w:tcPr>
            <w:tcW w:w="2127" w:type="dxa"/>
          </w:tcPr>
          <w:p w14:paraId="63F20391"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8</w:t>
            </w:r>
            <w:r>
              <w:rPr>
                <w:rFonts w:hint="eastAsia"/>
              </w:rPr>
              <w:t>月</w:t>
            </w:r>
            <w:r>
              <w:rPr>
                <w:rFonts w:hint="eastAsia"/>
              </w:rPr>
              <w:t>31</w:t>
            </w:r>
            <w:r>
              <w:rPr>
                <w:rFonts w:hint="eastAsia"/>
              </w:rPr>
              <w:t>日</w:t>
            </w:r>
          </w:p>
        </w:tc>
      </w:tr>
      <w:tr w:rsidR="009214AE" w14:paraId="7E9E69C2" w14:textId="77777777">
        <w:tc>
          <w:tcPr>
            <w:tcW w:w="709" w:type="dxa"/>
          </w:tcPr>
          <w:p w14:paraId="7B063712" w14:textId="77777777" w:rsidR="009214AE" w:rsidRDefault="00C66335">
            <w:pPr>
              <w:jc w:val="left"/>
              <w:rPr>
                <w:rFonts w:ascii="宋体" w:eastAsia="宋体" w:hAnsi="宋体"/>
                <w:color w:val="000000"/>
                <w:sz w:val="22"/>
              </w:rPr>
            </w:pPr>
            <w:r>
              <w:rPr>
                <w:rFonts w:ascii="宋体" w:eastAsia="宋体" w:hAnsi="宋体" w:hint="eastAsia"/>
                <w:color w:val="000000"/>
                <w:sz w:val="22"/>
              </w:rPr>
              <w:t>12</w:t>
            </w:r>
          </w:p>
        </w:tc>
        <w:tc>
          <w:tcPr>
            <w:tcW w:w="7229" w:type="dxa"/>
          </w:tcPr>
          <w:p w14:paraId="387BA234" w14:textId="77777777" w:rsidR="009214AE" w:rsidRDefault="00C66335">
            <w:pPr>
              <w:jc w:val="left"/>
              <w:rPr>
                <w:rFonts w:ascii="宋体" w:eastAsia="宋体" w:hAnsi="宋体"/>
                <w:color w:val="000000"/>
                <w:sz w:val="22"/>
              </w:rPr>
            </w:pPr>
            <w:r>
              <w:rPr>
                <w:rFonts w:hint="eastAsia"/>
              </w:rPr>
              <w:t>富荣基金管理有限公司关于旗下基金新增上海大智慧基金销售有限公司为销售机构、开通基金定期定额投资业务和基金转换业务并参加申购及定期定额投资申购费率优惠活动的公告</w:t>
            </w:r>
          </w:p>
        </w:tc>
        <w:tc>
          <w:tcPr>
            <w:tcW w:w="2127" w:type="dxa"/>
          </w:tcPr>
          <w:p w14:paraId="7A0A77AF"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9</w:t>
            </w:r>
            <w:r>
              <w:rPr>
                <w:rFonts w:hint="eastAsia"/>
              </w:rPr>
              <w:t>月</w:t>
            </w:r>
            <w:r>
              <w:rPr>
                <w:rFonts w:hint="eastAsia"/>
              </w:rPr>
              <w:t>8</w:t>
            </w:r>
            <w:r>
              <w:rPr>
                <w:rFonts w:hint="eastAsia"/>
              </w:rPr>
              <w:t>日</w:t>
            </w:r>
          </w:p>
        </w:tc>
      </w:tr>
      <w:tr w:rsidR="009214AE" w14:paraId="04F874F7" w14:textId="77777777">
        <w:tc>
          <w:tcPr>
            <w:tcW w:w="709" w:type="dxa"/>
          </w:tcPr>
          <w:p w14:paraId="1E4C3AFA" w14:textId="77777777" w:rsidR="009214AE" w:rsidRDefault="00C66335">
            <w:pPr>
              <w:jc w:val="left"/>
              <w:rPr>
                <w:rFonts w:ascii="宋体" w:eastAsia="宋体" w:hAnsi="宋体"/>
                <w:color w:val="000000"/>
                <w:sz w:val="22"/>
              </w:rPr>
            </w:pPr>
            <w:r>
              <w:rPr>
                <w:rFonts w:ascii="宋体" w:eastAsia="宋体" w:hAnsi="宋体" w:hint="eastAsia"/>
                <w:color w:val="000000"/>
                <w:sz w:val="22"/>
              </w:rPr>
              <w:t>13</w:t>
            </w:r>
          </w:p>
        </w:tc>
        <w:tc>
          <w:tcPr>
            <w:tcW w:w="7229" w:type="dxa"/>
          </w:tcPr>
          <w:p w14:paraId="6D7F5A44" w14:textId="77777777" w:rsidR="009214AE" w:rsidRDefault="00C66335">
            <w:pPr>
              <w:jc w:val="left"/>
              <w:rPr>
                <w:rFonts w:ascii="宋体" w:eastAsia="宋体" w:hAnsi="宋体"/>
                <w:color w:val="000000"/>
                <w:sz w:val="22"/>
              </w:rPr>
            </w:pPr>
            <w:r>
              <w:rPr>
                <w:rFonts w:hint="eastAsia"/>
              </w:rPr>
              <w:t>富荣基金管理有限公司关于旗下基金新增上海华夏财富投资管理有限公司为销售机构、开通基金定期定额投资业务和基金转换业务并参加申购及定期定额投资申购费率优惠活动的公告</w:t>
            </w:r>
          </w:p>
        </w:tc>
        <w:tc>
          <w:tcPr>
            <w:tcW w:w="2127" w:type="dxa"/>
          </w:tcPr>
          <w:p w14:paraId="49B6CD8D"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10</w:t>
            </w:r>
            <w:r>
              <w:rPr>
                <w:rFonts w:hint="eastAsia"/>
              </w:rPr>
              <w:t>月</w:t>
            </w:r>
            <w:r>
              <w:rPr>
                <w:rFonts w:hint="eastAsia"/>
              </w:rPr>
              <w:t>13</w:t>
            </w:r>
            <w:r>
              <w:rPr>
                <w:rFonts w:hint="eastAsia"/>
              </w:rPr>
              <w:t>日</w:t>
            </w:r>
          </w:p>
        </w:tc>
      </w:tr>
      <w:tr w:rsidR="009214AE" w14:paraId="7F67982F" w14:textId="77777777">
        <w:tc>
          <w:tcPr>
            <w:tcW w:w="709" w:type="dxa"/>
          </w:tcPr>
          <w:p w14:paraId="4AABD9EF" w14:textId="77777777" w:rsidR="009214AE" w:rsidRDefault="00C66335">
            <w:pPr>
              <w:jc w:val="left"/>
              <w:rPr>
                <w:rFonts w:ascii="宋体" w:eastAsia="宋体" w:hAnsi="宋体"/>
                <w:color w:val="000000"/>
                <w:sz w:val="22"/>
              </w:rPr>
            </w:pPr>
            <w:r>
              <w:rPr>
                <w:rFonts w:ascii="宋体" w:eastAsia="宋体" w:hAnsi="宋体" w:hint="eastAsia"/>
                <w:color w:val="000000"/>
                <w:sz w:val="22"/>
              </w:rPr>
              <w:t>14</w:t>
            </w:r>
          </w:p>
        </w:tc>
        <w:tc>
          <w:tcPr>
            <w:tcW w:w="7229" w:type="dxa"/>
          </w:tcPr>
          <w:p w14:paraId="3DD47420"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2023</w:t>
            </w:r>
            <w:r>
              <w:rPr>
                <w:rFonts w:hint="eastAsia"/>
              </w:rPr>
              <w:t>年第</w:t>
            </w:r>
            <w:r>
              <w:rPr>
                <w:rFonts w:hint="eastAsia"/>
              </w:rPr>
              <w:t>3</w:t>
            </w:r>
            <w:r>
              <w:rPr>
                <w:rFonts w:hint="eastAsia"/>
              </w:rPr>
              <w:t>季度报告提示性公告</w:t>
            </w:r>
          </w:p>
        </w:tc>
        <w:tc>
          <w:tcPr>
            <w:tcW w:w="2127" w:type="dxa"/>
          </w:tcPr>
          <w:p w14:paraId="1A77C259"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10</w:t>
            </w:r>
            <w:r>
              <w:rPr>
                <w:rFonts w:hint="eastAsia"/>
              </w:rPr>
              <w:t>月</w:t>
            </w:r>
            <w:r>
              <w:rPr>
                <w:rFonts w:hint="eastAsia"/>
              </w:rPr>
              <w:t>25</w:t>
            </w:r>
            <w:r>
              <w:rPr>
                <w:rFonts w:hint="eastAsia"/>
              </w:rPr>
              <w:t>日</w:t>
            </w:r>
          </w:p>
        </w:tc>
      </w:tr>
      <w:tr w:rsidR="009214AE" w14:paraId="7AB0DBD7" w14:textId="77777777">
        <w:tc>
          <w:tcPr>
            <w:tcW w:w="709" w:type="dxa"/>
          </w:tcPr>
          <w:p w14:paraId="44464AB2" w14:textId="77777777" w:rsidR="009214AE" w:rsidRDefault="00C66335">
            <w:pPr>
              <w:jc w:val="left"/>
              <w:rPr>
                <w:rFonts w:ascii="宋体" w:eastAsia="宋体" w:hAnsi="宋体"/>
                <w:color w:val="000000"/>
                <w:sz w:val="22"/>
              </w:rPr>
            </w:pPr>
            <w:r>
              <w:rPr>
                <w:rFonts w:ascii="宋体" w:eastAsia="宋体" w:hAnsi="宋体" w:hint="eastAsia"/>
                <w:color w:val="000000"/>
                <w:sz w:val="22"/>
              </w:rPr>
              <w:t>15</w:t>
            </w:r>
          </w:p>
        </w:tc>
        <w:tc>
          <w:tcPr>
            <w:tcW w:w="7229" w:type="dxa"/>
          </w:tcPr>
          <w:p w14:paraId="57AC5FCF" w14:textId="77777777" w:rsidR="009214AE" w:rsidRDefault="00C66335">
            <w:pPr>
              <w:jc w:val="left"/>
              <w:rPr>
                <w:rFonts w:ascii="宋体" w:eastAsia="宋体" w:hAnsi="宋体"/>
                <w:color w:val="000000"/>
                <w:sz w:val="22"/>
              </w:rPr>
            </w:pPr>
            <w:r>
              <w:rPr>
                <w:rFonts w:hint="eastAsia"/>
              </w:rPr>
              <w:t>富荣基金管理有限公司关于旗下基金新增上海</w:t>
            </w:r>
            <w:proofErr w:type="gramStart"/>
            <w:r>
              <w:rPr>
                <w:rFonts w:hint="eastAsia"/>
              </w:rPr>
              <w:t>中正达广基金</w:t>
            </w:r>
            <w:proofErr w:type="gramEnd"/>
            <w:r>
              <w:rPr>
                <w:rFonts w:hint="eastAsia"/>
              </w:rPr>
              <w:t>销售有限公司为销售机构、开通基金定期定额投资业务和基金转换业务并参加申购及定期定额投资申购费率优惠活动的公告</w:t>
            </w:r>
          </w:p>
        </w:tc>
        <w:tc>
          <w:tcPr>
            <w:tcW w:w="2127" w:type="dxa"/>
          </w:tcPr>
          <w:p w14:paraId="0AE47D8A"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11</w:t>
            </w:r>
            <w:r>
              <w:rPr>
                <w:rFonts w:hint="eastAsia"/>
              </w:rPr>
              <w:t>月</w:t>
            </w:r>
            <w:r>
              <w:rPr>
                <w:rFonts w:hint="eastAsia"/>
              </w:rPr>
              <w:t>1</w:t>
            </w:r>
            <w:r>
              <w:rPr>
                <w:rFonts w:hint="eastAsia"/>
              </w:rPr>
              <w:t>日</w:t>
            </w:r>
          </w:p>
        </w:tc>
      </w:tr>
      <w:tr w:rsidR="009214AE" w14:paraId="2232DAE0" w14:textId="77777777">
        <w:tc>
          <w:tcPr>
            <w:tcW w:w="709" w:type="dxa"/>
          </w:tcPr>
          <w:p w14:paraId="6DEEB699" w14:textId="77777777" w:rsidR="009214AE" w:rsidRDefault="00C66335">
            <w:pPr>
              <w:jc w:val="left"/>
              <w:rPr>
                <w:rFonts w:ascii="宋体" w:eastAsia="宋体" w:hAnsi="宋体"/>
                <w:color w:val="000000"/>
                <w:sz w:val="22"/>
              </w:rPr>
            </w:pPr>
            <w:r>
              <w:rPr>
                <w:rFonts w:ascii="宋体" w:eastAsia="宋体" w:hAnsi="宋体" w:hint="eastAsia"/>
                <w:color w:val="000000"/>
                <w:sz w:val="22"/>
              </w:rPr>
              <w:t>16</w:t>
            </w:r>
          </w:p>
        </w:tc>
        <w:tc>
          <w:tcPr>
            <w:tcW w:w="7229" w:type="dxa"/>
          </w:tcPr>
          <w:p w14:paraId="79DFF035" w14:textId="77777777" w:rsidR="009214AE" w:rsidRDefault="00C66335">
            <w:pPr>
              <w:jc w:val="left"/>
              <w:rPr>
                <w:rFonts w:ascii="宋体" w:eastAsia="宋体" w:hAnsi="宋体"/>
                <w:color w:val="000000"/>
                <w:sz w:val="22"/>
              </w:rPr>
            </w:pPr>
            <w:r>
              <w:rPr>
                <w:rFonts w:hint="eastAsia"/>
              </w:rPr>
              <w:t>富荣基金管理有限公司关于提醒投资者防范不法分子假冒本公司名义从事诈骗活动的公告</w:t>
            </w:r>
          </w:p>
        </w:tc>
        <w:tc>
          <w:tcPr>
            <w:tcW w:w="2127" w:type="dxa"/>
          </w:tcPr>
          <w:p w14:paraId="1F0F1F5C"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11</w:t>
            </w:r>
            <w:r>
              <w:rPr>
                <w:rFonts w:hint="eastAsia"/>
              </w:rPr>
              <w:t>月</w:t>
            </w:r>
            <w:r>
              <w:rPr>
                <w:rFonts w:hint="eastAsia"/>
              </w:rPr>
              <w:t>9</w:t>
            </w:r>
            <w:r>
              <w:rPr>
                <w:rFonts w:hint="eastAsia"/>
              </w:rPr>
              <w:t>日</w:t>
            </w:r>
          </w:p>
        </w:tc>
      </w:tr>
      <w:tr w:rsidR="009214AE" w14:paraId="48E7604F" w14:textId="77777777">
        <w:tc>
          <w:tcPr>
            <w:tcW w:w="709" w:type="dxa"/>
          </w:tcPr>
          <w:p w14:paraId="14037DAC" w14:textId="77777777" w:rsidR="009214AE" w:rsidRDefault="00C66335">
            <w:pPr>
              <w:jc w:val="left"/>
              <w:rPr>
                <w:rFonts w:ascii="宋体" w:eastAsia="宋体" w:hAnsi="宋体"/>
                <w:color w:val="000000"/>
                <w:sz w:val="22"/>
              </w:rPr>
            </w:pPr>
            <w:r>
              <w:rPr>
                <w:rFonts w:ascii="宋体" w:eastAsia="宋体" w:hAnsi="宋体" w:hint="eastAsia"/>
                <w:color w:val="000000"/>
                <w:sz w:val="22"/>
              </w:rPr>
              <w:t>17</w:t>
            </w:r>
          </w:p>
        </w:tc>
        <w:tc>
          <w:tcPr>
            <w:tcW w:w="7229" w:type="dxa"/>
          </w:tcPr>
          <w:p w14:paraId="64F8EF19" w14:textId="77777777" w:rsidR="009214AE" w:rsidRDefault="00C66335">
            <w:pPr>
              <w:jc w:val="left"/>
              <w:rPr>
                <w:rFonts w:ascii="宋体" w:eastAsia="宋体" w:hAnsi="宋体"/>
                <w:color w:val="000000"/>
                <w:sz w:val="22"/>
              </w:rPr>
            </w:pPr>
            <w:r>
              <w:rPr>
                <w:rFonts w:hint="eastAsia"/>
              </w:rPr>
              <w:t>富荣基金管理有限公司关于提醒投资者防范不法分子假冒本公司名义从事诈骗活动的公告</w:t>
            </w:r>
          </w:p>
        </w:tc>
        <w:tc>
          <w:tcPr>
            <w:tcW w:w="2127" w:type="dxa"/>
          </w:tcPr>
          <w:p w14:paraId="3CF97417"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11</w:t>
            </w:r>
            <w:r>
              <w:rPr>
                <w:rFonts w:hint="eastAsia"/>
              </w:rPr>
              <w:t>月</w:t>
            </w:r>
            <w:r>
              <w:rPr>
                <w:rFonts w:hint="eastAsia"/>
              </w:rPr>
              <w:t>14</w:t>
            </w:r>
            <w:r>
              <w:rPr>
                <w:rFonts w:hint="eastAsia"/>
              </w:rPr>
              <w:t>日</w:t>
            </w:r>
          </w:p>
        </w:tc>
      </w:tr>
      <w:tr w:rsidR="009214AE" w14:paraId="157B8B2A" w14:textId="77777777">
        <w:tc>
          <w:tcPr>
            <w:tcW w:w="709" w:type="dxa"/>
          </w:tcPr>
          <w:p w14:paraId="6F669B40" w14:textId="77777777" w:rsidR="009214AE" w:rsidRDefault="00C66335">
            <w:pPr>
              <w:jc w:val="left"/>
              <w:rPr>
                <w:rFonts w:ascii="宋体" w:eastAsia="宋体" w:hAnsi="宋体"/>
                <w:color w:val="000000"/>
                <w:sz w:val="22"/>
              </w:rPr>
            </w:pPr>
            <w:r>
              <w:rPr>
                <w:rFonts w:ascii="宋体" w:eastAsia="宋体" w:hAnsi="宋体" w:hint="eastAsia"/>
                <w:color w:val="000000"/>
                <w:sz w:val="22"/>
              </w:rPr>
              <w:t>18</w:t>
            </w:r>
          </w:p>
        </w:tc>
        <w:tc>
          <w:tcPr>
            <w:tcW w:w="7229" w:type="dxa"/>
          </w:tcPr>
          <w:p w14:paraId="4E5EDD4F" w14:textId="77777777" w:rsidR="009214AE" w:rsidRDefault="00C66335">
            <w:pPr>
              <w:jc w:val="left"/>
              <w:rPr>
                <w:rFonts w:ascii="宋体" w:eastAsia="宋体" w:hAnsi="宋体"/>
                <w:color w:val="000000"/>
                <w:sz w:val="22"/>
              </w:rPr>
            </w:pPr>
            <w:r>
              <w:rPr>
                <w:rFonts w:hint="eastAsia"/>
              </w:rPr>
              <w:t>富荣基金管理有限公司关于旗下基金</w:t>
            </w:r>
            <w:proofErr w:type="gramStart"/>
            <w:r>
              <w:rPr>
                <w:rFonts w:hint="eastAsia"/>
              </w:rPr>
              <w:t>新增国</w:t>
            </w:r>
            <w:proofErr w:type="gramEnd"/>
            <w:r>
              <w:rPr>
                <w:rFonts w:hint="eastAsia"/>
              </w:rPr>
              <w:t>金证券股份有限公司为销售机构、开通基金定期定额投资业务和基金转换业务并参加申购及定期定额投资申购费率优惠活动的公告</w:t>
            </w:r>
          </w:p>
        </w:tc>
        <w:tc>
          <w:tcPr>
            <w:tcW w:w="2127" w:type="dxa"/>
          </w:tcPr>
          <w:p w14:paraId="285D11AB"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11</w:t>
            </w:r>
            <w:r>
              <w:rPr>
                <w:rFonts w:hint="eastAsia"/>
              </w:rPr>
              <w:t>月</w:t>
            </w:r>
            <w:r>
              <w:rPr>
                <w:rFonts w:hint="eastAsia"/>
              </w:rPr>
              <w:t>20</w:t>
            </w:r>
            <w:r>
              <w:rPr>
                <w:rFonts w:hint="eastAsia"/>
              </w:rPr>
              <w:t>日</w:t>
            </w:r>
          </w:p>
        </w:tc>
      </w:tr>
      <w:tr w:rsidR="009214AE" w14:paraId="391C79A3" w14:textId="77777777">
        <w:tc>
          <w:tcPr>
            <w:tcW w:w="709" w:type="dxa"/>
          </w:tcPr>
          <w:p w14:paraId="3F968D05" w14:textId="77777777" w:rsidR="009214AE" w:rsidRDefault="00C66335">
            <w:pPr>
              <w:jc w:val="left"/>
              <w:rPr>
                <w:rFonts w:ascii="宋体" w:eastAsia="宋体" w:hAnsi="宋体"/>
                <w:color w:val="000000"/>
                <w:sz w:val="22"/>
              </w:rPr>
            </w:pPr>
            <w:r>
              <w:rPr>
                <w:rFonts w:ascii="宋体" w:eastAsia="宋体" w:hAnsi="宋体" w:hint="eastAsia"/>
                <w:color w:val="000000"/>
                <w:sz w:val="22"/>
              </w:rPr>
              <w:t>19</w:t>
            </w:r>
          </w:p>
        </w:tc>
        <w:tc>
          <w:tcPr>
            <w:tcW w:w="7229" w:type="dxa"/>
          </w:tcPr>
          <w:p w14:paraId="0DACCC97" w14:textId="77777777" w:rsidR="009214AE" w:rsidRDefault="00C66335">
            <w:pPr>
              <w:jc w:val="left"/>
              <w:rPr>
                <w:rFonts w:ascii="宋体" w:eastAsia="宋体" w:hAnsi="宋体"/>
                <w:color w:val="000000"/>
                <w:sz w:val="22"/>
              </w:rPr>
            </w:pPr>
            <w:r>
              <w:rPr>
                <w:rFonts w:hint="eastAsia"/>
              </w:rPr>
              <w:t>富荣基金管理有限公司关于督察</w:t>
            </w:r>
            <w:proofErr w:type="gramStart"/>
            <w:r>
              <w:rPr>
                <w:rFonts w:hint="eastAsia"/>
              </w:rPr>
              <w:t>长恢复</w:t>
            </w:r>
            <w:proofErr w:type="gramEnd"/>
            <w:r>
              <w:rPr>
                <w:rFonts w:hint="eastAsia"/>
              </w:rPr>
              <w:t>履行职务的公告</w:t>
            </w:r>
          </w:p>
        </w:tc>
        <w:tc>
          <w:tcPr>
            <w:tcW w:w="2127" w:type="dxa"/>
          </w:tcPr>
          <w:p w14:paraId="3931732E"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12</w:t>
            </w:r>
            <w:r>
              <w:rPr>
                <w:rFonts w:hint="eastAsia"/>
              </w:rPr>
              <w:t>月</w:t>
            </w:r>
            <w:r>
              <w:rPr>
                <w:rFonts w:hint="eastAsia"/>
              </w:rPr>
              <w:t>12</w:t>
            </w:r>
            <w:r>
              <w:rPr>
                <w:rFonts w:hint="eastAsia"/>
              </w:rPr>
              <w:t>日</w:t>
            </w:r>
          </w:p>
        </w:tc>
      </w:tr>
      <w:tr w:rsidR="009214AE" w14:paraId="4C934E24" w14:textId="77777777">
        <w:tc>
          <w:tcPr>
            <w:tcW w:w="709" w:type="dxa"/>
          </w:tcPr>
          <w:p w14:paraId="14733876" w14:textId="77777777" w:rsidR="009214AE" w:rsidRDefault="00C66335">
            <w:pPr>
              <w:jc w:val="left"/>
              <w:rPr>
                <w:rFonts w:ascii="宋体" w:eastAsia="宋体" w:hAnsi="宋体"/>
                <w:color w:val="000000"/>
                <w:sz w:val="22"/>
              </w:rPr>
            </w:pPr>
            <w:r>
              <w:rPr>
                <w:rFonts w:ascii="宋体" w:eastAsia="宋体" w:hAnsi="宋体" w:hint="eastAsia"/>
                <w:color w:val="000000"/>
                <w:sz w:val="22"/>
              </w:rPr>
              <w:t>20</w:t>
            </w:r>
          </w:p>
        </w:tc>
        <w:tc>
          <w:tcPr>
            <w:tcW w:w="7229" w:type="dxa"/>
          </w:tcPr>
          <w:p w14:paraId="2349BCF8" w14:textId="77777777" w:rsidR="009214AE" w:rsidRDefault="00C66335">
            <w:pPr>
              <w:jc w:val="left"/>
              <w:rPr>
                <w:rFonts w:ascii="宋体" w:eastAsia="宋体" w:hAnsi="宋体"/>
                <w:color w:val="000000"/>
                <w:sz w:val="22"/>
              </w:rPr>
            </w:pPr>
            <w:r>
              <w:rPr>
                <w:rFonts w:hint="eastAsia"/>
              </w:rPr>
              <w:t>富荣基金管理有限公司关于系统升级维护的公告</w:t>
            </w:r>
          </w:p>
        </w:tc>
        <w:tc>
          <w:tcPr>
            <w:tcW w:w="2127" w:type="dxa"/>
          </w:tcPr>
          <w:p w14:paraId="5EE32F1D" w14:textId="77777777" w:rsidR="009214AE" w:rsidRDefault="00C66335">
            <w:pPr>
              <w:jc w:val="left"/>
              <w:rPr>
                <w:rFonts w:ascii="宋体" w:eastAsia="宋体" w:hAnsi="宋体"/>
                <w:color w:val="000000"/>
                <w:sz w:val="22"/>
              </w:rPr>
            </w:pPr>
            <w:r>
              <w:rPr>
                <w:rFonts w:hint="eastAsia"/>
              </w:rPr>
              <w:t>2023</w:t>
            </w:r>
            <w:r>
              <w:rPr>
                <w:rFonts w:hint="eastAsia"/>
              </w:rPr>
              <w:t>年</w:t>
            </w:r>
            <w:r>
              <w:rPr>
                <w:rFonts w:hint="eastAsia"/>
              </w:rPr>
              <w:t>12</w:t>
            </w:r>
            <w:r>
              <w:rPr>
                <w:rFonts w:hint="eastAsia"/>
              </w:rPr>
              <w:t>月</w:t>
            </w:r>
            <w:r>
              <w:rPr>
                <w:rFonts w:hint="eastAsia"/>
              </w:rPr>
              <w:t>14</w:t>
            </w:r>
            <w:r>
              <w:rPr>
                <w:rFonts w:hint="eastAsia"/>
              </w:rPr>
              <w:t>日</w:t>
            </w:r>
          </w:p>
        </w:tc>
      </w:tr>
      <w:tr w:rsidR="009214AE" w14:paraId="48FC003F" w14:textId="77777777">
        <w:tc>
          <w:tcPr>
            <w:tcW w:w="709" w:type="dxa"/>
          </w:tcPr>
          <w:p w14:paraId="4A29966A" w14:textId="77777777" w:rsidR="009214AE" w:rsidRDefault="00C66335">
            <w:pPr>
              <w:jc w:val="left"/>
              <w:rPr>
                <w:rFonts w:ascii="宋体" w:eastAsia="宋体" w:hAnsi="宋体"/>
                <w:color w:val="000000"/>
                <w:sz w:val="22"/>
              </w:rPr>
            </w:pPr>
            <w:r>
              <w:rPr>
                <w:rFonts w:ascii="宋体" w:eastAsia="宋体" w:hAnsi="宋体" w:hint="eastAsia"/>
                <w:color w:val="000000"/>
                <w:sz w:val="22"/>
              </w:rPr>
              <w:t>21</w:t>
            </w:r>
          </w:p>
        </w:tc>
        <w:tc>
          <w:tcPr>
            <w:tcW w:w="7229" w:type="dxa"/>
          </w:tcPr>
          <w:p w14:paraId="387C4A75" w14:textId="77777777" w:rsidR="009214AE" w:rsidRDefault="00C66335">
            <w:pPr>
              <w:jc w:val="left"/>
              <w:rPr>
                <w:rFonts w:ascii="宋体" w:eastAsia="宋体" w:hAnsi="宋体"/>
                <w:color w:val="000000"/>
                <w:sz w:val="22"/>
              </w:rPr>
            </w:pPr>
            <w:r>
              <w:rPr>
                <w:rFonts w:hint="eastAsia"/>
              </w:rPr>
              <w:t>富荣量化精选混合型发起式证券投资</w:t>
            </w:r>
            <w:proofErr w:type="gramStart"/>
            <w:r>
              <w:rPr>
                <w:rFonts w:hint="eastAsia"/>
              </w:rPr>
              <w:t>基金基金</w:t>
            </w:r>
            <w:proofErr w:type="gramEnd"/>
            <w:r>
              <w:rPr>
                <w:rFonts w:hint="eastAsia"/>
              </w:rPr>
              <w:t>经理变更公告</w:t>
            </w:r>
          </w:p>
        </w:tc>
        <w:tc>
          <w:tcPr>
            <w:tcW w:w="2127" w:type="dxa"/>
          </w:tcPr>
          <w:p w14:paraId="13413E34"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1</w:t>
            </w:r>
            <w:r>
              <w:rPr>
                <w:rFonts w:hint="eastAsia"/>
              </w:rPr>
              <w:t>月</w:t>
            </w:r>
            <w:r>
              <w:rPr>
                <w:rFonts w:hint="eastAsia"/>
              </w:rPr>
              <w:t>9</w:t>
            </w:r>
            <w:r>
              <w:rPr>
                <w:rFonts w:hint="eastAsia"/>
              </w:rPr>
              <w:t>日</w:t>
            </w:r>
          </w:p>
        </w:tc>
      </w:tr>
      <w:tr w:rsidR="009214AE" w14:paraId="3A076C25" w14:textId="77777777">
        <w:tc>
          <w:tcPr>
            <w:tcW w:w="709" w:type="dxa"/>
          </w:tcPr>
          <w:p w14:paraId="06A242F0" w14:textId="77777777" w:rsidR="009214AE" w:rsidRDefault="00C66335">
            <w:pPr>
              <w:jc w:val="left"/>
              <w:rPr>
                <w:rFonts w:ascii="宋体" w:eastAsia="宋体" w:hAnsi="宋体"/>
                <w:color w:val="000000"/>
                <w:sz w:val="22"/>
              </w:rPr>
            </w:pPr>
            <w:r>
              <w:rPr>
                <w:rFonts w:ascii="宋体" w:eastAsia="宋体" w:hAnsi="宋体" w:hint="eastAsia"/>
                <w:color w:val="000000"/>
                <w:sz w:val="22"/>
              </w:rPr>
              <w:t>22</w:t>
            </w:r>
          </w:p>
        </w:tc>
        <w:tc>
          <w:tcPr>
            <w:tcW w:w="7229" w:type="dxa"/>
          </w:tcPr>
          <w:p w14:paraId="19EEA0B2" w14:textId="77777777" w:rsidR="009214AE" w:rsidRDefault="00C66335">
            <w:pPr>
              <w:jc w:val="left"/>
              <w:rPr>
                <w:rFonts w:ascii="宋体" w:eastAsia="宋体" w:hAnsi="宋体"/>
                <w:color w:val="000000"/>
                <w:sz w:val="22"/>
              </w:rPr>
            </w:pPr>
            <w:r>
              <w:rPr>
                <w:rFonts w:hint="eastAsia"/>
              </w:rPr>
              <w:t>富荣基金管理有限公司关于旗下部分公开募集证券投资基金更新招募说明书及产品资料概要的提示性公告</w:t>
            </w:r>
          </w:p>
        </w:tc>
        <w:tc>
          <w:tcPr>
            <w:tcW w:w="2127" w:type="dxa"/>
          </w:tcPr>
          <w:p w14:paraId="72978648"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1</w:t>
            </w:r>
            <w:r>
              <w:rPr>
                <w:rFonts w:hint="eastAsia"/>
              </w:rPr>
              <w:t>月</w:t>
            </w:r>
            <w:r>
              <w:rPr>
                <w:rFonts w:hint="eastAsia"/>
              </w:rPr>
              <w:t>11</w:t>
            </w:r>
            <w:r>
              <w:rPr>
                <w:rFonts w:hint="eastAsia"/>
              </w:rPr>
              <w:t>日</w:t>
            </w:r>
          </w:p>
        </w:tc>
      </w:tr>
      <w:tr w:rsidR="009214AE" w14:paraId="22F174AA" w14:textId="77777777">
        <w:tc>
          <w:tcPr>
            <w:tcW w:w="709" w:type="dxa"/>
          </w:tcPr>
          <w:p w14:paraId="49CCA82C" w14:textId="77777777" w:rsidR="009214AE" w:rsidRDefault="00C66335">
            <w:pPr>
              <w:jc w:val="left"/>
              <w:rPr>
                <w:rFonts w:ascii="宋体" w:eastAsia="宋体" w:hAnsi="宋体"/>
                <w:color w:val="000000"/>
                <w:sz w:val="22"/>
              </w:rPr>
            </w:pPr>
            <w:r>
              <w:rPr>
                <w:rFonts w:ascii="宋体" w:eastAsia="宋体" w:hAnsi="宋体" w:hint="eastAsia"/>
                <w:color w:val="000000"/>
                <w:sz w:val="22"/>
              </w:rPr>
              <w:t>23</w:t>
            </w:r>
          </w:p>
        </w:tc>
        <w:tc>
          <w:tcPr>
            <w:tcW w:w="7229" w:type="dxa"/>
          </w:tcPr>
          <w:p w14:paraId="4B5C8CEE" w14:textId="77777777" w:rsidR="009214AE" w:rsidRDefault="00C66335">
            <w:pPr>
              <w:jc w:val="left"/>
              <w:rPr>
                <w:rFonts w:ascii="宋体" w:eastAsia="宋体" w:hAnsi="宋体"/>
                <w:color w:val="000000"/>
                <w:sz w:val="22"/>
              </w:rPr>
            </w:pPr>
            <w:r>
              <w:rPr>
                <w:rFonts w:hint="eastAsia"/>
              </w:rPr>
              <w:t>富荣基金管理有限公司旗下全部基金</w:t>
            </w:r>
            <w:r>
              <w:rPr>
                <w:rFonts w:hint="eastAsia"/>
              </w:rPr>
              <w:t>2023</w:t>
            </w:r>
            <w:r>
              <w:rPr>
                <w:rFonts w:hint="eastAsia"/>
              </w:rPr>
              <w:t>年第</w:t>
            </w:r>
            <w:r>
              <w:rPr>
                <w:rFonts w:hint="eastAsia"/>
              </w:rPr>
              <w:t>4</w:t>
            </w:r>
            <w:r>
              <w:rPr>
                <w:rFonts w:hint="eastAsia"/>
              </w:rPr>
              <w:t>季度报告提示性公告</w:t>
            </w:r>
          </w:p>
        </w:tc>
        <w:tc>
          <w:tcPr>
            <w:tcW w:w="2127" w:type="dxa"/>
          </w:tcPr>
          <w:p w14:paraId="38976459"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1</w:t>
            </w:r>
            <w:r>
              <w:rPr>
                <w:rFonts w:hint="eastAsia"/>
              </w:rPr>
              <w:t>月</w:t>
            </w:r>
            <w:r>
              <w:rPr>
                <w:rFonts w:hint="eastAsia"/>
              </w:rPr>
              <w:t>22</w:t>
            </w:r>
            <w:r>
              <w:rPr>
                <w:rFonts w:hint="eastAsia"/>
              </w:rPr>
              <w:t>日</w:t>
            </w:r>
          </w:p>
        </w:tc>
      </w:tr>
      <w:tr w:rsidR="009214AE" w14:paraId="3320C53D" w14:textId="77777777">
        <w:tc>
          <w:tcPr>
            <w:tcW w:w="709" w:type="dxa"/>
          </w:tcPr>
          <w:p w14:paraId="2415586E" w14:textId="77777777" w:rsidR="009214AE" w:rsidRDefault="00C66335">
            <w:pPr>
              <w:jc w:val="left"/>
              <w:rPr>
                <w:rFonts w:ascii="宋体" w:eastAsia="宋体" w:hAnsi="宋体"/>
                <w:color w:val="000000"/>
                <w:sz w:val="22"/>
              </w:rPr>
            </w:pPr>
            <w:r>
              <w:rPr>
                <w:rFonts w:ascii="宋体" w:eastAsia="宋体" w:hAnsi="宋体" w:hint="eastAsia"/>
                <w:color w:val="000000"/>
                <w:sz w:val="22"/>
              </w:rPr>
              <w:t>24</w:t>
            </w:r>
          </w:p>
        </w:tc>
        <w:tc>
          <w:tcPr>
            <w:tcW w:w="7229" w:type="dxa"/>
          </w:tcPr>
          <w:p w14:paraId="61EE300D" w14:textId="77777777" w:rsidR="009214AE" w:rsidRDefault="00C66335">
            <w:pPr>
              <w:jc w:val="left"/>
              <w:rPr>
                <w:rFonts w:ascii="宋体" w:eastAsia="宋体" w:hAnsi="宋体"/>
                <w:color w:val="000000"/>
                <w:sz w:val="22"/>
              </w:rPr>
            </w:pPr>
            <w:r>
              <w:rPr>
                <w:rFonts w:hint="eastAsia"/>
              </w:rPr>
              <w:t>富荣基金管理有限公司关于旗下基金新增华西证券股份有限公司为销售机构、开通基金定期定额投资业务和基金转换业务并参加申购及定期定额投资申购费率优惠活动的公告</w:t>
            </w:r>
          </w:p>
        </w:tc>
        <w:tc>
          <w:tcPr>
            <w:tcW w:w="2127" w:type="dxa"/>
          </w:tcPr>
          <w:p w14:paraId="09B6567E"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2</w:t>
            </w:r>
            <w:r>
              <w:rPr>
                <w:rFonts w:hint="eastAsia"/>
              </w:rPr>
              <w:t>月</w:t>
            </w:r>
            <w:r>
              <w:rPr>
                <w:rFonts w:hint="eastAsia"/>
              </w:rPr>
              <w:t>22</w:t>
            </w:r>
            <w:r>
              <w:rPr>
                <w:rFonts w:hint="eastAsia"/>
              </w:rPr>
              <w:t>日</w:t>
            </w:r>
          </w:p>
        </w:tc>
      </w:tr>
      <w:tr w:rsidR="009214AE" w14:paraId="43A233F2" w14:textId="77777777">
        <w:tc>
          <w:tcPr>
            <w:tcW w:w="709" w:type="dxa"/>
          </w:tcPr>
          <w:p w14:paraId="0B3B881C" w14:textId="77777777" w:rsidR="009214AE" w:rsidRDefault="00C66335">
            <w:pPr>
              <w:jc w:val="left"/>
              <w:rPr>
                <w:rFonts w:ascii="宋体" w:eastAsia="宋体" w:hAnsi="宋体"/>
                <w:color w:val="000000"/>
                <w:sz w:val="22"/>
              </w:rPr>
            </w:pPr>
            <w:r>
              <w:rPr>
                <w:rFonts w:ascii="宋体" w:eastAsia="宋体" w:hAnsi="宋体" w:hint="eastAsia"/>
                <w:color w:val="000000"/>
                <w:sz w:val="22"/>
              </w:rPr>
              <w:t>25</w:t>
            </w:r>
          </w:p>
        </w:tc>
        <w:tc>
          <w:tcPr>
            <w:tcW w:w="7229" w:type="dxa"/>
          </w:tcPr>
          <w:p w14:paraId="05E15093" w14:textId="77777777" w:rsidR="009214AE" w:rsidRDefault="00C66335">
            <w:pPr>
              <w:jc w:val="left"/>
              <w:rPr>
                <w:rFonts w:ascii="宋体" w:eastAsia="宋体" w:hAnsi="宋体"/>
                <w:color w:val="000000"/>
                <w:sz w:val="22"/>
              </w:rPr>
            </w:pPr>
            <w:r>
              <w:rPr>
                <w:rFonts w:hint="eastAsia"/>
              </w:rPr>
              <w:t>富荣基金管理有限公司关于董事变更的公告</w:t>
            </w:r>
          </w:p>
        </w:tc>
        <w:tc>
          <w:tcPr>
            <w:tcW w:w="2127" w:type="dxa"/>
          </w:tcPr>
          <w:p w14:paraId="2FDCC5EF"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tc>
      </w:tr>
      <w:tr w:rsidR="009214AE" w14:paraId="2D51C37B" w14:textId="77777777">
        <w:tc>
          <w:tcPr>
            <w:tcW w:w="709" w:type="dxa"/>
          </w:tcPr>
          <w:p w14:paraId="40AFA7C0" w14:textId="77777777" w:rsidR="009214AE" w:rsidRDefault="00C66335">
            <w:pPr>
              <w:jc w:val="left"/>
              <w:rPr>
                <w:rFonts w:ascii="宋体" w:eastAsia="宋体" w:hAnsi="宋体"/>
                <w:color w:val="000000"/>
                <w:sz w:val="22"/>
              </w:rPr>
            </w:pPr>
            <w:r>
              <w:rPr>
                <w:rFonts w:ascii="宋体" w:eastAsia="宋体" w:hAnsi="宋体" w:hint="eastAsia"/>
                <w:color w:val="000000"/>
                <w:sz w:val="22"/>
              </w:rPr>
              <w:t>26</w:t>
            </w:r>
          </w:p>
        </w:tc>
        <w:tc>
          <w:tcPr>
            <w:tcW w:w="7229" w:type="dxa"/>
          </w:tcPr>
          <w:p w14:paraId="2DC34C9D" w14:textId="77777777" w:rsidR="009214AE" w:rsidRDefault="00C66335">
            <w:pPr>
              <w:jc w:val="left"/>
              <w:rPr>
                <w:rFonts w:ascii="宋体" w:eastAsia="宋体" w:hAnsi="宋体"/>
                <w:color w:val="000000"/>
                <w:sz w:val="22"/>
              </w:rPr>
            </w:pPr>
            <w:r>
              <w:rPr>
                <w:rFonts w:hint="eastAsia"/>
              </w:rPr>
              <w:t>富荣基金管理有限公司关于提醒投资者持续完善身份信息资料的公告</w:t>
            </w:r>
          </w:p>
        </w:tc>
        <w:tc>
          <w:tcPr>
            <w:tcW w:w="2127" w:type="dxa"/>
          </w:tcPr>
          <w:p w14:paraId="385EF109" w14:textId="77777777" w:rsidR="009214AE" w:rsidRDefault="00C66335">
            <w:pPr>
              <w:jc w:val="left"/>
              <w:rPr>
                <w:rFonts w:ascii="宋体" w:eastAsia="宋体" w:hAnsi="宋体"/>
                <w:color w:val="000000"/>
                <w:sz w:val="22"/>
              </w:rPr>
            </w:pPr>
            <w:r>
              <w:rPr>
                <w:rFonts w:hint="eastAsia"/>
              </w:rPr>
              <w:t>2024</w:t>
            </w:r>
            <w:r>
              <w:rPr>
                <w:rFonts w:hint="eastAsia"/>
              </w:rPr>
              <w:t>年</w:t>
            </w:r>
            <w:r>
              <w:rPr>
                <w:rFonts w:hint="eastAsia"/>
              </w:rPr>
              <w:t>3</w:t>
            </w:r>
            <w:r>
              <w:rPr>
                <w:rFonts w:hint="eastAsia"/>
              </w:rPr>
              <w:t>月</w:t>
            </w:r>
            <w:r>
              <w:rPr>
                <w:rFonts w:hint="eastAsia"/>
              </w:rPr>
              <w:t>20</w:t>
            </w:r>
            <w:r>
              <w:rPr>
                <w:rFonts w:hint="eastAsia"/>
              </w:rPr>
              <w:t>日</w:t>
            </w:r>
          </w:p>
        </w:tc>
      </w:tr>
    </w:tbl>
    <w:p w14:paraId="34C51E06" w14:textId="77777777" w:rsidR="009214AE" w:rsidRDefault="009214AE">
      <w:pPr>
        <w:spacing w:line="360" w:lineRule="auto"/>
        <w:jc w:val="left"/>
        <w:rPr>
          <w:rFonts w:asciiTheme="minorEastAsia" w:hAnsiTheme="minorEastAsia"/>
          <w:sz w:val="24"/>
        </w:rPr>
      </w:pPr>
    </w:p>
    <w:p w14:paraId="091DABF1" w14:textId="77777777" w:rsidR="009214AE" w:rsidRDefault="00C66335">
      <w:pPr>
        <w:pStyle w:val="1"/>
        <w:jc w:val="center"/>
        <w:rPr>
          <w:sz w:val="30"/>
          <w:szCs w:val="30"/>
        </w:rPr>
      </w:pPr>
      <w:bookmarkStart w:id="434" w:name="_Toc164429436"/>
      <w:r>
        <w:rPr>
          <w:rFonts w:hint="eastAsia"/>
          <w:sz w:val="30"/>
          <w:szCs w:val="30"/>
        </w:rPr>
        <w:t>第二十三部分</w:t>
      </w:r>
      <w:r>
        <w:rPr>
          <w:sz w:val="30"/>
          <w:szCs w:val="30"/>
        </w:rPr>
        <w:t xml:space="preserve">  </w:t>
      </w:r>
      <w:r>
        <w:rPr>
          <w:rFonts w:hint="eastAsia"/>
          <w:sz w:val="30"/>
          <w:szCs w:val="30"/>
        </w:rPr>
        <w:t>招募说明书存放及查阅方式</w:t>
      </w:r>
      <w:bookmarkEnd w:id="430"/>
      <w:bookmarkEnd w:id="431"/>
      <w:bookmarkEnd w:id="432"/>
      <w:bookmarkEnd w:id="433"/>
      <w:bookmarkEnd w:id="434"/>
    </w:p>
    <w:p w14:paraId="5259F545"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60234529"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442121B7" w14:textId="77777777" w:rsidR="009214AE" w:rsidRDefault="009214AE">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38F0B3BE" w14:textId="77777777" w:rsidR="009214AE" w:rsidRDefault="009214AE">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9214AE" w:rsidSect="004C0C2D">
          <w:footerReference w:type="default" r:id="rId28"/>
          <w:pgSz w:w="11906" w:h="16838"/>
          <w:pgMar w:top="1440" w:right="1800" w:bottom="1440" w:left="1800" w:header="851" w:footer="992" w:gutter="0"/>
          <w:cols w:space="425"/>
          <w:docGrid w:type="lines" w:linePitch="312"/>
        </w:sectPr>
      </w:pPr>
      <w:bookmarkStart w:id="435" w:name="_Toc263092330"/>
      <w:bookmarkStart w:id="436" w:name="_Toc416268879"/>
    </w:p>
    <w:p w14:paraId="052C4F9A" w14:textId="77777777" w:rsidR="009214AE" w:rsidRDefault="00C66335">
      <w:pPr>
        <w:pStyle w:val="1"/>
        <w:jc w:val="center"/>
      </w:pPr>
      <w:bookmarkStart w:id="437" w:name="_Toc164429437"/>
      <w:bookmarkEnd w:id="60"/>
      <w:bookmarkEnd w:id="6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5"/>
      <w:bookmarkEnd w:id="436"/>
      <w:r>
        <w:rPr>
          <w:sz w:val="30"/>
          <w:szCs w:val="30"/>
        </w:rPr>
        <w:lastRenderedPageBreak/>
        <w:t>第二十</w:t>
      </w:r>
      <w:r>
        <w:rPr>
          <w:rFonts w:hint="eastAsia"/>
          <w:sz w:val="30"/>
          <w:szCs w:val="30"/>
        </w:rPr>
        <w:t>四</w:t>
      </w:r>
      <w:r>
        <w:rPr>
          <w:sz w:val="30"/>
          <w:szCs w:val="30"/>
        </w:rPr>
        <w:t>部分  备查文件</w:t>
      </w:r>
      <w:bookmarkEnd w:id="437"/>
    </w:p>
    <w:p w14:paraId="0FF676AE"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7D33995E"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3F8FB923"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（二）《富荣量化精选混合型发起式证券投资基金基金合同》 </w:t>
      </w:r>
    </w:p>
    <w:p w14:paraId="07BE55A6"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（三）《富荣量化精选混合型发起式证券投资基金托管协议》 </w:t>
      </w:r>
    </w:p>
    <w:p w14:paraId="2BE8844B"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1227F390"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21B78546"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18809D7B"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1926435D" w14:textId="77777777" w:rsidR="009214AE" w:rsidRDefault="00C6633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BF30BCB" w14:textId="77777777" w:rsidR="009214AE" w:rsidRDefault="009214AE">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6184FBF" w14:textId="77777777" w:rsidR="009214AE" w:rsidRDefault="009214AE">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DB84CE5"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326AC65B"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454870BE"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071A0125"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0BAA8CEF"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28ED71E9"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3837BD41" w14:textId="77777777" w:rsidR="009214AE" w:rsidRDefault="00C66335">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4D6436A3" w14:textId="064215BE" w:rsidR="009214AE" w:rsidRDefault="00C66335">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24</w:t>
      </w:r>
      <w:r>
        <w:rPr>
          <w:rFonts w:asciiTheme="minorEastAsia" w:hAnsiTheme="minorEastAsia" w:cs="Arial" w:hint="eastAsia"/>
          <w:kern w:val="0"/>
          <w:sz w:val="24"/>
          <w:szCs w:val="24"/>
        </w:rPr>
        <w:t>年4月</w:t>
      </w:r>
      <w:r w:rsidR="00FF2360">
        <w:rPr>
          <w:rFonts w:asciiTheme="minorEastAsia" w:hAnsiTheme="minorEastAsia" w:cs="Arial" w:hint="eastAsia"/>
          <w:kern w:val="0"/>
          <w:sz w:val="24"/>
          <w:szCs w:val="24"/>
        </w:rPr>
        <w:t>23</w:t>
      </w:r>
      <w:r>
        <w:rPr>
          <w:rFonts w:asciiTheme="minorEastAsia" w:hAnsiTheme="minorEastAsia" w:cs="Arial" w:hint="eastAsia"/>
          <w:kern w:val="0"/>
          <w:sz w:val="24"/>
          <w:szCs w:val="24"/>
        </w:rPr>
        <w:t>日</w:t>
      </w:r>
    </w:p>
    <w:p w14:paraId="1890E4C2" w14:textId="77777777" w:rsidR="009214AE" w:rsidRDefault="009214AE">
      <w:pPr>
        <w:widowControl/>
        <w:adjustRightInd w:val="0"/>
        <w:snapToGrid w:val="0"/>
        <w:spacing w:line="360" w:lineRule="auto"/>
        <w:ind w:rightChars="-85" w:right="-178" w:firstLineChars="200" w:firstLine="420"/>
        <w:rPr>
          <w:rFonts w:ascii="Arial" w:eastAsia="宋体" w:hAnsi="Arial" w:cs="Arial"/>
          <w:kern w:val="0"/>
          <w:szCs w:val="21"/>
        </w:rPr>
      </w:pPr>
    </w:p>
    <w:p w14:paraId="09A49C47" w14:textId="77777777" w:rsidR="009214AE" w:rsidRDefault="009214AE">
      <w:pPr>
        <w:widowControl/>
        <w:jc w:val="left"/>
        <w:rPr>
          <w:rFonts w:ascii="Arial" w:eastAsia="宋体" w:hAnsi="Arial" w:cs="Arial"/>
          <w:kern w:val="0"/>
          <w:szCs w:val="21"/>
        </w:rPr>
      </w:pPr>
    </w:p>
    <w:sectPr w:rsidR="009214AE">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2346" w14:textId="77777777" w:rsidR="004C0C2D" w:rsidRDefault="004C0C2D">
      <w:r>
        <w:separator/>
      </w:r>
    </w:p>
  </w:endnote>
  <w:endnote w:type="continuationSeparator" w:id="0">
    <w:p w14:paraId="52BDC788" w14:textId="77777777" w:rsidR="004C0C2D" w:rsidRDefault="004C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65074B5E"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3</w:t>
        </w:r>
        <w:r>
          <w:rPr>
            <w:lang w:val="zh-CN"/>
          </w:rPr>
          <w:fldChar w:fldCharType="end"/>
        </w:r>
      </w:p>
    </w:sdtContent>
  </w:sdt>
  <w:p w14:paraId="63E3476A" w14:textId="77777777" w:rsidR="009214AE" w:rsidRDefault="009214A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Content>
      <w:p w14:paraId="4E60E963"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4</w:t>
        </w:r>
        <w:r>
          <w:rPr>
            <w:lang w:val="zh-CN"/>
          </w:rPr>
          <w:fldChar w:fldCharType="end"/>
        </w:r>
      </w:p>
    </w:sdtContent>
  </w:sdt>
  <w:p w14:paraId="76E66A9B" w14:textId="77777777" w:rsidR="009214AE" w:rsidRDefault="009214A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Content>
      <w:p w14:paraId="48E97223"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15</w:t>
        </w:r>
        <w:r>
          <w:rPr>
            <w:lang w:val="zh-CN"/>
          </w:rPr>
          <w:fldChar w:fldCharType="end"/>
        </w:r>
      </w:p>
    </w:sdtContent>
  </w:sdt>
  <w:p w14:paraId="3ECC7B23" w14:textId="77777777" w:rsidR="009214AE" w:rsidRDefault="009214AE">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Content>
      <w:p w14:paraId="53003953"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27</w:t>
        </w:r>
        <w:r>
          <w:rPr>
            <w:lang w:val="zh-CN"/>
          </w:rPr>
          <w:fldChar w:fldCharType="end"/>
        </w:r>
      </w:p>
    </w:sdtContent>
  </w:sdt>
  <w:p w14:paraId="4AA4189E" w14:textId="77777777" w:rsidR="009214AE" w:rsidRDefault="009214AE">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Content>
      <w:p w14:paraId="04B403E1"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34</w:t>
        </w:r>
        <w:r>
          <w:rPr>
            <w:lang w:val="zh-CN"/>
          </w:rPr>
          <w:fldChar w:fldCharType="end"/>
        </w:r>
      </w:p>
    </w:sdtContent>
  </w:sdt>
  <w:p w14:paraId="09057E06" w14:textId="77777777" w:rsidR="009214AE" w:rsidRDefault="009214AE">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Content>
      <w:p w14:paraId="153546D7"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35</w:t>
        </w:r>
        <w:r>
          <w:rPr>
            <w:lang w:val="zh-CN"/>
          </w:rPr>
          <w:fldChar w:fldCharType="end"/>
        </w:r>
      </w:p>
    </w:sdtContent>
  </w:sdt>
  <w:p w14:paraId="37EB6B1E" w14:textId="77777777" w:rsidR="009214AE" w:rsidRDefault="009214AE">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Content>
      <w:p w14:paraId="6E565158"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91</w:t>
        </w:r>
        <w:r>
          <w:rPr>
            <w:lang w:val="zh-CN"/>
          </w:rPr>
          <w:fldChar w:fldCharType="end"/>
        </w:r>
      </w:p>
    </w:sdtContent>
  </w:sdt>
  <w:p w14:paraId="007B9B3A" w14:textId="77777777" w:rsidR="009214AE" w:rsidRDefault="009214AE">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Content>
      <w:p w14:paraId="72540E82"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93</w:t>
        </w:r>
        <w:r>
          <w:rPr>
            <w:lang w:val="zh-CN"/>
          </w:rPr>
          <w:fldChar w:fldCharType="end"/>
        </w:r>
      </w:p>
    </w:sdtContent>
  </w:sdt>
  <w:p w14:paraId="1DBD7E40" w14:textId="77777777" w:rsidR="009214AE" w:rsidRDefault="009214AE">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Content>
      <w:p w14:paraId="07AEF93F" w14:textId="77777777" w:rsidR="009214AE" w:rsidRDefault="00C66335">
        <w:pPr>
          <w:pStyle w:val="af0"/>
          <w:jc w:val="center"/>
        </w:pPr>
        <w:r>
          <w:rPr>
            <w:lang w:val="zh-CN"/>
          </w:rPr>
          <w:fldChar w:fldCharType="begin"/>
        </w:r>
        <w:r>
          <w:rPr>
            <w:lang w:val="zh-CN"/>
          </w:rPr>
          <w:instrText>PAGE   \* MERGEFORMAT</w:instrText>
        </w:r>
        <w:r>
          <w:rPr>
            <w:lang w:val="zh-CN"/>
          </w:rPr>
          <w:fldChar w:fldCharType="separate"/>
        </w:r>
        <w:r w:rsidR="00D01D0C">
          <w:rPr>
            <w:noProof/>
            <w:lang w:val="zh-CN"/>
          </w:rPr>
          <w:t>135</w:t>
        </w:r>
        <w:r>
          <w:rPr>
            <w:lang w:val="zh-CN"/>
          </w:rPr>
          <w:fldChar w:fldCharType="end"/>
        </w:r>
      </w:p>
    </w:sdtContent>
  </w:sdt>
  <w:p w14:paraId="5E9C9AEF" w14:textId="77777777" w:rsidR="009214AE" w:rsidRDefault="009214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F802" w14:textId="77777777" w:rsidR="004C0C2D" w:rsidRDefault="004C0C2D">
      <w:r>
        <w:separator/>
      </w:r>
    </w:p>
  </w:footnote>
  <w:footnote w:type="continuationSeparator" w:id="0">
    <w:p w14:paraId="01B18C9B" w14:textId="77777777" w:rsidR="004C0C2D" w:rsidRDefault="004C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10C" w14:textId="77FC7592" w:rsidR="009214AE" w:rsidRDefault="00C66335">
    <w:pPr>
      <w:pStyle w:val="af2"/>
      <w:jc w:val="both"/>
    </w:pPr>
    <w:r>
      <w:rPr>
        <w:rFonts w:ascii="Arial" w:hAnsi="Arial" w:cs="Arial" w:hint="eastAsia"/>
        <w:szCs w:val="21"/>
      </w:rPr>
      <w:t>富荣量化精选混合型发起式证券投资基金更新的</w:t>
    </w:r>
    <w:r>
      <w:rPr>
        <w:rFonts w:hint="eastAsia"/>
      </w:rPr>
      <w:t>招募说明书（</w:t>
    </w:r>
    <w:r>
      <w:rPr>
        <w:rFonts w:hint="eastAsia"/>
      </w:rPr>
      <w:t>2024</w:t>
    </w:r>
    <w:r>
      <w:rPr>
        <w:rFonts w:hint="eastAsia"/>
      </w:rPr>
      <w:t>年第</w:t>
    </w:r>
    <w:r>
      <w:rPr>
        <w:rFonts w:hint="eastAsia"/>
      </w:rPr>
      <w:t>3</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multilevel"/>
    <w:tmpl w:val="13473C0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4927872">
    <w:abstractNumId w:val="0"/>
  </w:num>
  <w:num w:numId="2" w16cid:durableId="914438348">
    <w:abstractNumId w:val="1"/>
  </w:num>
  <w:num w:numId="3" w16cid:durableId="1160080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Y2ODUzNGVlMWY5MTdmYzk4NTgyYTQzMDZkYWUyOTUifQ=="/>
  </w:docVars>
  <w:rsids>
    <w:rsidRoot w:val="00F562CC"/>
    <w:rsid w:val="00001A11"/>
    <w:rsid w:val="00001E24"/>
    <w:rsid w:val="0000336D"/>
    <w:rsid w:val="00004FDF"/>
    <w:rsid w:val="00007E80"/>
    <w:rsid w:val="00011E0C"/>
    <w:rsid w:val="000150A1"/>
    <w:rsid w:val="0001576D"/>
    <w:rsid w:val="00016B2F"/>
    <w:rsid w:val="00017882"/>
    <w:rsid w:val="000213BB"/>
    <w:rsid w:val="00021C6F"/>
    <w:rsid w:val="00023146"/>
    <w:rsid w:val="000235FF"/>
    <w:rsid w:val="00024020"/>
    <w:rsid w:val="00024EED"/>
    <w:rsid w:val="00024F19"/>
    <w:rsid w:val="00025ADD"/>
    <w:rsid w:val="00026A47"/>
    <w:rsid w:val="0003121B"/>
    <w:rsid w:val="000317CE"/>
    <w:rsid w:val="000324C3"/>
    <w:rsid w:val="00032C15"/>
    <w:rsid w:val="00034D9A"/>
    <w:rsid w:val="00036415"/>
    <w:rsid w:val="0003661E"/>
    <w:rsid w:val="00040033"/>
    <w:rsid w:val="0004135A"/>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57F6D"/>
    <w:rsid w:val="0006090B"/>
    <w:rsid w:val="0006171F"/>
    <w:rsid w:val="00061EFE"/>
    <w:rsid w:val="00062C1B"/>
    <w:rsid w:val="00063460"/>
    <w:rsid w:val="00063887"/>
    <w:rsid w:val="00063FB4"/>
    <w:rsid w:val="00065FA9"/>
    <w:rsid w:val="00066597"/>
    <w:rsid w:val="000677B8"/>
    <w:rsid w:val="00070358"/>
    <w:rsid w:val="00072066"/>
    <w:rsid w:val="00072559"/>
    <w:rsid w:val="000740F2"/>
    <w:rsid w:val="00075112"/>
    <w:rsid w:val="00076E9C"/>
    <w:rsid w:val="00077420"/>
    <w:rsid w:val="000776EE"/>
    <w:rsid w:val="000807B7"/>
    <w:rsid w:val="000817BB"/>
    <w:rsid w:val="00084A9D"/>
    <w:rsid w:val="00092FE3"/>
    <w:rsid w:val="00093B11"/>
    <w:rsid w:val="00094942"/>
    <w:rsid w:val="0009505B"/>
    <w:rsid w:val="0009610D"/>
    <w:rsid w:val="00096D0E"/>
    <w:rsid w:val="000A07FA"/>
    <w:rsid w:val="000A149C"/>
    <w:rsid w:val="000A1798"/>
    <w:rsid w:val="000A2079"/>
    <w:rsid w:val="000A2809"/>
    <w:rsid w:val="000A34E4"/>
    <w:rsid w:val="000A4496"/>
    <w:rsid w:val="000A53A9"/>
    <w:rsid w:val="000A641C"/>
    <w:rsid w:val="000B0075"/>
    <w:rsid w:val="000B0476"/>
    <w:rsid w:val="000B0AF0"/>
    <w:rsid w:val="000B3BDB"/>
    <w:rsid w:val="000B467C"/>
    <w:rsid w:val="000B4DA0"/>
    <w:rsid w:val="000B5EC5"/>
    <w:rsid w:val="000B6544"/>
    <w:rsid w:val="000B6836"/>
    <w:rsid w:val="000B720D"/>
    <w:rsid w:val="000B7421"/>
    <w:rsid w:val="000B7428"/>
    <w:rsid w:val="000B7ACE"/>
    <w:rsid w:val="000B7C1F"/>
    <w:rsid w:val="000C00C5"/>
    <w:rsid w:val="000C0BDF"/>
    <w:rsid w:val="000C1E78"/>
    <w:rsid w:val="000C2A62"/>
    <w:rsid w:val="000C3020"/>
    <w:rsid w:val="000C36FD"/>
    <w:rsid w:val="000C4C8F"/>
    <w:rsid w:val="000C5135"/>
    <w:rsid w:val="000D1C20"/>
    <w:rsid w:val="000D2A86"/>
    <w:rsid w:val="000D2AA9"/>
    <w:rsid w:val="000D2BAE"/>
    <w:rsid w:val="000D3337"/>
    <w:rsid w:val="000D525E"/>
    <w:rsid w:val="000E1E9B"/>
    <w:rsid w:val="000E3D34"/>
    <w:rsid w:val="000E4187"/>
    <w:rsid w:val="000E7BCA"/>
    <w:rsid w:val="000F2FF2"/>
    <w:rsid w:val="000F37D3"/>
    <w:rsid w:val="000F4000"/>
    <w:rsid w:val="000F4E57"/>
    <w:rsid w:val="000F5114"/>
    <w:rsid w:val="000F5C40"/>
    <w:rsid w:val="000F63F5"/>
    <w:rsid w:val="000F685B"/>
    <w:rsid w:val="00100EB0"/>
    <w:rsid w:val="00101ED0"/>
    <w:rsid w:val="00102D5B"/>
    <w:rsid w:val="00103FFC"/>
    <w:rsid w:val="0010455F"/>
    <w:rsid w:val="00105BC6"/>
    <w:rsid w:val="00107A41"/>
    <w:rsid w:val="00107B18"/>
    <w:rsid w:val="00110756"/>
    <w:rsid w:val="00111FD3"/>
    <w:rsid w:val="00112609"/>
    <w:rsid w:val="00112ACF"/>
    <w:rsid w:val="00112BF1"/>
    <w:rsid w:val="00115947"/>
    <w:rsid w:val="0012019B"/>
    <w:rsid w:val="001209F5"/>
    <w:rsid w:val="00121D25"/>
    <w:rsid w:val="001225F3"/>
    <w:rsid w:val="0012332B"/>
    <w:rsid w:val="00125717"/>
    <w:rsid w:val="00127ED5"/>
    <w:rsid w:val="00127EE7"/>
    <w:rsid w:val="00130C27"/>
    <w:rsid w:val="001317C1"/>
    <w:rsid w:val="00132839"/>
    <w:rsid w:val="0013490C"/>
    <w:rsid w:val="00134E75"/>
    <w:rsid w:val="00135275"/>
    <w:rsid w:val="00135DAB"/>
    <w:rsid w:val="001369D9"/>
    <w:rsid w:val="00141501"/>
    <w:rsid w:val="001431F8"/>
    <w:rsid w:val="00145063"/>
    <w:rsid w:val="00147C35"/>
    <w:rsid w:val="00150AFC"/>
    <w:rsid w:val="0015138A"/>
    <w:rsid w:val="00151DB5"/>
    <w:rsid w:val="00152048"/>
    <w:rsid w:val="001548F6"/>
    <w:rsid w:val="001569AD"/>
    <w:rsid w:val="00156A7C"/>
    <w:rsid w:val="001577D9"/>
    <w:rsid w:val="00157AF8"/>
    <w:rsid w:val="001609F9"/>
    <w:rsid w:val="001635EE"/>
    <w:rsid w:val="00164BBB"/>
    <w:rsid w:val="00166406"/>
    <w:rsid w:val="00166FE9"/>
    <w:rsid w:val="0016706A"/>
    <w:rsid w:val="0017094D"/>
    <w:rsid w:val="00170C44"/>
    <w:rsid w:val="00171B39"/>
    <w:rsid w:val="001745C9"/>
    <w:rsid w:val="001756AE"/>
    <w:rsid w:val="00175EFD"/>
    <w:rsid w:val="001815D7"/>
    <w:rsid w:val="00181F45"/>
    <w:rsid w:val="00184AAE"/>
    <w:rsid w:val="00184E9F"/>
    <w:rsid w:val="00185220"/>
    <w:rsid w:val="00185938"/>
    <w:rsid w:val="00186FFA"/>
    <w:rsid w:val="001870BD"/>
    <w:rsid w:val="00187285"/>
    <w:rsid w:val="001878D6"/>
    <w:rsid w:val="001939DE"/>
    <w:rsid w:val="00194D9A"/>
    <w:rsid w:val="001952E5"/>
    <w:rsid w:val="00196862"/>
    <w:rsid w:val="00196FB7"/>
    <w:rsid w:val="00197F8C"/>
    <w:rsid w:val="001A0D71"/>
    <w:rsid w:val="001A0F3B"/>
    <w:rsid w:val="001A1315"/>
    <w:rsid w:val="001A1C76"/>
    <w:rsid w:val="001A3539"/>
    <w:rsid w:val="001A41F8"/>
    <w:rsid w:val="001A4791"/>
    <w:rsid w:val="001A4CAD"/>
    <w:rsid w:val="001A6505"/>
    <w:rsid w:val="001A670B"/>
    <w:rsid w:val="001A7A38"/>
    <w:rsid w:val="001B0FE2"/>
    <w:rsid w:val="001B101B"/>
    <w:rsid w:val="001B1C13"/>
    <w:rsid w:val="001B1E35"/>
    <w:rsid w:val="001B23ED"/>
    <w:rsid w:val="001B5439"/>
    <w:rsid w:val="001B598D"/>
    <w:rsid w:val="001B5B83"/>
    <w:rsid w:val="001B716E"/>
    <w:rsid w:val="001C0719"/>
    <w:rsid w:val="001C08B6"/>
    <w:rsid w:val="001C1C3D"/>
    <w:rsid w:val="001C275F"/>
    <w:rsid w:val="001C404F"/>
    <w:rsid w:val="001C66FB"/>
    <w:rsid w:val="001C71D3"/>
    <w:rsid w:val="001C79DE"/>
    <w:rsid w:val="001C7D92"/>
    <w:rsid w:val="001D24DB"/>
    <w:rsid w:val="001D3C2F"/>
    <w:rsid w:val="001D4772"/>
    <w:rsid w:val="001E02A1"/>
    <w:rsid w:val="001E05E8"/>
    <w:rsid w:val="001E0E1D"/>
    <w:rsid w:val="001E3B99"/>
    <w:rsid w:val="001E48AE"/>
    <w:rsid w:val="001E4999"/>
    <w:rsid w:val="001E7D04"/>
    <w:rsid w:val="001F029F"/>
    <w:rsid w:val="001F0DEC"/>
    <w:rsid w:val="001F141D"/>
    <w:rsid w:val="001F1D37"/>
    <w:rsid w:val="001F2A1F"/>
    <w:rsid w:val="001F2EE0"/>
    <w:rsid w:val="001F32BF"/>
    <w:rsid w:val="001F3EB7"/>
    <w:rsid w:val="001F4CC2"/>
    <w:rsid w:val="001F4EB1"/>
    <w:rsid w:val="001F670C"/>
    <w:rsid w:val="001F699D"/>
    <w:rsid w:val="001F6CAF"/>
    <w:rsid w:val="001F7512"/>
    <w:rsid w:val="00201AB5"/>
    <w:rsid w:val="00203D74"/>
    <w:rsid w:val="002040A3"/>
    <w:rsid w:val="002040DD"/>
    <w:rsid w:val="00205AA5"/>
    <w:rsid w:val="00206673"/>
    <w:rsid w:val="002078F3"/>
    <w:rsid w:val="00207CD5"/>
    <w:rsid w:val="00211085"/>
    <w:rsid w:val="00212167"/>
    <w:rsid w:val="002138DB"/>
    <w:rsid w:val="002148EB"/>
    <w:rsid w:val="00214F32"/>
    <w:rsid w:val="00217348"/>
    <w:rsid w:val="002210DF"/>
    <w:rsid w:val="00222D7A"/>
    <w:rsid w:val="00224418"/>
    <w:rsid w:val="00224EE1"/>
    <w:rsid w:val="0022597A"/>
    <w:rsid w:val="00225DB5"/>
    <w:rsid w:val="002262B3"/>
    <w:rsid w:val="002275A8"/>
    <w:rsid w:val="00227859"/>
    <w:rsid w:val="00227AD6"/>
    <w:rsid w:val="00227AFA"/>
    <w:rsid w:val="00230271"/>
    <w:rsid w:val="0023113A"/>
    <w:rsid w:val="00232510"/>
    <w:rsid w:val="00232779"/>
    <w:rsid w:val="002337EA"/>
    <w:rsid w:val="00233D8A"/>
    <w:rsid w:val="00233F84"/>
    <w:rsid w:val="00234F40"/>
    <w:rsid w:val="0023618C"/>
    <w:rsid w:val="0023759E"/>
    <w:rsid w:val="0023788E"/>
    <w:rsid w:val="00241ACA"/>
    <w:rsid w:val="00242B53"/>
    <w:rsid w:val="002430FE"/>
    <w:rsid w:val="002431AC"/>
    <w:rsid w:val="00246128"/>
    <w:rsid w:val="002471BB"/>
    <w:rsid w:val="002472F8"/>
    <w:rsid w:val="00247B4F"/>
    <w:rsid w:val="002507FE"/>
    <w:rsid w:val="0025184A"/>
    <w:rsid w:val="002518DB"/>
    <w:rsid w:val="00252C86"/>
    <w:rsid w:val="00253888"/>
    <w:rsid w:val="0025398C"/>
    <w:rsid w:val="00257F94"/>
    <w:rsid w:val="002601E9"/>
    <w:rsid w:val="00260AE0"/>
    <w:rsid w:val="002622A9"/>
    <w:rsid w:val="00263BCA"/>
    <w:rsid w:val="00266267"/>
    <w:rsid w:val="00266917"/>
    <w:rsid w:val="00266A12"/>
    <w:rsid w:val="002701CE"/>
    <w:rsid w:val="0027124A"/>
    <w:rsid w:val="002713BE"/>
    <w:rsid w:val="00272867"/>
    <w:rsid w:val="00272F3A"/>
    <w:rsid w:val="00273FCA"/>
    <w:rsid w:val="002752C2"/>
    <w:rsid w:val="00275C95"/>
    <w:rsid w:val="002775A2"/>
    <w:rsid w:val="00282732"/>
    <w:rsid w:val="002834CB"/>
    <w:rsid w:val="00283A8E"/>
    <w:rsid w:val="00283F15"/>
    <w:rsid w:val="002841F3"/>
    <w:rsid w:val="00284C3A"/>
    <w:rsid w:val="002863C8"/>
    <w:rsid w:val="00291943"/>
    <w:rsid w:val="00291D52"/>
    <w:rsid w:val="00293077"/>
    <w:rsid w:val="00293582"/>
    <w:rsid w:val="002940A2"/>
    <w:rsid w:val="00294C41"/>
    <w:rsid w:val="00294D36"/>
    <w:rsid w:val="00295C02"/>
    <w:rsid w:val="00295EF8"/>
    <w:rsid w:val="002966EC"/>
    <w:rsid w:val="002972D8"/>
    <w:rsid w:val="002A07D5"/>
    <w:rsid w:val="002A18EC"/>
    <w:rsid w:val="002A1DD0"/>
    <w:rsid w:val="002A23B6"/>
    <w:rsid w:val="002A33A3"/>
    <w:rsid w:val="002A441B"/>
    <w:rsid w:val="002A6E10"/>
    <w:rsid w:val="002A76D4"/>
    <w:rsid w:val="002A7CB9"/>
    <w:rsid w:val="002B01D8"/>
    <w:rsid w:val="002B1A83"/>
    <w:rsid w:val="002B435D"/>
    <w:rsid w:val="002B4DD9"/>
    <w:rsid w:val="002B501D"/>
    <w:rsid w:val="002B64A8"/>
    <w:rsid w:val="002B6C90"/>
    <w:rsid w:val="002C03B5"/>
    <w:rsid w:val="002C2931"/>
    <w:rsid w:val="002C29A4"/>
    <w:rsid w:val="002C385C"/>
    <w:rsid w:val="002C3C29"/>
    <w:rsid w:val="002C3F93"/>
    <w:rsid w:val="002C438F"/>
    <w:rsid w:val="002C508B"/>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03E7"/>
    <w:rsid w:val="00302B5B"/>
    <w:rsid w:val="0030418D"/>
    <w:rsid w:val="003042BB"/>
    <w:rsid w:val="003049CB"/>
    <w:rsid w:val="00305747"/>
    <w:rsid w:val="00307617"/>
    <w:rsid w:val="003079B5"/>
    <w:rsid w:val="00307A3B"/>
    <w:rsid w:val="00307AB6"/>
    <w:rsid w:val="00311B2C"/>
    <w:rsid w:val="003155E3"/>
    <w:rsid w:val="00315D57"/>
    <w:rsid w:val="00324E41"/>
    <w:rsid w:val="00326A72"/>
    <w:rsid w:val="00327DF4"/>
    <w:rsid w:val="00327F7E"/>
    <w:rsid w:val="00331A50"/>
    <w:rsid w:val="0033271C"/>
    <w:rsid w:val="0033347C"/>
    <w:rsid w:val="00333E36"/>
    <w:rsid w:val="0033564F"/>
    <w:rsid w:val="00336927"/>
    <w:rsid w:val="00340466"/>
    <w:rsid w:val="0034084F"/>
    <w:rsid w:val="00341D19"/>
    <w:rsid w:val="00344461"/>
    <w:rsid w:val="003464BC"/>
    <w:rsid w:val="003464D5"/>
    <w:rsid w:val="00352C16"/>
    <w:rsid w:val="00353591"/>
    <w:rsid w:val="00354A44"/>
    <w:rsid w:val="003558A1"/>
    <w:rsid w:val="00355E38"/>
    <w:rsid w:val="00355E88"/>
    <w:rsid w:val="003567DD"/>
    <w:rsid w:val="00357378"/>
    <w:rsid w:val="00357882"/>
    <w:rsid w:val="00357A86"/>
    <w:rsid w:val="00361863"/>
    <w:rsid w:val="00361F09"/>
    <w:rsid w:val="00364E7A"/>
    <w:rsid w:val="00365C58"/>
    <w:rsid w:val="0036675B"/>
    <w:rsid w:val="0036697D"/>
    <w:rsid w:val="00367003"/>
    <w:rsid w:val="00367074"/>
    <w:rsid w:val="00367E2C"/>
    <w:rsid w:val="00370B4F"/>
    <w:rsid w:val="00371EC6"/>
    <w:rsid w:val="00371ED5"/>
    <w:rsid w:val="00376750"/>
    <w:rsid w:val="00377542"/>
    <w:rsid w:val="00381569"/>
    <w:rsid w:val="00381F92"/>
    <w:rsid w:val="00386A86"/>
    <w:rsid w:val="0038750D"/>
    <w:rsid w:val="00390719"/>
    <w:rsid w:val="00390C85"/>
    <w:rsid w:val="003928DF"/>
    <w:rsid w:val="00392C0F"/>
    <w:rsid w:val="00394C8C"/>
    <w:rsid w:val="00394FC2"/>
    <w:rsid w:val="003962D5"/>
    <w:rsid w:val="00397AF5"/>
    <w:rsid w:val="003A168A"/>
    <w:rsid w:val="003A1C92"/>
    <w:rsid w:val="003A2622"/>
    <w:rsid w:val="003A3022"/>
    <w:rsid w:val="003A4F3B"/>
    <w:rsid w:val="003A541D"/>
    <w:rsid w:val="003A6148"/>
    <w:rsid w:val="003A733C"/>
    <w:rsid w:val="003A78F9"/>
    <w:rsid w:val="003B2407"/>
    <w:rsid w:val="003B2B86"/>
    <w:rsid w:val="003B2C1E"/>
    <w:rsid w:val="003B318D"/>
    <w:rsid w:val="003B374D"/>
    <w:rsid w:val="003B3D76"/>
    <w:rsid w:val="003B55CE"/>
    <w:rsid w:val="003C0A28"/>
    <w:rsid w:val="003C12F6"/>
    <w:rsid w:val="003C3BD4"/>
    <w:rsid w:val="003C4E68"/>
    <w:rsid w:val="003C6950"/>
    <w:rsid w:val="003C71FB"/>
    <w:rsid w:val="003D25AE"/>
    <w:rsid w:val="003D30B4"/>
    <w:rsid w:val="003D32C5"/>
    <w:rsid w:val="003D3E7F"/>
    <w:rsid w:val="003D4F54"/>
    <w:rsid w:val="003E1EA5"/>
    <w:rsid w:val="003E3341"/>
    <w:rsid w:val="003E33DE"/>
    <w:rsid w:val="003E4458"/>
    <w:rsid w:val="003E49EB"/>
    <w:rsid w:val="003E7547"/>
    <w:rsid w:val="003F024E"/>
    <w:rsid w:val="003F07F0"/>
    <w:rsid w:val="003F0D6B"/>
    <w:rsid w:val="003F1495"/>
    <w:rsid w:val="003F1645"/>
    <w:rsid w:val="003F2C03"/>
    <w:rsid w:val="003F2F14"/>
    <w:rsid w:val="003F3EBD"/>
    <w:rsid w:val="003F7179"/>
    <w:rsid w:val="003F71BA"/>
    <w:rsid w:val="00402349"/>
    <w:rsid w:val="00402921"/>
    <w:rsid w:val="004052E3"/>
    <w:rsid w:val="004055CF"/>
    <w:rsid w:val="00407289"/>
    <w:rsid w:val="0041093D"/>
    <w:rsid w:val="00411CB0"/>
    <w:rsid w:val="0041206B"/>
    <w:rsid w:val="004125EB"/>
    <w:rsid w:val="00412850"/>
    <w:rsid w:val="00413982"/>
    <w:rsid w:val="00413B26"/>
    <w:rsid w:val="00415142"/>
    <w:rsid w:val="00416668"/>
    <w:rsid w:val="0041693E"/>
    <w:rsid w:val="00416A03"/>
    <w:rsid w:val="00416A30"/>
    <w:rsid w:val="00417728"/>
    <w:rsid w:val="00417E3F"/>
    <w:rsid w:val="0042002D"/>
    <w:rsid w:val="004212FB"/>
    <w:rsid w:val="00423971"/>
    <w:rsid w:val="00423D92"/>
    <w:rsid w:val="00424206"/>
    <w:rsid w:val="00424BE2"/>
    <w:rsid w:val="00425184"/>
    <w:rsid w:val="004254CB"/>
    <w:rsid w:val="00427D57"/>
    <w:rsid w:val="004307A3"/>
    <w:rsid w:val="00430DC3"/>
    <w:rsid w:val="00432722"/>
    <w:rsid w:val="004334EC"/>
    <w:rsid w:val="00433807"/>
    <w:rsid w:val="00433CE7"/>
    <w:rsid w:val="004344F1"/>
    <w:rsid w:val="00434ACE"/>
    <w:rsid w:val="00434E0A"/>
    <w:rsid w:val="004353E6"/>
    <w:rsid w:val="00436233"/>
    <w:rsid w:val="0043660A"/>
    <w:rsid w:val="004366F9"/>
    <w:rsid w:val="004419FB"/>
    <w:rsid w:val="004425D7"/>
    <w:rsid w:val="00447A84"/>
    <w:rsid w:val="00450F66"/>
    <w:rsid w:val="00451BE6"/>
    <w:rsid w:val="00451F4D"/>
    <w:rsid w:val="00455C1E"/>
    <w:rsid w:val="00456CDA"/>
    <w:rsid w:val="00456D30"/>
    <w:rsid w:val="004570E4"/>
    <w:rsid w:val="00457A75"/>
    <w:rsid w:val="004615DF"/>
    <w:rsid w:val="00461F51"/>
    <w:rsid w:val="004632CC"/>
    <w:rsid w:val="00463AC0"/>
    <w:rsid w:val="00463D15"/>
    <w:rsid w:val="004657EA"/>
    <w:rsid w:val="004665F2"/>
    <w:rsid w:val="00467F0E"/>
    <w:rsid w:val="00470701"/>
    <w:rsid w:val="00473F80"/>
    <w:rsid w:val="00476243"/>
    <w:rsid w:val="00477CC7"/>
    <w:rsid w:val="00480219"/>
    <w:rsid w:val="004802DA"/>
    <w:rsid w:val="00481714"/>
    <w:rsid w:val="00481E25"/>
    <w:rsid w:val="004820BD"/>
    <w:rsid w:val="004822FB"/>
    <w:rsid w:val="0048357D"/>
    <w:rsid w:val="00483AE1"/>
    <w:rsid w:val="00486108"/>
    <w:rsid w:val="00487094"/>
    <w:rsid w:val="0048715E"/>
    <w:rsid w:val="00487357"/>
    <w:rsid w:val="00490E64"/>
    <w:rsid w:val="004914FA"/>
    <w:rsid w:val="004922D1"/>
    <w:rsid w:val="00493840"/>
    <w:rsid w:val="00494FA6"/>
    <w:rsid w:val="004A0FA8"/>
    <w:rsid w:val="004A4445"/>
    <w:rsid w:val="004A5EF4"/>
    <w:rsid w:val="004A65D7"/>
    <w:rsid w:val="004B45FA"/>
    <w:rsid w:val="004B5348"/>
    <w:rsid w:val="004B5F31"/>
    <w:rsid w:val="004B617B"/>
    <w:rsid w:val="004B6FAE"/>
    <w:rsid w:val="004B7253"/>
    <w:rsid w:val="004B72B2"/>
    <w:rsid w:val="004B787D"/>
    <w:rsid w:val="004C0C2D"/>
    <w:rsid w:val="004C13D9"/>
    <w:rsid w:val="004C1FB1"/>
    <w:rsid w:val="004C27F1"/>
    <w:rsid w:val="004C3C7B"/>
    <w:rsid w:val="004C42FE"/>
    <w:rsid w:val="004C4A0F"/>
    <w:rsid w:val="004C4BF6"/>
    <w:rsid w:val="004C4EE6"/>
    <w:rsid w:val="004C5487"/>
    <w:rsid w:val="004C79C5"/>
    <w:rsid w:val="004D253C"/>
    <w:rsid w:val="004D2D86"/>
    <w:rsid w:val="004D3208"/>
    <w:rsid w:val="004D47A6"/>
    <w:rsid w:val="004D5A0E"/>
    <w:rsid w:val="004D693A"/>
    <w:rsid w:val="004D719C"/>
    <w:rsid w:val="004D7238"/>
    <w:rsid w:val="004D73CA"/>
    <w:rsid w:val="004D781D"/>
    <w:rsid w:val="004D7A1C"/>
    <w:rsid w:val="004E08FD"/>
    <w:rsid w:val="004E16B5"/>
    <w:rsid w:val="004E28F1"/>
    <w:rsid w:val="004E3FD5"/>
    <w:rsid w:val="004E411F"/>
    <w:rsid w:val="004E5BE5"/>
    <w:rsid w:val="004E608E"/>
    <w:rsid w:val="004E6392"/>
    <w:rsid w:val="004F02E3"/>
    <w:rsid w:val="004F1DA6"/>
    <w:rsid w:val="004F1DE0"/>
    <w:rsid w:val="004F2470"/>
    <w:rsid w:val="004F4E5A"/>
    <w:rsid w:val="004F69DD"/>
    <w:rsid w:val="004F7007"/>
    <w:rsid w:val="00501B74"/>
    <w:rsid w:val="00503979"/>
    <w:rsid w:val="005043F9"/>
    <w:rsid w:val="0050445A"/>
    <w:rsid w:val="0050608A"/>
    <w:rsid w:val="005067A5"/>
    <w:rsid w:val="00506A9D"/>
    <w:rsid w:val="00513369"/>
    <w:rsid w:val="00515CEA"/>
    <w:rsid w:val="00516A76"/>
    <w:rsid w:val="00517167"/>
    <w:rsid w:val="00520016"/>
    <w:rsid w:val="00525D26"/>
    <w:rsid w:val="005266D4"/>
    <w:rsid w:val="005307B0"/>
    <w:rsid w:val="005316D5"/>
    <w:rsid w:val="00532478"/>
    <w:rsid w:val="005339D1"/>
    <w:rsid w:val="00537734"/>
    <w:rsid w:val="00540285"/>
    <w:rsid w:val="00540E2F"/>
    <w:rsid w:val="00541D67"/>
    <w:rsid w:val="005435FB"/>
    <w:rsid w:val="00543AAE"/>
    <w:rsid w:val="00543C86"/>
    <w:rsid w:val="00545041"/>
    <w:rsid w:val="00546072"/>
    <w:rsid w:val="00550B96"/>
    <w:rsid w:val="00552750"/>
    <w:rsid w:val="0055353E"/>
    <w:rsid w:val="00553B31"/>
    <w:rsid w:val="00553C15"/>
    <w:rsid w:val="00554917"/>
    <w:rsid w:val="00555BA2"/>
    <w:rsid w:val="00556041"/>
    <w:rsid w:val="0055606F"/>
    <w:rsid w:val="0055734F"/>
    <w:rsid w:val="00560DD8"/>
    <w:rsid w:val="005622B6"/>
    <w:rsid w:val="0056275F"/>
    <w:rsid w:val="00562DCF"/>
    <w:rsid w:val="00563324"/>
    <w:rsid w:val="00563426"/>
    <w:rsid w:val="00564640"/>
    <w:rsid w:val="00565760"/>
    <w:rsid w:val="00566F0E"/>
    <w:rsid w:val="005677AD"/>
    <w:rsid w:val="00567ECF"/>
    <w:rsid w:val="00571308"/>
    <w:rsid w:val="005729A6"/>
    <w:rsid w:val="005730A9"/>
    <w:rsid w:val="0057704C"/>
    <w:rsid w:val="005776D9"/>
    <w:rsid w:val="00577C24"/>
    <w:rsid w:val="005803F4"/>
    <w:rsid w:val="00581D26"/>
    <w:rsid w:val="005829AA"/>
    <w:rsid w:val="00582E8F"/>
    <w:rsid w:val="0058395A"/>
    <w:rsid w:val="00584C01"/>
    <w:rsid w:val="00585A88"/>
    <w:rsid w:val="0059102D"/>
    <w:rsid w:val="005916C4"/>
    <w:rsid w:val="00592ACD"/>
    <w:rsid w:val="00592B7E"/>
    <w:rsid w:val="00593DBE"/>
    <w:rsid w:val="0059486A"/>
    <w:rsid w:val="00595A44"/>
    <w:rsid w:val="00597B85"/>
    <w:rsid w:val="005A098B"/>
    <w:rsid w:val="005A144F"/>
    <w:rsid w:val="005A2417"/>
    <w:rsid w:val="005A296F"/>
    <w:rsid w:val="005A304E"/>
    <w:rsid w:val="005A3331"/>
    <w:rsid w:val="005A3605"/>
    <w:rsid w:val="005A3DA9"/>
    <w:rsid w:val="005A4328"/>
    <w:rsid w:val="005A4D49"/>
    <w:rsid w:val="005A5B40"/>
    <w:rsid w:val="005A6549"/>
    <w:rsid w:val="005A66E5"/>
    <w:rsid w:val="005A7462"/>
    <w:rsid w:val="005A7A85"/>
    <w:rsid w:val="005B061F"/>
    <w:rsid w:val="005B1DAC"/>
    <w:rsid w:val="005B20BF"/>
    <w:rsid w:val="005B38F6"/>
    <w:rsid w:val="005B5C87"/>
    <w:rsid w:val="005B766D"/>
    <w:rsid w:val="005B7F6F"/>
    <w:rsid w:val="005C0053"/>
    <w:rsid w:val="005C0239"/>
    <w:rsid w:val="005C3EFA"/>
    <w:rsid w:val="005C421C"/>
    <w:rsid w:val="005C5130"/>
    <w:rsid w:val="005C5145"/>
    <w:rsid w:val="005D19A9"/>
    <w:rsid w:val="005D51A1"/>
    <w:rsid w:val="005D6453"/>
    <w:rsid w:val="005E0189"/>
    <w:rsid w:val="005E29FB"/>
    <w:rsid w:val="005F0253"/>
    <w:rsid w:val="005F196B"/>
    <w:rsid w:val="005F27B9"/>
    <w:rsid w:val="005F3AD5"/>
    <w:rsid w:val="005F4F71"/>
    <w:rsid w:val="005F62D9"/>
    <w:rsid w:val="005F6C53"/>
    <w:rsid w:val="005F7A57"/>
    <w:rsid w:val="00601DA1"/>
    <w:rsid w:val="00601E16"/>
    <w:rsid w:val="006028FA"/>
    <w:rsid w:val="00602B88"/>
    <w:rsid w:val="006038C3"/>
    <w:rsid w:val="0060438B"/>
    <w:rsid w:val="0060620F"/>
    <w:rsid w:val="00606E9A"/>
    <w:rsid w:val="00611119"/>
    <w:rsid w:val="00611CEA"/>
    <w:rsid w:val="006132D5"/>
    <w:rsid w:val="00613D11"/>
    <w:rsid w:val="006140CC"/>
    <w:rsid w:val="0061438B"/>
    <w:rsid w:val="006162F5"/>
    <w:rsid w:val="006212EC"/>
    <w:rsid w:val="006218FD"/>
    <w:rsid w:val="00621934"/>
    <w:rsid w:val="00622A23"/>
    <w:rsid w:val="00624228"/>
    <w:rsid w:val="00624DB5"/>
    <w:rsid w:val="006259CB"/>
    <w:rsid w:val="00626C8D"/>
    <w:rsid w:val="00626D65"/>
    <w:rsid w:val="0062795B"/>
    <w:rsid w:val="00627DBF"/>
    <w:rsid w:val="00627E38"/>
    <w:rsid w:val="00632249"/>
    <w:rsid w:val="00634E01"/>
    <w:rsid w:val="00635709"/>
    <w:rsid w:val="006358E6"/>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1352"/>
    <w:rsid w:val="006541D8"/>
    <w:rsid w:val="006544D5"/>
    <w:rsid w:val="00655103"/>
    <w:rsid w:val="00656F9A"/>
    <w:rsid w:val="006610F6"/>
    <w:rsid w:val="006620BA"/>
    <w:rsid w:val="00662717"/>
    <w:rsid w:val="00664560"/>
    <w:rsid w:val="0066542B"/>
    <w:rsid w:val="006662A1"/>
    <w:rsid w:val="00666ACE"/>
    <w:rsid w:val="00673746"/>
    <w:rsid w:val="00673AF9"/>
    <w:rsid w:val="00673BD7"/>
    <w:rsid w:val="006748D6"/>
    <w:rsid w:val="00675885"/>
    <w:rsid w:val="0068149E"/>
    <w:rsid w:val="0068156F"/>
    <w:rsid w:val="006827D6"/>
    <w:rsid w:val="0068365D"/>
    <w:rsid w:val="006845DD"/>
    <w:rsid w:val="00686670"/>
    <w:rsid w:val="006869A7"/>
    <w:rsid w:val="00687DC9"/>
    <w:rsid w:val="00691CDD"/>
    <w:rsid w:val="0069362E"/>
    <w:rsid w:val="00697107"/>
    <w:rsid w:val="006A1FB2"/>
    <w:rsid w:val="006A2D71"/>
    <w:rsid w:val="006A3AEA"/>
    <w:rsid w:val="006A5D38"/>
    <w:rsid w:val="006A609D"/>
    <w:rsid w:val="006A62A6"/>
    <w:rsid w:val="006A6921"/>
    <w:rsid w:val="006B1528"/>
    <w:rsid w:val="006B231F"/>
    <w:rsid w:val="006B2EB8"/>
    <w:rsid w:val="006B324A"/>
    <w:rsid w:val="006B3803"/>
    <w:rsid w:val="006B4675"/>
    <w:rsid w:val="006B562D"/>
    <w:rsid w:val="006B57FC"/>
    <w:rsid w:val="006B5E4E"/>
    <w:rsid w:val="006B6220"/>
    <w:rsid w:val="006B727B"/>
    <w:rsid w:val="006B788D"/>
    <w:rsid w:val="006C2816"/>
    <w:rsid w:val="006C365F"/>
    <w:rsid w:val="006C4A63"/>
    <w:rsid w:val="006C632A"/>
    <w:rsid w:val="006C688D"/>
    <w:rsid w:val="006C6DCF"/>
    <w:rsid w:val="006C7F55"/>
    <w:rsid w:val="006D0194"/>
    <w:rsid w:val="006D0F34"/>
    <w:rsid w:val="006D11CD"/>
    <w:rsid w:val="006D429F"/>
    <w:rsid w:val="006D4512"/>
    <w:rsid w:val="006D6E03"/>
    <w:rsid w:val="006E30D2"/>
    <w:rsid w:val="006E47D9"/>
    <w:rsid w:val="006E4865"/>
    <w:rsid w:val="006E55E8"/>
    <w:rsid w:val="006E567D"/>
    <w:rsid w:val="006E6B5E"/>
    <w:rsid w:val="006E7CCA"/>
    <w:rsid w:val="006F0F3C"/>
    <w:rsid w:val="006F0F6A"/>
    <w:rsid w:val="006F36D3"/>
    <w:rsid w:val="006F4638"/>
    <w:rsid w:val="006F5C33"/>
    <w:rsid w:val="006F741E"/>
    <w:rsid w:val="007021F5"/>
    <w:rsid w:val="00702608"/>
    <w:rsid w:val="00702DD7"/>
    <w:rsid w:val="00703058"/>
    <w:rsid w:val="007032EB"/>
    <w:rsid w:val="00703F25"/>
    <w:rsid w:val="00704683"/>
    <w:rsid w:val="00704C0F"/>
    <w:rsid w:val="00704D7F"/>
    <w:rsid w:val="007066B5"/>
    <w:rsid w:val="00707B95"/>
    <w:rsid w:val="00710D35"/>
    <w:rsid w:val="0071206F"/>
    <w:rsid w:val="00713346"/>
    <w:rsid w:val="007141DF"/>
    <w:rsid w:val="007142AE"/>
    <w:rsid w:val="0071452E"/>
    <w:rsid w:val="00714C19"/>
    <w:rsid w:val="00716B55"/>
    <w:rsid w:val="00716D3B"/>
    <w:rsid w:val="00717A34"/>
    <w:rsid w:val="00717F9D"/>
    <w:rsid w:val="00720A80"/>
    <w:rsid w:val="00722704"/>
    <w:rsid w:val="00723296"/>
    <w:rsid w:val="00723B1D"/>
    <w:rsid w:val="00723EE3"/>
    <w:rsid w:val="007249C0"/>
    <w:rsid w:val="007250B7"/>
    <w:rsid w:val="007270B2"/>
    <w:rsid w:val="00732DA2"/>
    <w:rsid w:val="00736608"/>
    <w:rsid w:val="00736F54"/>
    <w:rsid w:val="00740060"/>
    <w:rsid w:val="00740CBA"/>
    <w:rsid w:val="00741DBB"/>
    <w:rsid w:val="00742372"/>
    <w:rsid w:val="0074240A"/>
    <w:rsid w:val="00743C6B"/>
    <w:rsid w:val="0074463C"/>
    <w:rsid w:val="00744DD8"/>
    <w:rsid w:val="00745CA2"/>
    <w:rsid w:val="00746029"/>
    <w:rsid w:val="00746174"/>
    <w:rsid w:val="00746D8F"/>
    <w:rsid w:val="00746F9D"/>
    <w:rsid w:val="00750314"/>
    <w:rsid w:val="00750772"/>
    <w:rsid w:val="00750F7C"/>
    <w:rsid w:val="007530DC"/>
    <w:rsid w:val="00753CF3"/>
    <w:rsid w:val="007546AB"/>
    <w:rsid w:val="0075534A"/>
    <w:rsid w:val="007554CF"/>
    <w:rsid w:val="00755AAB"/>
    <w:rsid w:val="00760DC1"/>
    <w:rsid w:val="0076181C"/>
    <w:rsid w:val="00762387"/>
    <w:rsid w:val="00762E30"/>
    <w:rsid w:val="00762EAE"/>
    <w:rsid w:val="00763CB0"/>
    <w:rsid w:val="00766DBF"/>
    <w:rsid w:val="00767E9E"/>
    <w:rsid w:val="00771C0C"/>
    <w:rsid w:val="00771D0E"/>
    <w:rsid w:val="00773E87"/>
    <w:rsid w:val="00774210"/>
    <w:rsid w:val="007743FF"/>
    <w:rsid w:val="00774BE4"/>
    <w:rsid w:val="00775ABC"/>
    <w:rsid w:val="00780A15"/>
    <w:rsid w:val="00782754"/>
    <w:rsid w:val="00782781"/>
    <w:rsid w:val="0078316E"/>
    <w:rsid w:val="007831FC"/>
    <w:rsid w:val="007834DB"/>
    <w:rsid w:val="007843B2"/>
    <w:rsid w:val="00785310"/>
    <w:rsid w:val="00785A76"/>
    <w:rsid w:val="00787C08"/>
    <w:rsid w:val="00787D48"/>
    <w:rsid w:val="00790FC7"/>
    <w:rsid w:val="007929DD"/>
    <w:rsid w:val="007942D9"/>
    <w:rsid w:val="00794997"/>
    <w:rsid w:val="00795893"/>
    <w:rsid w:val="00795A6A"/>
    <w:rsid w:val="00796706"/>
    <w:rsid w:val="007A0133"/>
    <w:rsid w:val="007A354C"/>
    <w:rsid w:val="007A559F"/>
    <w:rsid w:val="007A57BE"/>
    <w:rsid w:val="007A6409"/>
    <w:rsid w:val="007A659F"/>
    <w:rsid w:val="007A6F07"/>
    <w:rsid w:val="007A708A"/>
    <w:rsid w:val="007B0165"/>
    <w:rsid w:val="007B0530"/>
    <w:rsid w:val="007B11A4"/>
    <w:rsid w:val="007B1A77"/>
    <w:rsid w:val="007B3706"/>
    <w:rsid w:val="007B37B1"/>
    <w:rsid w:val="007B3A9A"/>
    <w:rsid w:val="007C09AB"/>
    <w:rsid w:val="007C26D3"/>
    <w:rsid w:val="007C30A7"/>
    <w:rsid w:val="007C384C"/>
    <w:rsid w:val="007C51A5"/>
    <w:rsid w:val="007C5BF3"/>
    <w:rsid w:val="007C6BA1"/>
    <w:rsid w:val="007C7D83"/>
    <w:rsid w:val="007D3214"/>
    <w:rsid w:val="007D3B33"/>
    <w:rsid w:val="007D5378"/>
    <w:rsid w:val="007D7248"/>
    <w:rsid w:val="007D7C12"/>
    <w:rsid w:val="007D7D09"/>
    <w:rsid w:val="007E0DDF"/>
    <w:rsid w:val="007E174A"/>
    <w:rsid w:val="007E36BF"/>
    <w:rsid w:val="007E6165"/>
    <w:rsid w:val="007E6BA9"/>
    <w:rsid w:val="007E7483"/>
    <w:rsid w:val="007F0C2B"/>
    <w:rsid w:val="007F0F86"/>
    <w:rsid w:val="007F1D31"/>
    <w:rsid w:val="007F2112"/>
    <w:rsid w:val="007F28C5"/>
    <w:rsid w:val="007F3034"/>
    <w:rsid w:val="007F3452"/>
    <w:rsid w:val="007F5FFE"/>
    <w:rsid w:val="007F610C"/>
    <w:rsid w:val="007F72A0"/>
    <w:rsid w:val="007F7416"/>
    <w:rsid w:val="007F7827"/>
    <w:rsid w:val="007F78CB"/>
    <w:rsid w:val="00800633"/>
    <w:rsid w:val="0080091B"/>
    <w:rsid w:val="008101DA"/>
    <w:rsid w:val="0081243C"/>
    <w:rsid w:val="00812764"/>
    <w:rsid w:val="008148BC"/>
    <w:rsid w:val="00815169"/>
    <w:rsid w:val="0081623B"/>
    <w:rsid w:val="008170B0"/>
    <w:rsid w:val="00817FFC"/>
    <w:rsid w:val="0082084A"/>
    <w:rsid w:val="0082089D"/>
    <w:rsid w:val="00821726"/>
    <w:rsid w:val="008241B9"/>
    <w:rsid w:val="00824FDE"/>
    <w:rsid w:val="008253FA"/>
    <w:rsid w:val="0082569A"/>
    <w:rsid w:val="0082612B"/>
    <w:rsid w:val="008266F8"/>
    <w:rsid w:val="00826E64"/>
    <w:rsid w:val="00826FB4"/>
    <w:rsid w:val="00827213"/>
    <w:rsid w:val="00827565"/>
    <w:rsid w:val="008276B4"/>
    <w:rsid w:val="00827AF1"/>
    <w:rsid w:val="00827CFA"/>
    <w:rsid w:val="00827F46"/>
    <w:rsid w:val="0083059C"/>
    <w:rsid w:val="00831A98"/>
    <w:rsid w:val="00836A83"/>
    <w:rsid w:val="00841DA3"/>
    <w:rsid w:val="00842CCB"/>
    <w:rsid w:val="008437A5"/>
    <w:rsid w:val="00844693"/>
    <w:rsid w:val="008460D9"/>
    <w:rsid w:val="00847C44"/>
    <w:rsid w:val="008514C2"/>
    <w:rsid w:val="00853093"/>
    <w:rsid w:val="00853F95"/>
    <w:rsid w:val="00855EC3"/>
    <w:rsid w:val="00857CA9"/>
    <w:rsid w:val="00857D6D"/>
    <w:rsid w:val="00861559"/>
    <w:rsid w:val="008619AA"/>
    <w:rsid w:val="00861BC9"/>
    <w:rsid w:val="008641EB"/>
    <w:rsid w:val="00864D27"/>
    <w:rsid w:val="0086578E"/>
    <w:rsid w:val="00865A22"/>
    <w:rsid w:val="00865E8A"/>
    <w:rsid w:val="008667D3"/>
    <w:rsid w:val="00866878"/>
    <w:rsid w:val="008668FB"/>
    <w:rsid w:val="00870D12"/>
    <w:rsid w:val="00871622"/>
    <w:rsid w:val="008733D4"/>
    <w:rsid w:val="00874351"/>
    <w:rsid w:val="00874CE7"/>
    <w:rsid w:val="00874DD2"/>
    <w:rsid w:val="0087558A"/>
    <w:rsid w:val="00875DD5"/>
    <w:rsid w:val="00881CCA"/>
    <w:rsid w:val="0088357C"/>
    <w:rsid w:val="00884B02"/>
    <w:rsid w:val="0088622D"/>
    <w:rsid w:val="00886530"/>
    <w:rsid w:val="0088667C"/>
    <w:rsid w:val="00886EAA"/>
    <w:rsid w:val="00887898"/>
    <w:rsid w:val="00890371"/>
    <w:rsid w:val="008904EB"/>
    <w:rsid w:val="0089172A"/>
    <w:rsid w:val="00891F50"/>
    <w:rsid w:val="00892775"/>
    <w:rsid w:val="008929A7"/>
    <w:rsid w:val="0089384B"/>
    <w:rsid w:val="00896041"/>
    <w:rsid w:val="008971E0"/>
    <w:rsid w:val="00897E91"/>
    <w:rsid w:val="008A0316"/>
    <w:rsid w:val="008A06C3"/>
    <w:rsid w:val="008A0CB5"/>
    <w:rsid w:val="008A2FA6"/>
    <w:rsid w:val="008A35AA"/>
    <w:rsid w:val="008A3D44"/>
    <w:rsid w:val="008A6DD8"/>
    <w:rsid w:val="008B0A66"/>
    <w:rsid w:val="008B23EF"/>
    <w:rsid w:val="008B2C70"/>
    <w:rsid w:val="008B2FEF"/>
    <w:rsid w:val="008B3FD5"/>
    <w:rsid w:val="008B4D5A"/>
    <w:rsid w:val="008B4D9A"/>
    <w:rsid w:val="008B5166"/>
    <w:rsid w:val="008B6C7F"/>
    <w:rsid w:val="008B6C99"/>
    <w:rsid w:val="008B7004"/>
    <w:rsid w:val="008B713A"/>
    <w:rsid w:val="008B7206"/>
    <w:rsid w:val="008B7336"/>
    <w:rsid w:val="008C3F19"/>
    <w:rsid w:val="008C7011"/>
    <w:rsid w:val="008C72FF"/>
    <w:rsid w:val="008C7978"/>
    <w:rsid w:val="008D2E58"/>
    <w:rsid w:val="008D2EA1"/>
    <w:rsid w:val="008D355E"/>
    <w:rsid w:val="008D3588"/>
    <w:rsid w:val="008D3884"/>
    <w:rsid w:val="008D4429"/>
    <w:rsid w:val="008D6258"/>
    <w:rsid w:val="008D62D7"/>
    <w:rsid w:val="008D682A"/>
    <w:rsid w:val="008D696E"/>
    <w:rsid w:val="008D75B3"/>
    <w:rsid w:val="008D769B"/>
    <w:rsid w:val="008E103C"/>
    <w:rsid w:val="008E12EB"/>
    <w:rsid w:val="008E1A6C"/>
    <w:rsid w:val="008E4607"/>
    <w:rsid w:val="008E59EB"/>
    <w:rsid w:val="008E5FF6"/>
    <w:rsid w:val="008E6D3B"/>
    <w:rsid w:val="008F2A8D"/>
    <w:rsid w:val="008F351B"/>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14AE"/>
    <w:rsid w:val="009225A6"/>
    <w:rsid w:val="00922978"/>
    <w:rsid w:val="009246A1"/>
    <w:rsid w:val="009249C5"/>
    <w:rsid w:val="00927435"/>
    <w:rsid w:val="00927495"/>
    <w:rsid w:val="009277AE"/>
    <w:rsid w:val="00931ED1"/>
    <w:rsid w:val="00932586"/>
    <w:rsid w:val="00933594"/>
    <w:rsid w:val="00933904"/>
    <w:rsid w:val="009364C1"/>
    <w:rsid w:val="00943D86"/>
    <w:rsid w:val="00943DCD"/>
    <w:rsid w:val="00943E94"/>
    <w:rsid w:val="00944DDE"/>
    <w:rsid w:val="00945693"/>
    <w:rsid w:val="009463F2"/>
    <w:rsid w:val="0094688B"/>
    <w:rsid w:val="00947662"/>
    <w:rsid w:val="0095094F"/>
    <w:rsid w:val="00953119"/>
    <w:rsid w:val="00953446"/>
    <w:rsid w:val="00953A8B"/>
    <w:rsid w:val="0095414F"/>
    <w:rsid w:val="00954913"/>
    <w:rsid w:val="00955037"/>
    <w:rsid w:val="00955C3E"/>
    <w:rsid w:val="00956FD1"/>
    <w:rsid w:val="00961263"/>
    <w:rsid w:val="00961907"/>
    <w:rsid w:val="00961D6E"/>
    <w:rsid w:val="00961F52"/>
    <w:rsid w:val="009639D8"/>
    <w:rsid w:val="00965D95"/>
    <w:rsid w:val="00965E53"/>
    <w:rsid w:val="00970002"/>
    <w:rsid w:val="00970058"/>
    <w:rsid w:val="00970627"/>
    <w:rsid w:val="00971061"/>
    <w:rsid w:val="00971DE0"/>
    <w:rsid w:val="00974B2D"/>
    <w:rsid w:val="009768C7"/>
    <w:rsid w:val="009775BB"/>
    <w:rsid w:val="00977E6D"/>
    <w:rsid w:val="00980EE0"/>
    <w:rsid w:val="00981602"/>
    <w:rsid w:val="00981E45"/>
    <w:rsid w:val="00981EA6"/>
    <w:rsid w:val="0098279D"/>
    <w:rsid w:val="00982B15"/>
    <w:rsid w:val="00982F8A"/>
    <w:rsid w:val="00983408"/>
    <w:rsid w:val="00986F18"/>
    <w:rsid w:val="0098753F"/>
    <w:rsid w:val="00990375"/>
    <w:rsid w:val="00990719"/>
    <w:rsid w:val="009909E8"/>
    <w:rsid w:val="00992BC7"/>
    <w:rsid w:val="00993AA7"/>
    <w:rsid w:val="00993D6D"/>
    <w:rsid w:val="00994327"/>
    <w:rsid w:val="00994C45"/>
    <w:rsid w:val="009960C8"/>
    <w:rsid w:val="00997145"/>
    <w:rsid w:val="009974C2"/>
    <w:rsid w:val="00997664"/>
    <w:rsid w:val="00997906"/>
    <w:rsid w:val="009A1160"/>
    <w:rsid w:val="009A25F4"/>
    <w:rsid w:val="009A4AE9"/>
    <w:rsid w:val="009A5C6A"/>
    <w:rsid w:val="009B2161"/>
    <w:rsid w:val="009B2AFA"/>
    <w:rsid w:val="009B3245"/>
    <w:rsid w:val="009B33F0"/>
    <w:rsid w:val="009B41BB"/>
    <w:rsid w:val="009B44F1"/>
    <w:rsid w:val="009B5534"/>
    <w:rsid w:val="009B5B63"/>
    <w:rsid w:val="009C148D"/>
    <w:rsid w:val="009C1ADC"/>
    <w:rsid w:val="009C2482"/>
    <w:rsid w:val="009C4CCC"/>
    <w:rsid w:val="009C5CAD"/>
    <w:rsid w:val="009D11EF"/>
    <w:rsid w:val="009D2B1D"/>
    <w:rsid w:val="009D39E5"/>
    <w:rsid w:val="009D4530"/>
    <w:rsid w:val="009D6C7B"/>
    <w:rsid w:val="009D7B45"/>
    <w:rsid w:val="009E0008"/>
    <w:rsid w:val="009E0EA7"/>
    <w:rsid w:val="009E19E9"/>
    <w:rsid w:val="009E2D8D"/>
    <w:rsid w:val="009E71B1"/>
    <w:rsid w:val="009F05AC"/>
    <w:rsid w:val="009F1A51"/>
    <w:rsid w:val="009F2352"/>
    <w:rsid w:val="009F404D"/>
    <w:rsid w:val="009F527B"/>
    <w:rsid w:val="00A01319"/>
    <w:rsid w:val="00A0497F"/>
    <w:rsid w:val="00A07902"/>
    <w:rsid w:val="00A10026"/>
    <w:rsid w:val="00A105D3"/>
    <w:rsid w:val="00A10B82"/>
    <w:rsid w:val="00A13228"/>
    <w:rsid w:val="00A1406A"/>
    <w:rsid w:val="00A22512"/>
    <w:rsid w:val="00A233EB"/>
    <w:rsid w:val="00A24011"/>
    <w:rsid w:val="00A25BD3"/>
    <w:rsid w:val="00A25F53"/>
    <w:rsid w:val="00A268F2"/>
    <w:rsid w:val="00A273CD"/>
    <w:rsid w:val="00A27A58"/>
    <w:rsid w:val="00A30939"/>
    <w:rsid w:val="00A317E0"/>
    <w:rsid w:val="00A36D05"/>
    <w:rsid w:val="00A406B6"/>
    <w:rsid w:val="00A40719"/>
    <w:rsid w:val="00A41DC4"/>
    <w:rsid w:val="00A4310B"/>
    <w:rsid w:val="00A437B6"/>
    <w:rsid w:val="00A4419B"/>
    <w:rsid w:val="00A441D8"/>
    <w:rsid w:val="00A47100"/>
    <w:rsid w:val="00A478C6"/>
    <w:rsid w:val="00A5045C"/>
    <w:rsid w:val="00A515EC"/>
    <w:rsid w:val="00A52083"/>
    <w:rsid w:val="00A525B4"/>
    <w:rsid w:val="00A5513B"/>
    <w:rsid w:val="00A56D34"/>
    <w:rsid w:val="00A617C7"/>
    <w:rsid w:val="00A62D68"/>
    <w:rsid w:val="00A64091"/>
    <w:rsid w:val="00A65B69"/>
    <w:rsid w:val="00A66633"/>
    <w:rsid w:val="00A70800"/>
    <w:rsid w:val="00A70CD3"/>
    <w:rsid w:val="00A737CD"/>
    <w:rsid w:val="00A73AE4"/>
    <w:rsid w:val="00A76477"/>
    <w:rsid w:val="00A77EA8"/>
    <w:rsid w:val="00A80A75"/>
    <w:rsid w:val="00A8232E"/>
    <w:rsid w:val="00A84026"/>
    <w:rsid w:val="00A84770"/>
    <w:rsid w:val="00A84DEF"/>
    <w:rsid w:val="00A8522C"/>
    <w:rsid w:val="00A85BF2"/>
    <w:rsid w:val="00A86555"/>
    <w:rsid w:val="00A870EE"/>
    <w:rsid w:val="00A87AEF"/>
    <w:rsid w:val="00A902FD"/>
    <w:rsid w:val="00A90C15"/>
    <w:rsid w:val="00A90E33"/>
    <w:rsid w:val="00A919E1"/>
    <w:rsid w:val="00A91A75"/>
    <w:rsid w:val="00A921D6"/>
    <w:rsid w:val="00A94450"/>
    <w:rsid w:val="00A94EE3"/>
    <w:rsid w:val="00A9733E"/>
    <w:rsid w:val="00AA00C1"/>
    <w:rsid w:val="00AA06B3"/>
    <w:rsid w:val="00AA1B86"/>
    <w:rsid w:val="00AA1D46"/>
    <w:rsid w:val="00AA1DCC"/>
    <w:rsid w:val="00AA23F2"/>
    <w:rsid w:val="00AA3F29"/>
    <w:rsid w:val="00AA5B81"/>
    <w:rsid w:val="00AA6A8D"/>
    <w:rsid w:val="00AA788C"/>
    <w:rsid w:val="00AB178E"/>
    <w:rsid w:val="00AB389F"/>
    <w:rsid w:val="00AB6E3D"/>
    <w:rsid w:val="00AB7A62"/>
    <w:rsid w:val="00AC3A9B"/>
    <w:rsid w:val="00AC48B9"/>
    <w:rsid w:val="00AC6648"/>
    <w:rsid w:val="00AC683E"/>
    <w:rsid w:val="00AC6ACB"/>
    <w:rsid w:val="00AC76DE"/>
    <w:rsid w:val="00AC7FFA"/>
    <w:rsid w:val="00AD2515"/>
    <w:rsid w:val="00AD352B"/>
    <w:rsid w:val="00AD4A06"/>
    <w:rsid w:val="00AD5119"/>
    <w:rsid w:val="00AD54D7"/>
    <w:rsid w:val="00AD7C5A"/>
    <w:rsid w:val="00AE3BBE"/>
    <w:rsid w:val="00AE58E1"/>
    <w:rsid w:val="00AE760D"/>
    <w:rsid w:val="00AF0459"/>
    <w:rsid w:val="00AF0CC0"/>
    <w:rsid w:val="00AF1028"/>
    <w:rsid w:val="00AF2EDB"/>
    <w:rsid w:val="00AF46AF"/>
    <w:rsid w:val="00AF666B"/>
    <w:rsid w:val="00AF7806"/>
    <w:rsid w:val="00B00B6E"/>
    <w:rsid w:val="00B00CB2"/>
    <w:rsid w:val="00B00E64"/>
    <w:rsid w:val="00B01097"/>
    <w:rsid w:val="00B013D2"/>
    <w:rsid w:val="00B057A3"/>
    <w:rsid w:val="00B05F2B"/>
    <w:rsid w:val="00B0678B"/>
    <w:rsid w:val="00B06B61"/>
    <w:rsid w:val="00B11BD0"/>
    <w:rsid w:val="00B120B9"/>
    <w:rsid w:val="00B122C2"/>
    <w:rsid w:val="00B12A5F"/>
    <w:rsid w:val="00B12B3A"/>
    <w:rsid w:val="00B1414C"/>
    <w:rsid w:val="00B15741"/>
    <w:rsid w:val="00B17162"/>
    <w:rsid w:val="00B208BE"/>
    <w:rsid w:val="00B230AC"/>
    <w:rsid w:val="00B23E1D"/>
    <w:rsid w:val="00B2428E"/>
    <w:rsid w:val="00B257F8"/>
    <w:rsid w:val="00B26126"/>
    <w:rsid w:val="00B26AC4"/>
    <w:rsid w:val="00B30835"/>
    <w:rsid w:val="00B3085E"/>
    <w:rsid w:val="00B3218B"/>
    <w:rsid w:val="00B378E1"/>
    <w:rsid w:val="00B462B0"/>
    <w:rsid w:val="00B507A8"/>
    <w:rsid w:val="00B514E3"/>
    <w:rsid w:val="00B51502"/>
    <w:rsid w:val="00B51CC3"/>
    <w:rsid w:val="00B53466"/>
    <w:rsid w:val="00B550E5"/>
    <w:rsid w:val="00B57A86"/>
    <w:rsid w:val="00B57E1F"/>
    <w:rsid w:val="00B6049F"/>
    <w:rsid w:val="00B60CAE"/>
    <w:rsid w:val="00B6279C"/>
    <w:rsid w:val="00B63495"/>
    <w:rsid w:val="00B640DB"/>
    <w:rsid w:val="00B64F8B"/>
    <w:rsid w:val="00B65393"/>
    <w:rsid w:val="00B6555E"/>
    <w:rsid w:val="00B6560A"/>
    <w:rsid w:val="00B6572D"/>
    <w:rsid w:val="00B657B2"/>
    <w:rsid w:val="00B66964"/>
    <w:rsid w:val="00B701CC"/>
    <w:rsid w:val="00B70B2A"/>
    <w:rsid w:val="00B70C00"/>
    <w:rsid w:val="00B713F9"/>
    <w:rsid w:val="00B725B9"/>
    <w:rsid w:val="00B7322D"/>
    <w:rsid w:val="00B7394E"/>
    <w:rsid w:val="00B74125"/>
    <w:rsid w:val="00B74717"/>
    <w:rsid w:val="00B75320"/>
    <w:rsid w:val="00B762B2"/>
    <w:rsid w:val="00B76A24"/>
    <w:rsid w:val="00B76C5D"/>
    <w:rsid w:val="00B807F6"/>
    <w:rsid w:val="00B8145F"/>
    <w:rsid w:val="00B8243F"/>
    <w:rsid w:val="00B841A9"/>
    <w:rsid w:val="00B84727"/>
    <w:rsid w:val="00B85F40"/>
    <w:rsid w:val="00B8655A"/>
    <w:rsid w:val="00B874F3"/>
    <w:rsid w:val="00B91090"/>
    <w:rsid w:val="00B9156C"/>
    <w:rsid w:val="00B930C4"/>
    <w:rsid w:val="00B930F2"/>
    <w:rsid w:val="00B93190"/>
    <w:rsid w:val="00B94070"/>
    <w:rsid w:val="00B94749"/>
    <w:rsid w:val="00B9537A"/>
    <w:rsid w:val="00B96AA3"/>
    <w:rsid w:val="00BA2179"/>
    <w:rsid w:val="00BA6526"/>
    <w:rsid w:val="00BA6A61"/>
    <w:rsid w:val="00BB0E10"/>
    <w:rsid w:val="00BB3BBE"/>
    <w:rsid w:val="00BB6706"/>
    <w:rsid w:val="00BC1D2E"/>
    <w:rsid w:val="00BC23F7"/>
    <w:rsid w:val="00BC56E3"/>
    <w:rsid w:val="00BD0B50"/>
    <w:rsid w:val="00BD1034"/>
    <w:rsid w:val="00BE059D"/>
    <w:rsid w:val="00BE3049"/>
    <w:rsid w:val="00BE31E8"/>
    <w:rsid w:val="00BE39E1"/>
    <w:rsid w:val="00BE52BC"/>
    <w:rsid w:val="00BF1C0E"/>
    <w:rsid w:val="00BF1CE5"/>
    <w:rsid w:val="00BF303E"/>
    <w:rsid w:val="00BF3EE3"/>
    <w:rsid w:val="00BF5CAD"/>
    <w:rsid w:val="00BF61A5"/>
    <w:rsid w:val="00BF6D52"/>
    <w:rsid w:val="00BF7589"/>
    <w:rsid w:val="00BF7B8F"/>
    <w:rsid w:val="00C01DB3"/>
    <w:rsid w:val="00C02B65"/>
    <w:rsid w:val="00C03236"/>
    <w:rsid w:val="00C04900"/>
    <w:rsid w:val="00C056B1"/>
    <w:rsid w:val="00C07554"/>
    <w:rsid w:val="00C079CB"/>
    <w:rsid w:val="00C11BFA"/>
    <w:rsid w:val="00C126A1"/>
    <w:rsid w:val="00C13C8B"/>
    <w:rsid w:val="00C151E8"/>
    <w:rsid w:val="00C169CD"/>
    <w:rsid w:val="00C2125F"/>
    <w:rsid w:val="00C232B8"/>
    <w:rsid w:val="00C24363"/>
    <w:rsid w:val="00C25436"/>
    <w:rsid w:val="00C30FD2"/>
    <w:rsid w:val="00C3180D"/>
    <w:rsid w:val="00C325B9"/>
    <w:rsid w:val="00C32A46"/>
    <w:rsid w:val="00C33B54"/>
    <w:rsid w:val="00C34F23"/>
    <w:rsid w:val="00C35B9A"/>
    <w:rsid w:val="00C43018"/>
    <w:rsid w:val="00C43F36"/>
    <w:rsid w:val="00C4420B"/>
    <w:rsid w:val="00C4483D"/>
    <w:rsid w:val="00C45E81"/>
    <w:rsid w:val="00C4686F"/>
    <w:rsid w:val="00C47192"/>
    <w:rsid w:val="00C47BA9"/>
    <w:rsid w:val="00C50456"/>
    <w:rsid w:val="00C50655"/>
    <w:rsid w:val="00C51368"/>
    <w:rsid w:val="00C5449B"/>
    <w:rsid w:val="00C553BF"/>
    <w:rsid w:val="00C55F9F"/>
    <w:rsid w:val="00C5687A"/>
    <w:rsid w:val="00C569CB"/>
    <w:rsid w:val="00C57D04"/>
    <w:rsid w:val="00C61360"/>
    <w:rsid w:val="00C61A87"/>
    <w:rsid w:val="00C61BE9"/>
    <w:rsid w:val="00C62978"/>
    <w:rsid w:val="00C63530"/>
    <w:rsid w:val="00C63584"/>
    <w:rsid w:val="00C66335"/>
    <w:rsid w:val="00C70DA5"/>
    <w:rsid w:val="00C71655"/>
    <w:rsid w:val="00C716C4"/>
    <w:rsid w:val="00C71CCE"/>
    <w:rsid w:val="00C735C3"/>
    <w:rsid w:val="00C73B18"/>
    <w:rsid w:val="00C74451"/>
    <w:rsid w:val="00C756DC"/>
    <w:rsid w:val="00C76B3B"/>
    <w:rsid w:val="00C76B96"/>
    <w:rsid w:val="00C7780F"/>
    <w:rsid w:val="00C810F6"/>
    <w:rsid w:val="00C855B0"/>
    <w:rsid w:val="00C855E8"/>
    <w:rsid w:val="00C8745B"/>
    <w:rsid w:val="00C87F34"/>
    <w:rsid w:val="00C96251"/>
    <w:rsid w:val="00CA1FB8"/>
    <w:rsid w:val="00CA3D1C"/>
    <w:rsid w:val="00CA55C9"/>
    <w:rsid w:val="00CA6AE2"/>
    <w:rsid w:val="00CA7CDA"/>
    <w:rsid w:val="00CA7D51"/>
    <w:rsid w:val="00CB3441"/>
    <w:rsid w:val="00CB4335"/>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E38"/>
    <w:rsid w:val="00CD14EE"/>
    <w:rsid w:val="00CD3951"/>
    <w:rsid w:val="00CD6407"/>
    <w:rsid w:val="00CD7625"/>
    <w:rsid w:val="00CE0741"/>
    <w:rsid w:val="00CE087B"/>
    <w:rsid w:val="00CE33BB"/>
    <w:rsid w:val="00CE433D"/>
    <w:rsid w:val="00CE5C34"/>
    <w:rsid w:val="00CE6B61"/>
    <w:rsid w:val="00CF1567"/>
    <w:rsid w:val="00CF1BA6"/>
    <w:rsid w:val="00CF1D49"/>
    <w:rsid w:val="00CF2220"/>
    <w:rsid w:val="00CF48EF"/>
    <w:rsid w:val="00CF5831"/>
    <w:rsid w:val="00CF7953"/>
    <w:rsid w:val="00D00216"/>
    <w:rsid w:val="00D00D53"/>
    <w:rsid w:val="00D01D0C"/>
    <w:rsid w:val="00D0390E"/>
    <w:rsid w:val="00D03BF9"/>
    <w:rsid w:val="00D040E4"/>
    <w:rsid w:val="00D04116"/>
    <w:rsid w:val="00D052E5"/>
    <w:rsid w:val="00D05AD2"/>
    <w:rsid w:val="00D05E9B"/>
    <w:rsid w:val="00D076A0"/>
    <w:rsid w:val="00D12E4A"/>
    <w:rsid w:val="00D1329D"/>
    <w:rsid w:val="00D14AF3"/>
    <w:rsid w:val="00D14FF4"/>
    <w:rsid w:val="00D153A1"/>
    <w:rsid w:val="00D15D01"/>
    <w:rsid w:val="00D201F4"/>
    <w:rsid w:val="00D20CA4"/>
    <w:rsid w:val="00D20D5E"/>
    <w:rsid w:val="00D214F5"/>
    <w:rsid w:val="00D21C3E"/>
    <w:rsid w:val="00D220CB"/>
    <w:rsid w:val="00D22C99"/>
    <w:rsid w:val="00D24D4A"/>
    <w:rsid w:val="00D266E1"/>
    <w:rsid w:val="00D27403"/>
    <w:rsid w:val="00D27438"/>
    <w:rsid w:val="00D3053F"/>
    <w:rsid w:val="00D31CFA"/>
    <w:rsid w:val="00D32E0A"/>
    <w:rsid w:val="00D330AB"/>
    <w:rsid w:val="00D3314C"/>
    <w:rsid w:val="00D34323"/>
    <w:rsid w:val="00D3567F"/>
    <w:rsid w:val="00D3588A"/>
    <w:rsid w:val="00D360EA"/>
    <w:rsid w:val="00D37186"/>
    <w:rsid w:val="00D40F56"/>
    <w:rsid w:val="00D41102"/>
    <w:rsid w:val="00D42938"/>
    <w:rsid w:val="00D436A2"/>
    <w:rsid w:val="00D4394D"/>
    <w:rsid w:val="00D43B01"/>
    <w:rsid w:val="00D43FF0"/>
    <w:rsid w:val="00D466C1"/>
    <w:rsid w:val="00D5008E"/>
    <w:rsid w:val="00D50BF6"/>
    <w:rsid w:val="00D51298"/>
    <w:rsid w:val="00D51F1D"/>
    <w:rsid w:val="00D5367C"/>
    <w:rsid w:val="00D54704"/>
    <w:rsid w:val="00D547F5"/>
    <w:rsid w:val="00D54D31"/>
    <w:rsid w:val="00D55835"/>
    <w:rsid w:val="00D56867"/>
    <w:rsid w:val="00D579D9"/>
    <w:rsid w:val="00D60C57"/>
    <w:rsid w:val="00D61184"/>
    <w:rsid w:val="00D628BA"/>
    <w:rsid w:val="00D62D7A"/>
    <w:rsid w:val="00D646EF"/>
    <w:rsid w:val="00D65047"/>
    <w:rsid w:val="00D65943"/>
    <w:rsid w:val="00D678EB"/>
    <w:rsid w:val="00D67A9A"/>
    <w:rsid w:val="00D67B99"/>
    <w:rsid w:val="00D72C5E"/>
    <w:rsid w:val="00D72F9D"/>
    <w:rsid w:val="00D73195"/>
    <w:rsid w:val="00D73D18"/>
    <w:rsid w:val="00D74935"/>
    <w:rsid w:val="00D767F4"/>
    <w:rsid w:val="00D80B74"/>
    <w:rsid w:val="00D879F9"/>
    <w:rsid w:val="00D87E19"/>
    <w:rsid w:val="00D90250"/>
    <w:rsid w:val="00D9048A"/>
    <w:rsid w:val="00D90E1E"/>
    <w:rsid w:val="00D9445F"/>
    <w:rsid w:val="00D9458E"/>
    <w:rsid w:val="00D94904"/>
    <w:rsid w:val="00D96082"/>
    <w:rsid w:val="00D963EA"/>
    <w:rsid w:val="00D96509"/>
    <w:rsid w:val="00D97EAA"/>
    <w:rsid w:val="00DA019A"/>
    <w:rsid w:val="00DA1D15"/>
    <w:rsid w:val="00DA2D4F"/>
    <w:rsid w:val="00DA3702"/>
    <w:rsid w:val="00DA3803"/>
    <w:rsid w:val="00DA3916"/>
    <w:rsid w:val="00DA3E33"/>
    <w:rsid w:val="00DA40AA"/>
    <w:rsid w:val="00DA41CA"/>
    <w:rsid w:val="00DA4881"/>
    <w:rsid w:val="00DA53A0"/>
    <w:rsid w:val="00DA5FBF"/>
    <w:rsid w:val="00DA6468"/>
    <w:rsid w:val="00DA6765"/>
    <w:rsid w:val="00DA6AD8"/>
    <w:rsid w:val="00DA6EE3"/>
    <w:rsid w:val="00DA79A0"/>
    <w:rsid w:val="00DB36A1"/>
    <w:rsid w:val="00DB6A8E"/>
    <w:rsid w:val="00DC09FD"/>
    <w:rsid w:val="00DC0DB5"/>
    <w:rsid w:val="00DC18B9"/>
    <w:rsid w:val="00DC45FE"/>
    <w:rsid w:val="00DC4F1A"/>
    <w:rsid w:val="00DC516A"/>
    <w:rsid w:val="00DC7978"/>
    <w:rsid w:val="00DD0A4B"/>
    <w:rsid w:val="00DD0C64"/>
    <w:rsid w:val="00DD1AFB"/>
    <w:rsid w:val="00DD27F1"/>
    <w:rsid w:val="00DD3BE2"/>
    <w:rsid w:val="00DD4528"/>
    <w:rsid w:val="00DD53A7"/>
    <w:rsid w:val="00DD56A4"/>
    <w:rsid w:val="00DD5DCA"/>
    <w:rsid w:val="00DD6105"/>
    <w:rsid w:val="00DD72CD"/>
    <w:rsid w:val="00DE05E1"/>
    <w:rsid w:val="00DE3476"/>
    <w:rsid w:val="00DE4379"/>
    <w:rsid w:val="00DE50F1"/>
    <w:rsid w:val="00DE633F"/>
    <w:rsid w:val="00DE70D9"/>
    <w:rsid w:val="00DE78CA"/>
    <w:rsid w:val="00DF0229"/>
    <w:rsid w:val="00DF304F"/>
    <w:rsid w:val="00DF38F8"/>
    <w:rsid w:val="00DF45B1"/>
    <w:rsid w:val="00DF6319"/>
    <w:rsid w:val="00DF6BD8"/>
    <w:rsid w:val="00DF783A"/>
    <w:rsid w:val="00E02500"/>
    <w:rsid w:val="00E02857"/>
    <w:rsid w:val="00E05381"/>
    <w:rsid w:val="00E101F3"/>
    <w:rsid w:val="00E106B1"/>
    <w:rsid w:val="00E10B03"/>
    <w:rsid w:val="00E10CD8"/>
    <w:rsid w:val="00E11B05"/>
    <w:rsid w:val="00E11F26"/>
    <w:rsid w:val="00E11FAF"/>
    <w:rsid w:val="00E12766"/>
    <w:rsid w:val="00E141FF"/>
    <w:rsid w:val="00E14466"/>
    <w:rsid w:val="00E174CD"/>
    <w:rsid w:val="00E176A7"/>
    <w:rsid w:val="00E20192"/>
    <w:rsid w:val="00E240DA"/>
    <w:rsid w:val="00E2460D"/>
    <w:rsid w:val="00E24BAE"/>
    <w:rsid w:val="00E26015"/>
    <w:rsid w:val="00E27A70"/>
    <w:rsid w:val="00E30609"/>
    <w:rsid w:val="00E31941"/>
    <w:rsid w:val="00E33B1F"/>
    <w:rsid w:val="00E343B0"/>
    <w:rsid w:val="00E35017"/>
    <w:rsid w:val="00E355E6"/>
    <w:rsid w:val="00E365A5"/>
    <w:rsid w:val="00E40F3D"/>
    <w:rsid w:val="00E41248"/>
    <w:rsid w:val="00E41440"/>
    <w:rsid w:val="00E41F54"/>
    <w:rsid w:val="00E420B8"/>
    <w:rsid w:val="00E43134"/>
    <w:rsid w:val="00E441CE"/>
    <w:rsid w:val="00E46BBE"/>
    <w:rsid w:val="00E47286"/>
    <w:rsid w:val="00E47675"/>
    <w:rsid w:val="00E478C3"/>
    <w:rsid w:val="00E50115"/>
    <w:rsid w:val="00E51132"/>
    <w:rsid w:val="00E5173A"/>
    <w:rsid w:val="00E52137"/>
    <w:rsid w:val="00E521E3"/>
    <w:rsid w:val="00E52A7D"/>
    <w:rsid w:val="00E54E26"/>
    <w:rsid w:val="00E552BF"/>
    <w:rsid w:val="00E55E4E"/>
    <w:rsid w:val="00E57235"/>
    <w:rsid w:val="00E57A93"/>
    <w:rsid w:val="00E62684"/>
    <w:rsid w:val="00E63ED8"/>
    <w:rsid w:val="00E63FF8"/>
    <w:rsid w:val="00E669D9"/>
    <w:rsid w:val="00E66BF7"/>
    <w:rsid w:val="00E674AD"/>
    <w:rsid w:val="00E70940"/>
    <w:rsid w:val="00E7129C"/>
    <w:rsid w:val="00E717B9"/>
    <w:rsid w:val="00E748C9"/>
    <w:rsid w:val="00E74B49"/>
    <w:rsid w:val="00E76519"/>
    <w:rsid w:val="00E80778"/>
    <w:rsid w:val="00E80F55"/>
    <w:rsid w:val="00E82762"/>
    <w:rsid w:val="00E85501"/>
    <w:rsid w:val="00E86E07"/>
    <w:rsid w:val="00E9081D"/>
    <w:rsid w:val="00E91FD1"/>
    <w:rsid w:val="00E93FC3"/>
    <w:rsid w:val="00E94FCE"/>
    <w:rsid w:val="00E954C7"/>
    <w:rsid w:val="00E96579"/>
    <w:rsid w:val="00E973A1"/>
    <w:rsid w:val="00EA09B6"/>
    <w:rsid w:val="00EA21B1"/>
    <w:rsid w:val="00EA2782"/>
    <w:rsid w:val="00EA303A"/>
    <w:rsid w:val="00EA3F46"/>
    <w:rsid w:val="00EA440C"/>
    <w:rsid w:val="00EA48DF"/>
    <w:rsid w:val="00EA4E6E"/>
    <w:rsid w:val="00EA589C"/>
    <w:rsid w:val="00EA663F"/>
    <w:rsid w:val="00EB099E"/>
    <w:rsid w:val="00EB359B"/>
    <w:rsid w:val="00EB4E35"/>
    <w:rsid w:val="00EB59F8"/>
    <w:rsid w:val="00EB7500"/>
    <w:rsid w:val="00EB7A6E"/>
    <w:rsid w:val="00EC00EA"/>
    <w:rsid w:val="00EC055C"/>
    <w:rsid w:val="00EC07A2"/>
    <w:rsid w:val="00EC1AE2"/>
    <w:rsid w:val="00EC3E30"/>
    <w:rsid w:val="00EC42CA"/>
    <w:rsid w:val="00EC5578"/>
    <w:rsid w:val="00ED00EB"/>
    <w:rsid w:val="00ED1535"/>
    <w:rsid w:val="00ED161A"/>
    <w:rsid w:val="00ED215A"/>
    <w:rsid w:val="00ED28A0"/>
    <w:rsid w:val="00ED6B8A"/>
    <w:rsid w:val="00ED6E64"/>
    <w:rsid w:val="00ED759A"/>
    <w:rsid w:val="00ED7EC6"/>
    <w:rsid w:val="00EE2CAD"/>
    <w:rsid w:val="00EE2DDB"/>
    <w:rsid w:val="00EE3223"/>
    <w:rsid w:val="00EE32AB"/>
    <w:rsid w:val="00EE361C"/>
    <w:rsid w:val="00EE5F01"/>
    <w:rsid w:val="00EE769B"/>
    <w:rsid w:val="00EF005C"/>
    <w:rsid w:val="00EF0BA8"/>
    <w:rsid w:val="00EF23BF"/>
    <w:rsid w:val="00EF388D"/>
    <w:rsid w:val="00EF4031"/>
    <w:rsid w:val="00EF4FA9"/>
    <w:rsid w:val="00EF56D2"/>
    <w:rsid w:val="00EF666F"/>
    <w:rsid w:val="00EF699A"/>
    <w:rsid w:val="00EF7526"/>
    <w:rsid w:val="00F00F4C"/>
    <w:rsid w:val="00F01A30"/>
    <w:rsid w:val="00F01C7B"/>
    <w:rsid w:val="00F0312E"/>
    <w:rsid w:val="00F04D61"/>
    <w:rsid w:val="00F04F88"/>
    <w:rsid w:val="00F0657B"/>
    <w:rsid w:val="00F0755D"/>
    <w:rsid w:val="00F07C7F"/>
    <w:rsid w:val="00F07F48"/>
    <w:rsid w:val="00F1136A"/>
    <w:rsid w:val="00F123C7"/>
    <w:rsid w:val="00F13835"/>
    <w:rsid w:val="00F13903"/>
    <w:rsid w:val="00F14E8B"/>
    <w:rsid w:val="00F152EA"/>
    <w:rsid w:val="00F16460"/>
    <w:rsid w:val="00F16B98"/>
    <w:rsid w:val="00F21671"/>
    <w:rsid w:val="00F225F5"/>
    <w:rsid w:val="00F24306"/>
    <w:rsid w:val="00F254C4"/>
    <w:rsid w:val="00F27591"/>
    <w:rsid w:val="00F27A37"/>
    <w:rsid w:val="00F31116"/>
    <w:rsid w:val="00F325B7"/>
    <w:rsid w:val="00F32AB0"/>
    <w:rsid w:val="00F32B8F"/>
    <w:rsid w:val="00F35CB2"/>
    <w:rsid w:val="00F36309"/>
    <w:rsid w:val="00F36E5E"/>
    <w:rsid w:val="00F37574"/>
    <w:rsid w:val="00F40855"/>
    <w:rsid w:val="00F40B47"/>
    <w:rsid w:val="00F414AC"/>
    <w:rsid w:val="00F418FA"/>
    <w:rsid w:val="00F41D9F"/>
    <w:rsid w:val="00F42888"/>
    <w:rsid w:val="00F46275"/>
    <w:rsid w:val="00F46DF6"/>
    <w:rsid w:val="00F4785D"/>
    <w:rsid w:val="00F47904"/>
    <w:rsid w:val="00F502CB"/>
    <w:rsid w:val="00F5110F"/>
    <w:rsid w:val="00F52598"/>
    <w:rsid w:val="00F53671"/>
    <w:rsid w:val="00F559B1"/>
    <w:rsid w:val="00F562CC"/>
    <w:rsid w:val="00F5696E"/>
    <w:rsid w:val="00F579C1"/>
    <w:rsid w:val="00F57AF4"/>
    <w:rsid w:val="00F57BAE"/>
    <w:rsid w:val="00F61F55"/>
    <w:rsid w:val="00F627FF"/>
    <w:rsid w:val="00F718F5"/>
    <w:rsid w:val="00F72EA2"/>
    <w:rsid w:val="00F767CB"/>
    <w:rsid w:val="00F770F9"/>
    <w:rsid w:val="00F80437"/>
    <w:rsid w:val="00F8118C"/>
    <w:rsid w:val="00F81432"/>
    <w:rsid w:val="00F81A31"/>
    <w:rsid w:val="00F81B60"/>
    <w:rsid w:val="00F82480"/>
    <w:rsid w:val="00F8348C"/>
    <w:rsid w:val="00F8366C"/>
    <w:rsid w:val="00F86EA6"/>
    <w:rsid w:val="00F87422"/>
    <w:rsid w:val="00F90868"/>
    <w:rsid w:val="00F919AC"/>
    <w:rsid w:val="00F91DDF"/>
    <w:rsid w:val="00F9237F"/>
    <w:rsid w:val="00F92A56"/>
    <w:rsid w:val="00F92CCB"/>
    <w:rsid w:val="00F974D6"/>
    <w:rsid w:val="00F978F4"/>
    <w:rsid w:val="00FA073A"/>
    <w:rsid w:val="00FA1CEB"/>
    <w:rsid w:val="00FA205D"/>
    <w:rsid w:val="00FA20B1"/>
    <w:rsid w:val="00FA20E0"/>
    <w:rsid w:val="00FA387A"/>
    <w:rsid w:val="00FA44A3"/>
    <w:rsid w:val="00FA4530"/>
    <w:rsid w:val="00FA4D06"/>
    <w:rsid w:val="00FA6603"/>
    <w:rsid w:val="00FA6BC6"/>
    <w:rsid w:val="00FA7954"/>
    <w:rsid w:val="00FB0928"/>
    <w:rsid w:val="00FB0F8C"/>
    <w:rsid w:val="00FB3241"/>
    <w:rsid w:val="00FB360B"/>
    <w:rsid w:val="00FB389B"/>
    <w:rsid w:val="00FB5322"/>
    <w:rsid w:val="00FB53B6"/>
    <w:rsid w:val="00FB5917"/>
    <w:rsid w:val="00FB5E10"/>
    <w:rsid w:val="00FB72D8"/>
    <w:rsid w:val="00FC0FC7"/>
    <w:rsid w:val="00FC3827"/>
    <w:rsid w:val="00FC761C"/>
    <w:rsid w:val="00FD0980"/>
    <w:rsid w:val="00FD13AE"/>
    <w:rsid w:val="00FD2447"/>
    <w:rsid w:val="00FD3125"/>
    <w:rsid w:val="00FD3D2B"/>
    <w:rsid w:val="00FD40A6"/>
    <w:rsid w:val="00FD5007"/>
    <w:rsid w:val="00FD6D5A"/>
    <w:rsid w:val="00FE09BA"/>
    <w:rsid w:val="00FE0A3A"/>
    <w:rsid w:val="00FE235D"/>
    <w:rsid w:val="00FE351A"/>
    <w:rsid w:val="00FE6303"/>
    <w:rsid w:val="00FE71D4"/>
    <w:rsid w:val="00FE7430"/>
    <w:rsid w:val="00FF003B"/>
    <w:rsid w:val="00FF171F"/>
    <w:rsid w:val="00FF1AC9"/>
    <w:rsid w:val="00FF2360"/>
    <w:rsid w:val="00FF252B"/>
    <w:rsid w:val="00FF26F4"/>
    <w:rsid w:val="00FF284A"/>
    <w:rsid w:val="00FF5B67"/>
    <w:rsid w:val="00FF5EAD"/>
    <w:rsid w:val="355D284F"/>
    <w:rsid w:val="3A9D031B"/>
    <w:rsid w:val="415C40AE"/>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5D553"/>
  <w15:docId w15:val="{E1DB75B2-CF3C-4B15-B9A4-270E21B8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autoRedefine/>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autoRedefine/>
    <w:semiHidden/>
    <w:unhideWhenUsed/>
    <w:qFormat/>
    <w:pPr>
      <w:ind w:leftChars="400" w:left="840"/>
    </w:pPr>
    <w:rPr>
      <w:rFonts w:ascii="Times New Roman" w:eastAsia="宋体" w:hAnsi="Times New Roman" w:cs="Times New Roman"/>
      <w:szCs w:val="20"/>
    </w:rPr>
  </w:style>
  <w:style w:type="paragraph" w:styleId="ac">
    <w:name w:val="Plain Text"/>
    <w:basedOn w:val="a"/>
    <w:link w:val="ad"/>
    <w:autoRedefine/>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autoRedefine/>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7">
    <w:name w:val="Title"/>
    <w:basedOn w:val="a"/>
    <w:next w:val="a"/>
    <w:link w:val="af8"/>
    <w:autoRedefine/>
    <w:qFormat/>
    <w:pPr>
      <w:spacing w:before="240" w:after="60"/>
      <w:jc w:val="center"/>
      <w:outlineLvl w:val="0"/>
    </w:pPr>
    <w:rPr>
      <w:rFonts w:ascii="Cambria" w:eastAsia="宋体" w:hAnsi="Cambria" w:cs="Times New Roman"/>
      <w:b/>
      <w:sz w:val="32"/>
    </w:rPr>
  </w:style>
  <w:style w:type="paragraph" w:styleId="af9">
    <w:name w:val="annotation subject"/>
    <w:basedOn w:val="a6"/>
    <w:next w:val="a6"/>
    <w:link w:val="afa"/>
    <w:autoRedefine/>
    <w:semiHidden/>
    <w:unhideWhenUsed/>
    <w:qFormat/>
    <w:rPr>
      <w:b/>
    </w:rPr>
  </w:style>
  <w:style w:type="table" w:styleId="afb">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FollowedHyperlink"/>
    <w:basedOn w:val="a0"/>
    <w:uiPriority w:val="99"/>
    <w:semiHidden/>
    <w:unhideWhenUsed/>
    <w:qFormat/>
    <w:rPr>
      <w:color w:val="800080" w:themeColor="followedHyperlink"/>
      <w:u w:val="single"/>
    </w:rPr>
  </w:style>
  <w:style w:type="character" w:styleId="afd">
    <w:name w:val="Hyperlink"/>
    <w:uiPriority w:val="99"/>
    <w:unhideWhenUsed/>
    <w:qFormat/>
    <w:rPr>
      <w:color w:val="0000FF"/>
      <w:u w:val="single"/>
    </w:rPr>
  </w:style>
  <w:style w:type="character" w:styleId="afe">
    <w:name w:val="annotation reference"/>
    <w:unhideWhenUsed/>
    <w:qFormat/>
    <w:rPr>
      <w:sz w:val="21"/>
    </w:rPr>
  </w:style>
  <w:style w:type="character" w:styleId="aff">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8">
    <w:name w:val="标题 字符"/>
    <w:basedOn w:val="a0"/>
    <w:link w:val="af7"/>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a">
    <w:name w:val="批注主题 字符"/>
    <w:basedOn w:val="Char"/>
    <w:link w:val="af9"/>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0">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autoRedefine/>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1">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autoRedefine/>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autoRedefine/>
    <w:uiPriority w:val="99"/>
    <w:semiHidden/>
    <w:qFormat/>
    <w:rPr>
      <w:rFonts w:ascii="Times New Roman" w:eastAsia="宋体" w:hAnsi="Times New Roman" w:cs="Times New Roman" w:hint="default"/>
      <w:szCs w:val="20"/>
    </w:rPr>
  </w:style>
  <w:style w:type="character" w:customStyle="1" w:styleId="2Char1">
    <w:name w:val="正文文本缩进 2 Char1"/>
    <w:basedOn w:val="a0"/>
    <w:autoRedefine/>
    <w:uiPriority w:val="99"/>
    <w:semiHidden/>
    <w:qFormat/>
    <w:rPr>
      <w:rFonts w:ascii="Times New Roman" w:eastAsia="宋体" w:hAnsi="Times New Roman" w:cs="Times New Roman" w:hint="default"/>
      <w:szCs w:val="20"/>
    </w:rPr>
  </w:style>
  <w:style w:type="character" w:customStyle="1" w:styleId="a7">
    <w:name w:val="批注文字 字符"/>
    <w:basedOn w:val="a0"/>
    <w:link w:val="a6"/>
    <w:autoRedefine/>
    <w:uiPriority w:val="99"/>
    <w:qFormat/>
    <w:locked/>
    <w:rPr>
      <w:rFonts w:ascii="Times New Roman" w:eastAsia="宋体" w:hAnsi="Times New Roman" w:cs="Times New Roman"/>
      <w:szCs w:val="20"/>
    </w:rPr>
  </w:style>
  <w:style w:type="character" w:customStyle="1" w:styleId="Char12">
    <w:name w:val="批注主题 Char1"/>
    <w:basedOn w:val="a7"/>
    <w:autoRedefine/>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autoRedefine/>
    <w:uiPriority w:val="99"/>
    <w:semiHidden/>
    <w:qFormat/>
    <w:rPr>
      <w:rFonts w:ascii="宋体" w:eastAsia="宋体" w:hAnsi="Courier New" w:cs="Courier New" w:hint="eastAsia"/>
      <w:szCs w:val="21"/>
    </w:rPr>
  </w:style>
  <w:style w:type="character" w:customStyle="1" w:styleId="Char20">
    <w:name w:val="标题 Char2"/>
    <w:basedOn w:val="a0"/>
    <w:autoRedefine/>
    <w:uiPriority w:val="10"/>
    <w:qFormat/>
    <w:rPr>
      <w:rFonts w:ascii="Cambria" w:eastAsia="宋体" w:hAnsi="Cambria" w:cs="Times New Roman" w:hint="default"/>
      <w:b/>
      <w:bCs/>
      <w:sz w:val="32"/>
      <w:szCs w:val="32"/>
    </w:rPr>
  </w:style>
  <w:style w:type="character" w:customStyle="1" w:styleId="Char14">
    <w:name w:val="文档结构图 Char1"/>
    <w:basedOn w:val="a0"/>
    <w:autoRedefine/>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2">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autoRedefine/>
    <w:uiPriority w:val="99"/>
    <w:semiHidden/>
    <w:qFormat/>
  </w:style>
  <w:style w:type="paragraph" w:customStyle="1" w:styleId="zhangjiep">
    <w:name w:val="zhangjie_p"/>
    <w:basedOn w:val="a"/>
    <w:autoRedefine/>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autoRedefine/>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autoRedefine/>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rPr>
      <w:rFonts w:asciiTheme="minorHAnsi" w:eastAsiaTheme="minorEastAsia" w:hAnsiTheme="minorHAnsi" w:cstheme="minorBidi"/>
      <w:kern w:val="2"/>
      <w:sz w:val="21"/>
      <w:szCs w:val="22"/>
    </w:rPr>
  </w:style>
  <w:style w:type="paragraph" w:styleId="aff3">
    <w:name w:val="Revision"/>
    <w:hidden/>
    <w:uiPriority w:val="99"/>
    <w:unhideWhenUsed/>
    <w:rsid w:val="00FF236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5ifund.com" TargetMode="External"/><Relationship Id="rId18" Type="http://schemas.openxmlformats.org/officeDocument/2006/relationships/hyperlink" Target="http://danjuanapp.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123.cn" TargetMode="External"/><Relationship Id="rId17" Type="http://schemas.openxmlformats.org/officeDocument/2006/relationships/hyperlink" Target="http://www.jjmmw.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zlfund.cn" TargetMode="External"/><Relationship Id="rId20" Type="http://schemas.openxmlformats.org/officeDocument/2006/relationships/hyperlink" Target="http://www.licaik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jianfortune.com"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wacaijiji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ingmi.cn"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179B-C6FA-4166-9375-8094E878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136</Pages>
  <Words>14800</Words>
  <Characters>84360</Characters>
  <Application>Microsoft Office Word</Application>
  <DocSecurity>0</DocSecurity>
  <Lines>703</Lines>
  <Paragraphs>197</Paragraphs>
  <ScaleCrop>false</ScaleCrop>
  <Company/>
  <LinksUpToDate>false</LinksUpToDate>
  <CharactersWithSpaces>98963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xutuan</dc:creator>
  <cp:lastModifiedBy>徐铮</cp:lastModifiedBy>
  <cp:revision>7</cp:revision>
  <cp:lastPrinted>2021-11-23T08:06:00Z</cp:lastPrinted>
  <dcterms:created xsi:type="dcterms:W3CDTF">2024-04-18T01:22:00Z</dcterms:created>
  <dcterms:modified xsi:type="dcterms:W3CDTF">2024-04-19T06:30:00Z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50765712F09145DB93F780FD7BEC6F3F_13</vt:lpwstr>
  </property>
</Properties>
</file>