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63CB37A5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CF52F3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364A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B6276E8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29F4D50B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309DD898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328B11A4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1C3092ED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富荣富乾债券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0E81597B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富荣福</w:t>
      </w: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鑫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灵活配置混合型证券投资基金</w:t>
      </w:r>
    </w:p>
    <w:p w14:paraId="13526CD3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5C258369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富荣中证500指数增强型证券投资基金</w:t>
      </w:r>
    </w:p>
    <w:p w14:paraId="262F4C28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14:paraId="7F895B6A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5384FD40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14:paraId="2FF450F3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富荣富开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4AD245CE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富荣富恒两年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定期开放债券型证券投资基金</w:t>
      </w:r>
    </w:p>
    <w:p w14:paraId="7FCCCD45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proofErr w:type="gramStart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</w:t>
      </w:r>
      <w:proofErr w:type="gramEnd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14:paraId="6EEBBD4F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14:paraId="64CA799B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14:paraId="46A81D87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14:paraId="3A81A54D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富荣量化精选混合型发起式证券投资基金</w:t>
      </w:r>
    </w:p>
    <w:p w14:paraId="1AAF4BF9" w14:textId="77777777" w:rsidR="00CF52F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富荣医药健康混合型发起式证券投资基金</w:t>
      </w:r>
    </w:p>
    <w:p w14:paraId="674FDF7E" w14:textId="5202507E" w:rsidR="00817983" w:rsidRPr="00CF52F3" w:rsidRDefault="00CF52F3" w:rsidP="00CF52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富荣研</w:t>
      </w:r>
      <w:bookmarkStart w:id="0" w:name="_GoBack"/>
      <w:bookmarkEnd w:id="0"/>
      <w:r w:rsidRPr="00CF52F3">
        <w:rPr>
          <w:rFonts w:ascii="仿宋" w:eastAsia="仿宋" w:hAnsi="仿宋" w:hint="eastAsia"/>
          <w:color w:val="000000" w:themeColor="text1"/>
          <w:sz w:val="32"/>
          <w:szCs w:val="32"/>
        </w:rPr>
        <w:t>究优选混合型证券投资基金</w:t>
      </w:r>
    </w:p>
    <w:p w14:paraId="4CF52162" w14:textId="77C954F2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F52F3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2579D76D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F52F3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2F3" w:rsidRPr="00CF52F3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2F3" w:rsidRPr="00CF52F3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64A0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2F3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10A9-7CAC-49FC-88F4-AB112B4F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26</cp:revision>
  <cp:lastPrinted>2019-08-07T06:37:00Z</cp:lastPrinted>
  <dcterms:created xsi:type="dcterms:W3CDTF">2019-08-08T01:10:00Z</dcterms:created>
  <dcterms:modified xsi:type="dcterms:W3CDTF">2024-08-21T07:33:00Z</dcterms:modified>
</cp:coreProperties>
</file>