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3609" w14:textId="50F83B69" w:rsidR="00557672" w:rsidRDefault="00D547B5">
      <w:pPr>
        <w:jc w:val="center"/>
        <w:rPr>
          <w:rFonts w:ascii="思源黑体 CN Bold" w:eastAsia="思源黑体 CN Bold" w:hAnsi="思源黑体 CN Bold" w:hint="eastAsia"/>
          <w:b/>
          <w:bCs/>
          <w:sz w:val="28"/>
          <w:szCs w:val="28"/>
        </w:rPr>
      </w:pPr>
      <w:r>
        <w:rPr>
          <w:rFonts w:ascii="思源黑体 CN Bold" w:eastAsia="思源黑体 CN Bold" w:hAnsi="思源黑体 CN Bold" w:hint="eastAsia"/>
          <w:b/>
          <w:bCs/>
          <w:sz w:val="28"/>
          <w:szCs w:val="28"/>
        </w:rPr>
        <w:t>富</w:t>
      </w:r>
      <w:proofErr w:type="gramStart"/>
      <w:r>
        <w:rPr>
          <w:rFonts w:ascii="思源黑体 CN Bold" w:eastAsia="思源黑体 CN Bold" w:hAnsi="思源黑体 CN Bold" w:hint="eastAsia"/>
          <w:b/>
          <w:bCs/>
          <w:sz w:val="28"/>
          <w:szCs w:val="28"/>
        </w:rPr>
        <w:t>荣固收</w:t>
      </w:r>
      <w:proofErr w:type="gramEnd"/>
      <w:r>
        <w:rPr>
          <w:rFonts w:ascii="思源黑体 CN Bold" w:eastAsia="思源黑体 CN Bold" w:hAnsi="思源黑体 CN Bold" w:hint="eastAsia"/>
          <w:b/>
          <w:bCs/>
          <w:sz w:val="28"/>
          <w:szCs w:val="28"/>
        </w:rPr>
        <w:t>：债市分岔口，调整还是绝地反弹？</w:t>
      </w:r>
    </w:p>
    <w:p w14:paraId="2F8E9C10" w14:textId="77777777" w:rsidR="00557672" w:rsidRDefault="00D547B5">
      <w:pPr>
        <w:rPr>
          <w:rFonts w:ascii="思源黑体 CN Light" w:eastAsia="思源黑体 CN Light" w:hAnsi="思源黑体 CN Light" w:hint="eastAsia"/>
          <w:szCs w:val="21"/>
        </w:rPr>
      </w:pPr>
      <w:r>
        <w:rPr>
          <w:rFonts w:ascii="思源黑体 CN Light" w:eastAsia="思源黑体 CN Light" w:hAnsi="思源黑体 CN Light" w:hint="eastAsia"/>
          <w:szCs w:val="21"/>
        </w:rPr>
        <w:t>观点：</w:t>
      </w:r>
      <w:bookmarkStart w:id="0" w:name="_Toc134985519"/>
    </w:p>
    <w:p w14:paraId="0D05CC69" w14:textId="79ED2A6D" w:rsidR="00557672" w:rsidRDefault="00D547B5">
      <w:pPr>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上周（2025年3月3日-2025年3月7日，下同），债市走弱，曲线整体平坦化上行。债市交易主要围绕会议增量信息进行。上周初，资金面宽松带动</w:t>
      </w:r>
      <w:r w:rsidR="00785B4B">
        <w:rPr>
          <w:rFonts w:ascii="思源黑体 CN Light" w:eastAsia="思源黑体 CN Light" w:hAnsi="思源黑体 CN Light" w:cs="Times New Roman" w:hint="eastAsia"/>
          <w:szCs w:val="21"/>
        </w:rPr>
        <w:t>债券</w:t>
      </w:r>
      <w:r>
        <w:rPr>
          <w:rFonts w:ascii="思源黑体 CN Light" w:eastAsia="思源黑体 CN Light" w:hAnsi="思源黑体 CN Light" w:cs="Times New Roman" w:hint="eastAsia"/>
          <w:szCs w:val="21"/>
        </w:rPr>
        <w:t>收益率下行。随着两会进行，会议释放积极政策预期叠加货币政策宽松的不确定性。</w:t>
      </w:r>
      <w:r>
        <w:rPr>
          <w:rFonts w:ascii="思源黑体 CN Light" w:eastAsia="思源黑体 CN Light" w:hAnsi="思源黑体 CN Light" w:cs="Times New Roman" w:hint="eastAsia"/>
          <w:sz w:val="22"/>
          <w:szCs w:val="21"/>
          <w14:ligatures w14:val="standardContextual"/>
        </w:rPr>
        <w:t>两会经济主题记者会上，</w:t>
      </w:r>
      <w:r>
        <w:rPr>
          <w:rFonts w:ascii="思源黑体 CN Light" w:eastAsia="思源黑体 CN Light" w:hAnsi="思源黑体 CN Light" w:cs="Times New Roman" w:hint="eastAsia"/>
          <w:szCs w:val="21"/>
        </w:rPr>
        <w:t>央行</w:t>
      </w:r>
      <w:r w:rsidR="00CE2C1D">
        <w:rPr>
          <w:rFonts w:ascii="思源黑体 CN Light" w:eastAsia="思源黑体 CN Light" w:hAnsi="思源黑体 CN Light" w:cs="Times New Roman" w:hint="eastAsia"/>
          <w:szCs w:val="21"/>
        </w:rPr>
        <w:t>行长</w:t>
      </w:r>
      <w:r>
        <w:rPr>
          <w:rFonts w:ascii="思源黑体 CN Light" w:eastAsia="思源黑体 CN Light" w:hAnsi="思源黑体 CN Light" w:cs="Times New Roman" w:hint="eastAsia"/>
          <w:szCs w:val="21"/>
        </w:rPr>
        <w:t>潘</w:t>
      </w:r>
      <w:r w:rsidR="00CE2C1D">
        <w:rPr>
          <w:rFonts w:ascii="思源黑体 CN Light" w:eastAsia="思源黑体 CN Light" w:hAnsi="思源黑体 CN Light" w:cs="Times New Roman" w:hint="eastAsia"/>
          <w:szCs w:val="21"/>
        </w:rPr>
        <w:t>功胜</w:t>
      </w:r>
      <w:r>
        <w:rPr>
          <w:rFonts w:ascii="思源黑体 CN Light" w:eastAsia="思源黑体 CN Light" w:hAnsi="思源黑体 CN Light" w:cs="Times New Roman" w:hint="eastAsia"/>
          <w:szCs w:val="21"/>
        </w:rPr>
        <w:t>将降息落脚点放在“结构性货币政策工具资金利率也有下行空间”，重提“对一些不合理的容易削减货币政策传导的市场行为加强规范”。上周四、周五</w:t>
      </w:r>
      <w:r w:rsidR="00785B4B">
        <w:rPr>
          <w:rFonts w:ascii="思源黑体 CN Light" w:eastAsia="思源黑体 CN Light" w:hAnsi="思源黑体 CN Light" w:cs="Times New Roman" w:hint="eastAsia"/>
          <w:szCs w:val="21"/>
        </w:rPr>
        <w:t>债券</w:t>
      </w:r>
      <w:r>
        <w:rPr>
          <w:rFonts w:ascii="思源黑体 CN Light" w:eastAsia="思源黑体 CN Light" w:hAnsi="思源黑体 CN Light" w:cs="Times New Roman" w:hint="eastAsia"/>
          <w:szCs w:val="21"/>
        </w:rPr>
        <w:t>收益率全面上行，债市大幅调整，10年国债收益率上破1.8%。</w:t>
      </w:r>
    </w:p>
    <w:p w14:paraId="327F8D45" w14:textId="4699C5FD" w:rsidR="00557672" w:rsidRDefault="00D547B5">
      <w:pPr>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相比于2月份，资金状况或有望逐步改善，仍需要关注央行的态度，</w:t>
      </w:r>
      <w:proofErr w:type="gramStart"/>
      <w:r>
        <w:rPr>
          <w:rFonts w:ascii="思源黑体 CN Light" w:eastAsia="思源黑体 CN Light" w:hAnsi="思源黑体 CN Light" w:cs="Times New Roman" w:hint="eastAsia"/>
          <w:szCs w:val="21"/>
        </w:rPr>
        <w:t>降准仍可</w:t>
      </w:r>
      <w:proofErr w:type="gramEnd"/>
      <w:r>
        <w:rPr>
          <w:rFonts w:ascii="思源黑体 CN Light" w:eastAsia="思源黑体 CN Light" w:hAnsi="思源黑体 CN Light" w:cs="Times New Roman" w:hint="eastAsia"/>
          <w:szCs w:val="21"/>
        </w:rPr>
        <w:t>期，降息时点后推。</w:t>
      </w:r>
      <w:bookmarkStart w:id="1" w:name="OLE_LINK1"/>
      <w:r>
        <w:rPr>
          <w:rFonts w:ascii="思源黑体 CN Light" w:eastAsia="思源黑体 CN Light" w:hAnsi="思源黑体 CN Light" w:cs="Times New Roman" w:hint="eastAsia"/>
          <w:szCs w:val="21"/>
        </w:rPr>
        <w:t>目前债市继续调整的空间或不大，</w:t>
      </w:r>
      <w:bookmarkEnd w:id="1"/>
      <w:r>
        <w:rPr>
          <w:rFonts w:ascii="思源黑体 CN Light" w:eastAsia="思源黑体 CN Light" w:hAnsi="思源黑体 CN Light" w:cs="Times New Roman" w:hint="eastAsia"/>
          <w:szCs w:val="21"/>
        </w:rPr>
        <w:t>赔率在上升，适时可以逐步关注长久期债券，</w:t>
      </w:r>
      <w:r w:rsidR="00785B4B">
        <w:rPr>
          <w:rFonts w:ascii="思源黑体 CN Light" w:eastAsia="思源黑体 CN Light" w:hAnsi="思源黑体 CN Light" w:cs="Times New Roman" w:hint="eastAsia"/>
          <w:szCs w:val="21"/>
        </w:rPr>
        <w:t>收益率在</w:t>
      </w:r>
      <w:r>
        <w:rPr>
          <w:rFonts w:ascii="思源黑体 CN Light" w:eastAsia="思源黑体 CN Light" w:hAnsi="思源黑体 CN Light" w:cs="Times New Roman" w:hint="eastAsia"/>
          <w:szCs w:val="21"/>
        </w:rPr>
        <w:t>2%以上的1年期存单也具有一定配置价值。</w:t>
      </w:r>
    </w:p>
    <w:p w14:paraId="625B6196" w14:textId="77777777" w:rsidR="00557672" w:rsidRDefault="00D547B5">
      <w:pPr>
        <w:pStyle w:val="1"/>
        <w:tabs>
          <w:tab w:val="left" w:pos="6289"/>
        </w:tabs>
        <w:spacing w:line="360" w:lineRule="auto"/>
        <w:rPr>
          <w:rFonts w:ascii="思源黑体 CN Light" w:eastAsia="思源黑体 CN Light" w:hAnsi="思源黑体 CN Light" w:cs="Arial" w:hint="eastAsia"/>
          <w:sz w:val="36"/>
          <w:szCs w:val="36"/>
        </w:rPr>
      </w:pPr>
      <w:r>
        <w:rPr>
          <w:rFonts w:ascii="思源黑体 CN Light" w:eastAsia="思源黑体 CN Light" w:hAnsi="思源黑体 CN Light" w:cs="Arial" w:hint="eastAsia"/>
          <w:sz w:val="36"/>
          <w:szCs w:val="36"/>
        </w:rPr>
        <w:t>1</w:t>
      </w:r>
      <w:r>
        <w:rPr>
          <w:rFonts w:ascii="思源黑体 CN Light" w:eastAsia="思源黑体 CN Light" w:hAnsi="思源黑体 CN Light" w:cs="Arial"/>
          <w:sz w:val="36"/>
          <w:szCs w:val="36"/>
        </w:rPr>
        <w:t>、</w:t>
      </w:r>
      <w:r>
        <w:rPr>
          <w:rFonts w:ascii="思源黑体 CN Light" w:eastAsia="思源黑体 CN Light" w:hAnsi="思源黑体 CN Light" w:cs="Arial" w:hint="eastAsia"/>
          <w:sz w:val="36"/>
          <w:szCs w:val="36"/>
        </w:rPr>
        <w:t>热点追踪</w:t>
      </w:r>
    </w:p>
    <w:p w14:paraId="66BBA94E" w14:textId="77777777" w:rsidR="00557672" w:rsidRDefault="00D547B5">
      <w:pPr>
        <w:spacing w:line="288" w:lineRule="auto"/>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海关统计数据显示，我国1至2月以美元计价出口同比增长2.3%，进口同比下降8.4%；以人民币计价出口同比增长3.4%，进口同比下降7.3%。</w:t>
      </w:r>
    </w:p>
    <w:p w14:paraId="485B122B" w14:textId="77777777" w:rsidR="00557672" w:rsidRDefault="00D547B5">
      <w:pPr>
        <w:spacing w:line="288" w:lineRule="auto"/>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2025年2月，中国CPI同比-0.7%（前值0.5%），市场预期-0.5%，核心CPI同比-0.1%（前值0.6%）；PPI同比-2.2%（前值-2.3%），市场预期-2.1%。</w:t>
      </w:r>
    </w:p>
    <w:p w14:paraId="68D4C69F" w14:textId="77777777" w:rsidR="00557672" w:rsidRDefault="00D547B5">
      <w:pPr>
        <w:spacing w:line="288" w:lineRule="auto"/>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1-2月出口同比增速较2024年12月大幅回落8.4个百分点，主要受上年同期基数偏高影响。环比数据显示，1-2月出口动能较强，这一方面源于当前外需还有一定韧性，另一方面或因1月仍存在一定“抢出口”效应，贸易战影响尚未充分显现。</w:t>
      </w:r>
    </w:p>
    <w:p w14:paraId="45D4BB25" w14:textId="4004C2E9" w:rsidR="00557672" w:rsidRDefault="00D547B5">
      <w:pPr>
        <w:spacing w:line="288" w:lineRule="auto"/>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因受春节效应影响，导致2月通胀读数转负。但去除春节效应因素，2月CPI同比仍为-0.2%，CPI不改弱修复态势。食品和油价回落是主要拖累，同时服务价格走弱，核心通胀</w:t>
      </w:r>
      <w:r>
        <w:rPr>
          <w:rFonts w:ascii="思源黑体 CN Light" w:eastAsia="思源黑体 CN Light" w:hAnsi="思源黑体 CN Light" w:cs="Times New Roman" w:hint="eastAsia"/>
          <w:szCs w:val="21"/>
        </w:rPr>
        <w:lastRenderedPageBreak/>
        <w:t>环比表现也回落至历史中枢水平线之下，相关服务消费价格出现较快回落。PPI在开工淡季的影响下同样维持弱修复，价格走势分化，能源类生产价格走弱，金属类生产价格回升。且外部扰动因素升温，短期生产价格或继续承压。</w:t>
      </w:r>
    </w:p>
    <w:p w14:paraId="0D1C5E2D" w14:textId="77777777" w:rsidR="00557672" w:rsidRDefault="00D547B5">
      <w:pPr>
        <w:spacing w:line="288" w:lineRule="auto"/>
        <w:ind w:firstLineChars="200" w:firstLine="420"/>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两会将2025年的通胀目标下调至2%，同时由赤字率推算的GDP平减指数在0附近，显示政策对于2025年低通胀环境更加务实的估计，且增加了低通胀的容忍度。短期通胀要素或不会成为货币政策的掣肘，国内外风险是更加重要的</w:t>
      </w:r>
      <w:proofErr w:type="gramStart"/>
      <w:r>
        <w:rPr>
          <w:rFonts w:ascii="思源黑体 CN Light" w:eastAsia="思源黑体 CN Light" w:hAnsi="思源黑体 CN Light" w:cs="Times New Roman" w:hint="eastAsia"/>
          <w:szCs w:val="21"/>
        </w:rPr>
        <w:t>考量</w:t>
      </w:r>
      <w:proofErr w:type="gramEnd"/>
      <w:r>
        <w:rPr>
          <w:rFonts w:ascii="思源黑体 CN Light" w:eastAsia="思源黑体 CN Light" w:hAnsi="思源黑体 CN Light" w:cs="Times New Roman" w:hint="eastAsia"/>
          <w:szCs w:val="21"/>
        </w:rPr>
        <w:t>要素。</w:t>
      </w:r>
    </w:p>
    <w:p w14:paraId="14558EC3" w14:textId="77777777" w:rsidR="00557672" w:rsidRDefault="00D547B5">
      <w:pPr>
        <w:pStyle w:val="1"/>
        <w:tabs>
          <w:tab w:val="left" w:pos="6289"/>
        </w:tabs>
        <w:spacing w:line="360" w:lineRule="auto"/>
        <w:rPr>
          <w:rFonts w:ascii="思源黑体 CN Light" w:eastAsia="思源黑体 CN Light" w:hAnsi="思源黑体 CN Light" w:cs="Arial" w:hint="eastAsia"/>
          <w:sz w:val="36"/>
          <w:szCs w:val="36"/>
        </w:rPr>
      </w:pPr>
      <w:r>
        <w:rPr>
          <w:rFonts w:ascii="思源黑体 CN Light" w:eastAsia="思源黑体 CN Light" w:hAnsi="思源黑体 CN Light" w:cs="Arial" w:hint="eastAsia"/>
          <w:sz w:val="36"/>
          <w:szCs w:val="36"/>
        </w:rPr>
        <w:t>2、上周</w:t>
      </w:r>
      <w:r>
        <w:rPr>
          <w:rFonts w:ascii="思源黑体 CN Light" w:eastAsia="思源黑体 CN Light" w:hAnsi="思源黑体 CN Light" w:cs="Arial"/>
          <w:sz w:val="36"/>
          <w:szCs w:val="36"/>
        </w:rPr>
        <w:t>高频数据</w:t>
      </w:r>
      <w:bookmarkEnd w:id="0"/>
    </w:p>
    <w:p w14:paraId="31527AF9" w14:textId="77777777" w:rsidR="00557672" w:rsidRDefault="00D547B5">
      <w:pPr>
        <w:spacing w:line="288" w:lineRule="auto"/>
        <w:ind w:firstLineChars="200" w:firstLine="420"/>
        <w:jc w:val="left"/>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高频数据看内需仍不足。基建专项债发行资金到位较快，但地产销售中二手房占比高，施工实体指标显示基建、房建开工情况边际走弱。进出口方面，港口表现走弱。生产方面，钢铁产量回升但部分行业开工同比</w:t>
      </w:r>
      <w:proofErr w:type="gramStart"/>
      <w:r>
        <w:rPr>
          <w:rFonts w:ascii="思源黑体 CN Light" w:eastAsia="思源黑体 CN Light" w:hAnsi="思源黑体 CN Light" w:cs="Times New Roman" w:hint="eastAsia"/>
          <w:szCs w:val="21"/>
        </w:rPr>
        <w:t>增速走</w:t>
      </w:r>
      <w:proofErr w:type="gramEnd"/>
      <w:r>
        <w:rPr>
          <w:rFonts w:ascii="思源黑体 CN Light" w:eastAsia="思源黑体 CN Light" w:hAnsi="思源黑体 CN Light" w:cs="Times New Roman" w:hint="eastAsia"/>
          <w:szCs w:val="21"/>
        </w:rPr>
        <w:t>弱。物价方面，水泥价格上涨，CPI和PPI各分项有涨有跌。布油、原油煤炭价格跌幅较大。</w:t>
      </w:r>
    </w:p>
    <w:p w14:paraId="44447BC6" w14:textId="3920D106" w:rsidR="00557672" w:rsidRDefault="00D547B5">
      <w:pPr>
        <w:spacing w:line="288" w:lineRule="auto"/>
        <w:ind w:firstLineChars="200" w:firstLine="420"/>
        <w:jc w:val="left"/>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hint="eastAsia"/>
          <w:szCs w:val="21"/>
        </w:rPr>
        <w:t>美元走弱，其他非美货币整体走强。截至3月7日，美元指数下行</w:t>
      </w:r>
      <w:r w:rsidR="00785B4B">
        <w:rPr>
          <w:rFonts w:ascii="思源黑体 CN Light" w:eastAsia="思源黑体 CN Light" w:hAnsi="思源黑体 CN Light" w:cs="Times New Roman" w:hint="eastAsia"/>
          <w:szCs w:val="21"/>
        </w:rPr>
        <w:t>3.41</w:t>
      </w:r>
      <w:r>
        <w:rPr>
          <w:rFonts w:ascii="思源黑体 CN Light" w:eastAsia="思源黑体 CN Light" w:hAnsi="思源黑体 CN Light" w:cs="Times New Roman" w:hint="eastAsia"/>
          <w:szCs w:val="21"/>
        </w:rPr>
        <w:t>%，在岸人民币涨0.63%，日元涨1.72%，</w:t>
      </w:r>
      <w:proofErr w:type="gramStart"/>
      <w:r>
        <w:rPr>
          <w:rFonts w:ascii="思源黑体 CN Light" w:eastAsia="思源黑体 CN Light" w:hAnsi="思源黑体 CN Light" w:cs="Times New Roman" w:hint="eastAsia"/>
          <w:szCs w:val="21"/>
        </w:rPr>
        <w:t>瑞郎涨</w:t>
      </w:r>
      <w:proofErr w:type="gramEnd"/>
      <w:r>
        <w:rPr>
          <w:rFonts w:ascii="思源黑体 CN Light" w:eastAsia="思源黑体 CN Light" w:hAnsi="思源黑体 CN Light" w:cs="Times New Roman" w:hint="eastAsia"/>
          <w:szCs w:val="21"/>
        </w:rPr>
        <w:t>2.58%，欧元涨4.41%，澳元涨1.58%，英镑涨2.72%。</w:t>
      </w:r>
    </w:p>
    <w:p w14:paraId="124D2231" w14:textId="77777777" w:rsidR="00557672" w:rsidRDefault="00D547B5">
      <w:pPr>
        <w:spacing w:line="288" w:lineRule="auto"/>
        <w:ind w:firstLineChars="200" w:firstLine="408"/>
        <w:jc w:val="left"/>
        <w:rPr>
          <w:rFonts w:ascii="思源黑体 CN Light" w:eastAsia="思源黑体 CN Light" w:hAnsi="思源黑体 CN Light" w:cs="Times New Roman" w:hint="eastAsia"/>
          <w:b/>
          <w:color w:val="000000"/>
          <w:kern w:val="0"/>
          <w:sz w:val="20"/>
          <w:szCs w:val="20"/>
        </w:rPr>
      </w:pPr>
      <w:r>
        <w:rPr>
          <w:rFonts w:ascii="思源黑体 CN Light" w:eastAsia="思源黑体 CN Light" w:hAnsi="思源黑体 CN Light" w:cs="Times New Roman" w:hint="eastAsia"/>
          <w:b/>
          <w:color w:val="000000"/>
          <w:kern w:val="0"/>
          <w:sz w:val="20"/>
          <w:szCs w:val="20"/>
        </w:rPr>
        <w:t>图一：主要货币变化率</w:t>
      </w:r>
    </w:p>
    <w:p w14:paraId="34255B50" w14:textId="77777777" w:rsidR="00557672" w:rsidRDefault="00D547B5">
      <w:pPr>
        <w:spacing w:line="360" w:lineRule="auto"/>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noProof/>
          <w:szCs w:val="21"/>
        </w:rPr>
        <w:drawing>
          <wp:inline distT="0" distB="0" distL="0" distR="0" wp14:anchorId="68F8ADB2" wp14:editId="272C74C9">
            <wp:extent cx="5274310" cy="2117090"/>
            <wp:effectExtent l="0" t="0" r="2540" b="0"/>
            <wp:docPr id="9" name="图片 8"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表, 条形图&#10;&#10;AI 生成的内容可能不正确。"/>
                    <pic:cNvPicPr>
                      <a:picLocks noChangeAspect="1"/>
                    </pic:cNvPicPr>
                  </pic:nvPicPr>
                  <pic:blipFill>
                    <a:blip r:embed="rId6"/>
                    <a:stretch>
                      <a:fillRect/>
                    </a:stretch>
                  </pic:blipFill>
                  <pic:spPr>
                    <a:xfrm>
                      <a:off x="0" y="0"/>
                      <a:ext cx="5274310" cy="2117090"/>
                    </a:xfrm>
                    <a:prstGeom prst="rect">
                      <a:avLst/>
                    </a:prstGeom>
                  </pic:spPr>
                </pic:pic>
              </a:graphicData>
            </a:graphic>
          </wp:inline>
        </w:drawing>
      </w:r>
    </w:p>
    <w:p w14:paraId="182CD7AB" w14:textId="77777777" w:rsidR="00557672" w:rsidRDefault="00D547B5">
      <w:pPr>
        <w:spacing w:line="360" w:lineRule="auto"/>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sz w:val="16"/>
          <w:szCs w:val="16"/>
        </w:rPr>
        <w:lastRenderedPageBreak/>
        <w:t>数据来源：wind，富荣基金；统计区间：20250303-20250307</w:t>
      </w:r>
    </w:p>
    <w:p w14:paraId="0B5A792A" w14:textId="77777777" w:rsidR="00557672" w:rsidRDefault="00D547B5">
      <w:pPr>
        <w:spacing w:line="288" w:lineRule="auto"/>
        <w:jc w:val="left"/>
        <w:rPr>
          <w:rFonts w:ascii="思源黑体 CN Light" w:eastAsia="思源黑体 CN Light" w:hAnsi="思源黑体 CN Light" w:cs="Times New Roman" w:hint="eastAsia"/>
          <w:b/>
          <w:color w:val="000000"/>
          <w:kern w:val="0"/>
          <w:sz w:val="20"/>
          <w:szCs w:val="20"/>
        </w:rPr>
      </w:pPr>
      <w:r>
        <w:rPr>
          <w:rFonts w:ascii="思源黑体 CN Light" w:eastAsia="思源黑体 CN Light" w:hAnsi="思源黑体 CN Light" w:cs="Times New Roman" w:hint="eastAsia"/>
          <w:b/>
          <w:color w:val="000000"/>
          <w:kern w:val="0"/>
          <w:sz w:val="20"/>
          <w:szCs w:val="20"/>
        </w:rPr>
        <w:t>表</w:t>
      </w:r>
      <w:proofErr w:type="gramStart"/>
      <w:r>
        <w:rPr>
          <w:rFonts w:ascii="思源黑体 CN Light" w:eastAsia="思源黑体 CN Light" w:hAnsi="思源黑体 CN Light" w:cs="Times New Roman" w:hint="eastAsia"/>
          <w:b/>
          <w:color w:val="000000"/>
          <w:kern w:val="0"/>
          <w:sz w:val="20"/>
          <w:szCs w:val="20"/>
        </w:rPr>
        <w:t>一</w:t>
      </w:r>
      <w:proofErr w:type="gramEnd"/>
      <w:r>
        <w:rPr>
          <w:rFonts w:ascii="思源黑体 CN Light" w:eastAsia="思源黑体 CN Light" w:hAnsi="思源黑体 CN Light" w:cs="Times New Roman" w:hint="eastAsia"/>
          <w:b/>
          <w:color w:val="000000"/>
          <w:kern w:val="0"/>
          <w:sz w:val="20"/>
          <w:szCs w:val="20"/>
        </w:rPr>
        <w:t>：高频数据汇总</w:t>
      </w:r>
      <w:bookmarkStart w:id="2" w:name="_Toc134985520"/>
    </w:p>
    <w:p w14:paraId="28E70305" w14:textId="77777777" w:rsidR="00557672" w:rsidRDefault="00D547B5">
      <w:pPr>
        <w:spacing w:line="360" w:lineRule="auto"/>
        <w:rPr>
          <w:rFonts w:hint="eastAsia"/>
        </w:rPr>
      </w:pPr>
      <w:r>
        <w:rPr>
          <w:rFonts w:ascii="思源黑体 CN Light" w:eastAsia="思源黑体 CN Light" w:hAnsi="思源黑体 CN Light" w:cs="Times New Roman"/>
          <w:b/>
          <w:noProof/>
          <w:color w:val="000000"/>
          <w:kern w:val="0"/>
          <w:sz w:val="20"/>
          <w:szCs w:val="20"/>
        </w:rPr>
        <w:drawing>
          <wp:inline distT="0" distB="0" distL="0" distR="0" wp14:anchorId="6F8904CE" wp14:editId="768A3F1B">
            <wp:extent cx="5274310" cy="5135880"/>
            <wp:effectExtent l="0" t="0" r="2540" b="7620"/>
            <wp:docPr id="10" name="图片 9"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表格&#10;&#10;AI 生成的内容可能不正确。"/>
                    <pic:cNvPicPr>
                      <a:picLocks noChangeAspect="1"/>
                    </pic:cNvPicPr>
                  </pic:nvPicPr>
                  <pic:blipFill>
                    <a:blip r:embed="rId7"/>
                    <a:stretch>
                      <a:fillRect/>
                    </a:stretch>
                  </pic:blipFill>
                  <pic:spPr>
                    <a:xfrm>
                      <a:off x="0" y="0"/>
                      <a:ext cx="5274310" cy="5135880"/>
                    </a:xfrm>
                    <a:prstGeom prst="rect">
                      <a:avLst/>
                    </a:prstGeom>
                  </pic:spPr>
                </pic:pic>
              </a:graphicData>
            </a:graphic>
          </wp:inline>
        </w:drawing>
      </w:r>
    </w:p>
    <w:p w14:paraId="416BAA96" w14:textId="77777777" w:rsidR="00557672" w:rsidRDefault="00D547B5">
      <w:pPr>
        <w:spacing w:line="360" w:lineRule="auto"/>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sz w:val="16"/>
          <w:szCs w:val="16"/>
        </w:rPr>
        <w:t>数据来源：wind，富荣基金；统计区间：20250303-20250307</w:t>
      </w:r>
    </w:p>
    <w:p w14:paraId="5A7C192D" w14:textId="77777777" w:rsidR="00557672" w:rsidRDefault="00D547B5">
      <w:pPr>
        <w:pStyle w:val="1"/>
        <w:spacing w:line="360" w:lineRule="auto"/>
        <w:rPr>
          <w:rFonts w:ascii="思源黑体 CN Light" w:eastAsia="思源黑体 CN Light" w:hAnsi="思源黑体 CN Light" w:cs="Arial" w:hint="eastAsia"/>
          <w:sz w:val="36"/>
          <w:szCs w:val="36"/>
        </w:rPr>
      </w:pPr>
      <w:r>
        <w:rPr>
          <w:rFonts w:ascii="思源黑体 CN Light" w:eastAsia="思源黑体 CN Light" w:hAnsi="思源黑体 CN Light" w:cs="Arial" w:hint="eastAsia"/>
          <w:sz w:val="36"/>
          <w:szCs w:val="36"/>
        </w:rPr>
        <w:t>3</w:t>
      </w:r>
      <w:r>
        <w:rPr>
          <w:rFonts w:ascii="思源黑体 CN Light" w:eastAsia="思源黑体 CN Light" w:hAnsi="思源黑体 CN Light" w:cs="Arial"/>
          <w:sz w:val="36"/>
          <w:szCs w:val="36"/>
        </w:rPr>
        <w:t>、</w:t>
      </w:r>
      <w:r>
        <w:rPr>
          <w:rFonts w:ascii="思源黑体 CN Light" w:eastAsia="思源黑体 CN Light" w:hAnsi="思源黑体 CN Light" w:cs="Arial" w:hint="eastAsia"/>
          <w:sz w:val="36"/>
          <w:szCs w:val="36"/>
        </w:rPr>
        <w:t>上周</w:t>
      </w:r>
      <w:r>
        <w:rPr>
          <w:rFonts w:ascii="思源黑体 CN Light" w:eastAsia="思源黑体 CN Light" w:hAnsi="思源黑体 CN Light" w:cs="Arial"/>
          <w:sz w:val="36"/>
          <w:szCs w:val="36"/>
        </w:rPr>
        <w:t>债券市场</w:t>
      </w:r>
      <w:bookmarkEnd w:id="2"/>
    </w:p>
    <w:p w14:paraId="65DEC7A2" w14:textId="77777777" w:rsidR="00557672" w:rsidRDefault="00D547B5">
      <w:pPr>
        <w:spacing w:line="288" w:lineRule="auto"/>
        <w:ind w:firstLineChars="200" w:firstLine="449"/>
        <w:jc w:val="left"/>
        <w:rPr>
          <w:rFonts w:ascii="思源黑体 CN Light" w:eastAsia="思源黑体 CN Light" w:hAnsi="思源黑体 CN Light" w:cs="Times New Roman" w:hint="eastAsia"/>
          <w:b/>
          <w:bCs/>
          <w:sz w:val="22"/>
          <w:szCs w:val="21"/>
          <w14:ligatures w14:val="standardContextual"/>
        </w:rPr>
      </w:pPr>
      <w:r>
        <w:rPr>
          <w:rFonts w:ascii="思源黑体 CN Light" w:eastAsia="思源黑体 CN Light" w:hAnsi="思源黑体 CN Light" w:cs="Times New Roman" w:hint="eastAsia"/>
          <w:b/>
          <w:bCs/>
          <w:sz w:val="22"/>
          <w:szCs w:val="21"/>
          <w14:ligatures w14:val="standardContextual"/>
        </w:rPr>
        <w:t>上周资金整体转松，但隔夜价格偏贵。</w:t>
      </w:r>
      <w:r>
        <w:rPr>
          <w:rFonts w:ascii="思源黑体 CN Light" w:eastAsia="思源黑体 CN Light" w:hAnsi="思源黑体 CN Light" w:cs="Times New Roman" w:hint="eastAsia"/>
          <w:sz w:val="22"/>
          <w:szCs w:val="21"/>
          <w14:ligatures w14:val="standardContextual"/>
        </w:rPr>
        <w:t>DR001下行6.11BP至1.79%，DR007下行31.96BP至1.81%，R001下行17.33BP至1.80%，R007下行32.50BP至1.81%。CD:1M上行9.62BP至2.045%，CD:3M下行5.99BP至2.0551%，CD:6M下行2.48BP至2.0452%，CD:1Y上行3.75BP至2.025%。</w:t>
      </w:r>
    </w:p>
    <w:p w14:paraId="2E9D8E75" w14:textId="7331AEC0" w:rsidR="00557672" w:rsidRDefault="00D547B5">
      <w:pPr>
        <w:spacing w:line="288" w:lineRule="auto"/>
        <w:ind w:firstLineChars="200" w:firstLine="449"/>
        <w:jc w:val="left"/>
        <w:rPr>
          <w:rFonts w:ascii="思源黑体 CN Light" w:eastAsia="思源黑体 CN Light" w:hAnsi="思源黑体 CN Light" w:cs="Times New Roman" w:hint="eastAsia"/>
          <w:sz w:val="22"/>
          <w:szCs w:val="21"/>
          <w14:ligatures w14:val="standardContextual"/>
        </w:rPr>
      </w:pPr>
      <w:r>
        <w:rPr>
          <w:rFonts w:ascii="思源黑体 CN Light" w:eastAsia="思源黑体 CN Light" w:hAnsi="思源黑体 CN Light" w:cs="Times New Roman" w:hint="eastAsia"/>
          <w:b/>
          <w:bCs/>
          <w:sz w:val="22"/>
          <w:szCs w:val="21"/>
          <w14:ligatures w14:val="standardContextual"/>
        </w:rPr>
        <w:lastRenderedPageBreak/>
        <w:t>资金整体不紧，债市调整幅度较大。</w:t>
      </w:r>
      <w:r>
        <w:rPr>
          <w:rFonts w:ascii="思源黑体 CN Light" w:eastAsia="思源黑体 CN Light" w:hAnsi="思源黑体 CN Light" w:cs="Times New Roman" w:hint="eastAsia"/>
          <w:sz w:val="22"/>
          <w:szCs w:val="21"/>
          <w14:ligatures w14:val="standardContextual"/>
        </w:rPr>
        <w:t>1Y、5Y、10Y、30Y国债收益率分别较前一周</w:t>
      </w:r>
      <w:r w:rsidR="00785B4B">
        <w:rPr>
          <w:rFonts w:ascii="思源黑体 CN Light" w:eastAsia="思源黑体 CN Light" w:hAnsi="思源黑体 CN Light" w:cs="Times New Roman" w:hint="eastAsia"/>
          <w:sz w:val="22"/>
          <w:szCs w:val="21"/>
          <w14:ligatures w14:val="standardContextual"/>
        </w:rPr>
        <w:t>上行</w:t>
      </w:r>
      <w:r>
        <w:rPr>
          <w:rFonts w:ascii="思源黑体 CN Light" w:eastAsia="思源黑体 CN Light" w:hAnsi="思源黑体 CN Light" w:cs="Times New Roman" w:hint="eastAsia"/>
          <w:sz w:val="22"/>
          <w:szCs w:val="21"/>
          <w14:ligatures w14:val="standardContextual"/>
        </w:rPr>
        <w:t>9.5BP、6.31BP、8.50BP、7BP至1.5547%、1.6672%、1.8002%、1.9750%，两会期间，资金整体不急，但是央行的态度比较坚决，隔夜价格定价在1.8%附近，叠加股市AI、智能机器人的热点，债市承压，上周整体调整幅度较大。</w:t>
      </w:r>
    </w:p>
    <w:p w14:paraId="6D6EFAF7" w14:textId="77777777" w:rsidR="00557672" w:rsidRDefault="00D547B5">
      <w:pPr>
        <w:spacing w:line="288" w:lineRule="auto"/>
        <w:jc w:val="left"/>
        <w:rPr>
          <w:rFonts w:ascii="思源黑体 CN Light" w:eastAsia="思源黑体 CN Light" w:hAnsi="思源黑体 CN Light" w:cs="Times New Roman" w:hint="eastAsia"/>
          <w:b/>
          <w:color w:val="000000"/>
          <w:kern w:val="0"/>
          <w:sz w:val="20"/>
          <w:szCs w:val="20"/>
        </w:rPr>
      </w:pPr>
      <w:r>
        <w:rPr>
          <w:rFonts w:ascii="思源黑体 CN Light" w:eastAsia="思源黑体 CN Light" w:hAnsi="思源黑体 CN Light" w:cs="Times New Roman" w:hint="eastAsia"/>
          <w:b/>
          <w:color w:val="000000"/>
          <w:kern w:val="0"/>
          <w:sz w:val="20"/>
          <w:szCs w:val="20"/>
        </w:rPr>
        <w:t>图二：资金面变化</w:t>
      </w:r>
    </w:p>
    <w:p w14:paraId="559EB51D" w14:textId="77777777" w:rsidR="00557672" w:rsidRDefault="00D547B5">
      <w:pPr>
        <w:ind w:firstLineChars="200" w:firstLine="420"/>
        <w:jc w:val="left"/>
        <w:rPr>
          <w:rFonts w:ascii="思源黑体 CN Light" w:eastAsia="思源黑体 CN Light" w:hAnsi="思源黑体 CN Light" w:cs="Times New Roman" w:hint="eastAsia"/>
          <w:szCs w:val="21"/>
        </w:rPr>
      </w:pPr>
      <w:r>
        <w:rPr>
          <w:rFonts w:ascii="思源黑体 CN Light" w:eastAsia="思源黑体 CN Light" w:hAnsi="思源黑体 CN Light" w:cs="Times New Roman"/>
          <w:noProof/>
          <w:szCs w:val="21"/>
        </w:rPr>
        <w:drawing>
          <wp:inline distT="0" distB="0" distL="0" distR="0" wp14:anchorId="30A3DAC8" wp14:editId="190CFAC2">
            <wp:extent cx="5274310" cy="3388995"/>
            <wp:effectExtent l="0" t="0" r="2540" b="1905"/>
            <wp:docPr id="11" name="图片 10"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图表&#10;&#10;AI 生成的内容可能不正确。"/>
                    <pic:cNvPicPr>
                      <a:picLocks noChangeAspect="1"/>
                    </pic:cNvPicPr>
                  </pic:nvPicPr>
                  <pic:blipFill>
                    <a:blip r:embed="rId8"/>
                    <a:stretch>
                      <a:fillRect/>
                    </a:stretch>
                  </pic:blipFill>
                  <pic:spPr>
                    <a:xfrm>
                      <a:off x="0" y="0"/>
                      <a:ext cx="5274310" cy="3388995"/>
                    </a:xfrm>
                    <a:prstGeom prst="rect">
                      <a:avLst/>
                    </a:prstGeom>
                  </pic:spPr>
                </pic:pic>
              </a:graphicData>
            </a:graphic>
          </wp:inline>
        </w:drawing>
      </w:r>
    </w:p>
    <w:p w14:paraId="4496FC37" w14:textId="77777777" w:rsidR="00557672" w:rsidRDefault="00D547B5">
      <w:pPr>
        <w:spacing w:line="360" w:lineRule="auto"/>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sz w:val="16"/>
          <w:szCs w:val="16"/>
        </w:rPr>
        <w:t>数据来源：wind，富荣基金；统计区间：20250303-20250307</w:t>
      </w:r>
    </w:p>
    <w:p w14:paraId="6F56AC49" w14:textId="77777777" w:rsidR="00557672" w:rsidRDefault="00D547B5">
      <w:pPr>
        <w:spacing w:line="288" w:lineRule="auto"/>
        <w:jc w:val="left"/>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b/>
          <w:color w:val="000000"/>
          <w:kern w:val="0"/>
          <w:sz w:val="20"/>
          <w:szCs w:val="20"/>
        </w:rPr>
        <w:t>图三：</w:t>
      </w:r>
      <w:proofErr w:type="gramStart"/>
      <w:r>
        <w:rPr>
          <w:rFonts w:ascii="思源黑体 CN Light" w:eastAsia="思源黑体 CN Light" w:hAnsi="思源黑体 CN Light" w:cs="Times New Roman" w:hint="eastAsia"/>
          <w:b/>
          <w:color w:val="000000"/>
          <w:kern w:val="0"/>
          <w:sz w:val="20"/>
          <w:szCs w:val="20"/>
        </w:rPr>
        <w:t>国债周度</w:t>
      </w:r>
      <w:proofErr w:type="gramEnd"/>
      <w:r>
        <w:rPr>
          <w:rFonts w:ascii="思源黑体 CN Light" w:eastAsia="思源黑体 CN Light" w:hAnsi="思源黑体 CN Light" w:cs="Times New Roman" w:hint="eastAsia"/>
          <w:b/>
          <w:color w:val="000000"/>
          <w:kern w:val="0"/>
          <w:sz w:val="20"/>
          <w:szCs w:val="20"/>
        </w:rPr>
        <w:t>变化</w:t>
      </w:r>
      <w:r>
        <w:rPr>
          <w:rFonts w:ascii="思源黑体 CN Light" w:eastAsia="思源黑体 CN Light" w:hAnsi="思源黑体 CN Light" w:cs="Times New Roman"/>
          <w:b/>
          <w:noProof/>
          <w:color w:val="000000"/>
          <w:kern w:val="0"/>
          <w:sz w:val="20"/>
          <w:szCs w:val="20"/>
        </w:rPr>
        <w:lastRenderedPageBreak/>
        <w:drawing>
          <wp:inline distT="0" distB="0" distL="0" distR="0" wp14:anchorId="21FC9EA0" wp14:editId="735E11CD">
            <wp:extent cx="5274310" cy="3595370"/>
            <wp:effectExtent l="0" t="0" r="2540" b="5080"/>
            <wp:docPr id="12" name="图片 1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表, 条形图&#10;&#10;AI 生成的内容可能不正确。"/>
                    <pic:cNvPicPr>
                      <a:picLocks noChangeAspect="1"/>
                    </pic:cNvPicPr>
                  </pic:nvPicPr>
                  <pic:blipFill>
                    <a:blip r:embed="rId9"/>
                    <a:stretch>
                      <a:fillRect/>
                    </a:stretch>
                  </pic:blipFill>
                  <pic:spPr>
                    <a:xfrm>
                      <a:off x="0" y="0"/>
                      <a:ext cx="5274310" cy="3595370"/>
                    </a:xfrm>
                    <a:prstGeom prst="rect">
                      <a:avLst/>
                    </a:prstGeom>
                  </pic:spPr>
                </pic:pic>
              </a:graphicData>
            </a:graphic>
          </wp:inline>
        </w:drawing>
      </w:r>
      <w:r>
        <w:rPr>
          <w:rFonts w:ascii="思源黑体 CN Light" w:eastAsia="思源黑体 CN Light" w:hAnsi="思源黑体 CN Light" w:cs="Times New Roman" w:hint="eastAsia"/>
          <w:sz w:val="16"/>
          <w:szCs w:val="16"/>
        </w:rPr>
        <w:t>数据来源：wind，富荣基金；统计区间：20250303-20250307</w:t>
      </w:r>
    </w:p>
    <w:p w14:paraId="388FF47A" w14:textId="43842EE4" w:rsidR="00557672" w:rsidRDefault="00D547B5">
      <w:pPr>
        <w:spacing w:line="288" w:lineRule="auto"/>
        <w:ind w:firstLineChars="200" w:firstLine="440"/>
        <w:jc w:val="left"/>
        <w:rPr>
          <w:rFonts w:ascii="思源黑体 CN Light" w:eastAsia="思源黑体 CN Light" w:hAnsi="思源黑体 CN Light" w:cs="Times New Roman" w:hint="eastAsia"/>
          <w:sz w:val="22"/>
          <w:szCs w:val="21"/>
          <w14:ligatures w14:val="standardContextual"/>
        </w:rPr>
      </w:pPr>
      <w:r>
        <w:rPr>
          <w:rFonts w:ascii="思源黑体 CN Light" w:eastAsia="思源黑体 CN Light" w:hAnsi="思源黑体 CN Light" w:cs="Times New Roman" w:hint="eastAsia"/>
          <w:sz w:val="22"/>
          <w:szCs w:val="21"/>
          <w14:ligatures w14:val="standardContextual"/>
        </w:rPr>
        <w:t>上周因风险偏好扰动等因素，债市再次大幅调整。前半周，伴随着跨月后资金面转松，</w:t>
      </w:r>
      <w:r w:rsidR="00785B4B">
        <w:rPr>
          <w:rFonts w:ascii="思源黑体 CN Light" w:eastAsia="思源黑体 CN Light" w:hAnsi="思源黑体 CN Light" w:cs="Times New Roman" w:hint="eastAsia"/>
          <w:sz w:val="22"/>
          <w:szCs w:val="21"/>
          <w14:ligatures w14:val="standardContextual"/>
        </w:rPr>
        <w:t>债券</w:t>
      </w:r>
      <w:r>
        <w:rPr>
          <w:rFonts w:ascii="思源黑体 CN Light" w:eastAsia="思源黑体 CN Light" w:hAnsi="思源黑体 CN Light" w:cs="Times New Roman" w:hint="eastAsia"/>
          <w:sz w:val="22"/>
          <w:szCs w:val="21"/>
          <w14:ligatures w14:val="standardContextual"/>
        </w:rPr>
        <w:t>收益率多呈现下行态势，中短</w:t>
      </w:r>
      <w:proofErr w:type="gramStart"/>
      <w:r>
        <w:rPr>
          <w:rFonts w:ascii="思源黑体 CN Light" w:eastAsia="思源黑体 CN Light" w:hAnsi="思源黑体 CN Light" w:cs="Times New Roman" w:hint="eastAsia"/>
          <w:sz w:val="22"/>
          <w:szCs w:val="21"/>
          <w14:ligatures w14:val="standardContextual"/>
        </w:rPr>
        <w:t>端表现</w:t>
      </w:r>
      <w:proofErr w:type="gramEnd"/>
      <w:r>
        <w:rPr>
          <w:rFonts w:ascii="思源黑体 CN Light" w:eastAsia="思源黑体 CN Light" w:hAnsi="思源黑体 CN Light" w:cs="Times New Roman" w:hint="eastAsia"/>
          <w:sz w:val="22"/>
          <w:szCs w:val="21"/>
          <w14:ligatures w14:val="standardContextual"/>
        </w:rPr>
        <w:t>好于长端，2-5年期国债</w:t>
      </w:r>
      <w:r w:rsidR="008725AE">
        <w:rPr>
          <w:rFonts w:ascii="思源黑体 CN Light" w:eastAsia="思源黑体 CN Light" w:hAnsi="思源黑体 CN Light" w:cs="Times New Roman" w:hint="eastAsia"/>
          <w:sz w:val="22"/>
          <w:szCs w:val="21"/>
          <w14:ligatures w14:val="standardContextual"/>
        </w:rPr>
        <w:t>收益率</w:t>
      </w:r>
      <w:r>
        <w:rPr>
          <w:rFonts w:ascii="思源黑体 CN Light" w:eastAsia="思源黑体 CN Light" w:hAnsi="思源黑体 CN Light" w:cs="Times New Roman" w:hint="eastAsia"/>
          <w:sz w:val="22"/>
          <w:szCs w:val="21"/>
          <w14:ligatures w14:val="standardContextual"/>
        </w:rPr>
        <w:t>下行2-5BP，10年期国债收益率下行1BP。周四、周五</w:t>
      </w:r>
      <w:r w:rsidR="00785B4B">
        <w:rPr>
          <w:rFonts w:ascii="思源黑体 CN Light" w:eastAsia="思源黑体 CN Light" w:hAnsi="思源黑体 CN Light" w:cs="Times New Roman" w:hint="eastAsia"/>
          <w:sz w:val="22"/>
          <w:szCs w:val="21"/>
          <w14:ligatures w14:val="standardContextual"/>
        </w:rPr>
        <w:t>债券</w:t>
      </w:r>
      <w:r>
        <w:rPr>
          <w:rFonts w:ascii="思源黑体 CN Light" w:eastAsia="思源黑体 CN Light" w:hAnsi="思源黑体 CN Light" w:cs="Times New Roman" w:hint="eastAsia"/>
          <w:sz w:val="22"/>
          <w:szCs w:val="21"/>
          <w14:ligatures w14:val="standardContextual"/>
        </w:rPr>
        <w:t>收益率全面上行，主要期限国债收益率上行幅度均在9BP以上，</w:t>
      </w:r>
      <w:proofErr w:type="gramStart"/>
      <w:r>
        <w:rPr>
          <w:rFonts w:ascii="思源黑体 CN Light" w:eastAsia="思源黑体 CN Light" w:hAnsi="思源黑体 CN Light" w:cs="Times New Roman" w:hint="eastAsia"/>
          <w:sz w:val="22"/>
          <w:szCs w:val="21"/>
          <w14:ligatures w14:val="standardContextual"/>
        </w:rPr>
        <w:t>二永债调整</w:t>
      </w:r>
      <w:proofErr w:type="gramEnd"/>
      <w:r>
        <w:rPr>
          <w:rFonts w:ascii="思源黑体 CN Light" w:eastAsia="思源黑体 CN Light" w:hAnsi="思源黑体 CN Light" w:cs="Times New Roman" w:hint="eastAsia"/>
          <w:sz w:val="22"/>
          <w:szCs w:val="21"/>
          <w14:ligatures w14:val="standardContextual"/>
        </w:rPr>
        <w:t>7-13BP，信用</w:t>
      </w:r>
      <w:proofErr w:type="gramStart"/>
      <w:r>
        <w:rPr>
          <w:rFonts w:ascii="思源黑体 CN Light" w:eastAsia="思源黑体 CN Light" w:hAnsi="思源黑体 CN Light" w:cs="Times New Roman" w:hint="eastAsia"/>
          <w:sz w:val="22"/>
          <w:szCs w:val="21"/>
          <w14:ligatures w14:val="standardContextual"/>
        </w:rPr>
        <w:t>债调整</w:t>
      </w:r>
      <w:proofErr w:type="gramEnd"/>
      <w:r>
        <w:rPr>
          <w:rFonts w:ascii="思源黑体 CN Light" w:eastAsia="思源黑体 CN Light" w:hAnsi="思源黑体 CN Light" w:cs="Times New Roman" w:hint="eastAsia"/>
          <w:sz w:val="22"/>
          <w:szCs w:val="21"/>
          <w14:ligatures w14:val="standardContextual"/>
        </w:rPr>
        <w:t>4-9BP，市场调整明显放大。</w:t>
      </w:r>
    </w:p>
    <w:p w14:paraId="05A2C590" w14:textId="77777777" w:rsidR="00557672" w:rsidRDefault="00D547B5">
      <w:pPr>
        <w:spacing w:line="288" w:lineRule="auto"/>
        <w:jc w:val="left"/>
        <w:rPr>
          <w:rFonts w:ascii="思源黑体 CN Light" w:eastAsia="思源黑体 CN Light" w:hAnsi="思源黑体 CN Light" w:cs="Times New Roman" w:hint="eastAsia"/>
          <w:b/>
          <w:color w:val="000000"/>
          <w:kern w:val="0"/>
          <w:sz w:val="20"/>
          <w:szCs w:val="20"/>
        </w:rPr>
      </w:pPr>
      <w:r>
        <w:rPr>
          <w:rFonts w:ascii="思源黑体 CN Light" w:eastAsia="思源黑体 CN Light" w:hAnsi="思源黑体 CN Light" w:cs="Times New Roman" w:hint="eastAsia"/>
          <w:b/>
          <w:color w:val="000000"/>
          <w:kern w:val="0"/>
          <w:sz w:val="20"/>
          <w:szCs w:val="20"/>
        </w:rPr>
        <w:t>图四：信用债收益率变化</w:t>
      </w:r>
    </w:p>
    <w:p w14:paraId="5081E59A" w14:textId="77777777" w:rsidR="00557672" w:rsidRDefault="00D547B5">
      <w:pPr>
        <w:spacing w:line="288" w:lineRule="auto"/>
        <w:jc w:val="left"/>
        <w:rPr>
          <w:rFonts w:ascii="思源黑体 CN Light" w:eastAsia="思源黑体 CN Light" w:hAnsi="思源黑体 CN Light" w:cs="Times New Roman" w:hint="eastAsia"/>
          <w:b/>
          <w:color w:val="000000"/>
          <w:kern w:val="0"/>
          <w:sz w:val="20"/>
          <w:szCs w:val="20"/>
        </w:rPr>
      </w:pPr>
      <w:r>
        <w:rPr>
          <w:rFonts w:ascii="思源黑体 CN Light" w:eastAsia="思源黑体 CN Light" w:hAnsi="思源黑体 CN Light" w:cs="Times New Roman"/>
          <w:b/>
          <w:noProof/>
          <w:color w:val="000000"/>
          <w:kern w:val="0"/>
          <w:sz w:val="20"/>
          <w:szCs w:val="20"/>
        </w:rPr>
        <w:lastRenderedPageBreak/>
        <w:drawing>
          <wp:inline distT="0" distB="0" distL="0" distR="0" wp14:anchorId="7ADDCFB8" wp14:editId="2A76B590">
            <wp:extent cx="5274310" cy="2546350"/>
            <wp:effectExtent l="0" t="0" r="2540" b="6350"/>
            <wp:docPr id="828337728" name="图片 10"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37728" name="图片 10" descr="图表, 条形图&#10;&#10;AI 生成的内容可能不正确。"/>
                    <pic:cNvPicPr>
                      <a:picLocks noChangeAspect="1"/>
                    </pic:cNvPicPr>
                  </pic:nvPicPr>
                  <pic:blipFill>
                    <a:blip r:embed="rId10"/>
                    <a:stretch>
                      <a:fillRect/>
                    </a:stretch>
                  </pic:blipFill>
                  <pic:spPr>
                    <a:xfrm>
                      <a:off x="0" y="0"/>
                      <a:ext cx="5274310" cy="2546350"/>
                    </a:xfrm>
                    <a:prstGeom prst="rect">
                      <a:avLst/>
                    </a:prstGeom>
                  </pic:spPr>
                </pic:pic>
              </a:graphicData>
            </a:graphic>
          </wp:inline>
        </w:drawing>
      </w:r>
    </w:p>
    <w:p w14:paraId="225218F1" w14:textId="77777777" w:rsidR="00557672" w:rsidRDefault="00D547B5">
      <w:pPr>
        <w:spacing w:line="360" w:lineRule="auto"/>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sz w:val="16"/>
          <w:szCs w:val="16"/>
        </w:rPr>
        <w:t>数据来源：wind，富荣基金；统计区间：20250303-20250307</w:t>
      </w:r>
    </w:p>
    <w:p w14:paraId="4293A0C7" w14:textId="77777777" w:rsidR="00557672" w:rsidRDefault="00D547B5">
      <w:pPr>
        <w:spacing w:line="288" w:lineRule="auto"/>
        <w:jc w:val="left"/>
        <w:rPr>
          <w:rFonts w:ascii="思源黑体 CN Light" w:eastAsia="思源黑体 CN Light" w:hAnsi="思源黑体 CN Light" w:cs="Times New Roman" w:hint="eastAsia"/>
          <w:sz w:val="16"/>
          <w:szCs w:val="16"/>
        </w:rPr>
      </w:pPr>
      <w:r>
        <w:rPr>
          <w:rFonts w:ascii="思源黑体 CN Light" w:eastAsia="思源黑体 CN Light" w:hAnsi="思源黑体 CN Light" w:cs="Times New Roman" w:hint="eastAsia"/>
          <w:b/>
          <w:color w:val="000000"/>
          <w:kern w:val="0"/>
          <w:sz w:val="20"/>
          <w:szCs w:val="20"/>
        </w:rPr>
        <w:t>图五：信用利差变化</w:t>
      </w:r>
      <w:r>
        <w:rPr>
          <w:rFonts w:ascii="思源黑体 CN Light" w:eastAsia="思源黑体 CN Light" w:hAnsi="思源黑体 CN Light" w:cs="Times New Roman"/>
          <w:b/>
          <w:noProof/>
          <w:color w:val="000000"/>
          <w:kern w:val="0"/>
          <w:sz w:val="20"/>
          <w:szCs w:val="20"/>
        </w:rPr>
        <w:drawing>
          <wp:inline distT="0" distB="0" distL="0" distR="0" wp14:anchorId="2720288F" wp14:editId="17C0C839">
            <wp:extent cx="5274310" cy="2206625"/>
            <wp:effectExtent l="0" t="0" r="2540" b="3175"/>
            <wp:docPr id="1367993861" name="图片 1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93861" name="图片 11" descr="图表, 条形图&#10;&#10;AI 生成的内容可能不正确。"/>
                    <pic:cNvPicPr>
                      <a:picLocks noChangeAspect="1"/>
                    </pic:cNvPicPr>
                  </pic:nvPicPr>
                  <pic:blipFill>
                    <a:blip r:embed="rId11"/>
                    <a:stretch>
                      <a:fillRect/>
                    </a:stretch>
                  </pic:blipFill>
                  <pic:spPr>
                    <a:xfrm>
                      <a:off x="0" y="0"/>
                      <a:ext cx="5274310" cy="2206625"/>
                    </a:xfrm>
                    <a:prstGeom prst="rect">
                      <a:avLst/>
                    </a:prstGeom>
                  </pic:spPr>
                </pic:pic>
              </a:graphicData>
            </a:graphic>
          </wp:inline>
        </w:drawing>
      </w:r>
      <w:r>
        <w:rPr>
          <w:rFonts w:ascii="思源黑体 CN Light" w:eastAsia="思源黑体 CN Light" w:hAnsi="思源黑体 CN Light" w:cs="Times New Roman" w:hint="eastAsia"/>
          <w:sz w:val="16"/>
          <w:szCs w:val="16"/>
        </w:rPr>
        <w:t>数据来源：wind，富荣基金；统计区间：20250303-20250307</w:t>
      </w:r>
    </w:p>
    <w:p w14:paraId="348BDA38" w14:textId="77777777" w:rsidR="00557672" w:rsidRDefault="00557672">
      <w:pPr>
        <w:ind w:firstLineChars="200" w:firstLine="400"/>
        <w:rPr>
          <w:rFonts w:ascii="思源黑体 CN Light" w:eastAsia="思源黑体 CN Light" w:hAnsi="思源黑体 CN Light" w:hint="eastAsia"/>
          <w:sz w:val="20"/>
          <w:szCs w:val="20"/>
        </w:rPr>
      </w:pPr>
    </w:p>
    <w:p w14:paraId="743F6DB5" w14:textId="77777777" w:rsidR="00557672" w:rsidRDefault="00D547B5">
      <w:pPr>
        <w:ind w:firstLineChars="200" w:firstLine="400"/>
        <w:rPr>
          <w:rFonts w:ascii="思源黑体 CN Light" w:eastAsia="思源黑体 CN Light" w:hAnsi="思源黑体 CN Light" w:cs="Times New Roman" w:hint="eastAsia"/>
          <w:sz w:val="20"/>
          <w:szCs w:val="20"/>
        </w:rPr>
      </w:pPr>
      <w:r>
        <w:rPr>
          <w:rFonts w:ascii="思源黑体 CN Light" w:eastAsia="思源黑体 CN Light" w:hAnsi="思源黑体 CN Light" w:hint="eastAsia"/>
          <w:sz w:val="20"/>
          <w:szCs w:val="20"/>
        </w:rPr>
        <w:t>风险提示：</w:t>
      </w:r>
    </w:p>
    <w:p w14:paraId="4060B104" w14:textId="77777777" w:rsidR="00557672" w:rsidRDefault="00D547B5">
      <w:pPr>
        <w:rPr>
          <w:rFonts w:hint="eastAsia"/>
        </w:rPr>
      </w:pPr>
      <w:r>
        <w:rPr>
          <w:rFonts w:ascii="思源黑体 CN Light" w:eastAsia="思源黑体 CN Light" w:hAnsi="思源黑体 CN Light"/>
          <w:sz w:val="20"/>
          <w:szCs w:val="20"/>
        </w:rPr>
        <w:t>1、本材料中的信息均来源于我们认为可靠的已公开资料和合作客户的研究成果，但本公司及研究人员对这些信息的准确性和完整性不作任何保证，也不保证本材料所包含的信息或建议在本材料发出后不会发生任何变更，且本材料仅反映发布时的资料、观点和预测，可能在随后会</w:t>
      </w:r>
      <w:proofErr w:type="gramStart"/>
      <w:r>
        <w:rPr>
          <w:rFonts w:ascii="思源黑体 CN Light" w:eastAsia="思源黑体 CN Light" w:hAnsi="思源黑体 CN Light"/>
          <w:sz w:val="20"/>
          <w:szCs w:val="20"/>
        </w:rPr>
        <w:t>作出</w:t>
      </w:r>
      <w:proofErr w:type="gramEnd"/>
      <w:r>
        <w:rPr>
          <w:rFonts w:ascii="思源黑体 CN Light" w:eastAsia="思源黑体 CN Light" w:hAnsi="思源黑体 CN Light"/>
          <w:sz w:val="20"/>
          <w:szCs w:val="20"/>
        </w:rPr>
        <w:t>调整。2、本材料中的资料、观点和预测等仅供参考，在任何时候均不构成对任何人的个人推荐。市场有风险，投资需谨慎。</w:t>
      </w:r>
    </w:p>
    <w:p w14:paraId="5873AE75" w14:textId="77777777" w:rsidR="00557672" w:rsidRDefault="00557672">
      <w:pPr>
        <w:rPr>
          <w:rFonts w:hint="eastAsia"/>
        </w:rPr>
      </w:pPr>
    </w:p>
    <w:sectPr w:rsidR="00557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9ECE" w14:textId="77777777" w:rsidR="00A02862" w:rsidRDefault="00A02862">
      <w:pPr>
        <w:rPr>
          <w:rFonts w:hint="eastAsia"/>
        </w:rPr>
      </w:pPr>
      <w:r>
        <w:separator/>
      </w:r>
    </w:p>
  </w:endnote>
  <w:endnote w:type="continuationSeparator" w:id="0">
    <w:p w14:paraId="655B8BA1" w14:textId="77777777" w:rsidR="00A02862" w:rsidRDefault="00A02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思源黑体 CN Bold">
    <w:altName w:val="黑体"/>
    <w:panose1 w:val="020B0800000000000000"/>
    <w:charset w:val="86"/>
    <w:family w:val="swiss"/>
    <w:notTrueType/>
    <w:pitch w:val="variable"/>
    <w:sig w:usb0="20000207" w:usb1="2ADF3C10" w:usb2="00000016" w:usb3="00000000" w:csb0="00060107" w:csb1="00000000"/>
  </w:font>
  <w:font w:name="思源黑体 CN Light">
    <w:altName w:val="黑体"/>
    <w:panose1 w:val="020B0300000000000000"/>
    <w:charset w:val="86"/>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1880" w14:textId="77777777" w:rsidR="00A02862" w:rsidRDefault="00A02862">
      <w:pPr>
        <w:rPr>
          <w:rFonts w:hint="eastAsia"/>
        </w:rPr>
      </w:pPr>
      <w:r>
        <w:separator/>
      </w:r>
    </w:p>
  </w:footnote>
  <w:footnote w:type="continuationSeparator" w:id="0">
    <w:p w14:paraId="759032BE" w14:textId="77777777" w:rsidR="00A02862" w:rsidRDefault="00A028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4"/>
    <w:rsid w:val="00003F94"/>
    <w:rsid w:val="001361EF"/>
    <w:rsid w:val="002D1455"/>
    <w:rsid w:val="002F63B0"/>
    <w:rsid w:val="00433D6C"/>
    <w:rsid w:val="0047148E"/>
    <w:rsid w:val="00557672"/>
    <w:rsid w:val="00607497"/>
    <w:rsid w:val="00636694"/>
    <w:rsid w:val="00727F7A"/>
    <w:rsid w:val="00785B4B"/>
    <w:rsid w:val="008306DD"/>
    <w:rsid w:val="0084343C"/>
    <w:rsid w:val="00852735"/>
    <w:rsid w:val="008725AE"/>
    <w:rsid w:val="009E7A0F"/>
    <w:rsid w:val="00A02862"/>
    <w:rsid w:val="00C04664"/>
    <w:rsid w:val="00C557B6"/>
    <w:rsid w:val="00CE2C1D"/>
    <w:rsid w:val="00D547B5"/>
    <w:rsid w:val="00D60EAC"/>
    <w:rsid w:val="00D75FF8"/>
    <w:rsid w:val="00D836AF"/>
    <w:rsid w:val="00E527BA"/>
    <w:rsid w:val="00EE3AA6"/>
    <w:rsid w:val="00F11EDD"/>
    <w:rsid w:val="00F12D80"/>
    <w:rsid w:val="5C31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5525"/>
  <w15:docId w15:val="{F8C8AF8D-3BF1-47D2-B38F-6A14CC42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Subtitle"/>
    <w:basedOn w:val="a"/>
    <w:next w:val="a"/>
    <w:link w:val="a6"/>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line="278" w:lineRule="auto"/>
      <w:jc w:val="center"/>
    </w:pPr>
    <w:rPr>
      <w:i/>
      <w:iCs/>
      <w:color w:val="404040" w:themeColor="text1" w:themeTint="BF"/>
      <w:sz w:val="22"/>
      <w:szCs w:val="24"/>
      <w14:ligatures w14:val="standardContextual"/>
    </w:rPr>
  </w:style>
  <w:style w:type="character" w:customStyle="1" w:styleId="aa">
    <w:name w:val="引用 字符"/>
    <w:basedOn w:val="a0"/>
    <w:link w:val="a9"/>
    <w:uiPriority w:val="29"/>
    <w:rPr>
      <w:i/>
      <w:iCs/>
      <w:color w:val="404040" w:themeColor="text1" w:themeTint="BF"/>
    </w:rPr>
  </w:style>
  <w:style w:type="paragraph" w:styleId="ab">
    <w:name w:val="List Paragraph"/>
    <w:basedOn w:val="a"/>
    <w:uiPriority w:val="34"/>
    <w:qFormat/>
    <w:pPr>
      <w:spacing w:after="160" w:line="278" w:lineRule="auto"/>
      <w:ind w:left="720"/>
      <w:contextualSpacing/>
      <w:jc w:val="left"/>
    </w:pPr>
    <w:rPr>
      <w:sz w:val="22"/>
      <w:szCs w:val="24"/>
      <w14:ligatures w14:val="standardContextual"/>
    </w:r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d">
    <w:name w:val="明显引用 字符"/>
    <w:basedOn w:val="a0"/>
    <w:link w:val="ac"/>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styleId="ae">
    <w:name w:val="annotation reference"/>
    <w:basedOn w:val="a0"/>
    <w:uiPriority w:val="99"/>
    <w:semiHidden/>
    <w:unhideWhenUsed/>
    <w:rPr>
      <w:sz w:val="21"/>
      <w:szCs w:val="21"/>
    </w:rPr>
  </w:style>
  <w:style w:type="paragraph" w:styleId="af">
    <w:name w:val="Balloon Text"/>
    <w:basedOn w:val="a"/>
    <w:link w:val="af0"/>
    <w:uiPriority w:val="99"/>
    <w:semiHidden/>
    <w:unhideWhenUsed/>
    <w:rsid w:val="00CE2C1D"/>
    <w:rPr>
      <w:sz w:val="18"/>
      <w:szCs w:val="18"/>
    </w:rPr>
  </w:style>
  <w:style w:type="character" w:customStyle="1" w:styleId="af0">
    <w:name w:val="批注框文本 字符"/>
    <w:basedOn w:val="a0"/>
    <w:link w:val="af"/>
    <w:uiPriority w:val="99"/>
    <w:semiHidden/>
    <w:rsid w:val="00CE2C1D"/>
    <w:rPr>
      <w:kern w:val="2"/>
      <w:sz w:val="18"/>
      <w:szCs w:val="18"/>
    </w:rPr>
  </w:style>
  <w:style w:type="paragraph" w:styleId="af1">
    <w:name w:val="header"/>
    <w:basedOn w:val="a"/>
    <w:link w:val="af2"/>
    <w:uiPriority w:val="99"/>
    <w:unhideWhenUsed/>
    <w:rsid w:val="00CE2C1D"/>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rsid w:val="00CE2C1D"/>
    <w:rPr>
      <w:kern w:val="2"/>
      <w:sz w:val="18"/>
      <w:szCs w:val="18"/>
    </w:rPr>
  </w:style>
  <w:style w:type="paragraph" w:styleId="af3">
    <w:name w:val="footer"/>
    <w:basedOn w:val="a"/>
    <w:link w:val="af4"/>
    <w:uiPriority w:val="99"/>
    <w:unhideWhenUsed/>
    <w:rsid w:val="00CE2C1D"/>
    <w:pPr>
      <w:tabs>
        <w:tab w:val="center" w:pos="4153"/>
        <w:tab w:val="right" w:pos="8306"/>
      </w:tabs>
      <w:snapToGrid w:val="0"/>
      <w:jc w:val="left"/>
    </w:pPr>
    <w:rPr>
      <w:sz w:val="18"/>
      <w:szCs w:val="18"/>
    </w:rPr>
  </w:style>
  <w:style w:type="character" w:customStyle="1" w:styleId="af4">
    <w:name w:val="页脚 字符"/>
    <w:basedOn w:val="a0"/>
    <w:link w:val="af3"/>
    <w:uiPriority w:val="99"/>
    <w:rsid w:val="00CE2C1D"/>
    <w:rPr>
      <w:kern w:val="2"/>
      <w:sz w:val="18"/>
      <w:szCs w:val="18"/>
    </w:rPr>
  </w:style>
  <w:style w:type="paragraph" w:styleId="af5">
    <w:name w:val="annotation subject"/>
    <w:basedOn w:val="a3"/>
    <w:next w:val="a3"/>
    <w:link w:val="af6"/>
    <w:uiPriority w:val="99"/>
    <w:semiHidden/>
    <w:unhideWhenUsed/>
    <w:rsid w:val="00CE2C1D"/>
    <w:rPr>
      <w:b/>
      <w:bCs/>
    </w:rPr>
  </w:style>
  <w:style w:type="character" w:customStyle="1" w:styleId="a4">
    <w:name w:val="批注文字 字符"/>
    <w:basedOn w:val="a0"/>
    <w:link w:val="a3"/>
    <w:uiPriority w:val="99"/>
    <w:semiHidden/>
    <w:rsid w:val="00CE2C1D"/>
    <w:rPr>
      <w:kern w:val="2"/>
      <w:sz w:val="21"/>
      <w:szCs w:val="22"/>
    </w:rPr>
  </w:style>
  <w:style w:type="character" w:customStyle="1" w:styleId="af6">
    <w:name w:val="批注主题 字符"/>
    <w:basedOn w:val="a4"/>
    <w:link w:val="af5"/>
    <w:uiPriority w:val="99"/>
    <w:semiHidden/>
    <w:rsid w:val="00CE2C1D"/>
    <w:rPr>
      <w:b/>
      <w:bCs/>
      <w:kern w:val="2"/>
      <w:sz w:val="21"/>
      <w:szCs w:val="22"/>
    </w:rPr>
  </w:style>
  <w:style w:type="paragraph" w:styleId="af7">
    <w:name w:val="Revision"/>
    <w:hidden/>
    <w:uiPriority w:val="99"/>
    <w:unhideWhenUsed/>
    <w:rsid w:val="00F11E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叶蕊</dc:creator>
  <cp:lastModifiedBy>叶蕊</cp:lastModifiedBy>
  <cp:revision>3</cp:revision>
  <dcterms:created xsi:type="dcterms:W3CDTF">2025-03-10T09:12:00Z</dcterms:created>
  <dcterms:modified xsi:type="dcterms:W3CDTF">2025-03-10T09:31:00Z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2052-12.1.0.20305</vt:lpwstr>
  </property>
  <property fmtid="{D5CDD505-2E9C-101B-9397-08002B2CF9AE}" pid="4" name="ICV">
    <vt:lpwstr>056F4E2DAA9C41F6BB43ADE25390F7C7_12</vt:lpwstr>
  </property>
</Properties>
</file>