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2D895" w14:textId="77777777" w:rsidR="00381F61" w:rsidRDefault="00000000">
      <w:pPr>
        <w:pStyle w:val="2"/>
        <w:tabs>
          <w:tab w:val="left" w:pos="4364"/>
          <w:tab w:val="right" w:pos="10204"/>
        </w:tabs>
        <w:jc w:val="center"/>
        <w:rPr>
          <w:rFonts w:ascii="思源黑体 CN Bold" w:eastAsia="思源黑体 CN Bold" w:hAnsi="思源黑体 CN Bold" w:cs="Times New Roman" w:hint="eastAsia"/>
          <w:b/>
          <w:color w:val="FA842D"/>
          <w:kern w:val="0"/>
          <w:sz w:val="24"/>
          <w:szCs w:val="18"/>
        </w:rPr>
      </w:pPr>
      <w:bookmarkStart w:id="0" w:name="_Hlk182226954"/>
      <w:r>
        <w:rPr>
          <w:rFonts w:ascii="思源黑体 CN Bold" w:eastAsia="思源黑体 CN Bold" w:hAnsi="思源黑体 CN Bold" w:cs="Times New Roman" w:hint="eastAsia"/>
          <w:b/>
          <w:color w:val="FA842D"/>
          <w:kern w:val="0"/>
          <w:sz w:val="24"/>
          <w:szCs w:val="18"/>
        </w:rPr>
        <w:t>富荣权益：中美博弈趋于长期化，短期关注高确定性板块</w:t>
      </w:r>
    </w:p>
    <w:p w14:paraId="060BC943" w14:textId="77777777" w:rsidR="00381F61" w:rsidRDefault="00000000">
      <w:pPr>
        <w:pStyle w:val="2"/>
        <w:tabs>
          <w:tab w:val="left" w:pos="4364"/>
          <w:tab w:val="right" w:pos="10204"/>
        </w:tabs>
        <w:rPr>
          <w:rFonts w:ascii="思源黑体 CN Light" w:eastAsia="思源黑体 CN Light" w:hAnsi="思源黑体 CN Light" w:cs="Times New Roman" w:hint="eastAsia"/>
          <w:b/>
          <w:bCs/>
          <w:sz w:val="22"/>
          <w:szCs w:val="24"/>
        </w:rPr>
      </w:pPr>
      <w:r>
        <w:rPr>
          <w:rFonts w:ascii="思源黑体 CN Light" w:eastAsia="思源黑体 CN Light" w:hAnsi="思源黑体 CN Light" w:cs="Times New Roman" w:hint="eastAsia"/>
          <w:b/>
          <w:bCs/>
          <w:sz w:val="22"/>
          <w:szCs w:val="24"/>
        </w:rPr>
        <w:t>一</w:t>
      </w:r>
      <w:r>
        <w:rPr>
          <w:rFonts w:ascii="思源黑体 CN Light" w:eastAsia="思源黑体 CN Light" w:hAnsi="思源黑体 CN Light" w:cs="Times New Roman"/>
          <w:b/>
          <w:bCs/>
          <w:sz w:val="22"/>
          <w:szCs w:val="24"/>
        </w:rPr>
        <w:t>、</w:t>
      </w:r>
      <w:r>
        <w:rPr>
          <w:rFonts w:ascii="思源黑体 CN Light" w:eastAsia="思源黑体 CN Light" w:hAnsi="思源黑体 CN Light" w:cs="Times New Roman" w:hint="eastAsia"/>
          <w:b/>
          <w:bCs/>
          <w:sz w:val="22"/>
          <w:szCs w:val="24"/>
        </w:rPr>
        <w:t>权益</w:t>
      </w:r>
      <w:proofErr w:type="gramStart"/>
      <w:r>
        <w:rPr>
          <w:rFonts w:ascii="思源黑体 CN Light" w:eastAsia="思源黑体 CN Light" w:hAnsi="思源黑体 CN Light" w:cs="Times New Roman"/>
          <w:b/>
          <w:bCs/>
          <w:sz w:val="22"/>
          <w:szCs w:val="24"/>
        </w:rPr>
        <w:t>市场</w:t>
      </w:r>
      <w:r>
        <w:rPr>
          <w:rFonts w:ascii="思源黑体 CN Light" w:eastAsia="思源黑体 CN Light" w:hAnsi="思源黑体 CN Light" w:cs="Times New Roman" w:hint="eastAsia"/>
          <w:b/>
          <w:bCs/>
          <w:sz w:val="22"/>
          <w:szCs w:val="24"/>
        </w:rPr>
        <w:t>周度表现</w:t>
      </w:r>
      <w:proofErr w:type="gramEnd"/>
    </w:p>
    <w:p w14:paraId="2C7E903F" w14:textId="77777777" w:rsidR="00381F61" w:rsidRDefault="00000000">
      <w:pPr>
        <w:ind w:firstLineChars="200" w:firstLine="420"/>
        <w:jc w:val="left"/>
        <w:rPr>
          <w:rFonts w:ascii="思源黑体 CN Light" w:eastAsia="思源黑体 CN Light" w:hAnsi="思源黑体 CN Light" w:cs="Times New Roman" w:hint="eastAsia"/>
          <w:color w:val="000000" w:themeColor="text1"/>
          <w:sz w:val="21"/>
          <w:szCs w:val="20"/>
        </w:rPr>
      </w:pPr>
      <w:r>
        <w:rPr>
          <w:rFonts w:ascii="思源黑体 CN Light" w:eastAsia="思源黑体 CN Light" w:hAnsi="思源黑体 CN Light" w:cs="Times New Roman" w:hint="eastAsia"/>
          <w:color w:val="000000" w:themeColor="text1"/>
          <w:sz w:val="21"/>
          <w:szCs w:val="20"/>
        </w:rPr>
        <w:t>上周（2025年4月7日至2025年4月11日，下同）权益市场主要指数全部下跌，</w:t>
      </w:r>
      <w:r>
        <w:rPr>
          <w:rFonts w:ascii="思源黑体 CN Light" w:eastAsia="思源黑体 CN Light" w:hAnsi="思源黑体 CN Light" w:cs="Times New Roman"/>
          <w:color w:val="000000" w:themeColor="text1"/>
          <w:sz w:val="21"/>
          <w:szCs w:val="20"/>
        </w:rPr>
        <w:t>深证成指、上证指数、创业板指分别报收</w:t>
      </w:r>
      <w:r>
        <w:rPr>
          <w:rFonts w:ascii="思源黑体 CN Light" w:eastAsia="思源黑体 CN Light" w:hAnsi="思源黑体 CN Light" w:cs="Times New Roman" w:hint="eastAsia"/>
          <w:color w:val="000000" w:themeColor="text1"/>
          <w:sz w:val="21"/>
          <w:szCs w:val="20"/>
        </w:rPr>
        <w:t>9834.44</w:t>
      </w:r>
      <w:r>
        <w:rPr>
          <w:rFonts w:ascii="思源黑体 CN Light" w:eastAsia="思源黑体 CN Light" w:hAnsi="思源黑体 CN Light" w:cs="Times New Roman"/>
          <w:color w:val="000000" w:themeColor="text1"/>
          <w:sz w:val="21"/>
          <w:szCs w:val="20"/>
        </w:rPr>
        <w:t>点、</w:t>
      </w:r>
      <w:r>
        <w:rPr>
          <w:rFonts w:ascii="思源黑体 CN Light" w:eastAsia="思源黑体 CN Light" w:hAnsi="思源黑体 CN Light" w:cs="Times New Roman" w:hint="eastAsia"/>
          <w:color w:val="000000" w:themeColor="text1"/>
          <w:sz w:val="21"/>
          <w:szCs w:val="20"/>
        </w:rPr>
        <w:t>3238.23</w:t>
      </w:r>
      <w:r>
        <w:rPr>
          <w:rFonts w:ascii="思源黑体 CN Light" w:eastAsia="思源黑体 CN Light" w:hAnsi="思源黑体 CN Light" w:cs="Times New Roman"/>
          <w:color w:val="000000" w:themeColor="text1"/>
          <w:sz w:val="21"/>
          <w:szCs w:val="20"/>
        </w:rPr>
        <w:t>点、</w:t>
      </w:r>
      <w:r>
        <w:rPr>
          <w:rFonts w:ascii="思源黑体 CN Light" w:eastAsia="思源黑体 CN Light" w:hAnsi="思源黑体 CN Light" w:cs="Times New Roman" w:hint="eastAsia"/>
          <w:color w:val="000000" w:themeColor="text1"/>
          <w:sz w:val="21"/>
          <w:szCs w:val="20"/>
        </w:rPr>
        <w:t>1926.37</w:t>
      </w:r>
      <w:r>
        <w:rPr>
          <w:rFonts w:ascii="思源黑体 CN Light" w:eastAsia="思源黑体 CN Light" w:hAnsi="思源黑体 CN Light" w:cs="Times New Roman"/>
          <w:color w:val="000000" w:themeColor="text1"/>
          <w:sz w:val="21"/>
          <w:szCs w:val="20"/>
        </w:rPr>
        <w:t>点</w:t>
      </w:r>
      <w:r>
        <w:rPr>
          <w:rFonts w:ascii="思源黑体 CN Light" w:eastAsia="思源黑体 CN Light" w:hAnsi="思源黑体 CN Light" w:cs="Times New Roman" w:hint="eastAsia"/>
          <w:color w:val="000000" w:themeColor="text1"/>
          <w:sz w:val="21"/>
          <w:szCs w:val="20"/>
        </w:rPr>
        <w:t>。其中，</w:t>
      </w:r>
      <w:proofErr w:type="gramStart"/>
      <w:r>
        <w:rPr>
          <w:rFonts w:ascii="思源黑体 CN Light" w:eastAsia="思源黑体 CN Light" w:hAnsi="思源黑体 CN Light" w:cs="Times New Roman" w:hint="eastAsia"/>
          <w:color w:val="000000" w:themeColor="text1"/>
          <w:sz w:val="21"/>
          <w:szCs w:val="20"/>
        </w:rPr>
        <w:t>科创</w:t>
      </w:r>
      <w:proofErr w:type="gramEnd"/>
      <w:r>
        <w:rPr>
          <w:rFonts w:ascii="思源黑体 CN Light" w:eastAsia="思源黑体 CN Light" w:hAnsi="思源黑体 CN Light" w:cs="Times New Roman" w:hint="eastAsia"/>
          <w:color w:val="000000" w:themeColor="text1"/>
          <w:sz w:val="21"/>
          <w:szCs w:val="20"/>
        </w:rPr>
        <w:t>50（-0.63%）跌幅最小；上证50（-1.60%）、沪深300（-2.87%）、上证指数（-3.11%）、中证500（-4.52%）、深证成指（-5.13%）、中证1000（-5.50%）、创成长（-5.91%）、创业板指（-6.73%）、创业板50（-8.00%）紧随其后。</w:t>
      </w:r>
    </w:p>
    <w:p w14:paraId="4AA8CB52" w14:textId="77777777" w:rsidR="00381F61" w:rsidRDefault="00000000">
      <w:pPr>
        <w:ind w:firstLineChars="200" w:firstLine="428"/>
        <w:jc w:val="left"/>
        <w:rPr>
          <w:rFonts w:ascii="思源黑体 CN Light" w:eastAsia="思源黑体 CN Light" w:hAnsi="思源黑体 CN Light" w:cs="Times New Roman" w:hint="eastAsia"/>
          <w:b/>
          <w:sz w:val="21"/>
          <w:szCs w:val="20"/>
        </w:rPr>
      </w:pPr>
      <w:r>
        <w:rPr>
          <w:rFonts w:ascii="思源黑体 CN Light" w:eastAsia="思源黑体 CN Light" w:hAnsi="思源黑体 CN Light" w:cs="Times New Roman"/>
          <w:b/>
          <w:sz w:val="21"/>
          <w:szCs w:val="20"/>
        </w:rPr>
        <w:t>图：主要</w:t>
      </w:r>
      <w:proofErr w:type="gramStart"/>
      <w:r>
        <w:rPr>
          <w:rFonts w:ascii="思源黑体 CN Light" w:eastAsia="思源黑体 CN Light" w:hAnsi="思源黑体 CN Light" w:cs="Times New Roman"/>
          <w:b/>
          <w:sz w:val="21"/>
          <w:szCs w:val="20"/>
        </w:rPr>
        <w:t>股指</w:t>
      </w:r>
      <w:r>
        <w:rPr>
          <w:rFonts w:ascii="思源黑体 CN Light" w:eastAsia="思源黑体 CN Light" w:hAnsi="思源黑体 CN Light" w:cs="Times New Roman" w:hint="eastAsia"/>
          <w:b/>
          <w:sz w:val="21"/>
          <w:szCs w:val="20"/>
        </w:rPr>
        <w:t>周度</w:t>
      </w:r>
      <w:proofErr w:type="gramEnd"/>
      <w:r>
        <w:rPr>
          <w:rFonts w:ascii="思源黑体 CN Light" w:eastAsia="思源黑体 CN Light" w:hAnsi="思源黑体 CN Light" w:cs="Times New Roman" w:hint="eastAsia"/>
          <w:b/>
          <w:sz w:val="21"/>
          <w:szCs w:val="20"/>
        </w:rPr>
        <w:t>/月度</w:t>
      </w:r>
      <w:r>
        <w:rPr>
          <w:rFonts w:ascii="思源黑体 CN Light" w:eastAsia="思源黑体 CN Light" w:hAnsi="思源黑体 CN Light" w:cs="Times New Roman"/>
          <w:b/>
          <w:sz w:val="21"/>
          <w:szCs w:val="20"/>
        </w:rPr>
        <w:t>涨跌幅（单位：%）</w:t>
      </w:r>
    </w:p>
    <w:p w14:paraId="3E1C86D6" w14:textId="77777777" w:rsidR="00381F61" w:rsidRDefault="00000000">
      <w:pPr>
        <w:ind w:firstLineChars="200" w:firstLine="480"/>
        <w:jc w:val="left"/>
        <w:rPr>
          <w:rFonts w:ascii="思源黑体 CN Light" w:eastAsia="思源黑体 CN Light" w:hAnsi="思源黑体 CN Light" w:cs="Times New Roman" w:hint="eastAsia"/>
          <w:sz w:val="13"/>
          <w:szCs w:val="20"/>
        </w:rPr>
      </w:pPr>
      <w:r>
        <w:rPr>
          <w:rFonts w:hint="eastAsia"/>
          <w:noProof/>
        </w:rPr>
        <w:drawing>
          <wp:inline distT="0" distB="0" distL="0" distR="0">
            <wp:extent cx="6479540" cy="3763010"/>
            <wp:effectExtent l="0" t="0" r="0" b="8890"/>
            <wp:docPr id="328595512" name="图片 1" descr="图表, 条形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595512" name="图片 1" descr="图表, 条形图&#10;&#10;AI 生成的内容可能不正确。"/>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6479540" cy="3763010"/>
                    </a:xfrm>
                    <a:prstGeom prst="rect">
                      <a:avLst/>
                    </a:prstGeom>
                    <a:noFill/>
                    <a:ln>
                      <a:noFill/>
                    </a:ln>
                  </pic:spPr>
                </pic:pic>
              </a:graphicData>
            </a:graphic>
          </wp:inline>
        </w:drawing>
      </w:r>
      <w:r>
        <w:rPr>
          <w:rFonts w:ascii="思源黑体 CN Light" w:eastAsia="思源黑体 CN Light" w:hAnsi="思源黑体 CN Light" w:cs="Times New Roman"/>
          <w:sz w:val="13"/>
          <w:szCs w:val="20"/>
        </w:rPr>
        <w:t>数据来源：wind，富</w:t>
      </w:r>
      <w:proofErr w:type="gramStart"/>
      <w:r>
        <w:rPr>
          <w:rFonts w:ascii="思源黑体 CN Light" w:eastAsia="思源黑体 CN Light" w:hAnsi="思源黑体 CN Light" w:cs="Times New Roman"/>
          <w:sz w:val="13"/>
          <w:szCs w:val="20"/>
        </w:rPr>
        <w:t>荣基金</w:t>
      </w:r>
      <w:proofErr w:type="gramEnd"/>
      <w:r>
        <w:rPr>
          <w:rFonts w:ascii="思源黑体 CN Light" w:eastAsia="思源黑体 CN Light" w:hAnsi="思源黑体 CN Light" w:cs="Times New Roman"/>
          <w:sz w:val="13"/>
          <w:szCs w:val="20"/>
        </w:rPr>
        <w:t>管理有限公司</w:t>
      </w:r>
      <w:r>
        <w:rPr>
          <w:rFonts w:ascii="思源黑体 CN Light" w:eastAsia="思源黑体 CN Light" w:hAnsi="思源黑体 CN Light" w:cs="Times New Roman" w:hint="eastAsia"/>
          <w:sz w:val="13"/>
          <w:szCs w:val="20"/>
        </w:rPr>
        <w:t>；周涨跌</w:t>
      </w:r>
      <w:proofErr w:type="gramStart"/>
      <w:r>
        <w:rPr>
          <w:rFonts w:ascii="思源黑体 CN Light" w:eastAsia="思源黑体 CN Light" w:hAnsi="思源黑体 CN Light" w:cs="Times New Roman" w:hint="eastAsia"/>
          <w:sz w:val="13"/>
          <w:szCs w:val="20"/>
        </w:rPr>
        <w:t>幅统计</w:t>
      </w:r>
      <w:proofErr w:type="gramEnd"/>
      <w:r>
        <w:rPr>
          <w:rFonts w:ascii="思源黑体 CN Light" w:eastAsia="思源黑体 CN Light" w:hAnsi="思源黑体 CN Light" w:cs="Times New Roman" w:hint="eastAsia"/>
          <w:sz w:val="13"/>
          <w:szCs w:val="20"/>
        </w:rPr>
        <w:t>区间：20250407-20250411；月涨跌</w:t>
      </w:r>
      <w:proofErr w:type="gramStart"/>
      <w:r>
        <w:rPr>
          <w:rFonts w:ascii="思源黑体 CN Light" w:eastAsia="思源黑体 CN Light" w:hAnsi="思源黑体 CN Light" w:cs="Times New Roman" w:hint="eastAsia"/>
          <w:sz w:val="13"/>
          <w:szCs w:val="20"/>
        </w:rPr>
        <w:t>幅统计</w:t>
      </w:r>
      <w:proofErr w:type="gramEnd"/>
      <w:r>
        <w:rPr>
          <w:rFonts w:ascii="思源黑体 CN Light" w:eastAsia="思源黑体 CN Light" w:hAnsi="思源黑体 CN Light" w:cs="Times New Roman" w:hint="eastAsia"/>
          <w:sz w:val="13"/>
          <w:szCs w:val="20"/>
        </w:rPr>
        <w:t>区间：20250401-20250411</w:t>
      </w:r>
    </w:p>
    <w:p w14:paraId="676D9CBA" w14:textId="77777777" w:rsidR="00381F61" w:rsidRDefault="00000000">
      <w:pPr>
        <w:ind w:firstLineChars="200" w:firstLine="420"/>
        <w:jc w:val="left"/>
        <w:rPr>
          <w:rFonts w:ascii="思源黑体 CN Light" w:eastAsia="思源黑体 CN Light" w:hAnsi="思源黑体 CN Light" w:cs="Times New Roman" w:hint="eastAsia"/>
          <w:color w:val="000000" w:themeColor="text1"/>
          <w:sz w:val="21"/>
          <w:szCs w:val="20"/>
        </w:rPr>
      </w:pPr>
      <w:r>
        <w:rPr>
          <w:rFonts w:ascii="思源黑体 CN Light" w:eastAsia="思源黑体 CN Light" w:hAnsi="思源黑体 CN Light" w:cs="Times New Roman" w:hint="eastAsia"/>
          <w:color w:val="000000" w:themeColor="text1"/>
          <w:sz w:val="21"/>
          <w:szCs w:val="20"/>
        </w:rPr>
        <w:t>各行业的涨跌</w:t>
      </w:r>
      <w:proofErr w:type="gramStart"/>
      <w:r>
        <w:rPr>
          <w:rFonts w:ascii="思源黑体 CN Light" w:eastAsia="思源黑体 CN Light" w:hAnsi="思源黑体 CN Light" w:cs="Times New Roman" w:hint="eastAsia"/>
          <w:color w:val="000000" w:themeColor="text1"/>
          <w:sz w:val="21"/>
          <w:szCs w:val="20"/>
        </w:rPr>
        <w:t>幅表现</w:t>
      </w:r>
      <w:proofErr w:type="gramEnd"/>
      <w:r>
        <w:rPr>
          <w:rFonts w:ascii="思源黑体 CN Light" w:eastAsia="思源黑体 CN Light" w:hAnsi="思源黑体 CN Light" w:cs="Times New Roman" w:hint="eastAsia"/>
          <w:color w:val="000000" w:themeColor="text1"/>
          <w:sz w:val="21"/>
          <w:szCs w:val="20"/>
        </w:rPr>
        <w:t>有所分化，其中</w:t>
      </w:r>
      <w:proofErr w:type="gramStart"/>
      <w:r>
        <w:rPr>
          <w:rFonts w:ascii="思源黑体 CN Light" w:eastAsia="思源黑体 CN Light" w:hAnsi="思源黑体 CN Light" w:cs="Times New Roman" w:hint="eastAsia"/>
          <w:color w:val="000000" w:themeColor="text1"/>
          <w:sz w:val="21"/>
          <w:szCs w:val="20"/>
        </w:rPr>
        <w:t>申万一级行业</w:t>
      </w:r>
      <w:proofErr w:type="gramEnd"/>
      <w:r>
        <w:rPr>
          <w:rFonts w:ascii="思源黑体 CN Light" w:eastAsia="思源黑体 CN Light" w:hAnsi="思源黑体 CN Light" w:cs="Times New Roman" w:hint="eastAsia"/>
          <w:color w:val="000000" w:themeColor="text1"/>
          <w:sz w:val="21"/>
          <w:szCs w:val="20"/>
        </w:rPr>
        <w:t>指数中，农林牧渔（+3.28%）、商贸零售（+2.88%）、国防军工（+0.28%）等</w:t>
      </w:r>
      <w:proofErr w:type="gramStart"/>
      <w:r>
        <w:rPr>
          <w:rFonts w:ascii="思源黑体 CN Light" w:eastAsia="思源黑体 CN Light" w:hAnsi="思源黑体 CN Light" w:cs="Times New Roman" w:hint="eastAsia"/>
          <w:color w:val="000000" w:themeColor="text1"/>
          <w:sz w:val="21"/>
          <w:szCs w:val="20"/>
        </w:rPr>
        <w:t>行业涨幅</w:t>
      </w:r>
      <w:proofErr w:type="gramEnd"/>
      <w:r>
        <w:rPr>
          <w:rFonts w:ascii="思源黑体 CN Light" w:eastAsia="思源黑体 CN Light" w:hAnsi="思源黑体 CN Light" w:cs="Times New Roman" w:hint="eastAsia"/>
          <w:color w:val="000000" w:themeColor="text1"/>
          <w:sz w:val="21"/>
          <w:szCs w:val="20"/>
        </w:rPr>
        <w:t>较大，机械设备（-6.78%）、通信（-7.67%）、电力设备（-8.09%）等行业跌幅较大。</w:t>
      </w:r>
    </w:p>
    <w:p w14:paraId="42240102" w14:textId="77777777" w:rsidR="00381F61" w:rsidRDefault="00000000">
      <w:pPr>
        <w:ind w:firstLineChars="200" w:firstLine="428"/>
        <w:jc w:val="left"/>
        <w:rPr>
          <w:rFonts w:ascii="思源黑体 CN Light" w:eastAsia="思源黑体 CN Light" w:hAnsi="思源黑体 CN Light" w:cs="Times New Roman" w:hint="eastAsia"/>
          <w:b/>
          <w:sz w:val="21"/>
          <w:szCs w:val="20"/>
        </w:rPr>
      </w:pPr>
      <w:r>
        <w:rPr>
          <w:rFonts w:ascii="思源黑体 CN Light" w:eastAsia="思源黑体 CN Light" w:hAnsi="思源黑体 CN Light" w:cs="Times New Roman"/>
          <w:b/>
          <w:sz w:val="21"/>
          <w:szCs w:val="20"/>
        </w:rPr>
        <w:lastRenderedPageBreak/>
        <w:t>图：</w:t>
      </w:r>
      <w:proofErr w:type="gramStart"/>
      <w:r>
        <w:rPr>
          <w:rFonts w:ascii="思源黑体 CN Light" w:eastAsia="思源黑体 CN Light" w:hAnsi="思源黑体 CN Light" w:cs="Times New Roman"/>
          <w:b/>
          <w:sz w:val="21"/>
          <w:szCs w:val="20"/>
        </w:rPr>
        <w:t>申万一级行业周涨跌</w:t>
      </w:r>
      <w:proofErr w:type="gramEnd"/>
      <w:r>
        <w:rPr>
          <w:rFonts w:ascii="思源黑体 CN Light" w:eastAsia="思源黑体 CN Light" w:hAnsi="思源黑体 CN Light" w:cs="Times New Roman"/>
          <w:b/>
          <w:sz w:val="21"/>
          <w:szCs w:val="20"/>
        </w:rPr>
        <w:t>幅（单位：%）</w:t>
      </w:r>
    </w:p>
    <w:p w14:paraId="7322755E" w14:textId="77777777" w:rsidR="00381F61" w:rsidRDefault="00000000">
      <w:pPr>
        <w:ind w:firstLineChars="200" w:firstLine="428"/>
        <w:jc w:val="left"/>
        <w:rPr>
          <w:rFonts w:ascii="思源黑体 CN Light" w:eastAsia="思源黑体 CN Light" w:hAnsi="思源黑体 CN Light" w:cs="Times New Roman" w:hint="eastAsia"/>
          <w:sz w:val="13"/>
          <w:szCs w:val="20"/>
        </w:rPr>
      </w:pPr>
      <w:r>
        <w:rPr>
          <w:rFonts w:ascii="思源黑体 CN Light" w:eastAsia="思源黑体 CN Light" w:hAnsi="思源黑体 CN Light" w:cs="Times New Roman"/>
          <w:b/>
          <w:noProof/>
          <w:sz w:val="21"/>
          <w:szCs w:val="20"/>
        </w:rPr>
        <w:drawing>
          <wp:inline distT="0" distB="0" distL="0" distR="0">
            <wp:extent cx="6479540" cy="4017010"/>
            <wp:effectExtent l="0" t="0" r="0" b="2540"/>
            <wp:docPr id="9" name="图片 8" descr="手机屏幕截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descr="手机屏幕截图&#10;&#10;AI 生成的内容可能不正确。"/>
                    <pic:cNvPicPr>
                      <a:picLocks noChangeAspect="1"/>
                    </pic:cNvPicPr>
                  </pic:nvPicPr>
                  <pic:blipFill>
                    <a:blip r:embed="rId7"/>
                    <a:stretch>
                      <a:fillRect/>
                    </a:stretch>
                  </pic:blipFill>
                  <pic:spPr>
                    <a:xfrm>
                      <a:off x="0" y="0"/>
                      <a:ext cx="6479540" cy="4017010"/>
                    </a:xfrm>
                    <a:prstGeom prst="rect">
                      <a:avLst/>
                    </a:prstGeom>
                  </pic:spPr>
                </pic:pic>
              </a:graphicData>
            </a:graphic>
          </wp:inline>
        </w:drawing>
      </w:r>
      <w:r>
        <w:rPr>
          <w:rFonts w:ascii="思源黑体 CN Light" w:eastAsia="思源黑体 CN Light" w:hAnsi="思源黑体 CN Light" w:cs="Times New Roman"/>
          <w:sz w:val="13"/>
          <w:szCs w:val="20"/>
        </w:rPr>
        <w:t>数据来源：wind，富</w:t>
      </w:r>
      <w:proofErr w:type="gramStart"/>
      <w:r>
        <w:rPr>
          <w:rFonts w:ascii="思源黑体 CN Light" w:eastAsia="思源黑体 CN Light" w:hAnsi="思源黑体 CN Light" w:cs="Times New Roman"/>
          <w:sz w:val="13"/>
          <w:szCs w:val="20"/>
        </w:rPr>
        <w:t>荣基金</w:t>
      </w:r>
      <w:proofErr w:type="gramEnd"/>
      <w:r>
        <w:rPr>
          <w:rFonts w:ascii="思源黑体 CN Light" w:eastAsia="思源黑体 CN Light" w:hAnsi="思源黑体 CN Light" w:cs="Times New Roman"/>
          <w:sz w:val="13"/>
          <w:szCs w:val="20"/>
        </w:rPr>
        <w:t>管理有限公司</w:t>
      </w:r>
      <w:r>
        <w:rPr>
          <w:rFonts w:ascii="思源黑体 CN Light" w:eastAsia="思源黑体 CN Light" w:hAnsi="思源黑体 CN Light" w:cs="Times New Roman" w:hint="eastAsia"/>
          <w:sz w:val="13"/>
          <w:szCs w:val="20"/>
        </w:rPr>
        <w:t>；统计区间：20250407-20250411</w:t>
      </w:r>
    </w:p>
    <w:p w14:paraId="0BFD8346" w14:textId="77777777" w:rsidR="00381F61" w:rsidRDefault="00381F61">
      <w:pPr>
        <w:pStyle w:val="2"/>
        <w:tabs>
          <w:tab w:val="left" w:pos="4364"/>
          <w:tab w:val="right" w:pos="10204"/>
        </w:tabs>
        <w:rPr>
          <w:rFonts w:ascii="思源黑体 CN Light" w:eastAsia="思源黑体 CN Light" w:hAnsi="思源黑体 CN Light" w:cs="Times New Roman" w:hint="eastAsia"/>
          <w:color w:val="000000"/>
          <w:sz w:val="21"/>
          <w:szCs w:val="20"/>
          <w:shd w:val="clear" w:color="auto" w:fill="FFFFFF"/>
        </w:rPr>
      </w:pPr>
    </w:p>
    <w:p w14:paraId="17A1CC1B" w14:textId="77777777" w:rsidR="00381F61" w:rsidRDefault="00000000">
      <w:pPr>
        <w:pStyle w:val="2"/>
        <w:tabs>
          <w:tab w:val="left" w:pos="4364"/>
          <w:tab w:val="right" w:pos="10204"/>
        </w:tabs>
        <w:rPr>
          <w:rFonts w:ascii="思源黑体 CN Light" w:eastAsia="思源黑体 CN Light" w:hAnsi="思源黑体 CN Light" w:cs="Times New Roman" w:hint="eastAsia"/>
          <w:b/>
          <w:bCs/>
          <w:sz w:val="22"/>
          <w:szCs w:val="24"/>
        </w:rPr>
      </w:pPr>
      <w:r>
        <w:rPr>
          <w:rFonts w:ascii="思源黑体 CN Light" w:eastAsia="思源黑体 CN Light" w:hAnsi="思源黑体 CN Light" w:cs="Times New Roman" w:hint="eastAsia"/>
          <w:b/>
          <w:bCs/>
          <w:sz w:val="22"/>
          <w:szCs w:val="24"/>
        </w:rPr>
        <w:t>二、农林牧</w:t>
      </w:r>
      <w:proofErr w:type="gramStart"/>
      <w:r>
        <w:rPr>
          <w:rFonts w:ascii="思源黑体 CN Light" w:eastAsia="思源黑体 CN Light" w:hAnsi="思源黑体 CN Light" w:cs="Times New Roman" w:hint="eastAsia"/>
          <w:b/>
          <w:bCs/>
          <w:sz w:val="22"/>
          <w:szCs w:val="24"/>
        </w:rPr>
        <w:t>渔行业</w:t>
      </w:r>
      <w:proofErr w:type="gramEnd"/>
      <w:r>
        <w:rPr>
          <w:rFonts w:ascii="思源黑体 CN Light" w:eastAsia="思源黑体 CN Light" w:hAnsi="思源黑体 CN Light" w:cs="Times New Roman" w:hint="eastAsia"/>
          <w:b/>
          <w:bCs/>
          <w:sz w:val="22"/>
          <w:szCs w:val="24"/>
        </w:rPr>
        <w:t>点评与展望</w:t>
      </w:r>
    </w:p>
    <w:p w14:paraId="26B3D9F6" w14:textId="77777777" w:rsidR="00381F61" w:rsidRDefault="00000000">
      <w:pPr>
        <w:tabs>
          <w:tab w:val="left" w:pos="5594"/>
        </w:tabs>
        <w:ind w:firstLineChars="200" w:firstLine="420"/>
        <w:rPr>
          <w:rFonts w:ascii="思源黑体 CN Light" w:eastAsia="思源黑体 CN Light" w:hAnsi="思源黑体 CN Light" w:cs="Times New Roman" w:hint="eastAsia"/>
          <w:color w:val="000000" w:themeColor="text1"/>
          <w:sz w:val="21"/>
          <w:szCs w:val="20"/>
        </w:rPr>
      </w:pPr>
      <w:bookmarkStart w:id="1" w:name="_Hlk140420797"/>
      <w:r>
        <w:rPr>
          <w:rFonts w:ascii="思源黑体 CN Light" w:eastAsia="思源黑体 CN Light" w:hAnsi="思源黑体 CN Light" w:cs="Times New Roman" w:hint="eastAsia"/>
          <w:color w:val="000000" w:themeColor="text1"/>
          <w:sz w:val="21"/>
          <w:szCs w:val="20"/>
        </w:rPr>
        <w:t>上周</w:t>
      </w:r>
      <w:proofErr w:type="gramStart"/>
      <w:r>
        <w:rPr>
          <w:rFonts w:ascii="思源黑体 CN Light" w:eastAsia="思源黑体 CN Light" w:hAnsi="思源黑体 CN Light" w:cs="Times New Roman" w:hint="eastAsia"/>
          <w:color w:val="000000" w:themeColor="text1"/>
          <w:sz w:val="21"/>
          <w:szCs w:val="20"/>
        </w:rPr>
        <w:t>申万一级行业</w:t>
      </w:r>
      <w:proofErr w:type="gramEnd"/>
      <w:r>
        <w:rPr>
          <w:rFonts w:ascii="思源黑体 CN Light" w:eastAsia="思源黑体 CN Light" w:hAnsi="思源黑体 CN Light" w:cs="Times New Roman" w:hint="eastAsia"/>
          <w:color w:val="000000" w:themeColor="text1"/>
          <w:sz w:val="21"/>
          <w:szCs w:val="20"/>
        </w:rPr>
        <w:t>指数中农林牧渔指数上涨3.28%，相对同期沪深300指数超额收益为6.15%。在A股市场整体调整的背景下，农林牧</w:t>
      </w:r>
      <w:proofErr w:type="gramStart"/>
      <w:r>
        <w:rPr>
          <w:rFonts w:ascii="思源黑体 CN Light" w:eastAsia="思源黑体 CN Light" w:hAnsi="思源黑体 CN Light" w:cs="Times New Roman" w:hint="eastAsia"/>
          <w:color w:val="000000" w:themeColor="text1"/>
          <w:sz w:val="21"/>
          <w:szCs w:val="20"/>
        </w:rPr>
        <w:t>渔板块</w:t>
      </w:r>
      <w:proofErr w:type="gramEnd"/>
      <w:r>
        <w:rPr>
          <w:rFonts w:ascii="思源黑体 CN Light" w:eastAsia="思源黑体 CN Light" w:hAnsi="思源黑体 CN Light" w:cs="Times New Roman" w:hint="eastAsia"/>
          <w:color w:val="000000" w:themeColor="text1"/>
          <w:sz w:val="21"/>
          <w:szCs w:val="20"/>
        </w:rPr>
        <w:t>的周涨幅凸显其避险价值。</w:t>
      </w:r>
    </w:p>
    <w:p w14:paraId="39CA0BB3" w14:textId="3075A265" w:rsidR="00381F61" w:rsidRDefault="00000000">
      <w:pPr>
        <w:tabs>
          <w:tab w:val="left" w:pos="5594"/>
        </w:tabs>
        <w:ind w:firstLineChars="200" w:firstLine="420"/>
        <w:rPr>
          <w:rFonts w:ascii="思源黑体 CN Light" w:eastAsia="思源黑体 CN Light" w:hAnsi="思源黑体 CN Light" w:cs="Times New Roman" w:hint="eastAsia"/>
          <w:color w:val="000000" w:themeColor="text1"/>
          <w:sz w:val="21"/>
          <w:szCs w:val="20"/>
        </w:rPr>
      </w:pPr>
      <w:r>
        <w:rPr>
          <w:rFonts w:ascii="思源黑体 CN Light" w:eastAsia="思源黑体 CN Light" w:hAnsi="思源黑体 CN Light" w:cs="Times New Roman" w:hint="eastAsia"/>
          <w:color w:val="000000" w:themeColor="text1"/>
          <w:sz w:val="21"/>
          <w:szCs w:val="20"/>
        </w:rPr>
        <w:t>农林牧</w:t>
      </w:r>
      <w:proofErr w:type="gramStart"/>
      <w:r>
        <w:rPr>
          <w:rFonts w:ascii="思源黑体 CN Light" w:eastAsia="思源黑体 CN Light" w:hAnsi="思源黑体 CN Light" w:cs="Times New Roman" w:hint="eastAsia"/>
          <w:color w:val="000000" w:themeColor="text1"/>
          <w:sz w:val="21"/>
          <w:szCs w:val="20"/>
        </w:rPr>
        <w:t>渔行业</w:t>
      </w:r>
      <w:proofErr w:type="gramEnd"/>
      <w:r>
        <w:rPr>
          <w:rFonts w:ascii="思源黑体 CN Light" w:eastAsia="思源黑体 CN Light" w:hAnsi="思源黑体 CN Light" w:cs="Times New Roman" w:hint="eastAsia"/>
          <w:color w:val="000000" w:themeColor="text1"/>
          <w:sz w:val="21"/>
          <w:szCs w:val="20"/>
        </w:rPr>
        <w:t>上涨的核心驱动力来源于，中美关税加码背景下的粮食安全议题的再强化，以及内需提</w:t>
      </w:r>
      <w:proofErr w:type="gramStart"/>
      <w:r>
        <w:rPr>
          <w:rFonts w:ascii="思源黑体 CN Light" w:eastAsia="思源黑体 CN Light" w:hAnsi="思源黑体 CN Light" w:cs="Times New Roman" w:hint="eastAsia"/>
          <w:color w:val="000000" w:themeColor="text1"/>
          <w:sz w:val="21"/>
          <w:szCs w:val="20"/>
        </w:rPr>
        <w:t>振政策</w:t>
      </w:r>
      <w:proofErr w:type="gramEnd"/>
      <w:r>
        <w:rPr>
          <w:rFonts w:ascii="思源黑体 CN Light" w:eastAsia="思源黑体 CN Light" w:hAnsi="思源黑体 CN Light" w:cs="Times New Roman" w:hint="eastAsia"/>
          <w:color w:val="000000" w:themeColor="text1"/>
          <w:sz w:val="21"/>
          <w:szCs w:val="20"/>
        </w:rPr>
        <w:t>的预期升温。</w:t>
      </w:r>
    </w:p>
    <w:p w14:paraId="5CBD7DF8" w14:textId="33B3B11F" w:rsidR="00381F61" w:rsidRDefault="00000000">
      <w:pPr>
        <w:tabs>
          <w:tab w:val="left" w:pos="5594"/>
        </w:tabs>
        <w:ind w:firstLineChars="200" w:firstLine="420"/>
        <w:rPr>
          <w:rFonts w:ascii="思源黑体 CN Light" w:eastAsia="思源黑体 CN Light" w:hAnsi="思源黑体 CN Light" w:cs="Times New Roman" w:hint="eastAsia"/>
          <w:color w:val="000000" w:themeColor="text1"/>
          <w:sz w:val="21"/>
          <w:szCs w:val="20"/>
        </w:rPr>
      </w:pPr>
      <w:r>
        <w:rPr>
          <w:rFonts w:ascii="思源黑体 CN Light" w:eastAsia="思源黑体 CN Light" w:hAnsi="思源黑体 CN Light" w:cs="Times New Roman" w:hint="eastAsia"/>
          <w:color w:val="000000" w:themeColor="text1"/>
          <w:sz w:val="21"/>
          <w:szCs w:val="20"/>
        </w:rPr>
        <w:t>从细分</w:t>
      </w:r>
      <w:proofErr w:type="gramStart"/>
      <w:r>
        <w:rPr>
          <w:rFonts w:ascii="思源黑体 CN Light" w:eastAsia="思源黑体 CN Light" w:hAnsi="思源黑体 CN Light" w:cs="Times New Roman" w:hint="eastAsia"/>
          <w:color w:val="000000" w:themeColor="text1"/>
          <w:sz w:val="21"/>
          <w:szCs w:val="20"/>
        </w:rPr>
        <w:t>子板块</w:t>
      </w:r>
      <w:proofErr w:type="gramEnd"/>
      <w:r>
        <w:rPr>
          <w:rFonts w:ascii="思源黑体 CN Light" w:eastAsia="思源黑体 CN Light" w:hAnsi="思源黑体 CN Light" w:cs="Times New Roman" w:hint="eastAsia"/>
          <w:color w:val="000000" w:themeColor="text1"/>
          <w:sz w:val="21"/>
          <w:szCs w:val="20"/>
        </w:rPr>
        <w:t>来看，种植</w:t>
      </w:r>
      <w:r w:rsidR="00EC14D5">
        <w:rPr>
          <w:rFonts w:ascii="思源黑体 CN Light" w:eastAsia="思源黑体 CN Light" w:hAnsi="思源黑体 CN Light" w:cs="Times New Roman" w:hint="eastAsia"/>
          <w:color w:val="000000" w:themeColor="text1"/>
          <w:sz w:val="21"/>
          <w:szCs w:val="20"/>
        </w:rPr>
        <w:t>板块</w:t>
      </w:r>
      <w:r>
        <w:rPr>
          <w:rFonts w:ascii="思源黑体 CN Light" w:eastAsia="思源黑体 CN Light" w:hAnsi="思源黑体 CN Light" w:cs="Times New Roman" w:hint="eastAsia"/>
          <w:color w:val="000000" w:themeColor="text1"/>
          <w:sz w:val="21"/>
          <w:szCs w:val="20"/>
        </w:rPr>
        <w:t>的超额收益尤为突出，主要是育种和粮价两个因素的共同助推。首先，中美持续推进的关税政策，或将推动养殖成本上升，种植产业链有望受益。2024年中国自美国进口大豆/玉米/小麦分别为2213/207/190万吨，分别占国内供给的17.6%/0.7%/1.3%。因此，对美加征关税背景下，或将影响对美依赖</w:t>
      </w:r>
      <w:r>
        <w:rPr>
          <w:rFonts w:ascii="思源黑体 CN Light" w:eastAsia="思源黑体 CN Light" w:hAnsi="思源黑体 CN Light" w:cs="Times New Roman" w:hint="eastAsia"/>
          <w:color w:val="000000" w:themeColor="text1"/>
          <w:sz w:val="21"/>
          <w:szCs w:val="20"/>
        </w:rPr>
        <w:lastRenderedPageBreak/>
        <w:t>度较高的产品价格，种植端有望受益进口替代。其次，近日中共中央、国务院印发《加快建设农业强国规划（2024—2035年）》，加之农业农村部公示99个转基因品种审定初审通过名单，两项政策协同发力，进一步确立了生物育种在国家农业发展战略中的核心地位。</w:t>
      </w:r>
    </w:p>
    <w:p w14:paraId="2705F7C5" w14:textId="77777777" w:rsidR="00381F61" w:rsidRDefault="00000000">
      <w:pPr>
        <w:tabs>
          <w:tab w:val="left" w:pos="5594"/>
        </w:tabs>
        <w:ind w:firstLineChars="200" w:firstLine="420"/>
        <w:rPr>
          <w:rFonts w:ascii="思源黑体 CN Light" w:eastAsia="思源黑体 CN Light" w:hAnsi="思源黑体 CN Light" w:cs="Times New Roman" w:hint="eastAsia"/>
          <w:color w:val="000000" w:themeColor="text1"/>
          <w:sz w:val="21"/>
          <w:szCs w:val="20"/>
        </w:rPr>
      </w:pPr>
      <w:r>
        <w:rPr>
          <w:rFonts w:ascii="思源黑体 CN Light" w:eastAsia="思源黑体 CN Light" w:hAnsi="思源黑体 CN Light" w:cs="Times New Roman" w:hint="eastAsia"/>
          <w:color w:val="000000" w:themeColor="text1"/>
          <w:sz w:val="21"/>
          <w:szCs w:val="20"/>
        </w:rPr>
        <w:t>综合板块来看，当前应重视两条主线：1）粮食安全框架下的种业创新与替代种植，重点关注转基因技术先发企业；2）在养殖细分板块上，饲料成本边际抬升，有助于推动产能加速出清，促进行业核心矛盾的解决，叠加板块估值处于历史低位区间，有望推动养殖板块的上涨，建议重点关注成本控制能力突出的龙头企业。但后续需要警惕的风险包括国际贸易谈判反复、极端天气影响以及动物</w:t>
      </w:r>
      <w:proofErr w:type="gramStart"/>
      <w:r>
        <w:rPr>
          <w:rFonts w:ascii="思源黑体 CN Light" w:eastAsia="思源黑体 CN Light" w:hAnsi="思源黑体 CN Light" w:cs="Times New Roman" w:hint="eastAsia"/>
          <w:color w:val="000000" w:themeColor="text1"/>
          <w:sz w:val="21"/>
          <w:szCs w:val="20"/>
        </w:rPr>
        <w:t>疫病超</w:t>
      </w:r>
      <w:proofErr w:type="gramEnd"/>
      <w:r>
        <w:rPr>
          <w:rFonts w:ascii="思源黑体 CN Light" w:eastAsia="思源黑体 CN Light" w:hAnsi="思源黑体 CN Light" w:cs="Times New Roman" w:hint="eastAsia"/>
          <w:color w:val="000000" w:themeColor="text1"/>
          <w:sz w:val="21"/>
          <w:szCs w:val="20"/>
        </w:rPr>
        <w:t>预期爆发。</w:t>
      </w:r>
    </w:p>
    <w:p w14:paraId="6D81AD47" w14:textId="77777777" w:rsidR="00381F61" w:rsidRDefault="00381F61">
      <w:pPr>
        <w:tabs>
          <w:tab w:val="left" w:pos="5594"/>
        </w:tabs>
        <w:ind w:firstLineChars="200" w:firstLine="420"/>
        <w:rPr>
          <w:rFonts w:ascii="思源黑体 CN Light" w:eastAsia="思源黑体 CN Light" w:hAnsi="思源黑体 CN Light" w:cs="Times New Roman" w:hint="eastAsia"/>
          <w:color w:val="000000"/>
          <w:sz w:val="21"/>
          <w:szCs w:val="20"/>
          <w:shd w:val="clear" w:color="auto" w:fill="FFFFFF"/>
        </w:rPr>
      </w:pPr>
    </w:p>
    <w:bookmarkEnd w:id="1"/>
    <w:p w14:paraId="2AFF098C" w14:textId="77777777" w:rsidR="00381F61" w:rsidRDefault="00000000">
      <w:pPr>
        <w:pStyle w:val="2"/>
        <w:tabs>
          <w:tab w:val="left" w:pos="4364"/>
          <w:tab w:val="right" w:pos="10204"/>
        </w:tabs>
        <w:rPr>
          <w:rFonts w:ascii="思源黑体 CN Light" w:eastAsia="思源黑体 CN Light" w:hAnsi="思源黑体 CN Light" w:cs="Times New Roman" w:hint="eastAsia"/>
          <w:b/>
          <w:bCs/>
          <w:sz w:val="22"/>
          <w:szCs w:val="24"/>
        </w:rPr>
      </w:pPr>
      <w:r>
        <w:rPr>
          <w:rFonts w:ascii="思源黑体 CN Light" w:eastAsia="思源黑体 CN Light" w:hAnsi="思源黑体 CN Light" w:cs="Times New Roman"/>
          <w:b/>
          <w:bCs/>
          <w:sz w:val="22"/>
          <w:szCs w:val="24"/>
        </w:rPr>
        <w:t>三、本周展望</w:t>
      </w:r>
    </w:p>
    <w:p w14:paraId="267C2016" w14:textId="77777777" w:rsidR="00381F61" w:rsidRDefault="00000000">
      <w:pPr>
        <w:ind w:firstLineChars="200" w:firstLine="420"/>
        <w:rPr>
          <w:rFonts w:ascii="思源黑体 CN Light" w:eastAsia="思源黑体 CN Light" w:hAnsi="思源黑体 CN Light" w:cs="Times New Roman" w:hint="eastAsia"/>
          <w:color w:val="000000"/>
          <w:sz w:val="21"/>
          <w:szCs w:val="20"/>
          <w:shd w:val="clear" w:color="auto" w:fill="FFFFFF"/>
        </w:rPr>
      </w:pPr>
      <w:bookmarkStart w:id="2" w:name="OLE_LINK2"/>
      <w:bookmarkStart w:id="3" w:name="OLE_LINK1"/>
      <w:r>
        <w:rPr>
          <w:rFonts w:ascii="思源黑体 CN Light" w:eastAsia="思源黑体 CN Light" w:hAnsi="思源黑体 CN Light" w:cs="Times New Roman" w:hint="eastAsia"/>
          <w:color w:val="000000"/>
          <w:sz w:val="21"/>
          <w:szCs w:val="20"/>
          <w:shd w:val="clear" w:color="auto" w:fill="FFFFFF"/>
        </w:rPr>
        <w:t>上周权益市场各大主要指数普跌，行业结构上，农牧、商贸零售、军工等板块涨幅靠前，机械、通信、电新等板块跌幅靠前。</w:t>
      </w:r>
    </w:p>
    <w:p w14:paraId="2327E5D4" w14:textId="77777777" w:rsidR="00381F61" w:rsidRDefault="00000000">
      <w:pPr>
        <w:ind w:firstLineChars="200" w:firstLine="420"/>
        <w:rPr>
          <w:rFonts w:ascii="思源黑体 CN Light" w:eastAsia="思源黑体 CN Light" w:hAnsi="思源黑体 CN Light" w:cs="Times New Roman" w:hint="eastAsia"/>
          <w:color w:val="000000"/>
          <w:sz w:val="21"/>
          <w:szCs w:val="20"/>
          <w:shd w:val="clear" w:color="auto" w:fill="FFFFFF"/>
        </w:rPr>
      </w:pPr>
      <w:r>
        <w:rPr>
          <w:rFonts w:ascii="思源黑体 CN Light" w:eastAsia="思源黑体 CN Light" w:hAnsi="思源黑体 CN Light" w:cs="Times New Roman" w:hint="eastAsia"/>
          <w:color w:val="000000"/>
          <w:sz w:val="21"/>
          <w:szCs w:val="20"/>
          <w:shd w:val="clear" w:color="auto" w:fill="FFFFFF"/>
        </w:rPr>
        <w:t>上周权益市场涨跌仍围绕着中美贸易关税问题进行演绎。我们看到，在经历上周一的大跌后，尽管</w:t>
      </w:r>
      <w:proofErr w:type="gramStart"/>
      <w:r>
        <w:rPr>
          <w:rFonts w:ascii="思源黑体 CN Light" w:eastAsia="思源黑体 CN Light" w:hAnsi="思源黑体 CN Light" w:cs="Times New Roman" w:hint="eastAsia"/>
          <w:color w:val="000000"/>
          <w:sz w:val="21"/>
          <w:szCs w:val="20"/>
          <w:shd w:val="clear" w:color="auto" w:fill="FFFFFF"/>
        </w:rPr>
        <w:t>中美互征关税</w:t>
      </w:r>
      <w:proofErr w:type="gramEnd"/>
      <w:r>
        <w:rPr>
          <w:rFonts w:ascii="思源黑体 CN Light" w:eastAsia="思源黑体 CN Light" w:hAnsi="思源黑体 CN Light" w:cs="Times New Roman" w:hint="eastAsia"/>
          <w:color w:val="000000"/>
          <w:sz w:val="21"/>
          <w:szCs w:val="20"/>
          <w:shd w:val="clear" w:color="auto" w:fill="FFFFFF"/>
        </w:rPr>
        <w:t>税率仍在增加，但大部分主要指数已逐步企稳。这表示在关税税率超过60%后，市场对税率提升已经脱敏。另外，在下半周关税问题也出现边际缓和的迹象，如美国对多数国家对等关税推迟90天，以及周末对等关税中电子产品也迎来大幅豁免。</w:t>
      </w:r>
    </w:p>
    <w:p w14:paraId="4BDB6B94" w14:textId="4217445A" w:rsidR="00381F61" w:rsidRDefault="00000000">
      <w:pPr>
        <w:ind w:firstLineChars="200" w:firstLine="420"/>
        <w:rPr>
          <w:rFonts w:ascii="思源黑体 CN Light" w:eastAsia="思源黑体 CN Light" w:hAnsi="思源黑体 CN Light" w:cs="Times New Roman" w:hint="eastAsia"/>
          <w:color w:val="000000"/>
          <w:sz w:val="21"/>
          <w:szCs w:val="20"/>
          <w:shd w:val="clear" w:color="auto" w:fill="FFFFFF"/>
        </w:rPr>
      </w:pPr>
      <w:r>
        <w:rPr>
          <w:rFonts w:ascii="思源黑体 CN Light" w:eastAsia="思源黑体 CN Light" w:hAnsi="思源黑体 CN Light" w:cs="Times New Roman" w:hint="eastAsia"/>
          <w:color w:val="000000"/>
          <w:sz w:val="21"/>
          <w:szCs w:val="20"/>
          <w:shd w:val="clear" w:color="auto" w:fill="FFFFFF"/>
        </w:rPr>
        <w:t>展望未来，我们认为中美博弈会趋于中长期化，后续会伴随着加码、谈判、缓和等反复拉锯，并存在由贸易向科技、金融等领域扩散的趋势。但对于市场而言，参考2019年5月关税升级A股市场短期大跌后逐步“脱敏”，我们认为后续中美经济层面的博弈对市场的影响将边际减弱。同时，我国政府准备充分且反应及时，如汇金、诚通、国新代表的国家队宣布增持ETF和股票，央行表态将提供再贷款支持等，较大地助力资本市场的信心提振。并且在四月底即将召开的政治局会议上，</w:t>
      </w:r>
      <w:proofErr w:type="gramStart"/>
      <w:r>
        <w:rPr>
          <w:rFonts w:ascii="思源黑体 CN Light" w:eastAsia="思源黑体 CN Light" w:hAnsi="思源黑体 CN Light" w:cs="Times New Roman" w:hint="eastAsia"/>
          <w:color w:val="000000"/>
          <w:sz w:val="21"/>
          <w:szCs w:val="20"/>
          <w:shd w:val="clear" w:color="auto" w:fill="FFFFFF"/>
        </w:rPr>
        <w:t>稳经济</w:t>
      </w:r>
      <w:proofErr w:type="gramEnd"/>
      <w:r>
        <w:rPr>
          <w:rFonts w:ascii="思源黑体 CN Light" w:eastAsia="思源黑体 CN Light" w:hAnsi="思源黑体 CN Light" w:cs="Times New Roman" w:hint="eastAsia"/>
          <w:color w:val="000000"/>
          <w:sz w:val="21"/>
          <w:szCs w:val="20"/>
          <w:shd w:val="clear" w:color="auto" w:fill="FFFFFF"/>
        </w:rPr>
        <w:t>政策如财政、地产、消费等也有望进一步加码。建议短期稳中求进，结构上与内需相关的消费以及自主可控相关板块的确定性更高。中期来看AI、半导体、机器人等新</w:t>
      </w:r>
      <w:proofErr w:type="gramStart"/>
      <w:r>
        <w:rPr>
          <w:rFonts w:ascii="思源黑体 CN Light" w:eastAsia="思源黑体 CN Light" w:hAnsi="思源黑体 CN Light" w:cs="Times New Roman" w:hint="eastAsia"/>
          <w:color w:val="000000"/>
          <w:sz w:val="21"/>
          <w:szCs w:val="20"/>
          <w:shd w:val="clear" w:color="auto" w:fill="FFFFFF"/>
        </w:rPr>
        <w:t>兴</w:t>
      </w:r>
      <w:r>
        <w:rPr>
          <w:rFonts w:ascii="思源黑体 CN Light" w:eastAsia="思源黑体 CN Light" w:hAnsi="思源黑体 CN Light" w:cs="Times New Roman" w:hint="eastAsia"/>
          <w:color w:val="000000"/>
          <w:sz w:val="21"/>
          <w:szCs w:val="20"/>
          <w:shd w:val="clear" w:color="auto" w:fill="FFFFFF"/>
        </w:rPr>
        <w:lastRenderedPageBreak/>
        <w:t>成长</w:t>
      </w:r>
      <w:proofErr w:type="gramEnd"/>
      <w:r>
        <w:rPr>
          <w:rFonts w:ascii="思源黑体 CN Light" w:eastAsia="思源黑体 CN Light" w:hAnsi="思源黑体 CN Light" w:cs="Times New Roman" w:hint="eastAsia"/>
          <w:color w:val="000000"/>
          <w:sz w:val="21"/>
          <w:szCs w:val="20"/>
          <w:shd w:val="clear" w:color="auto" w:fill="FFFFFF"/>
        </w:rPr>
        <w:t>方向仍是关注的重点。</w:t>
      </w:r>
    </w:p>
    <w:bookmarkEnd w:id="2"/>
    <w:p w14:paraId="3BBAF956" w14:textId="77777777" w:rsidR="00381F61" w:rsidRDefault="00000000">
      <w:pPr>
        <w:ind w:firstLineChars="200" w:firstLine="420"/>
        <w:rPr>
          <w:rFonts w:ascii="思源黑体 CN Light" w:eastAsia="思源黑体 CN Light" w:hAnsi="思源黑体 CN Light" w:cs="Times New Roman" w:hint="eastAsia"/>
          <w:color w:val="000000"/>
          <w:sz w:val="21"/>
          <w:szCs w:val="20"/>
          <w:shd w:val="clear" w:color="auto" w:fill="FFFFFF"/>
        </w:rPr>
      </w:pPr>
      <w:r>
        <w:rPr>
          <w:rFonts w:ascii="思源黑体 CN Light" w:eastAsia="思源黑体 CN Light" w:hAnsi="思源黑体 CN Light" w:cs="Times New Roman" w:hint="eastAsia"/>
          <w:color w:val="000000"/>
          <w:sz w:val="21"/>
          <w:szCs w:val="20"/>
          <w:shd w:val="clear" w:color="auto" w:fill="FFFFFF"/>
        </w:rPr>
        <w:t>行业重点关注：1、成长赛道，如国产AI产业链、半导体、医药等板块；2、底部区间有拐点预期板块，如证券、电新、消费等。</w:t>
      </w:r>
    </w:p>
    <w:bookmarkEnd w:id="3"/>
    <w:p w14:paraId="0EFC39A7" w14:textId="77777777" w:rsidR="00381F61" w:rsidRDefault="00000000">
      <w:pPr>
        <w:ind w:firstLineChars="200" w:firstLine="428"/>
        <w:rPr>
          <w:rFonts w:ascii="思源黑体 CN Light" w:eastAsia="思源黑体 CN Light" w:hAnsi="思源黑体 CN Light" w:cs="Times New Roman" w:hint="eastAsia"/>
          <w:color w:val="000000"/>
          <w:sz w:val="21"/>
          <w:szCs w:val="20"/>
          <w:shd w:val="clear" w:color="auto" w:fill="FFFFFF"/>
        </w:rPr>
      </w:pPr>
      <w:r>
        <w:rPr>
          <w:rFonts w:ascii="思源黑体 CN Light" w:eastAsia="思源黑体 CN Light" w:hAnsi="思源黑体 CN Light" w:cs="Times New Roman"/>
          <w:b/>
          <w:bCs/>
          <w:sz w:val="21"/>
          <w:szCs w:val="24"/>
        </w:rPr>
        <w:t>风险提示</w:t>
      </w:r>
      <w:r>
        <w:rPr>
          <w:rFonts w:ascii="思源黑体 CN Light" w:eastAsia="思源黑体 CN Light" w:hAnsi="思源黑体 CN Light" w:cs="Times New Roman" w:hint="eastAsia"/>
          <w:b/>
          <w:bCs/>
          <w:sz w:val="21"/>
          <w:szCs w:val="24"/>
        </w:rPr>
        <w:t>：</w:t>
      </w:r>
    </w:p>
    <w:p w14:paraId="7D3C743C" w14:textId="77777777" w:rsidR="00381F61" w:rsidRDefault="00000000">
      <w:pPr>
        <w:ind w:firstLineChars="200" w:firstLine="420"/>
        <w:rPr>
          <w:rFonts w:ascii="思源黑体 CN Light" w:eastAsia="思源黑体 CN Light" w:hAnsi="思源黑体 CN Light" w:cs="Times New Roman" w:hint="eastAsia"/>
          <w:color w:val="000000"/>
          <w:sz w:val="21"/>
          <w:szCs w:val="20"/>
          <w:shd w:val="clear" w:color="auto" w:fill="FFFFFF"/>
        </w:rPr>
      </w:pPr>
      <w:r>
        <w:rPr>
          <w:rFonts w:ascii="思源黑体 CN Light" w:eastAsia="思源黑体 CN Light" w:hAnsi="思源黑体 CN Light" w:cs="Times New Roman"/>
          <w:color w:val="000000"/>
          <w:sz w:val="21"/>
          <w:szCs w:val="20"/>
          <w:shd w:val="clear" w:color="auto" w:fill="FFFFFF"/>
        </w:rPr>
        <w:t>1、宏观经济超预期下行；</w:t>
      </w:r>
      <w:r>
        <w:rPr>
          <w:rFonts w:ascii="思源黑体 CN Light" w:eastAsia="思源黑体 CN Light" w:hAnsi="思源黑体 CN Light" w:cs="Times New Roman" w:hint="eastAsia"/>
          <w:color w:val="000000"/>
          <w:sz w:val="21"/>
          <w:szCs w:val="20"/>
          <w:shd w:val="clear" w:color="auto" w:fill="FFFFFF"/>
        </w:rPr>
        <w:t>2</w:t>
      </w:r>
      <w:r>
        <w:rPr>
          <w:rFonts w:ascii="思源黑体 CN Light" w:eastAsia="思源黑体 CN Light" w:hAnsi="思源黑体 CN Light" w:cs="Times New Roman"/>
          <w:color w:val="000000"/>
          <w:sz w:val="21"/>
          <w:szCs w:val="20"/>
          <w:shd w:val="clear" w:color="auto" w:fill="FFFFFF"/>
        </w:rPr>
        <w:t>、上市公司业绩大幅下滑；</w:t>
      </w:r>
      <w:r>
        <w:rPr>
          <w:rFonts w:ascii="思源黑体 CN Light" w:eastAsia="思源黑体 CN Light" w:hAnsi="思源黑体 CN Light" w:cs="Times New Roman" w:hint="eastAsia"/>
          <w:color w:val="000000"/>
          <w:sz w:val="21"/>
          <w:szCs w:val="20"/>
          <w:shd w:val="clear" w:color="auto" w:fill="FFFFFF"/>
        </w:rPr>
        <w:t>3</w:t>
      </w:r>
      <w:r>
        <w:rPr>
          <w:rFonts w:ascii="思源黑体 CN Light" w:eastAsia="思源黑体 CN Light" w:hAnsi="思源黑体 CN Light" w:cs="Times New Roman"/>
          <w:color w:val="000000"/>
          <w:sz w:val="21"/>
          <w:szCs w:val="20"/>
          <w:shd w:val="clear" w:color="auto" w:fill="FFFFFF"/>
        </w:rPr>
        <w:t>、政策不及预期</w:t>
      </w:r>
      <w:r>
        <w:rPr>
          <w:rFonts w:ascii="思源黑体 CN Light" w:eastAsia="思源黑体 CN Light" w:hAnsi="思源黑体 CN Light" w:cs="Times New Roman" w:hint="eastAsia"/>
          <w:color w:val="000000"/>
          <w:sz w:val="21"/>
          <w:szCs w:val="20"/>
          <w:shd w:val="clear" w:color="auto" w:fill="FFFFFF"/>
        </w:rPr>
        <w:t>。</w:t>
      </w:r>
    </w:p>
    <w:p w14:paraId="13442752" w14:textId="77777777" w:rsidR="00381F61" w:rsidRDefault="00381F61">
      <w:pPr>
        <w:rPr>
          <w:rFonts w:ascii="思源黑体 CN Light" w:eastAsia="思源黑体 CN Light" w:hAnsi="思源黑体 CN Light" w:cs="Times New Roman" w:hint="eastAsia"/>
          <w:color w:val="000000"/>
          <w:sz w:val="21"/>
          <w:szCs w:val="20"/>
          <w:shd w:val="clear" w:color="auto" w:fill="FFFFFF"/>
        </w:rPr>
      </w:pPr>
    </w:p>
    <w:p w14:paraId="38A542A4" w14:textId="77777777" w:rsidR="00381F61" w:rsidRDefault="00381F61">
      <w:pPr>
        <w:pStyle w:val="af3"/>
        <w:ind w:firstLineChars="0" w:firstLine="0"/>
        <w:rPr>
          <w:rFonts w:ascii="思源黑体 CN Light" w:eastAsia="思源黑体 CN Light" w:hAnsi="思源黑体 CN Light" w:cs="Times New Roman" w:hint="eastAsia"/>
          <w:sz w:val="20"/>
          <w:szCs w:val="20"/>
        </w:rPr>
      </w:pPr>
    </w:p>
    <w:p w14:paraId="36FA5CDA" w14:textId="77777777" w:rsidR="00381F61" w:rsidRDefault="00000000">
      <w:pPr>
        <w:ind w:firstLineChars="200" w:firstLine="360"/>
        <w:rPr>
          <w:rFonts w:hint="eastAsia"/>
        </w:rPr>
      </w:pPr>
      <w:r>
        <w:rPr>
          <w:rFonts w:ascii="思源黑体 CN Light" w:eastAsia="思源黑体 CN Light" w:hAnsi="思源黑体 CN Light" w:hint="eastAsia"/>
          <w:sz w:val="18"/>
          <w:szCs w:val="15"/>
        </w:rPr>
        <w:t>风险提示：</w:t>
      </w:r>
      <w:r>
        <w:rPr>
          <w:rFonts w:ascii="思源黑体 CN Light" w:eastAsia="思源黑体 CN Light" w:hAnsi="思源黑体 CN Light"/>
          <w:sz w:val="18"/>
          <w:szCs w:val="15"/>
        </w:rPr>
        <w:t>1、本材料中的信息均来源于我们认为可靠的已公开资料和合作客户的研究成果，但本公司及研究人员对这些信息的准确性和完整性不作任何保证，也不保证本材料所包含的信息或建议在本材料发出后不会发生任何变更，且本材料仅反映发布时的资料、观点和预测，可能在随后会</w:t>
      </w:r>
      <w:proofErr w:type="gramStart"/>
      <w:r>
        <w:rPr>
          <w:rFonts w:ascii="思源黑体 CN Light" w:eastAsia="思源黑体 CN Light" w:hAnsi="思源黑体 CN Light"/>
          <w:sz w:val="18"/>
          <w:szCs w:val="15"/>
        </w:rPr>
        <w:t>作出</w:t>
      </w:r>
      <w:proofErr w:type="gramEnd"/>
      <w:r>
        <w:rPr>
          <w:rFonts w:ascii="思源黑体 CN Light" w:eastAsia="思源黑体 CN Light" w:hAnsi="思源黑体 CN Light"/>
          <w:sz w:val="18"/>
          <w:szCs w:val="15"/>
        </w:rPr>
        <w:t>调整。2、本材料中的资料、观点和预测等仅供参考，在任何时候均不构成对任何人的个人推荐。市场有风险，投资需谨慎。</w:t>
      </w:r>
      <w:bookmarkEnd w:id="0"/>
    </w:p>
    <w:p w14:paraId="3DC8F7C7" w14:textId="77777777" w:rsidR="00381F61" w:rsidRDefault="00381F61">
      <w:pPr>
        <w:rPr>
          <w:rFonts w:hint="eastAsia"/>
        </w:rPr>
      </w:pPr>
    </w:p>
    <w:p w14:paraId="61D66C4D" w14:textId="77777777" w:rsidR="00381F61" w:rsidRDefault="00381F61">
      <w:pPr>
        <w:rPr>
          <w:rFonts w:hint="eastAsia"/>
        </w:rPr>
      </w:pPr>
    </w:p>
    <w:p w14:paraId="7A05AC19" w14:textId="77777777" w:rsidR="00381F61" w:rsidRDefault="00381F61">
      <w:pPr>
        <w:rPr>
          <w:rFonts w:hint="eastAsia"/>
        </w:rPr>
      </w:pPr>
    </w:p>
    <w:p w14:paraId="46A82B06" w14:textId="77777777" w:rsidR="00381F61" w:rsidRDefault="00381F61">
      <w:pPr>
        <w:rPr>
          <w:rFonts w:hint="eastAsia"/>
        </w:rPr>
      </w:pPr>
    </w:p>
    <w:p w14:paraId="3C876D68" w14:textId="77777777" w:rsidR="00381F61" w:rsidRDefault="00381F61">
      <w:pPr>
        <w:rPr>
          <w:rFonts w:hint="eastAsia"/>
        </w:rPr>
      </w:pPr>
    </w:p>
    <w:p w14:paraId="111744BC" w14:textId="77777777" w:rsidR="00381F61" w:rsidRDefault="00381F61">
      <w:pPr>
        <w:rPr>
          <w:rFonts w:hint="eastAsia"/>
        </w:rPr>
      </w:pPr>
    </w:p>
    <w:sectPr w:rsidR="00381F61">
      <w:headerReference w:type="default" r:id="rId8"/>
      <w:footerReference w:type="default" r:id="rId9"/>
      <w:pgSz w:w="11906" w:h="16838"/>
      <w:pgMar w:top="1440" w:right="851" w:bottom="1134" w:left="851" w:header="851"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245A3" w14:textId="77777777" w:rsidR="00613924" w:rsidRDefault="00613924">
      <w:pPr>
        <w:spacing w:line="240" w:lineRule="auto"/>
        <w:rPr>
          <w:rFonts w:hint="eastAsia"/>
        </w:rPr>
      </w:pPr>
      <w:r>
        <w:separator/>
      </w:r>
    </w:p>
  </w:endnote>
  <w:endnote w:type="continuationSeparator" w:id="0">
    <w:p w14:paraId="73D0A694" w14:textId="77777777" w:rsidR="00613924" w:rsidRDefault="00613924">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思源黑体 CN Bold">
    <w:altName w:val="黑体"/>
    <w:panose1 w:val="020B0800000000000000"/>
    <w:charset w:val="86"/>
    <w:family w:val="swiss"/>
    <w:notTrueType/>
    <w:pitch w:val="variable"/>
    <w:sig w:usb0="20000207" w:usb1="2ADF3C10" w:usb2="00000016" w:usb3="00000000" w:csb0="00060107" w:csb1="00000000"/>
  </w:font>
  <w:font w:name="思源黑体 CN Light">
    <w:altName w:val="黑体"/>
    <w:panose1 w:val="020B0300000000000000"/>
    <w:charset w:val="86"/>
    <w:family w:val="swiss"/>
    <w:notTrueType/>
    <w:pitch w:val="variable"/>
    <w:sig w:usb0="20000207" w:usb1="2ADF3C10" w:usb2="00000016" w:usb3="00000000" w:csb0="000601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725C" w14:textId="77777777" w:rsidR="00381F61" w:rsidRDefault="00000000">
    <w:pPr>
      <w:pStyle w:val="a4"/>
      <w:tabs>
        <w:tab w:val="center" w:pos="5102"/>
        <w:tab w:val="left" w:pos="6847"/>
      </w:tabs>
      <w:rPr>
        <w:rFonts w:hint="eastAsia"/>
      </w:rPr>
    </w:pPr>
    <w:r>
      <w:tab/>
    </w:r>
    <w:r>
      <w:tab/>
    </w:r>
    <w:sdt>
      <w:sdtPr>
        <w:id w:val="1107850672"/>
      </w:sdtPr>
      <w:sdtContent>
        <w:sdt>
          <w:sdtPr>
            <w:id w:val="1728636285"/>
          </w:sdtPr>
          <w:sdtContent>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4</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sdtContent>
        </w:sdt>
      </w:sdtContent>
    </w:sdt>
    <w:r>
      <w:tab/>
    </w:r>
  </w:p>
  <w:p w14:paraId="21DFFE5A" w14:textId="77777777" w:rsidR="00381F61" w:rsidRDefault="00381F61">
    <w:pPr>
      <w:pStyle w:val="a4"/>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F9B59" w14:textId="77777777" w:rsidR="00613924" w:rsidRDefault="00613924">
      <w:pPr>
        <w:rPr>
          <w:rFonts w:hint="eastAsia"/>
        </w:rPr>
      </w:pPr>
      <w:r>
        <w:separator/>
      </w:r>
    </w:p>
  </w:footnote>
  <w:footnote w:type="continuationSeparator" w:id="0">
    <w:p w14:paraId="1F5CADD3" w14:textId="77777777" w:rsidR="00613924" w:rsidRDefault="00613924">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d"/>
      <w:tblpPr w:leftFromText="180" w:rightFromText="180" w:vertAnchor="text" w:tblpXSpec="right" w:tblpY="1"/>
      <w:tblOverlap w:val="never"/>
      <w:tblW w:w="6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84"/>
      <w:gridCol w:w="2335"/>
    </w:tblGrid>
    <w:tr w:rsidR="00381F61" w14:paraId="20C5F7A0" w14:textId="77777777">
      <w:trPr>
        <w:trHeight w:val="424"/>
      </w:trPr>
      <w:tc>
        <w:tcPr>
          <w:tcW w:w="3652" w:type="dxa"/>
          <w:shd w:val="clear" w:color="auto" w:fill="F3F3F3"/>
          <w:vAlign w:val="center"/>
        </w:tcPr>
        <w:p w14:paraId="778EC6AB" w14:textId="77777777" w:rsidR="00381F61" w:rsidRDefault="00000000">
          <w:pPr>
            <w:pStyle w:val="a6"/>
            <w:pBdr>
              <w:bottom w:val="none" w:sz="0" w:space="0" w:color="auto"/>
            </w:pBdr>
            <w:jc w:val="right"/>
            <w:rPr>
              <w:rFonts w:ascii="Times New Roman" w:eastAsia="宋体" w:hAnsi="Times New Roman" w:cs="Times New Roman"/>
              <w:kern w:val="0"/>
            </w:rPr>
          </w:pPr>
          <w:r>
            <w:rPr>
              <w:rFonts w:ascii="Times New Roman" w:eastAsia="宋体" w:hAnsi="Times New Roman" w:cs="Times New Roman" w:hint="eastAsia"/>
              <w:kern w:val="0"/>
            </w:rPr>
            <w:t>证券研究报告</w:t>
          </w:r>
        </w:p>
      </w:tc>
      <w:tc>
        <w:tcPr>
          <w:tcW w:w="284" w:type="dxa"/>
          <w:shd w:val="clear" w:color="auto" w:fill="C3E2F4"/>
        </w:tcPr>
        <w:p w14:paraId="3B687D64" w14:textId="77777777" w:rsidR="00381F61" w:rsidRDefault="00381F61">
          <w:pPr>
            <w:pStyle w:val="a6"/>
            <w:pBdr>
              <w:bottom w:val="none" w:sz="0" w:space="0" w:color="auto"/>
            </w:pBdr>
            <w:jc w:val="left"/>
            <w:rPr>
              <w:rFonts w:ascii="Times New Roman" w:eastAsia="宋体" w:hAnsi="Times New Roman" w:cs="Times New Roman"/>
              <w:kern w:val="0"/>
            </w:rPr>
          </w:pPr>
        </w:p>
      </w:tc>
      <w:tc>
        <w:tcPr>
          <w:tcW w:w="2335" w:type="dxa"/>
          <w:shd w:val="clear" w:color="auto" w:fill="013F98"/>
          <w:vAlign w:val="center"/>
        </w:tcPr>
        <w:p w14:paraId="329F3521" w14:textId="77777777" w:rsidR="00381F61" w:rsidRDefault="00000000">
          <w:pPr>
            <w:pStyle w:val="a6"/>
            <w:pBdr>
              <w:bottom w:val="none" w:sz="0" w:space="0" w:color="auto"/>
            </w:pBdr>
            <w:rPr>
              <w:rFonts w:ascii="Times New Roman" w:eastAsia="宋体" w:hAnsi="Times New Roman" w:cs="Times New Roman"/>
              <w:kern w:val="0"/>
            </w:rPr>
          </w:pPr>
          <w:r>
            <w:rPr>
              <w:rFonts w:ascii="Times New Roman" w:eastAsia="宋体" w:hAnsi="Times New Roman" w:cs="Times New Roman" w:hint="eastAsia"/>
              <w:kern w:val="0"/>
            </w:rPr>
            <w:t>权益周报</w:t>
          </w:r>
        </w:p>
      </w:tc>
    </w:tr>
  </w:tbl>
  <w:p w14:paraId="65B97749" w14:textId="77777777" w:rsidR="00381F61" w:rsidRDefault="00000000">
    <w:pPr>
      <w:pStyle w:val="a6"/>
      <w:pBdr>
        <w:bottom w:val="single" w:sz="6" w:space="0" w:color="auto"/>
      </w:pBdr>
      <w:tabs>
        <w:tab w:val="clear" w:pos="4153"/>
        <w:tab w:val="clear" w:pos="8306"/>
        <w:tab w:val="left" w:pos="4673"/>
        <w:tab w:val="left" w:pos="8341"/>
      </w:tabs>
      <w:ind w:leftChars="-337" w:left="-809" w:rightChars="-770" w:right="-1848" w:firstLineChars="300" w:firstLine="540"/>
      <w:jc w:val="left"/>
      <w:rPr>
        <w:rFonts w:hint="eastAsia"/>
      </w:rPr>
    </w:pPr>
    <w:r>
      <w:rPr>
        <w:noProof/>
      </w:rPr>
      <w:drawing>
        <wp:inline distT="0" distB="0" distL="0" distR="0">
          <wp:extent cx="883920" cy="285750"/>
          <wp:effectExtent l="0" t="0" r="0" b="0"/>
          <wp:docPr id="2" name="图片 2" descr="C:\Users\Administrator\Desktop\富荣基金SIRM-G1\{EE36CA8E-224C-471B-8096-7E812271AC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富荣基金SIRM-G1\{EE36CA8E-224C-471B-8096-7E812271AC79}.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84041" cy="285750"/>
                  </a:xfrm>
                  <a:prstGeom prst="rect">
                    <a:avLst/>
                  </a:prstGeom>
                  <a:noFill/>
                  <a:ln>
                    <a:noFill/>
                  </a:ln>
                </pic:spPr>
              </pic:pic>
            </a:graphicData>
          </a:graphic>
        </wp:inline>
      </w:drawing>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55C"/>
    <w:rsid w:val="000F2877"/>
    <w:rsid w:val="002F63B0"/>
    <w:rsid w:val="00304F69"/>
    <w:rsid w:val="0037655C"/>
    <w:rsid w:val="00381F61"/>
    <w:rsid w:val="006003AC"/>
    <w:rsid w:val="00613924"/>
    <w:rsid w:val="007B3E0E"/>
    <w:rsid w:val="00852735"/>
    <w:rsid w:val="00906F08"/>
    <w:rsid w:val="00BC2981"/>
    <w:rsid w:val="00E2356D"/>
    <w:rsid w:val="00EC14D5"/>
    <w:rsid w:val="00F06498"/>
    <w:rsid w:val="408C1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3D99B"/>
  <w15:docId w15:val="{998F31E5-BB4C-4BA4-A57A-EF8D3891A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jc w:val="both"/>
    </w:pPr>
    <w:rPr>
      <w:kern w:val="2"/>
      <w:sz w:val="24"/>
      <w:szCs w:val="22"/>
    </w:rPr>
  </w:style>
  <w:style w:type="paragraph" w:styleId="1">
    <w:name w:val="heading 1"/>
    <w:basedOn w:val="a"/>
    <w:next w:val="a"/>
    <w:link w:val="10"/>
    <w:uiPriority w:val="9"/>
    <w:qFormat/>
    <w:pPr>
      <w:keepNext/>
      <w:keepLines/>
      <w:spacing w:before="480" w:after="80" w:line="278" w:lineRule="auto"/>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unhideWhenUsed/>
    <w:qFormat/>
    <w:pPr>
      <w:keepNext/>
      <w:keepLines/>
      <w:spacing w:before="160" w:after="80" w:line="278" w:lineRule="auto"/>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pPr>
      <w:keepNext/>
      <w:keepLines/>
      <w:spacing w:before="160" w:after="80" w:line="278" w:lineRule="auto"/>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pPr>
      <w:keepNext/>
      <w:keepLines/>
      <w:spacing w:before="80" w:after="40" w:line="278" w:lineRule="auto"/>
      <w:jc w:val="left"/>
      <w:outlineLvl w:val="3"/>
    </w:pPr>
    <w:rPr>
      <w:rFonts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pPr>
      <w:keepNext/>
      <w:keepLines/>
      <w:spacing w:before="80" w:after="40" w:line="278" w:lineRule="auto"/>
      <w:jc w:val="left"/>
      <w:outlineLvl w:val="4"/>
    </w:pPr>
    <w:rPr>
      <w:rFonts w:cstheme="majorBidi"/>
      <w:color w:val="0F4761" w:themeColor="accent1" w:themeShade="BF"/>
      <w:szCs w:val="24"/>
      <w14:ligatures w14:val="standardContextual"/>
    </w:rPr>
  </w:style>
  <w:style w:type="paragraph" w:styleId="6">
    <w:name w:val="heading 6"/>
    <w:basedOn w:val="a"/>
    <w:next w:val="a"/>
    <w:link w:val="60"/>
    <w:uiPriority w:val="9"/>
    <w:semiHidden/>
    <w:unhideWhenUsed/>
    <w:qFormat/>
    <w:pPr>
      <w:keepNext/>
      <w:keepLines/>
      <w:spacing w:before="40" w:line="278" w:lineRule="auto"/>
      <w:jc w:val="left"/>
      <w:outlineLvl w:val="5"/>
    </w:pPr>
    <w:rPr>
      <w:rFonts w:cstheme="majorBidi"/>
      <w:b/>
      <w:bCs/>
      <w:color w:val="0F4761" w:themeColor="accent1" w:themeShade="BF"/>
      <w:sz w:val="22"/>
      <w:szCs w:val="24"/>
      <w14:ligatures w14:val="standardContextual"/>
    </w:rPr>
  </w:style>
  <w:style w:type="paragraph" w:styleId="7">
    <w:name w:val="heading 7"/>
    <w:basedOn w:val="a"/>
    <w:next w:val="a"/>
    <w:link w:val="70"/>
    <w:uiPriority w:val="9"/>
    <w:semiHidden/>
    <w:unhideWhenUsed/>
    <w:qFormat/>
    <w:pPr>
      <w:keepNext/>
      <w:keepLines/>
      <w:spacing w:before="40" w:line="278" w:lineRule="auto"/>
      <w:jc w:val="left"/>
      <w:outlineLvl w:val="6"/>
    </w:pPr>
    <w:rPr>
      <w:rFonts w:cstheme="majorBidi"/>
      <w:b/>
      <w:bCs/>
      <w:color w:val="595959" w:themeColor="text1" w:themeTint="A6"/>
      <w:sz w:val="22"/>
      <w:szCs w:val="24"/>
      <w14:ligatures w14:val="standardContextual"/>
    </w:rPr>
  </w:style>
  <w:style w:type="paragraph" w:styleId="8">
    <w:name w:val="heading 8"/>
    <w:basedOn w:val="a"/>
    <w:next w:val="a"/>
    <w:link w:val="80"/>
    <w:uiPriority w:val="9"/>
    <w:semiHidden/>
    <w:unhideWhenUsed/>
    <w:qFormat/>
    <w:pPr>
      <w:keepNext/>
      <w:keepLines/>
      <w:spacing w:line="278" w:lineRule="auto"/>
      <w:jc w:val="left"/>
      <w:outlineLvl w:val="7"/>
    </w:pPr>
    <w:rPr>
      <w:rFonts w:cstheme="majorBidi"/>
      <w:color w:val="595959" w:themeColor="text1" w:themeTint="A6"/>
      <w:sz w:val="22"/>
      <w:szCs w:val="24"/>
      <w14:ligatures w14:val="standardContextual"/>
    </w:rPr>
  </w:style>
  <w:style w:type="paragraph" w:styleId="9">
    <w:name w:val="heading 9"/>
    <w:basedOn w:val="a"/>
    <w:next w:val="a"/>
    <w:link w:val="90"/>
    <w:uiPriority w:val="9"/>
    <w:semiHidden/>
    <w:unhideWhenUsed/>
    <w:qFormat/>
    <w:pPr>
      <w:keepNext/>
      <w:keepLines/>
      <w:spacing w:line="278" w:lineRule="auto"/>
      <w:jc w:val="left"/>
      <w:outlineLvl w:val="8"/>
    </w:pPr>
    <w:rPr>
      <w:rFonts w:eastAsiaTheme="majorEastAsia" w:cstheme="majorBidi"/>
      <w:color w:val="595959" w:themeColor="text1" w:themeTint="A6"/>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Subtitle"/>
    <w:basedOn w:val="a"/>
    <w:next w:val="a"/>
    <w:link w:val="a9"/>
    <w:uiPriority w:val="11"/>
    <w:qFormat/>
    <w:p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paragraph" w:styleId="aa">
    <w:name w:val="Normal (Web)"/>
    <w:basedOn w:val="a"/>
    <w:uiPriority w:val="99"/>
    <w:semiHidden/>
    <w:unhideWhenUsed/>
    <w:qFormat/>
    <w:rPr>
      <w:rFonts w:ascii="Times New Roman" w:hAnsi="Times New Roman" w:cs="Times New Roman"/>
      <w:szCs w:val="24"/>
    </w:rPr>
  </w:style>
  <w:style w:type="paragraph" w:styleId="ab">
    <w:name w:val="Title"/>
    <w:basedOn w:val="a"/>
    <w:next w:val="a"/>
    <w:link w:val="ac"/>
    <w:uiPriority w:val="10"/>
    <w:qFormat/>
    <w:pPr>
      <w:spacing w:after="80" w:line="240" w:lineRule="auto"/>
      <w:contextualSpacing/>
      <w:jc w:val="center"/>
    </w:pPr>
    <w:rPr>
      <w:rFonts w:asciiTheme="majorHAnsi" w:eastAsiaTheme="majorEastAsia" w:hAnsiTheme="majorHAnsi" w:cstheme="majorBidi"/>
      <w:spacing w:val="-10"/>
      <w:kern w:val="28"/>
      <w:sz w:val="56"/>
      <w:szCs w:val="56"/>
      <w14:ligatures w14:val="standardContextual"/>
    </w:rPr>
  </w:style>
  <w:style w:type="table" w:styleId="ad">
    <w:name w:val="Table Grid"/>
    <w:basedOn w:val="a1"/>
    <w:uiPriority w:val="3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Pr>
      <w:rFonts w:cstheme="majorBidi"/>
      <w:color w:val="0F4761" w:themeColor="accent1" w:themeShade="BF"/>
      <w:sz w:val="28"/>
      <w:szCs w:val="28"/>
    </w:rPr>
  </w:style>
  <w:style w:type="character" w:customStyle="1" w:styleId="50">
    <w:name w:val="标题 5 字符"/>
    <w:basedOn w:val="a0"/>
    <w:link w:val="5"/>
    <w:uiPriority w:val="9"/>
    <w:semiHidden/>
    <w:rPr>
      <w:rFonts w:cstheme="majorBidi"/>
      <w:color w:val="0F4761" w:themeColor="accent1" w:themeShade="BF"/>
      <w:sz w:val="24"/>
    </w:rPr>
  </w:style>
  <w:style w:type="character" w:customStyle="1" w:styleId="60">
    <w:name w:val="标题 6 字符"/>
    <w:basedOn w:val="a0"/>
    <w:link w:val="6"/>
    <w:uiPriority w:val="9"/>
    <w:semiHidden/>
    <w:rPr>
      <w:rFonts w:cstheme="majorBidi"/>
      <w:b/>
      <w:bCs/>
      <w:color w:val="0F4761" w:themeColor="accent1" w:themeShade="BF"/>
    </w:rPr>
  </w:style>
  <w:style w:type="character" w:customStyle="1" w:styleId="70">
    <w:name w:val="标题 7 字符"/>
    <w:basedOn w:val="a0"/>
    <w:link w:val="7"/>
    <w:uiPriority w:val="9"/>
    <w:semiHidden/>
    <w:rPr>
      <w:rFonts w:cstheme="majorBidi"/>
      <w:b/>
      <w:bCs/>
      <w:color w:val="595959" w:themeColor="text1" w:themeTint="A6"/>
    </w:rPr>
  </w:style>
  <w:style w:type="character" w:customStyle="1" w:styleId="80">
    <w:name w:val="标题 8 字符"/>
    <w:basedOn w:val="a0"/>
    <w:link w:val="8"/>
    <w:uiPriority w:val="9"/>
    <w:semiHidden/>
    <w:rPr>
      <w:rFonts w:cstheme="majorBidi"/>
      <w:color w:val="595959" w:themeColor="text1" w:themeTint="A6"/>
    </w:rPr>
  </w:style>
  <w:style w:type="character" w:customStyle="1" w:styleId="90">
    <w:name w:val="标题 9 字符"/>
    <w:basedOn w:val="a0"/>
    <w:link w:val="9"/>
    <w:uiPriority w:val="9"/>
    <w:semiHidden/>
    <w:rPr>
      <w:rFonts w:eastAsiaTheme="majorEastAsia" w:cstheme="majorBidi"/>
      <w:color w:val="595959" w:themeColor="text1" w:themeTint="A6"/>
    </w:rPr>
  </w:style>
  <w:style w:type="character" w:customStyle="1" w:styleId="ac">
    <w:name w:val="标题 字符"/>
    <w:basedOn w:val="a0"/>
    <w:link w:val="ab"/>
    <w:uiPriority w:val="10"/>
    <w:rPr>
      <w:rFonts w:asciiTheme="majorHAnsi" w:eastAsiaTheme="majorEastAsia" w:hAnsiTheme="majorHAnsi" w:cstheme="majorBidi"/>
      <w:spacing w:val="-10"/>
      <w:kern w:val="28"/>
      <w:sz w:val="56"/>
      <w:szCs w:val="56"/>
    </w:rPr>
  </w:style>
  <w:style w:type="character" w:customStyle="1" w:styleId="a9">
    <w:name w:val="副标题 字符"/>
    <w:basedOn w:val="a0"/>
    <w:link w:val="a8"/>
    <w:uiPriority w:val="11"/>
    <w:rPr>
      <w:rFonts w:asciiTheme="majorHAnsi" w:eastAsiaTheme="majorEastAsia" w:hAnsiTheme="majorHAnsi" w:cstheme="majorBidi"/>
      <w:color w:val="595959" w:themeColor="text1" w:themeTint="A6"/>
      <w:spacing w:val="15"/>
      <w:sz w:val="28"/>
      <w:szCs w:val="28"/>
    </w:rPr>
  </w:style>
  <w:style w:type="paragraph" w:styleId="ae">
    <w:name w:val="Quote"/>
    <w:basedOn w:val="a"/>
    <w:next w:val="a"/>
    <w:link w:val="af"/>
    <w:uiPriority w:val="29"/>
    <w:qFormat/>
    <w:pPr>
      <w:spacing w:before="160" w:after="160" w:line="278" w:lineRule="auto"/>
      <w:jc w:val="center"/>
    </w:pPr>
    <w:rPr>
      <w:i/>
      <w:iCs/>
      <w:color w:val="404040" w:themeColor="text1" w:themeTint="BF"/>
      <w:sz w:val="22"/>
      <w:szCs w:val="24"/>
      <w14:ligatures w14:val="standardContextual"/>
    </w:rPr>
  </w:style>
  <w:style w:type="character" w:customStyle="1" w:styleId="af">
    <w:name w:val="引用 字符"/>
    <w:basedOn w:val="a0"/>
    <w:link w:val="ae"/>
    <w:uiPriority w:val="29"/>
    <w:rPr>
      <w:i/>
      <w:iCs/>
      <w:color w:val="404040" w:themeColor="text1" w:themeTint="BF"/>
    </w:rPr>
  </w:style>
  <w:style w:type="paragraph" w:styleId="af0">
    <w:name w:val="List Paragraph"/>
    <w:basedOn w:val="a"/>
    <w:uiPriority w:val="34"/>
    <w:qFormat/>
    <w:pPr>
      <w:spacing w:after="160" w:line="278" w:lineRule="auto"/>
      <w:ind w:left="720"/>
      <w:contextualSpacing/>
      <w:jc w:val="left"/>
    </w:pPr>
    <w:rPr>
      <w:sz w:val="22"/>
      <w:szCs w:val="24"/>
      <w14:ligatures w14:val="standardContextual"/>
    </w:rPr>
  </w:style>
  <w:style w:type="character" w:customStyle="1" w:styleId="11">
    <w:name w:val="明显强调1"/>
    <w:basedOn w:val="a0"/>
    <w:uiPriority w:val="21"/>
    <w:qFormat/>
    <w:rPr>
      <w:i/>
      <w:iCs/>
      <w:color w:val="0F4761" w:themeColor="accent1" w:themeShade="BF"/>
    </w:rPr>
  </w:style>
  <w:style w:type="paragraph" w:styleId="af1">
    <w:name w:val="Intense Quote"/>
    <w:basedOn w:val="a"/>
    <w:next w:val="a"/>
    <w:link w:val="af2"/>
    <w:uiPriority w:val="30"/>
    <w:qFormat/>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2"/>
      <w:szCs w:val="24"/>
      <w14:ligatures w14:val="standardContextual"/>
    </w:rPr>
  </w:style>
  <w:style w:type="character" w:customStyle="1" w:styleId="af2">
    <w:name w:val="明显引用 字符"/>
    <w:basedOn w:val="a0"/>
    <w:link w:val="af1"/>
    <w:uiPriority w:val="30"/>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5">
    <w:name w:val="页脚 字符"/>
    <w:basedOn w:val="a0"/>
    <w:link w:val="a4"/>
    <w:uiPriority w:val="99"/>
    <w:qFormat/>
    <w:rPr>
      <w:sz w:val="18"/>
      <w:szCs w:val="18"/>
      <w14:ligatures w14:val="none"/>
    </w:rPr>
  </w:style>
  <w:style w:type="character" w:customStyle="1" w:styleId="a7">
    <w:name w:val="页眉 字符"/>
    <w:basedOn w:val="a0"/>
    <w:link w:val="a6"/>
    <w:uiPriority w:val="99"/>
    <w:qFormat/>
    <w:rPr>
      <w:sz w:val="18"/>
      <w:szCs w:val="18"/>
      <w14:ligatures w14:val="none"/>
    </w:rPr>
  </w:style>
  <w:style w:type="paragraph" w:styleId="af3">
    <w:name w:val="No Spacing"/>
    <w:basedOn w:val="aa"/>
    <w:link w:val="af4"/>
    <w:uiPriority w:val="1"/>
    <w:qFormat/>
    <w:pPr>
      <w:widowControl/>
      <w:shd w:val="clear" w:color="auto" w:fill="FFFFFF"/>
      <w:ind w:firstLineChars="200" w:firstLine="200"/>
      <w:jc w:val="left"/>
    </w:pPr>
    <w:rPr>
      <w:rFonts w:asciiTheme="minorHAnsi" w:hAnsiTheme="minorHAnsi" w:cstheme="minorBidi"/>
      <w:kern w:val="0"/>
      <w:szCs w:val="22"/>
    </w:rPr>
  </w:style>
  <w:style w:type="character" w:customStyle="1" w:styleId="af4">
    <w:name w:val="无间隔 字符"/>
    <w:basedOn w:val="a0"/>
    <w:link w:val="af3"/>
    <w:uiPriority w:val="1"/>
    <w:qFormat/>
    <w:rPr>
      <w:kern w:val="0"/>
      <w:sz w:val="24"/>
      <w:szCs w:val="22"/>
      <w:shd w:val="clear" w:color="auto" w:fill="FFFFFF"/>
      <w14:ligatures w14:val="none"/>
    </w:rPr>
  </w:style>
  <w:style w:type="character" w:styleId="af5">
    <w:name w:val="annotation reference"/>
    <w:basedOn w:val="a0"/>
    <w:uiPriority w:val="99"/>
    <w:semiHidden/>
    <w:unhideWhenUsed/>
    <w:rPr>
      <w:sz w:val="21"/>
      <w:szCs w:val="21"/>
    </w:rPr>
  </w:style>
  <w:style w:type="paragraph" w:styleId="af6">
    <w:name w:val="Revision"/>
    <w:hidden/>
    <w:uiPriority w:val="99"/>
    <w:unhideWhenUsed/>
    <w:rsid w:val="00EC14D5"/>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296</Words>
  <Characters>1688</Characters>
  <Application>Microsoft Office Word</Application>
  <DocSecurity>0</DocSecurity>
  <Lines>14</Lines>
  <Paragraphs>3</Paragraphs>
  <ScaleCrop>false</ScaleCrop>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叶蕊</dc:creator>
  <cp:lastModifiedBy>叶蕊</cp:lastModifiedBy>
  <cp:revision>2</cp:revision>
  <dcterms:created xsi:type="dcterms:W3CDTF">2025-04-14T01:43:00Z</dcterms:created>
  <dcterms:modified xsi:type="dcterms:W3CDTF">2025-04-14T08:49:00Z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eyJoZGlkIjoiYWEyZTA3M2M5N2Q0MmQwMWJkYjAxYzAyY2RhYmU3MjYiLCJ1c2VySWQiOiIxNTIwODY1NzQwIn0=</vt:lpwstr>
  </property>
  <property fmtid="{D5CDD505-2E9C-101B-9397-08002B2CF9AE}" pid="3" name="KSOProductBuildVer">
    <vt:lpwstr>2052-12.1.0.20784</vt:lpwstr>
  </property>
  <property fmtid="{D5CDD505-2E9C-101B-9397-08002B2CF9AE}" pid="4" name="ICV">
    <vt:lpwstr>B802F569344A44C09AC0B9C5BC838C3A_12</vt:lpwstr>
  </property>
</Properties>
</file>