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F52FF">
      <w:pPr>
        <w:jc w:val="center"/>
        <w:rPr>
          <w:rFonts w:hint="eastAsia" w:ascii="黑体" w:hAnsi="黑体" w:eastAsia="黑体"/>
          <w:b/>
          <w:bCs/>
        </w:rPr>
      </w:pPr>
      <w:r>
        <w:rPr>
          <w:rFonts w:hint="eastAsia" w:ascii="黑体" w:hAnsi="黑体" w:eastAsia="黑体"/>
          <w:b/>
          <w:bCs/>
        </w:rPr>
        <w:t>【峥选定投】20250529定投日志</w:t>
      </w:r>
    </w:p>
    <w:p w14:paraId="5BEFFF90">
      <w:pPr>
        <w:ind w:firstLine="440" w:firstLineChars="200"/>
        <w:rPr>
          <w:rFonts w:hint="eastAsia" w:ascii="黑体" w:hAnsi="黑体" w:eastAsia="黑体"/>
        </w:rPr>
      </w:pPr>
      <w:r>
        <w:rPr>
          <w:rFonts w:hint="eastAsia" w:ascii="黑体" w:hAnsi="黑体" w:eastAsia="黑体"/>
        </w:rPr>
        <w:t>大家好！我是富荣信息技术混合、富荣福锦混合的基金经理李延峥。我于5月28日定投买入富荣信息技术混合A、富荣福锦混合A两只产品各1000元。</w:t>
      </w:r>
    </w:p>
    <w:p w14:paraId="212C2C21">
      <w:pPr>
        <w:rPr>
          <w:rFonts w:hint="eastAsia" w:ascii="黑体" w:hAnsi="黑体" w:eastAsia="黑体"/>
        </w:rPr>
      </w:pPr>
    </w:p>
    <w:p w14:paraId="36A5A849">
      <w:pPr>
        <w:jc w:val="center"/>
        <w:rPr>
          <w:rFonts w:hint="eastAsia" w:ascii="黑体" w:hAnsi="黑体" w:eastAsia="黑体"/>
        </w:rPr>
      </w:pPr>
      <w:r>
        <w:rPr>
          <w:rFonts w:hint="eastAsia"/>
        </w:rPr>
        <w:drawing>
          <wp:inline distT="0" distB="0" distL="0" distR="0">
            <wp:extent cx="4038600" cy="6915150"/>
            <wp:effectExtent l="0" t="0" r="0" b="0"/>
            <wp:docPr id="13307919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91925"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38600" cy="6915150"/>
                    </a:xfrm>
                    <a:prstGeom prst="rect">
                      <a:avLst/>
                    </a:prstGeom>
                    <a:noFill/>
                    <a:ln>
                      <a:noFill/>
                    </a:ln>
                  </pic:spPr>
                </pic:pic>
              </a:graphicData>
            </a:graphic>
          </wp:inline>
        </w:drawing>
      </w:r>
    </w:p>
    <w:p w14:paraId="0C35B823">
      <w:pPr>
        <w:rPr>
          <w:rFonts w:hint="eastAsia" w:ascii="黑体" w:hAnsi="黑体" w:eastAsia="黑体"/>
        </w:rPr>
      </w:pPr>
    </w:p>
    <w:p w14:paraId="03E5D25D">
      <w:pPr>
        <w:rPr>
          <w:rFonts w:hint="eastAsia" w:ascii="黑体" w:hAnsi="黑体" w:eastAsia="黑体"/>
        </w:rPr>
      </w:pPr>
      <w:r>
        <w:rPr>
          <w:rFonts w:hint="eastAsia" w:ascii="黑体" w:hAnsi="黑体" w:eastAsia="黑体"/>
        </w:rPr>
        <w:t>富荣信息技术混合及富荣福锦混合，投资风格均偏重成长方向</w:t>
      </w:r>
      <w:r>
        <w:rPr>
          <w:rFonts w:hint="eastAsia" w:ascii="黑体" w:hAnsi="黑体" w:eastAsia="黑体"/>
          <w:vertAlign w:val="superscript"/>
        </w:rPr>
        <w:t>①</w:t>
      </w:r>
      <w:r>
        <w:rPr>
          <w:rFonts w:hint="eastAsia" w:ascii="黑体" w:hAnsi="黑体" w:eastAsia="黑体"/>
        </w:rPr>
        <w:t>。其中，富荣信息技术混合聚焦于信息技术产业投资，投资方向偏科技、成长产业链。</w:t>
      </w:r>
    </w:p>
    <w:p w14:paraId="22C3DD61">
      <w:pPr>
        <w:rPr>
          <w:rFonts w:hint="eastAsia" w:ascii="黑体" w:hAnsi="黑体" w:eastAsia="黑体"/>
        </w:rPr>
      </w:pPr>
    </w:p>
    <w:p w14:paraId="4F10906E">
      <w:pPr>
        <w:rPr>
          <w:rFonts w:hint="eastAsia" w:ascii="黑体" w:hAnsi="黑体" w:eastAsia="黑体"/>
        </w:rPr>
      </w:pPr>
      <w:r>
        <w:rPr>
          <w:rFonts w:hint="eastAsia" w:ascii="黑体" w:hAnsi="黑体" w:eastAsia="黑体"/>
        </w:rPr>
        <w:t>国泰海通证券数据显示，富荣信息技术混合A近一年、近两年、近三年业绩同类排名分别为前15%、前9%、前2%，并获三年期五星评级</w:t>
      </w:r>
      <w:r>
        <w:rPr>
          <w:rFonts w:hint="eastAsia" w:ascii="黑体" w:hAnsi="黑体" w:eastAsia="黑体"/>
          <w:vertAlign w:val="superscript"/>
        </w:rPr>
        <w:t>②</w:t>
      </w:r>
      <w:r>
        <w:rPr>
          <w:rFonts w:hint="eastAsia" w:ascii="黑体" w:hAnsi="黑体" w:eastAsia="黑体"/>
        </w:rPr>
        <w:t>；富荣福锦混合A近一年、近三年、近五年业绩同类排名分别为第十、前11%、第七，并获三年期、五年期五星评级</w:t>
      </w:r>
      <w:r>
        <w:rPr>
          <w:rFonts w:hint="eastAsia" w:ascii="黑体" w:hAnsi="黑体" w:eastAsia="黑体"/>
          <w:vertAlign w:val="superscript"/>
        </w:rPr>
        <w:t>③</w:t>
      </w:r>
      <w:r>
        <w:rPr>
          <w:rFonts w:hint="eastAsia" w:ascii="黑体" w:hAnsi="黑体" w:eastAsia="黑体"/>
        </w:rPr>
        <w:t>。</w:t>
      </w:r>
    </w:p>
    <w:p w14:paraId="49819CA9">
      <w:pPr>
        <w:rPr>
          <w:rFonts w:hint="eastAsia" w:ascii="黑体" w:hAnsi="黑体" w:eastAsia="黑体"/>
        </w:rPr>
      </w:pPr>
    </w:p>
    <w:p w14:paraId="0C63CAED">
      <w:pPr>
        <w:rPr>
          <w:rFonts w:hint="eastAsia" w:ascii="黑体" w:hAnsi="黑体" w:eastAsia="黑体"/>
        </w:rPr>
      </w:pPr>
      <w:r>
        <w:rPr>
          <w:rFonts w:hint="eastAsia" w:ascii="黑体" w:hAnsi="黑体" w:eastAsia="黑体"/>
        </w:rPr>
        <w:t>我们认为，在复杂多变的市场环境中，面对不确定性，提前预测的可能性较小，更多是根据事件去做应对，核心是要依靠客观事实而非主观猜测，并在必要时做好止损预案。在中长期方向上，我们将继续按照自己的投资逻辑和投资框架进行布局，买有终局空间业绩趋势向上的公司。</w:t>
      </w:r>
    </w:p>
    <w:p w14:paraId="6B6C9D2B">
      <w:pPr>
        <w:rPr>
          <w:rFonts w:hint="eastAsia" w:ascii="黑体" w:hAnsi="黑体" w:eastAsia="黑体"/>
        </w:rPr>
      </w:pPr>
    </w:p>
    <w:p w14:paraId="40D667DE">
      <w:pPr>
        <w:rPr>
          <w:rFonts w:hint="eastAsia" w:ascii="黑体" w:hAnsi="黑体" w:eastAsia="黑体"/>
        </w:rPr>
      </w:pPr>
      <w:r>
        <w:rPr>
          <w:rFonts w:hint="eastAsia" w:ascii="黑体" w:hAnsi="黑体" w:eastAsia="黑体"/>
        </w:rPr>
        <w:t>注：①关注方向仅以当前市场情况判断，不必然代表未来投资方向。基金经理将根据证券市场情况的变化并依据基金合同的约定，灵活调整具体的投资策略。</w:t>
      </w:r>
    </w:p>
    <w:p w14:paraId="7C5B8331">
      <w:pPr>
        <w:rPr>
          <w:rFonts w:hint="eastAsia" w:ascii="黑体" w:hAnsi="黑体" w:eastAsia="黑体"/>
        </w:rPr>
      </w:pPr>
      <w:r>
        <w:rPr>
          <w:rFonts w:hint="eastAsia" w:ascii="黑体" w:hAnsi="黑体" w:eastAsia="黑体"/>
        </w:rPr>
        <w:t>②数据来源：国泰海通证券-基金业绩排行榜，分类标准：强股混合型，富荣信息技术混合A近一年、近两年、近三年业绩同类排名分别为544/3694、255/3039、29/2286，并获三年期五星评级。数据截至2025年4月30日，评价发布日期2025年5月3日。</w:t>
      </w:r>
    </w:p>
    <w:p w14:paraId="5DC4DCF2">
      <w:pPr>
        <w:rPr>
          <w:rFonts w:hint="eastAsia" w:ascii="黑体" w:hAnsi="黑体" w:eastAsia="黑体"/>
        </w:rPr>
      </w:pPr>
      <w:r>
        <w:rPr>
          <w:rFonts w:hint="eastAsia" w:ascii="黑体" w:hAnsi="黑体" w:eastAsia="黑体"/>
        </w:rPr>
        <w:t>富荣信息技术混合成立于2021年10月28日，R3（中风险）。基金经理任职期：郎骋成（2021.10.28-2023.12.13）、李延峥（2021.10.28-至今）。富荣信息技术混合A2022年-2024年的业绩及同期业绩比较基准为：-31.80%/-24.20%、13.26%/3.32%、14.82%/16.24%；富荣信息技术混合C2022年-2024年的业绩及同期业绩比较基准为：-32.07%/-24.20%、12.80%/3.32%、14.37%/16.24%。数据来源：定期报告，数据截至2024年12月31日。</w:t>
      </w:r>
    </w:p>
    <w:p w14:paraId="645D0A5A">
      <w:pPr>
        <w:rPr>
          <w:rFonts w:hint="eastAsia" w:ascii="黑体" w:hAnsi="黑体" w:eastAsia="黑体"/>
        </w:rPr>
      </w:pPr>
      <w:r>
        <w:rPr>
          <w:rFonts w:hint="eastAsia" w:ascii="黑体" w:hAnsi="黑体" w:eastAsia="黑体"/>
        </w:rPr>
        <w:t>③数据来源：国泰海通证券-基金业绩排行榜，分类标准：偏股混合型，富荣福锦混合A近一年、近三年、近五年业绩同类排名分别为10/412、38/349、7/214，并获三年期、五年期五星评级。数据截至2025年4月30日，评价发布日期2025年5月3日。</w:t>
      </w:r>
    </w:p>
    <w:p w14:paraId="606301C0">
      <w:pPr>
        <w:rPr>
          <w:rFonts w:hint="eastAsia" w:ascii="黑体" w:hAnsi="黑体" w:eastAsia="黑体"/>
        </w:rPr>
      </w:pPr>
      <w:r>
        <w:rPr>
          <w:rFonts w:hint="eastAsia" w:ascii="黑体" w:hAnsi="黑体" w:eastAsia="黑体"/>
        </w:rPr>
        <w:t>富荣福锦混合成立于2018年3月16日，于2021年4月19日增加存托凭证投资范围和投资策略，R3（中风险）。基金经理任职期：胡长虹（2018.03.16-2018.11.26）、邓宇翔（2018.03.30-2024.06.24）、李天翔（2024.06.07-2025.02.19）、李延峥（2024.08.28-至今）</w:t>
      </w:r>
      <w:r>
        <w:rPr>
          <w:rFonts w:hint="eastAsia" w:ascii="黑体" w:hAnsi="黑体" w:eastAsia="黑体"/>
          <w:lang w:eastAsia="zh-CN"/>
        </w:rPr>
        <w:t>、</w:t>
      </w:r>
      <w:r>
        <w:rPr>
          <w:rFonts w:hint="eastAsia" w:ascii="黑体" w:hAnsi="黑体" w:eastAsia="黑体"/>
          <w:lang w:val="en-US" w:eastAsia="zh-CN"/>
        </w:rPr>
        <w:t>毛运宏（2025.05.29-至今</w:t>
      </w:r>
      <w:bookmarkStart w:id="0" w:name="_GoBack"/>
      <w:bookmarkEnd w:id="0"/>
      <w:r>
        <w:rPr>
          <w:rFonts w:hint="eastAsia" w:ascii="黑体" w:hAnsi="黑体" w:eastAsia="黑体"/>
          <w:lang w:val="en-US" w:eastAsia="zh-CN"/>
        </w:rPr>
        <w:t>）</w:t>
      </w:r>
      <w:r>
        <w:rPr>
          <w:rFonts w:hint="eastAsia" w:ascii="黑体" w:hAnsi="黑体" w:eastAsia="黑体"/>
        </w:rPr>
        <w:t>。富荣福锦混合A2020年-2024年的业绩及同期业绩比较基准分别为：87.80%/20.09%、8.45%/-1.72%、-9.03%/-14.45%、-13.57%/-6.52%、21.20%/13.43%。富荣福锦混合C2020年-2024年的业绩及同期业绩比较基准分别为：87.60%/20.09%、8.34%/-1.72%、-9.12%/-14.45%、-13.66%/-6.52%、21.14%/13.43%。数据来源：定期报告，数据截至2024年12月31日。</w:t>
      </w:r>
    </w:p>
    <w:p w14:paraId="51470189">
      <w:pPr>
        <w:rPr>
          <w:rFonts w:hint="eastAsia" w:ascii="黑体" w:hAnsi="黑体" w:eastAsia="黑体"/>
        </w:rPr>
      </w:pPr>
      <w:r>
        <w:rPr>
          <w:rFonts w:hint="eastAsia" w:ascii="黑体" w:hAnsi="黑体" w:eastAsia="黑体"/>
        </w:rPr>
        <w:t>④本基金《基金合同》、《招募说明书》等法律文件中涉及基金风险收益特征或风险状况的表述仅为主要基于基金投资方向与策略特点的概括性表述;而本基金各销售机构依据中国证券投资基金业协会发布《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2C12B5FE">
      <w:pPr>
        <w:rPr>
          <w:rFonts w:hint="eastAsia" w:ascii="黑体" w:hAnsi="黑体" w:eastAsia="黑体"/>
        </w:rPr>
      </w:pPr>
      <w:r>
        <w:rPr>
          <w:rFonts w:hint="eastAsia" w:ascii="黑体" w:hAnsi="黑体" w:eastAsia="黑体"/>
        </w:rPr>
        <w:t>风险提示：1、投资人应当认真阅读《基金合同》、《招募说明书》、《基金产品资料概要》等基金法律文件，了解基金的风险收益特征，并根据自身的投资目的、投资期限、投资经验、资产状况等判断基金是否和投资人的风险承受能力相适应。2、基金管理人承诺以诚实信用、勤勉尽责的原则管理和运用基金资产，但不保证本基金一定盈利，也不保证最低收益。基金的过往业绩及其净值高低并不预示其未来业绩表现。基金管理人管理的其他基金的业绩并不构成基金业绩表现的保证。3、基金管理人提醒投资人基金投资的“买者自负”原则，在做出投资决策后，基金运营状况与基金净值变化引致的投资风险，由投资人自行负担。我国基金运作时间较短，不能反映证券市场发展的所有阶段。4、基金评价结果并不表示对基金业绩未来表现的预测，也不视作投资建议。市场有风险，投资需谨慎。</w:t>
      </w:r>
    </w:p>
    <w:p w14:paraId="64DCA737">
      <w:pPr>
        <w:rPr>
          <w:rFonts w:hint="eastAsia" w:ascii="黑体" w:hAnsi="黑体" w:eastAsia="黑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1E"/>
    <w:rsid w:val="00056703"/>
    <w:rsid w:val="00060BB3"/>
    <w:rsid w:val="00070AC3"/>
    <w:rsid w:val="00085625"/>
    <w:rsid w:val="000A10F0"/>
    <w:rsid w:val="000B5232"/>
    <w:rsid w:val="000B5EC3"/>
    <w:rsid w:val="000D31EC"/>
    <w:rsid w:val="000F5C8C"/>
    <w:rsid w:val="00105B18"/>
    <w:rsid w:val="0011338E"/>
    <w:rsid w:val="0012278C"/>
    <w:rsid w:val="001632F8"/>
    <w:rsid w:val="00176D4F"/>
    <w:rsid w:val="001A1EA6"/>
    <w:rsid w:val="001D23F9"/>
    <w:rsid w:val="001E1D0C"/>
    <w:rsid w:val="001F4529"/>
    <w:rsid w:val="00237722"/>
    <w:rsid w:val="002509DF"/>
    <w:rsid w:val="00262780"/>
    <w:rsid w:val="002D4BB0"/>
    <w:rsid w:val="002D650F"/>
    <w:rsid w:val="003012D0"/>
    <w:rsid w:val="0033490C"/>
    <w:rsid w:val="003363A4"/>
    <w:rsid w:val="003D49C2"/>
    <w:rsid w:val="003D79A0"/>
    <w:rsid w:val="0042772C"/>
    <w:rsid w:val="00452826"/>
    <w:rsid w:val="00463EF8"/>
    <w:rsid w:val="004709F0"/>
    <w:rsid w:val="00476A8A"/>
    <w:rsid w:val="00497215"/>
    <w:rsid w:val="004A4392"/>
    <w:rsid w:val="00532E84"/>
    <w:rsid w:val="00572EDC"/>
    <w:rsid w:val="0058536C"/>
    <w:rsid w:val="005C7FAA"/>
    <w:rsid w:val="006251F4"/>
    <w:rsid w:val="00652937"/>
    <w:rsid w:val="00695FF3"/>
    <w:rsid w:val="00696F3B"/>
    <w:rsid w:val="006C4D4D"/>
    <w:rsid w:val="006C6FC5"/>
    <w:rsid w:val="006D2011"/>
    <w:rsid w:val="006D20D8"/>
    <w:rsid w:val="0071685B"/>
    <w:rsid w:val="0078052B"/>
    <w:rsid w:val="007B77FB"/>
    <w:rsid w:val="00843EBC"/>
    <w:rsid w:val="008506AB"/>
    <w:rsid w:val="00884E0B"/>
    <w:rsid w:val="008861CD"/>
    <w:rsid w:val="008919E9"/>
    <w:rsid w:val="008A2825"/>
    <w:rsid w:val="008B4166"/>
    <w:rsid w:val="008B695E"/>
    <w:rsid w:val="00915C2A"/>
    <w:rsid w:val="00987807"/>
    <w:rsid w:val="009E64DC"/>
    <w:rsid w:val="00A13C5B"/>
    <w:rsid w:val="00A23520"/>
    <w:rsid w:val="00A652B7"/>
    <w:rsid w:val="00AA4BFD"/>
    <w:rsid w:val="00AB293D"/>
    <w:rsid w:val="00AE7A39"/>
    <w:rsid w:val="00B17FA7"/>
    <w:rsid w:val="00B36E17"/>
    <w:rsid w:val="00B479BB"/>
    <w:rsid w:val="00B54301"/>
    <w:rsid w:val="00B84EA8"/>
    <w:rsid w:val="00B93315"/>
    <w:rsid w:val="00B94257"/>
    <w:rsid w:val="00BA384E"/>
    <w:rsid w:val="00BC55FA"/>
    <w:rsid w:val="00BD44AA"/>
    <w:rsid w:val="00BF54FE"/>
    <w:rsid w:val="00C97B7D"/>
    <w:rsid w:val="00CC537C"/>
    <w:rsid w:val="00D345D7"/>
    <w:rsid w:val="00D927DE"/>
    <w:rsid w:val="00D95608"/>
    <w:rsid w:val="00E17515"/>
    <w:rsid w:val="00E23CA9"/>
    <w:rsid w:val="00E66E58"/>
    <w:rsid w:val="00EA44E6"/>
    <w:rsid w:val="00EB35DB"/>
    <w:rsid w:val="00EB5E1E"/>
    <w:rsid w:val="00F03A32"/>
    <w:rsid w:val="00F21018"/>
    <w:rsid w:val="00F545DA"/>
    <w:rsid w:val="00F62C3A"/>
    <w:rsid w:val="00F86702"/>
    <w:rsid w:val="00FB11E4"/>
    <w:rsid w:val="00FD242E"/>
    <w:rsid w:val="0A9309C2"/>
    <w:rsid w:val="0BB43FDD"/>
    <w:rsid w:val="13244993"/>
    <w:rsid w:val="18967A76"/>
    <w:rsid w:val="1FC41D2B"/>
    <w:rsid w:val="3CFE4730"/>
    <w:rsid w:val="4CBD12A4"/>
    <w:rsid w:val="518A6EC1"/>
    <w:rsid w:val="58D772FF"/>
    <w:rsid w:val="593133EA"/>
    <w:rsid w:val="5AA31704"/>
    <w:rsid w:val="5F9A3DB8"/>
    <w:rsid w:val="6250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6"/>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semiHidden/>
    <w:unhideWhenUsed/>
    <w:qFormat/>
    <w:uiPriority w:val="99"/>
  </w:style>
  <w:style w:type="paragraph" w:styleId="12">
    <w:name w:val="Balloon Text"/>
    <w:basedOn w:val="1"/>
    <w:link w:val="46"/>
    <w:semiHidden/>
    <w:unhideWhenUsed/>
    <w:qFormat/>
    <w:uiPriority w:val="99"/>
    <w:pPr>
      <w:spacing w:after="0" w:line="240" w:lineRule="auto"/>
    </w:pPr>
    <w:rPr>
      <w:sz w:val="18"/>
      <w:szCs w:val="18"/>
    </w:rPr>
  </w:style>
  <w:style w:type="paragraph" w:styleId="13">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9"/>
    <w:unhideWhenUsed/>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字符"/>
    <w:basedOn w:val="18"/>
    <w:link w:val="5"/>
    <w:semiHidden/>
    <w:qFormat/>
    <w:uiPriority w:val="9"/>
    <w:rPr>
      <w:rFonts w:cstheme="majorBidi"/>
      <w:color w:val="2F5597" w:themeColor="accent1" w:themeShade="BF"/>
      <w:sz w:val="28"/>
      <w:szCs w:val="28"/>
    </w:rPr>
  </w:style>
  <w:style w:type="character" w:customStyle="1" w:styleId="25">
    <w:name w:val="标题 5 字符"/>
    <w:basedOn w:val="18"/>
    <w:link w:val="6"/>
    <w:semiHidden/>
    <w:qFormat/>
    <w:uiPriority w:val="9"/>
    <w:rPr>
      <w:rFonts w:cstheme="majorBidi"/>
      <w:color w:val="2F5597" w:themeColor="accent1" w:themeShade="BF"/>
      <w:sz w:val="24"/>
    </w:rPr>
  </w:style>
  <w:style w:type="character" w:customStyle="1" w:styleId="26">
    <w:name w:val="标题 6 字符"/>
    <w:basedOn w:val="18"/>
    <w:link w:val="7"/>
    <w:semiHidden/>
    <w:qFormat/>
    <w:uiPriority w:val="9"/>
    <w:rPr>
      <w:rFonts w:cstheme="majorBidi"/>
      <w:b/>
      <w:bCs/>
      <w:color w:val="2F5597" w:themeColor="accent1" w:themeShade="BF"/>
    </w:rPr>
  </w:style>
  <w:style w:type="character" w:customStyle="1" w:styleId="27">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8"/>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字符"/>
    <w:basedOn w:val="18"/>
    <w:link w:val="36"/>
    <w:qFormat/>
    <w:uiPriority w:val="30"/>
    <w:rPr>
      <w:i/>
      <w:iCs/>
      <w:color w:val="2F5597" w:themeColor="accent1" w:themeShade="BF"/>
    </w:rPr>
  </w:style>
  <w:style w:type="character" w:customStyle="1" w:styleId="38">
    <w:name w:val="明显参考1"/>
    <w:basedOn w:val="18"/>
    <w:qFormat/>
    <w:uiPriority w:val="32"/>
    <w:rPr>
      <w:b/>
      <w:bCs/>
      <w:smallCaps/>
      <w:color w:val="2F5597" w:themeColor="accent1" w:themeShade="BF"/>
      <w:spacing w:val="5"/>
    </w:rPr>
  </w:style>
  <w:style w:type="character" w:customStyle="1" w:styleId="39">
    <w:name w:val="页眉 字符"/>
    <w:basedOn w:val="18"/>
    <w:link w:val="14"/>
    <w:qFormat/>
    <w:uiPriority w:val="99"/>
    <w:rPr>
      <w:sz w:val="18"/>
      <w:szCs w:val="18"/>
    </w:rPr>
  </w:style>
  <w:style w:type="character" w:customStyle="1" w:styleId="40">
    <w:name w:val="页脚 字符"/>
    <w:basedOn w:val="18"/>
    <w:link w:val="13"/>
    <w:qFormat/>
    <w:uiPriority w:val="99"/>
    <w:rPr>
      <w:sz w:val="18"/>
      <w:szCs w:val="18"/>
    </w:rPr>
  </w:style>
  <w:style w:type="paragraph" w:customStyle="1" w:styleId="41">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2">
    <w:name w:val="修订2"/>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3">
    <w:name w:val="修订3"/>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4">
    <w:name w:val="修订4"/>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5">
    <w:name w:val="修订5"/>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46">
    <w:name w:val="批注框文本 字符"/>
    <w:basedOn w:val="18"/>
    <w:link w:val="12"/>
    <w:semiHidden/>
    <w:qFormat/>
    <w:uiPriority w:val="99"/>
    <w:rPr>
      <w:kern w:val="2"/>
      <w:sz w:val="18"/>
      <w:szCs w:val="18"/>
      <w14:ligatures w14:val="standardContextual"/>
    </w:rPr>
  </w:style>
  <w:style w:type="character" w:customStyle="1" w:styleId="47">
    <w:name w:val="未处理的提及1"/>
    <w:basedOn w:val="18"/>
    <w:semiHidden/>
    <w:unhideWhenUsed/>
    <w:qFormat/>
    <w:uiPriority w:val="99"/>
    <w:rPr>
      <w:color w:val="605E5C"/>
      <w:shd w:val="clear" w:color="auto" w:fill="E1DFDD"/>
    </w:rPr>
  </w:style>
  <w:style w:type="paragraph" w:customStyle="1" w:styleId="48">
    <w:name w:val="修订6"/>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9">
    <w:name w:val="修订7"/>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50">
    <w:name w:val="修订8"/>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51">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1692</Words>
  <Characters>2110</Characters>
  <Lines>15</Lines>
  <Paragraphs>4</Paragraphs>
  <TotalTime>1101</TotalTime>
  <ScaleCrop>false</ScaleCrop>
  <LinksUpToDate>false</LinksUpToDate>
  <CharactersWithSpaces>2110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2025-05-06T00:42:00Z</dcterms:created>
  <dc:creator>王梦雨</dc:creator>
  <cp:lastModifiedBy>ziy</cp:lastModifiedBy>
  <dcterms:modified xsi:type="dcterms:W3CDTF">2025-05-28T06:23:22Z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2052-12.1.0.21171</vt:lpwstr>
  </property>
  <property fmtid="{D5CDD505-2E9C-101B-9397-08002B2CF9AE}" pid="4" name="ICV">
    <vt:lpwstr>590847200946437AB5C7D95BDDF160DE_13</vt:lpwstr>
  </property>
</Properties>
</file>