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8A80" w14:textId="77777777" w:rsidR="00C224F2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【峥选定投】20250619</w:t>
      </w:r>
      <w:proofErr w:type="gramStart"/>
      <w:r>
        <w:rPr>
          <w:rFonts w:ascii="黑体" w:eastAsia="黑体" w:hAnsi="黑体" w:hint="eastAsia"/>
          <w:b/>
          <w:bCs/>
        </w:rPr>
        <w:t>定投日志</w:t>
      </w:r>
      <w:proofErr w:type="gramEnd"/>
    </w:p>
    <w:p w14:paraId="2325F01F" w14:textId="77777777" w:rsidR="00C224F2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</w:t>
      </w:r>
      <w:proofErr w:type="gramStart"/>
      <w:r>
        <w:rPr>
          <w:rFonts w:ascii="黑体" w:eastAsia="黑体" w:hAnsi="黑体" w:hint="eastAsia"/>
        </w:rPr>
        <w:t>6月18日定投买入</w:t>
      </w:r>
      <w:proofErr w:type="gramEnd"/>
      <w:r>
        <w:rPr>
          <w:rFonts w:ascii="黑体" w:eastAsia="黑体" w:hAnsi="黑体" w:hint="eastAsia"/>
        </w:rPr>
        <w:t>富荣信息技术混合A、富荣福锦混合A两只产品各1000元。</w:t>
      </w:r>
    </w:p>
    <w:p w14:paraId="0179ADAE" w14:textId="77777777" w:rsidR="00C224F2" w:rsidRDefault="00000000">
      <w:pPr>
        <w:jc w:val="center"/>
        <w:rPr>
          <w:rFonts w:ascii="黑体" w:hAnsi="黑体" w:hint="eastAsia"/>
        </w:rPr>
      </w:pPr>
      <w:r>
        <w:rPr>
          <w:rFonts w:ascii="黑体" w:hAnsi="黑体" w:hint="eastAsia"/>
          <w:noProof/>
        </w:rPr>
        <w:drawing>
          <wp:inline distT="0" distB="0" distL="0" distR="0" wp14:anchorId="75F10F6F" wp14:editId="3BEA14ED">
            <wp:extent cx="3190875" cy="4505325"/>
            <wp:effectExtent l="0" t="0" r="0" b="9525"/>
            <wp:docPr id="914785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85576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1405" cy="45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4157" w14:textId="217EF164" w:rsidR="00C224F2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最近海外</w:t>
      </w:r>
      <w:proofErr w:type="gramStart"/>
      <w:r>
        <w:rPr>
          <w:rFonts w:ascii="黑体" w:eastAsia="黑体" w:hAnsi="黑体" w:hint="eastAsia"/>
        </w:rPr>
        <w:t>算力相关</w:t>
      </w:r>
      <w:proofErr w:type="gramEnd"/>
      <w:r>
        <w:rPr>
          <w:rFonts w:ascii="黑体" w:eastAsia="黑体" w:hAnsi="黑体" w:hint="eastAsia"/>
        </w:rPr>
        <w:t>的光模块、PCB企稳反弹。与此同时，根据同花</w:t>
      </w:r>
      <w:proofErr w:type="gramStart"/>
      <w:r>
        <w:rPr>
          <w:rFonts w:ascii="黑体" w:eastAsia="黑体" w:hAnsi="黑体" w:hint="eastAsia"/>
        </w:rPr>
        <w:t>顺数据</w:t>
      </w:r>
      <w:proofErr w:type="gramEnd"/>
      <w:r>
        <w:rPr>
          <w:rFonts w:ascii="黑体" w:eastAsia="黑体" w:hAnsi="黑体" w:hint="eastAsia"/>
        </w:rPr>
        <w:t>显示，</w:t>
      </w:r>
      <w:r w:rsidR="003630B9">
        <w:rPr>
          <w:rFonts w:ascii="黑体" w:eastAsia="黑体" w:hAnsi="黑体" w:hint="eastAsia"/>
        </w:rPr>
        <w:t>6月1日至</w:t>
      </w:r>
      <w:r w:rsidR="00281256">
        <w:rPr>
          <w:rFonts w:ascii="黑体" w:eastAsia="黑体" w:hAnsi="黑体" w:hint="eastAsia"/>
        </w:rPr>
        <w:t>6月17日</w:t>
      </w:r>
      <w:r>
        <w:rPr>
          <w:rFonts w:ascii="黑体" w:eastAsia="黑体" w:hAnsi="黑体" w:hint="eastAsia"/>
        </w:rPr>
        <w:t>，A股TMT板块</w:t>
      </w:r>
      <w:r w:rsidR="00281256">
        <w:rPr>
          <w:rFonts w:ascii="黑体" w:eastAsia="黑体" w:hAnsi="黑体" w:hint="eastAsia"/>
        </w:rPr>
        <w:t>中，</w:t>
      </w:r>
      <w:r>
        <w:rPr>
          <w:rFonts w:ascii="黑体" w:eastAsia="黑体" w:hAnsi="黑体" w:hint="eastAsia"/>
        </w:rPr>
        <w:t>通信（</w:t>
      </w:r>
      <w:r w:rsidR="00281256">
        <w:rPr>
          <w:rFonts w:ascii="黑体" w:eastAsia="黑体" w:hAnsi="黑体" w:hint="eastAsia"/>
        </w:rPr>
        <w:t>6.53</w:t>
      </w:r>
      <w:r>
        <w:rPr>
          <w:rFonts w:ascii="黑体" w:eastAsia="黑体" w:hAnsi="黑体" w:hint="eastAsia"/>
        </w:rPr>
        <w:t>%）、电子（</w:t>
      </w:r>
      <w:r w:rsidR="00281256">
        <w:rPr>
          <w:rFonts w:ascii="黑体" w:eastAsia="黑体" w:hAnsi="黑体" w:hint="eastAsia"/>
        </w:rPr>
        <w:t>2.40</w:t>
      </w:r>
      <w:r>
        <w:rPr>
          <w:rFonts w:ascii="黑体" w:eastAsia="黑体" w:hAnsi="黑体" w:hint="eastAsia"/>
        </w:rPr>
        <w:t>%）、计算机（</w:t>
      </w:r>
      <w:r w:rsidR="00281256">
        <w:rPr>
          <w:rFonts w:ascii="黑体" w:eastAsia="黑体" w:hAnsi="黑体" w:hint="eastAsia"/>
        </w:rPr>
        <w:t>2.42</w:t>
      </w:r>
      <w:r>
        <w:rPr>
          <w:rFonts w:ascii="黑体" w:eastAsia="黑体" w:hAnsi="黑体" w:hint="eastAsia"/>
        </w:rPr>
        <w:t>%），TMT板块整体</w:t>
      </w:r>
      <w:proofErr w:type="gramStart"/>
      <w:r>
        <w:rPr>
          <w:rFonts w:ascii="黑体" w:eastAsia="黑体" w:hAnsi="黑体" w:hint="eastAsia"/>
        </w:rPr>
        <w:t>跑赢沪深</w:t>
      </w:r>
      <w:proofErr w:type="gramEnd"/>
      <w:r>
        <w:rPr>
          <w:rFonts w:ascii="黑体" w:eastAsia="黑体" w:hAnsi="黑体" w:hint="eastAsia"/>
        </w:rPr>
        <w:t>300（0.88%）。</w:t>
      </w:r>
    </w:p>
    <w:p w14:paraId="6FC87128" w14:textId="3171809D" w:rsidR="00C224F2" w:rsidRDefault="00000000">
      <w:pPr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</w:rPr>
        <w:t>站在当前时点展望</w:t>
      </w:r>
      <w:proofErr w:type="gramStart"/>
      <w:r>
        <w:rPr>
          <w:rFonts w:ascii="黑体" w:eastAsia="黑体" w:hAnsi="黑体" w:hint="eastAsia"/>
        </w:rPr>
        <w:t>海外算力的</w:t>
      </w:r>
      <w:proofErr w:type="gramEnd"/>
      <w:r>
        <w:rPr>
          <w:rFonts w:ascii="黑体" w:eastAsia="黑体" w:hAnsi="黑体" w:hint="eastAsia"/>
        </w:rPr>
        <w:t>增长空间，首先从业绩持续性的角度来讲，2025年确定性有望高增长，2026年客户的需求指引也逐渐清晰，需求端或也是高速增长的情况。比如光模块，今年800G光模块的实际出货量预计在1600-1800万支，而随着近期部分海外企业开始下发需求指引，产业预期明年的需求量在3000万只以上，量的角度或仍有不小增幅。从估值方式的角度来讲，之前最悲观的时候，市场对海外</w:t>
      </w:r>
      <w:proofErr w:type="gramStart"/>
      <w:r>
        <w:rPr>
          <w:rFonts w:ascii="黑体" w:eastAsia="黑体" w:hAnsi="黑体" w:hint="eastAsia"/>
        </w:rPr>
        <w:t>算力资产</w:t>
      </w:r>
      <w:proofErr w:type="gramEnd"/>
      <w:r>
        <w:rPr>
          <w:rFonts w:ascii="黑体" w:eastAsia="黑体" w:hAnsi="黑体" w:hint="eastAsia"/>
        </w:rPr>
        <w:t>是按周期股利润顶点给的估值，对应今年仅有个位数PE。现在逐渐看到明年的需求指引，或证明今年不是周期顶点，所以可能存在以下两种现象：要么按周期股估值体系，重修利润预期；要么按成长股估值，重修估值中枢。目前核心标的估值大约修复到今年利润预期下15xPE左右，我们认为或还有继续估值修复的空间。</w:t>
      </w:r>
    </w:p>
    <w:p w14:paraId="4C1BC6F6" w14:textId="6A5FE12C" w:rsidR="00C224F2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近期</w:t>
      </w:r>
      <w:proofErr w:type="gramStart"/>
      <w:r>
        <w:rPr>
          <w:rFonts w:ascii="黑体" w:eastAsia="黑体" w:hAnsi="黑体" w:hint="eastAsia"/>
        </w:rPr>
        <w:t>海外算力反弹</w:t>
      </w:r>
      <w:proofErr w:type="gramEnd"/>
      <w:r>
        <w:rPr>
          <w:rFonts w:ascii="黑体" w:eastAsia="黑体" w:hAnsi="黑体" w:hint="eastAsia"/>
        </w:rPr>
        <w:t>，表面催化是近期光模块上</w:t>
      </w:r>
      <w:proofErr w:type="gramStart"/>
      <w:r>
        <w:rPr>
          <w:rFonts w:ascii="黑体" w:eastAsia="黑体" w:hAnsi="黑体" w:hint="eastAsia"/>
        </w:rPr>
        <w:t>修明年出货</w:t>
      </w:r>
      <w:proofErr w:type="gramEnd"/>
      <w:r>
        <w:rPr>
          <w:rFonts w:ascii="黑体" w:eastAsia="黑体" w:hAnsi="黑体" w:hint="eastAsia"/>
        </w:rPr>
        <w:t>量，某海外半导体公司新一</w:t>
      </w:r>
      <w:r>
        <w:rPr>
          <w:rFonts w:ascii="黑体" w:eastAsia="黑体" w:hAnsi="黑体" w:hint="eastAsia"/>
        </w:rPr>
        <w:lastRenderedPageBreak/>
        <w:t>代交换芯片Tomahawk6提前半年启动交付。背后的铺垫是部分海外企业的</w:t>
      </w:r>
      <w:proofErr w:type="gramStart"/>
      <w:r>
        <w:rPr>
          <w:rFonts w:ascii="黑体" w:eastAsia="黑体" w:hAnsi="黑体" w:hint="eastAsia"/>
        </w:rPr>
        <w:t>一</w:t>
      </w:r>
      <w:proofErr w:type="gramEnd"/>
      <w:r>
        <w:rPr>
          <w:rFonts w:ascii="黑体" w:eastAsia="黑体" w:hAnsi="黑体" w:hint="eastAsia"/>
        </w:rPr>
        <w:t>季报资本开支持续性指引乐观，某海外芯片龙头</w:t>
      </w:r>
      <w:proofErr w:type="gramStart"/>
      <w:r>
        <w:rPr>
          <w:rFonts w:ascii="黑体" w:eastAsia="黑体" w:hAnsi="黑体" w:hint="eastAsia"/>
        </w:rPr>
        <w:t>一</w:t>
      </w:r>
      <w:proofErr w:type="gramEnd"/>
      <w:r>
        <w:rPr>
          <w:rFonts w:ascii="黑体" w:eastAsia="黑体" w:hAnsi="黑体" w:hint="eastAsia"/>
        </w:rPr>
        <w:t>季报反映Blackwell提速。市场叙事</w:t>
      </w:r>
      <w:proofErr w:type="gramStart"/>
      <w:r>
        <w:rPr>
          <w:rFonts w:ascii="黑体" w:eastAsia="黑体" w:hAnsi="黑体" w:hint="eastAsia"/>
        </w:rPr>
        <w:t>从算力通</w:t>
      </w:r>
      <w:proofErr w:type="gramEnd"/>
      <w:r>
        <w:rPr>
          <w:rFonts w:ascii="黑体" w:eastAsia="黑体" w:hAnsi="黑体" w:hint="eastAsia"/>
        </w:rPr>
        <w:t>缩转向估值修复的核心因素</w:t>
      </w:r>
      <w:proofErr w:type="gramStart"/>
      <w:r>
        <w:rPr>
          <w:rFonts w:ascii="黑体" w:eastAsia="黑体" w:hAnsi="黑体" w:hint="eastAsia"/>
        </w:rPr>
        <w:t>或在于</w:t>
      </w:r>
      <w:proofErr w:type="gramEnd"/>
      <w:r>
        <w:rPr>
          <w:rFonts w:ascii="黑体" w:eastAsia="黑体" w:hAnsi="黑体" w:hint="eastAsia"/>
        </w:rPr>
        <w:t>推理侧流量</w:t>
      </w:r>
      <w:proofErr w:type="gramStart"/>
      <w:r>
        <w:rPr>
          <w:rFonts w:ascii="黑体" w:eastAsia="黑体" w:hAnsi="黑体" w:hint="eastAsia"/>
        </w:rPr>
        <w:t>需求超</w:t>
      </w:r>
      <w:proofErr w:type="gramEnd"/>
      <w:r>
        <w:rPr>
          <w:rFonts w:ascii="黑体" w:eastAsia="黑体" w:hAnsi="黑体" w:hint="eastAsia"/>
        </w:rPr>
        <w:t>预期，有两个证据也许可以支撑这一观点：一是Token调用量，二是核心大模型和应用公司的收入增长。</w:t>
      </w:r>
    </w:p>
    <w:p w14:paraId="65E20664" w14:textId="77777777" w:rsidR="00C224F2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6E7F4448" w14:textId="77777777" w:rsidR="00C224F2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1、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693DF63F" w14:textId="77777777" w:rsidR="00C224F2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、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2C4DD010" w14:textId="77777777" w:rsidR="00C224F2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</w:t>
      </w:r>
      <w:proofErr w:type="gramStart"/>
      <w:r>
        <w:rPr>
          <w:rFonts w:ascii="黑体" w:eastAsia="黑体" w:hAnsi="黑体" w:hint="eastAsia"/>
        </w:rPr>
        <w:t>等判断</w:t>
      </w:r>
      <w:proofErr w:type="gramEnd"/>
      <w:r>
        <w:rPr>
          <w:rFonts w:ascii="黑体" w:eastAsia="黑体" w:hAnsi="黑体" w:hint="eastAsia"/>
        </w:rPr>
        <w:t>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</w:t>
      </w:r>
    </w:p>
    <w:p w14:paraId="4033B726" w14:textId="77777777" w:rsidR="00C224F2" w:rsidRDefault="00C224F2">
      <w:pPr>
        <w:rPr>
          <w:rFonts w:ascii="黑体" w:eastAsia="黑体" w:hAnsi="黑体" w:hint="eastAsia"/>
        </w:rPr>
      </w:pPr>
    </w:p>
    <w:sectPr w:rsidR="00C2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C1ECB" w14:textId="77777777" w:rsidR="006339E4" w:rsidRDefault="006339E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DB051C2" w14:textId="77777777" w:rsidR="006339E4" w:rsidRDefault="006339E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24AD8" w14:textId="77777777" w:rsidR="006339E4" w:rsidRDefault="006339E4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898141B" w14:textId="77777777" w:rsidR="006339E4" w:rsidRDefault="006339E4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56703"/>
    <w:rsid w:val="00060BB3"/>
    <w:rsid w:val="00070AC3"/>
    <w:rsid w:val="00085625"/>
    <w:rsid w:val="000A10F0"/>
    <w:rsid w:val="000B5232"/>
    <w:rsid w:val="000B5EC3"/>
    <w:rsid w:val="000D31EC"/>
    <w:rsid w:val="000F5C8C"/>
    <w:rsid w:val="00105B18"/>
    <w:rsid w:val="0011338E"/>
    <w:rsid w:val="0012278C"/>
    <w:rsid w:val="00131159"/>
    <w:rsid w:val="00135855"/>
    <w:rsid w:val="00137ACD"/>
    <w:rsid w:val="00154914"/>
    <w:rsid w:val="001632F8"/>
    <w:rsid w:val="00176D4F"/>
    <w:rsid w:val="001A1EA6"/>
    <w:rsid w:val="001D23F9"/>
    <w:rsid w:val="001E1D0C"/>
    <w:rsid w:val="001F4529"/>
    <w:rsid w:val="00237722"/>
    <w:rsid w:val="002509DF"/>
    <w:rsid w:val="00262780"/>
    <w:rsid w:val="00281256"/>
    <w:rsid w:val="002D4BB0"/>
    <w:rsid w:val="002D650F"/>
    <w:rsid w:val="003012D0"/>
    <w:rsid w:val="0033490C"/>
    <w:rsid w:val="00334EDC"/>
    <w:rsid w:val="003363A4"/>
    <w:rsid w:val="003630B9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72EDC"/>
    <w:rsid w:val="00580451"/>
    <w:rsid w:val="0058536C"/>
    <w:rsid w:val="005A3900"/>
    <w:rsid w:val="005C7FAA"/>
    <w:rsid w:val="006251F4"/>
    <w:rsid w:val="006339E4"/>
    <w:rsid w:val="00642E22"/>
    <w:rsid w:val="00652937"/>
    <w:rsid w:val="00663F1B"/>
    <w:rsid w:val="00695FF3"/>
    <w:rsid w:val="00696F3B"/>
    <w:rsid w:val="006C4D4D"/>
    <w:rsid w:val="006C6FC5"/>
    <w:rsid w:val="006D2011"/>
    <w:rsid w:val="006D20D8"/>
    <w:rsid w:val="006F1B7A"/>
    <w:rsid w:val="006F22BC"/>
    <w:rsid w:val="0071685B"/>
    <w:rsid w:val="00727A99"/>
    <w:rsid w:val="0078052B"/>
    <w:rsid w:val="007B77FB"/>
    <w:rsid w:val="007E1867"/>
    <w:rsid w:val="007E3D17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46A9E"/>
    <w:rsid w:val="00987807"/>
    <w:rsid w:val="009D0792"/>
    <w:rsid w:val="009D6350"/>
    <w:rsid w:val="009E64DC"/>
    <w:rsid w:val="00A13C5B"/>
    <w:rsid w:val="00A23520"/>
    <w:rsid w:val="00A652B7"/>
    <w:rsid w:val="00A731A0"/>
    <w:rsid w:val="00A73714"/>
    <w:rsid w:val="00AA4BFD"/>
    <w:rsid w:val="00AB293D"/>
    <w:rsid w:val="00AE7A39"/>
    <w:rsid w:val="00B17FA7"/>
    <w:rsid w:val="00B36E17"/>
    <w:rsid w:val="00B479BB"/>
    <w:rsid w:val="00B54301"/>
    <w:rsid w:val="00B63A13"/>
    <w:rsid w:val="00B84EA8"/>
    <w:rsid w:val="00B93315"/>
    <w:rsid w:val="00B94257"/>
    <w:rsid w:val="00BA384E"/>
    <w:rsid w:val="00BA71FD"/>
    <w:rsid w:val="00BC55FA"/>
    <w:rsid w:val="00BD44AA"/>
    <w:rsid w:val="00BF1999"/>
    <w:rsid w:val="00BF54FE"/>
    <w:rsid w:val="00C224F2"/>
    <w:rsid w:val="00C97B7D"/>
    <w:rsid w:val="00CC537C"/>
    <w:rsid w:val="00D345D7"/>
    <w:rsid w:val="00D927DE"/>
    <w:rsid w:val="00D95608"/>
    <w:rsid w:val="00DF1ABE"/>
    <w:rsid w:val="00E17515"/>
    <w:rsid w:val="00E23CA9"/>
    <w:rsid w:val="00E66E58"/>
    <w:rsid w:val="00EA44E6"/>
    <w:rsid w:val="00EB35DB"/>
    <w:rsid w:val="00EB5E1E"/>
    <w:rsid w:val="00F03A32"/>
    <w:rsid w:val="00F21018"/>
    <w:rsid w:val="00F545DA"/>
    <w:rsid w:val="00F62C3A"/>
    <w:rsid w:val="00F86702"/>
    <w:rsid w:val="00FB11E4"/>
    <w:rsid w:val="00FD242E"/>
    <w:rsid w:val="0A9309C2"/>
    <w:rsid w:val="0BB43FDD"/>
    <w:rsid w:val="13244993"/>
    <w:rsid w:val="18967A76"/>
    <w:rsid w:val="1D4C751C"/>
    <w:rsid w:val="1DE933AC"/>
    <w:rsid w:val="1FC41D2B"/>
    <w:rsid w:val="3CFE4730"/>
    <w:rsid w:val="4CBD12A4"/>
    <w:rsid w:val="518A6EC1"/>
    <w:rsid w:val="58D772FF"/>
    <w:rsid w:val="593133EA"/>
    <w:rsid w:val="5AA31704"/>
    <w:rsid w:val="5F9A3DB8"/>
    <w:rsid w:val="62507B6B"/>
    <w:rsid w:val="747162E2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E509B"/>
  <w15:docId w15:val="{10E8FF10-3AEB-4E4B-B972-0F7B988E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281256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741</Words>
  <Characters>994</Characters>
  <Application>Microsoft Office Word</Application>
  <DocSecurity>0</DocSecurity>
  <Lines>26</Lines>
  <Paragraphs>9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7</cp:revision>
  <dcterms:created xsi:type="dcterms:W3CDTF">2025-06-12T06:44:00Z</dcterms:created>
  <dcterms:modified xsi:type="dcterms:W3CDTF">2025-06-18T07:36:00Z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2052-12.1.0.21541</vt:lpwstr>
  </property>
  <property fmtid="{D5CDD505-2E9C-101B-9397-08002B2CF9AE}" pid="4" name="ICV">
    <vt:lpwstr>7EB85928EBD340BC84E3099065593D77_13</vt:lpwstr>
  </property>
</Properties>
</file>