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E9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360" w:lineRule="auto"/>
        <w:ind w:left="0" w:right="0" w:firstLine="749" w:firstLineChars="200"/>
        <w:jc w:val="center"/>
        <w:textAlignment w:val="auto"/>
        <w:rPr>
          <w:rFonts w:hint="eastAsia" w:ascii="思源黑体 CN Normal" w:hAnsi="思源黑体 CN Normal" w:eastAsia="思源黑体 CN Normal" w:cs="思源黑体 CN Normal"/>
          <w:color w:val="2E54A1" w:themeColor="accent1" w:themeShade="BF"/>
          <w:sz w:val="28"/>
          <w:szCs w:val="28"/>
          <w14:shadow w14:blurRad="50800" w14:dist="38100" w14:dir="13500000" w14:sx="100000" w14:sy="100000" w14:kx="0" w14:ky="0" w14:algn="br">
            <w14:srgbClr w14:val="000000">
              <w14:alpha w14:val="60000"/>
            </w14:srgbClr>
          </w14:shadow>
        </w:rPr>
      </w:pPr>
      <w:bookmarkStart w:id="0" w:name="_GoBack"/>
      <w:r>
        <w:rPr>
          <w:rFonts w:hint="eastAsia" w:ascii="思源黑体 CN Normal" w:hAnsi="思源黑体 CN Normal" w:eastAsia="思源黑体 CN Normal" w:cs="思源黑体 CN Normal"/>
          <w:i w:val="0"/>
          <w:iCs w:val="0"/>
          <w:caps w:val="0"/>
          <w:color w:val="2E54A1" w:themeColor="accent1" w:themeShade="BF"/>
          <w:spacing w:val="7"/>
          <w:sz w:val="36"/>
          <w:szCs w:val="36"/>
          <w:bdr w:val="none" w:color="auto" w:sz="0" w:space="0"/>
          <w:shd w:val="clear" w:fill="FFFFFF"/>
          <w14:shadow w14:blurRad="50800" w14:dist="38100" w14:dir="13500000" w14:sx="100000" w14:sy="100000" w14:kx="0" w14:ky="0" w14:algn="br">
            <w14:srgbClr w14:val="000000">
              <w14:alpha w14:val="60000"/>
            </w14:srgbClr>
          </w14:shadow>
        </w:rPr>
        <w:t>扫黑除恶｜反有组织犯罪法，你了解多少？</w:t>
      </w:r>
    </w:p>
    <w:bookmarkEnd w:id="0"/>
    <w:p w14:paraId="6ADA0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中华人民共和国反有组织犯罪法》（以下简称“反有组织犯罪法”）自2022年5月1日起施行，该法系我国第一部专门、系统、完备规范反有组织犯罪工作的法律，是我国常态化扫黑除恶斗争的制度保障，是我国预防和惩治黑恶犯罪的盾牌和利剑。</w:t>
      </w:r>
    </w:p>
    <w:p w14:paraId="23C6D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反有组织犯罪法共9章77条，包括总则、预防和治理、案件办理、涉案财产认定和处置、国家工作人员涉有组织犯罪的处理、国际合作等。今天，我们一起来学习反有组织犯罪法。</w:t>
      </w:r>
    </w:p>
    <w:p w14:paraId="74C89F3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center"/>
        <w:textAlignment w:val="auto"/>
        <w:rPr>
          <w:rFonts w:hint="eastAsia" w:ascii="思源黑体 CN Normal" w:hAnsi="思源黑体 CN Normal" w:eastAsia="思源黑体 CN Normal" w:cs="思源黑体 CN Normal"/>
          <w:b/>
          <w:bCs w:val="0"/>
          <w:color w:val="795D01" w:themeColor="accent3" w:themeShade="80"/>
          <w:sz w:val="40"/>
          <w:szCs w:val="40"/>
          <w14:shadow w14:blurRad="60007" w14:dist="310007" w14:dir="7680000" w14:sx="100000" w14:sy="30000" w14:kx="1300200" w14:ky="0" w14:algn="ctr">
            <w14:srgbClr w14:val="000000">
              <w14:alpha w14:val="68000"/>
            </w14:srgbClr>
          </w14:shadow>
        </w:rPr>
      </w:pPr>
      <w:r>
        <w:rPr>
          <w:rStyle w:val="6"/>
          <w:rFonts w:hint="eastAsia" w:ascii="思源黑体 CN Normal" w:hAnsi="思源黑体 CN Normal" w:eastAsia="思源黑体 CN Normal" w:cs="思源黑体 CN Normal"/>
          <w:b/>
          <w:bCs w:val="0"/>
          <w:i w:val="0"/>
          <w:iCs w:val="0"/>
          <w:caps w:val="0"/>
          <w:color w:val="795D01" w:themeColor="accent3" w:themeShade="80"/>
          <w:spacing w:val="7"/>
          <w:sz w:val="40"/>
          <w:szCs w:val="40"/>
          <w:bdr w:val="none" w:color="auto" w:sz="0" w:space="0"/>
          <w:shd w:val="clear" w:fill="FFFFFF"/>
          <w14:shadow w14:blurRad="60007" w14:dist="310007" w14:dir="7680000" w14:sx="100000" w14:sy="30000" w14:kx="1300200" w14:ky="0" w14:algn="ctr">
            <w14:srgbClr w14:val="000000">
              <w14:alpha w14:val="68000"/>
            </w14:srgbClr>
          </w14:shadow>
        </w:rPr>
        <w:t>三个概念</w:t>
      </w:r>
    </w:p>
    <w:p w14:paraId="35E2D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C65F10" w:themeColor="accent2" w:themeShade="BF"/>
          <w:kern w:val="2"/>
          <w:sz w:val="28"/>
          <w:szCs w:val="28"/>
          <w:lang w:val="en-US" w:eastAsia="zh-CN" w:bidi="ar-SA"/>
        </w:rPr>
        <w:tab/>
      </w:r>
      <w:r>
        <w:rPr>
          <w:rFonts w:hint="eastAsia" w:ascii="思源黑体 CN Normal" w:hAnsi="思源黑体 CN Normal" w:eastAsia="思源黑体 CN Normal" w:cs="思源黑体 CN Normal"/>
          <w:color w:val="C65F10" w:themeColor="accent2" w:themeShade="BF"/>
          <w:kern w:val="2"/>
          <w:sz w:val="28"/>
          <w:szCs w:val="28"/>
          <w:lang w:val="en-US" w:eastAsia="zh-CN" w:bidi="ar-SA"/>
          <w14:reflection w14:blurRad="6350" w14:stA="55000" w14:stPos="0" w14:endA="50" w14:endPos="85000" w14:dist="60007" w14:dir="5400000" w14:fadeDir="5400000" w14:sx="100000" w14:sy="-100000" w14:kx="0" w14:algn="bl"/>
        </w:rPr>
        <w:t>？</w:t>
      </w:r>
      <w:r>
        <w:rPr>
          <w:rStyle w:val="6"/>
          <w:rFonts w:hint="eastAsia" w:ascii="思源黑体 CN Normal" w:hAnsi="思源黑体 CN Normal" w:eastAsia="思源黑体 CN Normal" w:cs="思源黑体 CN Normal"/>
          <w:color w:val="C65F10" w:themeColor="accent2" w:themeShade="BF"/>
          <w:spacing w:val="18"/>
          <w:sz w:val="28"/>
          <w:szCs w:val="28"/>
          <w14:shadow w14:blurRad="50800" w14:dist="38100" w14:dir="13500000" w14:sx="100000" w14:sy="100000" w14:kx="0" w14:ky="0" w14:algn="br">
            <w14:srgbClr w14:val="000000">
              <w14:alpha w14:val="60000"/>
            </w14:srgbClr>
          </w14:shadow>
        </w:rPr>
        <w:t>问</w:t>
      </w:r>
      <w:r>
        <w:rPr>
          <w:rStyle w:val="6"/>
          <w:rFonts w:hint="eastAsia" w:ascii="思源黑体 CN Normal" w:hAnsi="思源黑体 CN Normal" w:eastAsia="思源黑体 CN Normal" w:cs="思源黑体 CN Normal"/>
          <w:color w:val="C65F10" w:themeColor="accent2" w:themeShade="BF"/>
          <w:spacing w:val="18"/>
          <w:sz w:val="28"/>
          <w:szCs w:val="28"/>
          <w:lang w:val="en-US" w:eastAsia="zh-CN"/>
          <w14:shadow w14:blurRad="50800" w14:dist="38100" w14:dir="13500000" w14:sx="100000" w14:sy="100000" w14:kx="0" w14:ky="0" w14:algn="br">
            <w14:srgbClr w14:val="000000">
              <w14:alpha w14:val="60000"/>
            </w14:srgbClr>
          </w14:shadow>
        </w:rPr>
        <w:t xml:space="preserve"> </w:t>
      </w: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什么是“有组织犯罪”？</w:t>
      </w:r>
    </w:p>
    <w:p w14:paraId="4DC79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第二条第一款规定：有组织犯罪是指《中华人民共和国刑法》第二百九十四条规定的组织、领导、参加黑社会性质组织犯罪，以及黑社会性质组织、恶势力组织实施的犯罪。利用网络实施的犯罪，符合有组织犯罪规定的，应当认定为有组织犯罪。</w:t>
      </w:r>
    </w:p>
    <w:p w14:paraId="523B4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5905C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C65F10" w:themeColor="accent2" w:themeShade="BF"/>
          <w:kern w:val="2"/>
          <w:sz w:val="28"/>
          <w:szCs w:val="28"/>
          <w:lang w:val="en-US" w:eastAsia="zh-CN" w:bidi="ar-SA"/>
        </w:rPr>
        <w:tab/>
      </w:r>
      <w:r>
        <w:rPr>
          <w:rFonts w:hint="eastAsia" w:ascii="思源黑体 CN Normal" w:hAnsi="思源黑体 CN Normal" w:eastAsia="思源黑体 CN Normal" w:cs="思源黑体 CN Normal"/>
          <w:color w:val="C65F10" w:themeColor="accent2" w:themeShade="BF"/>
          <w:kern w:val="2"/>
          <w:sz w:val="28"/>
          <w:szCs w:val="28"/>
          <w:lang w:val="en-US" w:eastAsia="zh-CN" w:bidi="ar-SA"/>
          <w14:reflection w14:blurRad="6350" w14:stA="55000" w14:stPos="0" w14:endA="50" w14:endPos="85000" w14:dist="60007" w14:dir="5400000" w14:fadeDir="5400000" w14:sx="100000" w14:sy="-100000" w14:kx="0" w14:algn="bl"/>
        </w:rPr>
        <w:t>？</w:t>
      </w:r>
      <w:r>
        <w:rPr>
          <w:rStyle w:val="6"/>
          <w:rFonts w:hint="eastAsia" w:ascii="思源黑体 CN Normal" w:hAnsi="思源黑体 CN Normal" w:eastAsia="思源黑体 CN Normal" w:cs="思源黑体 CN Normal"/>
          <w:color w:val="C65F10" w:themeColor="accent2" w:themeShade="BF"/>
          <w:spacing w:val="18"/>
          <w:sz w:val="28"/>
          <w:szCs w:val="28"/>
          <w14:shadow w14:blurRad="50800" w14:dist="38100" w14:dir="13500000" w14:sx="100000" w14:sy="100000" w14:kx="0" w14:ky="0" w14:algn="br">
            <w14:srgbClr w14:val="000000">
              <w14:alpha w14:val="60000"/>
            </w14:srgbClr>
          </w14:shadow>
        </w:rPr>
        <w:t>问</w:t>
      </w:r>
      <w:r>
        <w:rPr>
          <w:rStyle w:val="6"/>
          <w:rFonts w:hint="eastAsia" w:ascii="思源黑体 CN Normal" w:hAnsi="思源黑体 CN Normal" w:eastAsia="思源黑体 CN Normal" w:cs="思源黑体 CN Normal"/>
          <w:color w:val="C65F10" w:themeColor="accent2" w:themeShade="BF"/>
          <w:spacing w:val="18"/>
          <w:sz w:val="28"/>
          <w:szCs w:val="28"/>
          <w:lang w:val="en-US" w:eastAsia="zh-CN"/>
          <w14:shadow w14:blurRad="50800" w14:dist="38100" w14:dir="13500000" w14:sx="100000" w14:sy="100000" w14:kx="0" w14:ky="0" w14:algn="br">
            <w14:srgbClr w14:val="000000">
              <w14:alpha w14:val="60000"/>
            </w14:srgbClr>
          </w14:shadow>
        </w:rPr>
        <w:t xml:space="preserve"> </w:t>
      </w: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什么是“恶势力组织”？</w:t>
      </w:r>
    </w:p>
    <w:p w14:paraId="28447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第二条第二款规定：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14:paraId="56E1C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color w:val="C65F10" w:themeColor="accent2" w:themeShade="BF"/>
          <w:kern w:val="2"/>
          <w:sz w:val="28"/>
          <w:szCs w:val="28"/>
          <w:lang w:val="en-US" w:eastAsia="zh-CN" w:bidi="ar-SA"/>
        </w:rPr>
        <w:tab/>
      </w:r>
      <w:r>
        <w:rPr>
          <w:rFonts w:hint="eastAsia" w:ascii="思源黑体 CN Normal" w:hAnsi="思源黑体 CN Normal" w:eastAsia="思源黑体 CN Normal" w:cs="思源黑体 CN Normal"/>
          <w:color w:val="C65F10" w:themeColor="accent2" w:themeShade="BF"/>
          <w:kern w:val="2"/>
          <w:sz w:val="28"/>
          <w:szCs w:val="28"/>
          <w:lang w:val="en-US" w:eastAsia="zh-CN" w:bidi="ar-SA"/>
          <w14:reflection w14:blurRad="6350" w14:stA="55000" w14:stPos="0" w14:endA="50" w14:endPos="85000" w14:dist="60007" w14:dir="5400000" w14:fadeDir="5400000" w14:sx="100000" w14:sy="-100000" w14:kx="0" w14:algn="bl"/>
        </w:rPr>
        <w:t>？</w:t>
      </w:r>
      <w:r>
        <w:rPr>
          <w:rStyle w:val="6"/>
          <w:rFonts w:hint="eastAsia" w:ascii="思源黑体 CN Normal" w:hAnsi="思源黑体 CN Normal" w:eastAsia="思源黑体 CN Normal" w:cs="思源黑体 CN Normal"/>
          <w:color w:val="C65F10" w:themeColor="accent2" w:themeShade="BF"/>
          <w:spacing w:val="18"/>
          <w:sz w:val="28"/>
          <w:szCs w:val="28"/>
          <w14:shadow w14:blurRad="50800" w14:dist="38100" w14:dir="13500000" w14:sx="100000" w14:sy="100000" w14:kx="0" w14:ky="0" w14:algn="br">
            <w14:srgbClr w14:val="000000">
              <w14:alpha w14:val="60000"/>
            </w14:srgbClr>
          </w14:shadow>
        </w:rPr>
        <w:t>问</w:t>
      </w:r>
      <w:r>
        <w:rPr>
          <w:rStyle w:val="6"/>
          <w:rFonts w:hint="eastAsia" w:ascii="思源黑体 CN Normal" w:hAnsi="思源黑体 CN Normal" w:eastAsia="思源黑体 CN Normal" w:cs="思源黑体 CN Normal"/>
          <w:color w:val="C65F10" w:themeColor="accent2" w:themeShade="BF"/>
          <w:spacing w:val="18"/>
          <w:sz w:val="28"/>
          <w:szCs w:val="28"/>
          <w:lang w:val="en-US" w:eastAsia="zh-CN"/>
          <w14:shadow w14:blurRad="50800" w14:dist="38100" w14:dir="13500000" w14:sx="100000" w14:sy="100000" w14:kx="0" w14:ky="0" w14:algn="br">
            <w14:srgbClr w14:val="000000">
              <w14:alpha w14:val="60000"/>
            </w14:srgbClr>
          </w14:shadow>
        </w:rPr>
        <w:t xml:space="preserve"> </w:t>
      </w: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什么是“软暴力”行为？</w:t>
      </w:r>
    </w:p>
    <w:p w14:paraId="63703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第二十三条第二款规定：为谋取非法利益或者形成非法影响，有组织地进行滋扰、纠缠、哄闹、聚众造势等，对他人形成心理强制，足以限制人身自由、危及人身财产安全，影响正常社会秩序、经济秩序的，可以认定为有组织犯罪的犯罪手段。</w:t>
      </w:r>
    </w:p>
    <w:p w14:paraId="6AEA7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2D73BCB9">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center"/>
        <w:textAlignment w:val="auto"/>
        <w:rPr>
          <w:rFonts w:hint="eastAsia" w:ascii="思源黑体 CN Normal" w:hAnsi="思源黑体 CN Normal" w:eastAsia="思源黑体 CN Normal" w:cs="思源黑体 CN Normal"/>
          <w:sz w:val="24"/>
          <w:szCs w:val="24"/>
        </w:rPr>
      </w:pPr>
      <w:r>
        <w:rPr>
          <w:rStyle w:val="6"/>
          <w:rFonts w:hint="eastAsia" w:ascii="思源黑体 CN Normal" w:hAnsi="思源黑体 CN Normal" w:eastAsia="思源黑体 CN Normal" w:cs="思源黑体 CN Normal"/>
          <w:b/>
          <w:bCs w:val="0"/>
          <w:i w:val="0"/>
          <w:iCs w:val="0"/>
          <w:caps w:val="0"/>
          <w:color w:val="795D01" w:themeColor="accent3" w:themeShade="80"/>
          <w:spacing w:val="7"/>
          <w:sz w:val="40"/>
          <w:szCs w:val="40"/>
          <w:shd w:val="clear" w:fill="FFFFFF"/>
          <w14:shadow w14:blurRad="60007" w14:dist="310007" w14:dir="7680000" w14:sx="100000" w14:sy="30000" w14:kx="1300200" w14:ky="0" w14:algn="ctr">
            <w14:srgbClr w14:val="000000">
              <w14:alpha w14:val="68000"/>
            </w14:srgbClr>
          </w14:shadow>
        </w:rPr>
        <w:t>六大亮点</w:t>
      </w:r>
    </w:p>
    <w:p w14:paraId="2C6A2B4B">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依法从严打击黑恶犯罪</w:t>
      </w:r>
    </w:p>
    <w:p w14:paraId="17F83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规定，对于有组织犯罪的组织者、领导者和骨干成员应当严格掌握取保候审、不起诉、缓刑等的适用条件，充分适用剥夺政治权利、没收财产、罚金等刑罚；在线索核查阶段，对黑社会性质组织案件的涉案财产可以依法采取紧急止付、临时冻结、临时扣押的紧急措施；对有组织犯罪案件的犯罪嫌疑人、被告人可以采取异地羁押、分别羁押或者单独羁押等措施；对特定有组织犯罪罪犯异地执行刑罚、严格减刑假释。</w:t>
      </w:r>
    </w:p>
    <w:p w14:paraId="3A376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7BAD87FF">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深挖黑恶势力“保护伞”</w:t>
      </w:r>
    </w:p>
    <w:p w14:paraId="26DC2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反有组织犯罪法第五章对国家工作人员涉有组织犯罪的处理作出了规定，将查办国家工作人员涉有组织犯罪明确为反有组织犯罪工作重点。</w:t>
      </w:r>
    </w:p>
    <w:p w14:paraId="4F041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6BF57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1E499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3591A10A">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严防黑恶势力渗入基层</w:t>
      </w:r>
    </w:p>
    <w:p w14:paraId="0EF2B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第十二条对基层群众性自治组织换届选举中的联审机制作了规定，明确民政部门应当会同监察机关、公安机关等有关部门，对村民委员会、居民委员会候选人资格进行审查，发现因实施有组织犯罪受过刑事处罚的应当依照有关规定及时作出处理。</w:t>
      </w:r>
    </w:p>
    <w:p w14:paraId="28F92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67C40A2C">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防止未成年人遭受侵害</w:t>
      </w:r>
    </w:p>
    <w:p w14:paraId="00C53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为防止未成年人遭受侵害，反有组织犯罪法落实各方责任，加强对涉未成年人的有组织犯罪的惩治。此外，为加强对涉未成年人的有组织犯罪的惩治，反有组织犯罪法规定，发展未成年人参加黑社会性质组织、境外的黑社会组织，教唆、诱骗未成年人实施有组织犯罪，或者实施有组织犯罪侵害未成年人合法权益的，依法从重追究刑事责任；教唆、诱骗未成年人参加有组织犯罪组织或者阻止未成年人退出有组织犯罪组织，尚不构成犯罪的，依法从重处罚。</w:t>
      </w:r>
    </w:p>
    <w:p w14:paraId="24FE9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31CC221D">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防止黑恶势力死灰复燃</w:t>
      </w:r>
    </w:p>
    <w:p w14:paraId="59A3F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涉案财产处置是扫黑除恶案件办理中的关键环节，为铲除有组织犯罪的经济基础，实现“打财断血”，防止黑恶势力死灰复燃，反有组织犯罪法作了一些新的规定。具体包括：规定了财产调查制度，办案机关可以全面调查涉嫌有组织犯罪的组织及其成员的财产状况；明确追缴、没收被告人涉案财产的认定标准；明确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14:paraId="7786D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2E95A0DB">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420" w:leftChars="0" w:right="0" w:hanging="420" w:firstLineChars="0"/>
        <w:jc w:val="left"/>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pPr>
      <w:r>
        <w:rPr>
          <w:rFonts w:hint="eastAsia" w:ascii="思源黑体 CN Normal" w:hAnsi="思源黑体 CN Normal" w:eastAsia="思源黑体 CN Normal" w:cs="思源黑体 CN Normal"/>
          <w:color w:val="2E54A1" w:themeColor="accent1" w:themeShade="BF"/>
          <w:spacing w:val="18"/>
          <w:sz w:val="28"/>
          <w:szCs w:val="28"/>
          <w14:shadow w14:blurRad="50800" w14:dist="38100" w14:dir="13500000" w14:sx="100000" w14:sy="100000" w14:kx="0" w14:ky="0" w14:algn="br">
            <w14:srgbClr w14:val="000000">
              <w14:alpha w14:val="60000"/>
            </w14:srgbClr>
          </w14:shadow>
        </w:rPr>
        <w:t>保障涉案单位个人权益</w:t>
      </w:r>
    </w:p>
    <w:p w14:paraId="2371E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i w:val="0"/>
          <w:iCs w:val="0"/>
          <w:caps w:val="0"/>
          <w:spacing w:val="7"/>
          <w:sz w:val="24"/>
          <w:szCs w:val="24"/>
          <w:bdr w:val="none" w:color="auto" w:sz="0" w:space="0"/>
          <w:shd w:val="clear" w:fill="FFFFFF"/>
        </w:rPr>
        <w:t>反有组织犯罪法明确对有组织犯罪的犯罪嫌疑人、被告人，可以适用认罪认罚从宽制度；明确对犯罪嫌疑人、被告人采取异地羁押措施的，应当依法通知其家属和辩护人；规定涉案财物处置应当严格依照法定条件和程序进行，并对涉案财物处置涉及的利害关系人的有关诉讼权利作出专门规定。此外，还对证人、鉴定人、被害人、举报人等的保护措施作了专门规定。</w:t>
      </w:r>
    </w:p>
    <w:p w14:paraId="3F9AE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思源黑体 CN Normal" w:hAnsi="思源黑体 CN Normal" w:eastAsia="思源黑体 CN Normal" w:cs="思源黑体 CN Normal"/>
          <w:sz w:val="24"/>
          <w:szCs w:val="24"/>
        </w:rPr>
      </w:pPr>
    </w:p>
    <w:p w14:paraId="55BB1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思源黑体 CN Normal" w:hAnsi="思源黑体 CN Normal" w:eastAsia="思源黑体 CN Normal" w:cs="思源黑体 CN Norm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12700</wp:posOffset>
                </wp:positionV>
                <wp:extent cx="5257800" cy="1409065"/>
                <wp:effectExtent l="0" t="0" r="0" b="8255"/>
                <wp:wrapNone/>
                <wp:docPr id="16" name="文本框 16"/>
                <wp:cNvGraphicFramePr/>
                <a:graphic xmlns:a="http://schemas.openxmlformats.org/drawingml/2006/main">
                  <a:graphicData uri="http://schemas.microsoft.com/office/word/2010/wordprocessingShape">
                    <wps:wsp>
                      <wps:cNvSpPr txBox="1"/>
                      <wps:spPr>
                        <a:xfrm>
                          <a:off x="1147445" y="4889500"/>
                          <a:ext cx="5257800" cy="1409065"/>
                        </a:xfrm>
                        <a:prstGeom prst="rect">
                          <a:avLst/>
                        </a:prstGeom>
                        <a:solidFill>
                          <a:schemeClr val="accent3">
                            <a:lumMod val="20000"/>
                            <a:lumOff val="8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020E243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思源黑体 CN Normal" w:hAnsi="思源黑体 CN Normal" w:eastAsia="思源黑体 CN Normal" w:cs="思源黑体 CN Normal"/>
                                <w:color w:val="C65F10" w:themeColor="accent2" w:themeShade="BF"/>
                                <w:sz w:val="28"/>
                                <w:szCs w:val="28"/>
                              </w:rPr>
                            </w:pPr>
                            <w:r>
                              <w:rPr>
                                <w:rFonts w:hint="eastAsia" w:ascii="思源黑体 CN Normal" w:hAnsi="思源黑体 CN Normal" w:eastAsia="思源黑体 CN Normal" w:cs="思源黑体 CN Normal"/>
                                <w:b/>
                                <w:bCs/>
                                <w:color w:val="C65F10" w:themeColor="accent2" w:themeShade="BF"/>
                                <w:sz w:val="24"/>
                                <w:szCs w:val="24"/>
                              </w:rPr>
                              <w:t>法律亮点频现的背后体现了党和国家扫黑除恶的坚定决心，彰显浓浓的为民情怀，期待在《中华人民共和国反有组织犯罪法》的坚强后盾下，人人更加幸福，社会安定有序，环境风清气正，国家长治</w:t>
                            </w:r>
                            <w:r>
                              <w:rPr>
                                <w:rFonts w:hint="eastAsia" w:ascii="思源黑体 CN Normal" w:hAnsi="思源黑体 CN Normal" w:eastAsia="思源黑体 CN Normal" w:cs="思源黑体 CN Normal"/>
                                <w:b/>
                                <w:bCs/>
                                <w:color w:val="C65F10" w:themeColor="accent2" w:themeShade="BF"/>
                                <w:sz w:val="24"/>
                                <w:szCs w:val="24"/>
                              </w:rPr>
                              <w:t>久安。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1pt;height:110.95pt;width:414pt;z-index:251659264;mso-width-relative:page;mso-height-relative:page;" fillcolor="#FFF2CA [662]" filled="t" stroked="f" coordsize="21600,21600" o:gfxdata="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E51dvUAAAABgEAAA8AAAAAAAAAAQAgAAAAIgAAAGRycy9k&#10;b3ducmV2LnhtbFBLAQIUABQAAAAIAIdO4kBHJ70oeAIAANcEAAAOAAAAAAAAAAEAIAAAACMBAABk&#10;cnMvZTJvRG9jLnhtbFBLBQYAAAAABgAGAFkBAAANBgAAAAA=&#10;">
                <v:fill on="t" focussize="0,0"/>
                <v:stroke on="f" weight="0.5pt"/>
                <v:imagedata o:title=""/>
                <o:lock v:ext="edit" aspectratio="f"/>
                <v:textbox>
                  <w:txbxContent>
                    <w:p w14:paraId="020E243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思源黑体 CN Normal" w:hAnsi="思源黑体 CN Normal" w:eastAsia="思源黑体 CN Normal" w:cs="思源黑体 CN Normal"/>
                          <w:color w:val="C65F10" w:themeColor="accent2" w:themeShade="BF"/>
                          <w:sz w:val="28"/>
                          <w:szCs w:val="28"/>
                        </w:rPr>
                      </w:pPr>
                      <w:r>
                        <w:rPr>
                          <w:rFonts w:hint="eastAsia" w:ascii="思源黑体 CN Normal" w:hAnsi="思源黑体 CN Normal" w:eastAsia="思源黑体 CN Normal" w:cs="思源黑体 CN Normal"/>
                          <w:b/>
                          <w:bCs/>
                          <w:color w:val="C65F10" w:themeColor="accent2" w:themeShade="BF"/>
                          <w:sz w:val="24"/>
                          <w:szCs w:val="24"/>
                        </w:rPr>
                        <w:t>法律亮点频现的背后体现了党和国家扫黑除恶的坚定决心，彰显浓浓的为民情怀，期待在《中华人民共和国反有组织犯罪法》的坚强后盾下，人人更加幸福，社会安定有序，环境风清气正，国家长治</w:t>
                      </w:r>
                      <w:r>
                        <w:rPr>
                          <w:rFonts w:hint="eastAsia" w:ascii="思源黑体 CN Normal" w:hAnsi="思源黑体 CN Normal" w:eastAsia="思源黑体 CN Normal" w:cs="思源黑体 CN Normal"/>
                          <w:b/>
                          <w:bCs/>
                          <w:color w:val="C65F10" w:themeColor="accent2" w:themeShade="BF"/>
                          <w:sz w:val="24"/>
                          <w:szCs w:val="24"/>
                        </w:rPr>
                        <w:t>久安。</w:t>
                      </w:r>
                    </w:p>
                  </w:txbxContent>
                </v:textbox>
              </v:shape>
            </w:pict>
          </mc:Fallback>
        </mc:AlternateContent>
      </w:r>
    </w:p>
    <w:p w14:paraId="75500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思源黑体 CN Normal" w:hAnsi="思源黑体 CN Normal" w:eastAsia="思源黑体 CN Normal" w:cs="思源黑体 CN Normal"/>
          <w:sz w:val="24"/>
          <w:szCs w:val="24"/>
        </w:rPr>
      </w:pPr>
    </w:p>
    <w:p w14:paraId="353F3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思源黑体 CN Normal" w:hAnsi="思源黑体 CN Normal" w:eastAsia="思源黑体 CN Normal" w:cs="思源黑体 CN Normal"/>
          <w:sz w:val="24"/>
          <w:szCs w:val="24"/>
        </w:rPr>
      </w:pPr>
    </w:p>
    <w:p w14:paraId="32A30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思源黑体 CN Normal" w:hAnsi="思源黑体 CN Normal" w:eastAsia="思源黑体 CN Normal" w:cs="思源黑体 CN Normal"/>
          <w:sz w:val="22"/>
          <w:szCs w:val="22"/>
        </w:rPr>
      </w:pPr>
    </w:p>
    <w:p w14:paraId="6BCFA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思源黑体 CN Normal" w:hAnsi="思源黑体 CN Normal" w:eastAsia="思源黑体 CN Normal" w:cs="思源黑体 CN Normal"/>
          <w:sz w:val="24"/>
          <w:szCs w:val="24"/>
        </w:rPr>
      </w:pPr>
      <w:r>
        <w:rPr>
          <w:rFonts w:hint="eastAsia" w:ascii="思源黑体 CN Normal" w:hAnsi="思源黑体 CN Normal" w:eastAsia="思源黑体 CN Normal" w:cs="思源黑体 CN Normal"/>
          <w:sz w:val="24"/>
          <w:szCs w:val="24"/>
        </w:rPr>
        <w:t>注：上述内容来自于</w:t>
      </w:r>
      <w:r>
        <w:rPr>
          <w:rFonts w:hint="eastAsia" w:ascii="思源黑体 CN Normal" w:hAnsi="思源黑体 CN Normal" w:eastAsia="思源黑体 CN Normal" w:cs="思源黑体 CN Normal"/>
          <w:sz w:val="24"/>
          <w:szCs w:val="24"/>
          <w:lang w:val="en-US" w:eastAsia="zh-CN"/>
        </w:rPr>
        <w:t>北京市顺义区司法局</w:t>
      </w:r>
      <w:r>
        <w:rPr>
          <w:rFonts w:hint="eastAsia" w:ascii="思源黑体 CN Normal" w:hAnsi="思源黑体 CN Normal" w:eastAsia="思源黑体 CN Normal" w:cs="思源黑体 CN Normal"/>
          <w:sz w:val="24"/>
          <w:szCs w:val="24"/>
        </w:rPr>
        <w:t>微信公众号，主要目的在于分享信息，让投资人了解更多反洗钱相关知识，并无商业用途，其版权属于原作者，如有侵权，请联系删除。</w:t>
      </w:r>
    </w:p>
    <w:p w14:paraId="7EB76E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思源黑体 CN Normal" w:hAnsi="思源黑体 CN Normal" w:eastAsia="思源黑体 CN Normal" w:cs="思源黑体 CN Normal"/>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思源黑体 CN Normal">
    <w:panose1 w:val="020B0400000000000000"/>
    <w:charset w:val="86"/>
    <w:family w:val="auto"/>
    <w:pitch w:val="default"/>
    <w:sig w:usb0="20000003" w:usb1="2ADF3C10" w:usb2="00000016" w:usb3="00000000" w:csb0="60060107"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4px;height:64px" o:bullet="t">
        <v:imagedata r:id="rId1" o:title=""/>
      </v:shape>
    </w:pict>
  </w:numPicBullet>
  <w:abstractNum w:abstractNumId="0">
    <w:nsid w:val="A934E5BA"/>
    <w:multiLevelType w:val="singleLevel"/>
    <w:tmpl w:val="A934E5BA"/>
    <w:lvl w:ilvl="0" w:tentative="0">
      <w:start w:val="1"/>
      <w:numFmt w:val="bullet"/>
      <w:lvlText w:val=""/>
      <w:lvlJc w:val="left"/>
      <w:pPr>
        <w:ind w:left="420" w:hanging="420"/>
      </w:pPr>
      <w:rPr>
        <w:rFonts w:hint="default" w:ascii="Wingdings" w:hAnsi="Wingdings"/>
      </w:rPr>
    </w:lvl>
  </w:abstractNum>
  <w:abstractNum w:abstractNumId="1">
    <w:nsid w:val="F58158C8"/>
    <w:multiLevelType w:val="singleLevel"/>
    <w:tmpl w:val="F58158C8"/>
    <w:lvl w:ilvl="0" w:tentative="0">
      <w:start w:val="1"/>
      <w:numFmt w:val="bullet"/>
      <w:lvlText w:val=""/>
      <w:lvlPicBulletId w:val="0"/>
      <w:lvlJc w:val="left"/>
      <w:pPr>
        <w:ind w:left="420" w:hanging="420"/>
      </w:pPr>
      <w:rPr>
        <w:rFonts w:hint="default" w:ascii="Wingdings" w:hAnsi="Wingdings"/>
        <w:color w:val="2E54A1" w:themeColor="accent1" w:themeShade="BF"/>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9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sv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2025-06-26T01:34:52Z</dcterms:created>
  <dc:creator>chenzy.FURSZ</dc:creator>
  <cp:lastModifiedBy>ziy</cp:lastModifiedBy>
  <dcterms:modified xsi:type="dcterms:W3CDTF">2025-06-26T01:48:50Z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eyJoZGlkIjoiNzFhN2NlZmYzNzkzOTgxMDk1YTNjMTE0MmNlMGQ0YjAiLCJ1c2VySWQiOiIxNTIwODY1NzQwIn0=</vt:lpwstr>
  </property>
  <property fmtid="{D5CDD505-2E9C-101B-9397-08002B2CF9AE}" pid="4" name="ICV">
    <vt:lpwstr>D42CDE352C904243A7ACDF15B7F4CDA9_13</vt:lpwstr>
  </property>
</Properties>
</file>