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651D" w14:textId="55DBF302" w:rsidR="00231816" w:rsidRDefault="003253A4">
      <w:pPr>
        <w:pStyle w:val="2"/>
        <w:tabs>
          <w:tab w:val="left" w:pos="4364"/>
          <w:tab w:val="right" w:pos="10204"/>
        </w:tabs>
        <w:jc w:val="center"/>
        <w:rPr>
          <w:rFonts w:ascii="思源黑体 CN Bold" w:eastAsia="思源黑体 CN Bold" w:hAnsi="思源黑体 CN Bold" w:cs="Times New Roman" w:hint="eastAsia"/>
          <w:b/>
          <w:color w:val="FA842D"/>
          <w:kern w:val="0"/>
          <w:sz w:val="24"/>
          <w:szCs w:val="18"/>
        </w:rPr>
      </w:pPr>
      <w:bookmarkStart w:id="0" w:name="_Hlk182226954"/>
      <w:r>
        <w:rPr>
          <w:rFonts w:ascii="思源黑体 CN Bold" w:eastAsia="思源黑体 CN Bold" w:hAnsi="思源黑体 CN Bold" w:cs="Times New Roman" w:hint="eastAsia"/>
          <w:b/>
          <w:color w:val="FA842D"/>
          <w:kern w:val="0"/>
          <w:sz w:val="24"/>
          <w:szCs w:val="18"/>
        </w:rPr>
        <w:t>富荣权益：周期板块迎来主题投资机会</w:t>
      </w:r>
    </w:p>
    <w:p w14:paraId="3794C268" w14:textId="77777777" w:rsidR="00231816" w:rsidRDefault="003253A4">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一</w:t>
      </w:r>
      <w:r>
        <w:rPr>
          <w:rFonts w:ascii="思源黑体 CN Light" w:eastAsia="思源黑体 CN Light" w:hAnsi="思源黑体 CN Light" w:cs="Times New Roman"/>
          <w:b/>
          <w:bCs/>
          <w:sz w:val="22"/>
          <w:szCs w:val="24"/>
        </w:rPr>
        <w:t>、</w:t>
      </w:r>
      <w:r>
        <w:rPr>
          <w:rFonts w:ascii="思源黑体 CN Light" w:eastAsia="思源黑体 CN Light" w:hAnsi="思源黑体 CN Light" w:cs="Times New Roman" w:hint="eastAsia"/>
          <w:b/>
          <w:bCs/>
          <w:sz w:val="22"/>
          <w:szCs w:val="24"/>
        </w:rPr>
        <w:t>权益</w:t>
      </w:r>
      <w:proofErr w:type="gramStart"/>
      <w:r>
        <w:rPr>
          <w:rFonts w:ascii="思源黑体 CN Light" w:eastAsia="思源黑体 CN Light" w:hAnsi="思源黑体 CN Light" w:cs="Times New Roman"/>
          <w:b/>
          <w:bCs/>
          <w:sz w:val="22"/>
          <w:szCs w:val="24"/>
        </w:rPr>
        <w:t>市场</w:t>
      </w:r>
      <w:r>
        <w:rPr>
          <w:rFonts w:ascii="思源黑体 CN Light" w:eastAsia="思源黑体 CN Light" w:hAnsi="思源黑体 CN Light" w:cs="Times New Roman" w:hint="eastAsia"/>
          <w:b/>
          <w:bCs/>
          <w:sz w:val="22"/>
          <w:szCs w:val="24"/>
        </w:rPr>
        <w:t>周度表现</w:t>
      </w:r>
      <w:proofErr w:type="gramEnd"/>
    </w:p>
    <w:p w14:paraId="60F2E473" w14:textId="77777777" w:rsidR="00231816" w:rsidRDefault="003253A4">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上周（2025年6月30日至2025年7月4日，下同）权益市场普遍反弹，</w:t>
      </w:r>
      <w:r>
        <w:rPr>
          <w:rFonts w:ascii="思源黑体 CN Light" w:eastAsia="思源黑体 CN Light" w:hAnsi="思源黑体 CN Light" w:cs="Times New Roman"/>
          <w:color w:val="000000" w:themeColor="text1"/>
          <w:sz w:val="21"/>
          <w:szCs w:val="20"/>
        </w:rPr>
        <w:t>深证成指、上证指数、创业板指分别报收</w:t>
      </w:r>
      <w:r>
        <w:rPr>
          <w:rFonts w:ascii="思源黑体 CN Light" w:eastAsia="思源黑体 CN Light" w:hAnsi="思源黑体 CN Light" w:cs="Times New Roman" w:hint="eastAsia"/>
          <w:color w:val="000000" w:themeColor="text1"/>
          <w:sz w:val="21"/>
          <w:szCs w:val="20"/>
        </w:rPr>
        <w:t>10508.76</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3472.32</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2156.23</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。各主要指数涨跌表现如下：创业板50（+1.93%）、沪深300（+1.54%）、创业板指（+1.50%）、上证指数（+1.40%）、深证成指（+1.25%）、上证50（+1.21%）、创成长（+1.21%）、中证500（+0.81%）、中证1000（+0.56%）、</w:t>
      </w:r>
      <w:proofErr w:type="gramStart"/>
      <w:r>
        <w:rPr>
          <w:rFonts w:ascii="思源黑体 CN Light" w:eastAsia="思源黑体 CN Light" w:hAnsi="思源黑体 CN Light" w:cs="Times New Roman" w:hint="eastAsia"/>
          <w:color w:val="000000" w:themeColor="text1"/>
          <w:sz w:val="21"/>
          <w:szCs w:val="20"/>
        </w:rPr>
        <w:t>科创</w:t>
      </w:r>
      <w:proofErr w:type="gramEnd"/>
      <w:r>
        <w:rPr>
          <w:rFonts w:ascii="思源黑体 CN Light" w:eastAsia="思源黑体 CN Light" w:hAnsi="思源黑体 CN Light" w:cs="Times New Roman" w:hint="eastAsia"/>
          <w:color w:val="000000" w:themeColor="text1"/>
          <w:sz w:val="21"/>
          <w:szCs w:val="20"/>
        </w:rPr>
        <w:t>50（-0.35%）。</w:t>
      </w:r>
    </w:p>
    <w:p w14:paraId="6132F35B" w14:textId="77777777" w:rsidR="00231816" w:rsidRDefault="003253A4">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图：主要</w:t>
      </w:r>
      <w:proofErr w:type="gramStart"/>
      <w:r>
        <w:rPr>
          <w:rFonts w:ascii="思源黑体 CN Light" w:eastAsia="思源黑体 CN Light" w:hAnsi="思源黑体 CN Light" w:cs="Times New Roman"/>
          <w:b/>
          <w:sz w:val="21"/>
          <w:szCs w:val="20"/>
        </w:rPr>
        <w:t>股指</w:t>
      </w:r>
      <w:r>
        <w:rPr>
          <w:rFonts w:ascii="思源黑体 CN Light" w:eastAsia="思源黑体 CN Light" w:hAnsi="思源黑体 CN Light" w:cs="Times New Roman" w:hint="eastAsia"/>
          <w:b/>
          <w:sz w:val="21"/>
          <w:szCs w:val="20"/>
        </w:rPr>
        <w:t>周度</w:t>
      </w:r>
      <w:proofErr w:type="gramEnd"/>
      <w:r>
        <w:rPr>
          <w:rFonts w:ascii="思源黑体 CN Light" w:eastAsia="思源黑体 CN Light" w:hAnsi="思源黑体 CN Light" w:cs="Times New Roman" w:hint="eastAsia"/>
          <w:b/>
          <w:sz w:val="21"/>
          <w:szCs w:val="20"/>
        </w:rPr>
        <w:t>/月度</w:t>
      </w:r>
      <w:r>
        <w:rPr>
          <w:rFonts w:ascii="思源黑体 CN Light" w:eastAsia="思源黑体 CN Light" w:hAnsi="思源黑体 CN Light" w:cs="Times New Roman"/>
          <w:b/>
          <w:sz w:val="21"/>
          <w:szCs w:val="20"/>
        </w:rPr>
        <w:t>涨跌幅（单位：%）</w:t>
      </w:r>
      <w:r>
        <w:rPr>
          <w:rFonts w:ascii="思源黑体 CN Light" w:eastAsia="思源黑体 CN Light" w:hAnsi="思源黑体 CN Light" w:cs="Times New Roman"/>
          <w:b/>
          <w:noProof/>
          <w:sz w:val="21"/>
          <w:szCs w:val="20"/>
        </w:rPr>
        <w:drawing>
          <wp:inline distT="0" distB="0" distL="0" distR="0" wp14:anchorId="6D552B11" wp14:editId="77620E9A">
            <wp:extent cx="6252845" cy="3166745"/>
            <wp:effectExtent l="0" t="0" r="0" b="0"/>
            <wp:docPr id="57" name="图片 56"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图表, 条形图&#10;&#10;AI 生成的内容可能不正确。"/>
                    <pic:cNvPicPr>
                      <a:picLocks noChangeAspect="1"/>
                    </pic:cNvPicPr>
                  </pic:nvPicPr>
                  <pic:blipFill>
                    <a:blip r:embed="rId6"/>
                    <a:stretch>
                      <a:fillRect/>
                    </a:stretch>
                  </pic:blipFill>
                  <pic:spPr>
                    <a:xfrm>
                      <a:off x="0" y="0"/>
                      <a:ext cx="6253150" cy="3167199"/>
                    </a:xfrm>
                    <a:prstGeom prst="rect">
                      <a:avLst/>
                    </a:prstGeom>
                  </pic:spPr>
                </pic:pic>
              </a:graphicData>
            </a:graphic>
          </wp:inline>
        </w:drawing>
      </w:r>
    </w:p>
    <w:p w14:paraId="7AAED341" w14:textId="77777777" w:rsidR="00231816" w:rsidRDefault="003253A4">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；周涨跌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区间：20250630-20250704；月涨跌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区间：20250701-20250704</w:t>
      </w:r>
    </w:p>
    <w:p w14:paraId="1FEB65B8" w14:textId="77777777" w:rsidR="00231816" w:rsidRDefault="003253A4">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各行业普遍反弹，少数行业补跌。申万</w:t>
      </w:r>
      <w:proofErr w:type="gramStart"/>
      <w:r>
        <w:rPr>
          <w:rFonts w:ascii="思源黑体 CN Light" w:eastAsia="思源黑体 CN Light" w:hAnsi="思源黑体 CN Light" w:cs="Times New Roman" w:hint="eastAsia"/>
          <w:color w:val="000000" w:themeColor="text1"/>
          <w:sz w:val="21"/>
          <w:szCs w:val="20"/>
        </w:rPr>
        <w:t>一级行业</w:t>
      </w:r>
      <w:proofErr w:type="gramEnd"/>
      <w:r>
        <w:rPr>
          <w:rFonts w:ascii="思源黑体 CN Light" w:eastAsia="思源黑体 CN Light" w:hAnsi="思源黑体 CN Light" w:cs="Times New Roman" w:hint="eastAsia"/>
          <w:color w:val="000000" w:themeColor="text1"/>
          <w:sz w:val="21"/>
          <w:szCs w:val="20"/>
        </w:rPr>
        <w:t>指数中，钢铁（+5.06%）、建筑材料（+3.96%）、银行（+3.77%）等行业上涨较为明显，美容护理（-0.55%）、非银金融（-0.72%）、计算机（-1.28%）等行业补跌。</w:t>
      </w:r>
    </w:p>
    <w:p w14:paraId="24A9F61F" w14:textId="77777777" w:rsidR="00231816" w:rsidRDefault="003253A4">
      <w:pPr>
        <w:ind w:firstLineChars="200" w:firstLine="428"/>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b/>
          <w:sz w:val="21"/>
          <w:szCs w:val="20"/>
        </w:rPr>
        <w:t>图：</w:t>
      </w:r>
      <w:proofErr w:type="gramStart"/>
      <w:r>
        <w:rPr>
          <w:rFonts w:ascii="思源黑体 CN Light" w:eastAsia="思源黑体 CN Light" w:hAnsi="思源黑体 CN Light" w:cs="Times New Roman"/>
          <w:b/>
          <w:sz w:val="21"/>
          <w:szCs w:val="20"/>
        </w:rPr>
        <w:t>申万一级行业周涨跌</w:t>
      </w:r>
      <w:proofErr w:type="gramEnd"/>
      <w:r>
        <w:rPr>
          <w:rFonts w:ascii="思源黑体 CN Light" w:eastAsia="思源黑体 CN Light" w:hAnsi="思源黑体 CN Light" w:cs="Times New Roman"/>
          <w:b/>
          <w:sz w:val="21"/>
          <w:szCs w:val="20"/>
        </w:rPr>
        <w:t>幅（单位：%）</w:t>
      </w:r>
      <w:r>
        <w:rPr>
          <w:rFonts w:ascii="思源黑体 CN Light" w:eastAsia="思源黑体 CN Light" w:hAnsi="思源黑体 CN Light" w:cs="Times New Roman"/>
          <w:b/>
          <w:noProof/>
          <w:sz w:val="21"/>
          <w:szCs w:val="20"/>
        </w:rPr>
        <w:lastRenderedPageBreak/>
        <w:drawing>
          <wp:inline distT="0" distB="0" distL="0" distR="0" wp14:anchorId="07D72BA6" wp14:editId="64B242F7">
            <wp:extent cx="6454140" cy="3166745"/>
            <wp:effectExtent l="0" t="0" r="3810" b="0"/>
            <wp:docPr id="58" name="图片 57" descr="图片包含 直方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descr="图片包含 直方图&#10;&#10;AI 生成的内容可能不正确。"/>
                    <pic:cNvPicPr>
                      <a:picLocks noChangeAspect="1"/>
                    </pic:cNvPicPr>
                  </pic:nvPicPr>
                  <pic:blipFill>
                    <a:blip r:embed="rId7"/>
                    <a:stretch>
                      <a:fillRect/>
                    </a:stretch>
                  </pic:blipFill>
                  <pic:spPr>
                    <a:xfrm>
                      <a:off x="0" y="0"/>
                      <a:ext cx="6455065" cy="3167199"/>
                    </a:xfrm>
                    <a:prstGeom prst="rect">
                      <a:avLst/>
                    </a:prstGeom>
                  </pic:spPr>
                </pic:pic>
              </a:graphicData>
            </a:graphic>
          </wp:inline>
        </w:drawing>
      </w: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；统计区间：20250630-20250704</w:t>
      </w:r>
    </w:p>
    <w:p w14:paraId="2753D888" w14:textId="77777777" w:rsidR="00231816" w:rsidRDefault="00231816">
      <w:pPr>
        <w:pStyle w:val="2"/>
        <w:tabs>
          <w:tab w:val="left" w:pos="4364"/>
          <w:tab w:val="right" w:pos="10204"/>
        </w:tabs>
        <w:rPr>
          <w:rFonts w:ascii="思源黑体 CN Light" w:eastAsia="思源黑体 CN Light" w:hAnsi="思源黑体 CN Light" w:cs="Times New Roman" w:hint="eastAsia"/>
          <w:color w:val="000000"/>
          <w:sz w:val="21"/>
          <w:szCs w:val="20"/>
          <w:shd w:val="clear" w:color="auto" w:fill="FFFFFF"/>
        </w:rPr>
      </w:pPr>
    </w:p>
    <w:p w14:paraId="56A6A801" w14:textId="77777777" w:rsidR="00231816" w:rsidRDefault="003253A4">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二、钢铁行业点评与展望</w:t>
      </w:r>
    </w:p>
    <w:p w14:paraId="52881CF5" w14:textId="77777777" w:rsidR="00231816" w:rsidRDefault="003253A4">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bookmarkStart w:id="1" w:name="_Hlk140420797"/>
      <w:r>
        <w:rPr>
          <w:rFonts w:ascii="思源黑体 CN Light" w:eastAsia="思源黑体 CN Light" w:hAnsi="思源黑体 CN Light" w:cs="Times New Roman" w:hint="eastAsia"/>
          <w:color w:val="000000" w:themeColor="text1"/>
          <w:sz w:val="21"/>
          <w:szCs w:val="20"/>
        </w:rPr>
        <w:t>上周申万钢铁行业指数涨幅为5.06%，相对沪深300指数超额收益为3.52%，周涨幅在所有申万</w:t>
      </w:r>
      <w:proofErr w:type="gramStart"/>
      <w:r>
        <w:rPr>
          <w:rFonts w:ascii="思源黑体 CN Light" w:eastAsia="思源黑体 CN Light" w:hAnsi="思源黑体 CN Light" w:cs="Times New Roman" w:hint="eastAsia"/>
          <w:color w:val="000000" w:themeColor="text1"/>
          <w:sz w:val="21"/>
          <w:szCs w:val="20"/>
        </w:rPr>
        <w:t>一级行业</w:t>
      </w:r>
      <w:proofErr w:type="gramEnd"/>
      <w:r>
        <w:rPr>
          <w:rFonts w:ascii="思源黑体 CN Light" w:eastAsia="思源黑体 CN Light" w:hAnsi="思源黑体 CN Light" w:cs="Times New Roman" w:hint="eastAsia"/>
          <w:color w:val="000000" w:themeColor="text1"/>
          <w:sz w:val="21"/>
          <w:szCs w:val="20"/>
        </w:rPr>
        <w:t>指数中高居第一。</w:t>
      </w:r>
    </w:p>
    <w:p w14:paraId="4ACBC0BD" w14:textId="3B2A1C02" w:rsidR="00231816" w:rsidRDefault="003253A4">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上周钢铁行业与同为“反内卷”风向受益的建筑材料行业领</w:t>
      </w:r>
      <w:proofErr w:type="gramStart"/>
      <w:r>
        <w:rPr>
          <w:rFonts w:ascii="思源黑体 CN Light" w:eastAsia="思源黑体 CN Light" w:hAnsi="思源黑体 CN Light" w:cs="Times New Roman" w:hint="eastAsia"/>
          <w:color w:val="000000" w:themeColor="text1"/>
          <w:sz w:val="21"/>
          <w:szCs w:val="20"/>
        </w:rPr>
        <w:t>涨整个</w:t>
      </w:r>
      <w:proofErr w:type="gramEnd"/>
      <w:r>
        <w:rPr>
          <w:rFonts w:ascii="思源黑体 CN Light" w:eastAsia="思源黑体 CN Light" w:hAnsi="思源黑体 CN Light" w:cs="Times New Roman" w:hint="eastAsia"/>
          <w:color w:val="000000" w:themeColor="text1"/>
          <w:sz w:val="21"/>
          <w:szCs w:val="20"/>
        </w:rPr>
        <w:t>市场。</w:t>
      </w:r>
      <w:r>
        <w:rPr>
          <w:rFonts w:ascii="思源黑体 CN Light" w:eastAsia="思源黑体 CN Light" w:hAnsi="思源黑体 CN Light" w:cs="Times New Roman" w:hint="eastAsia"/>
          <w:color w:val="000000"/>
          <w:sz w:val="21"/>
          <w:szCs w:val="20"/>
          <w:shd w:val="clear" w:color="auto" w:fill="FFFFFF"/>
        </w:rPr>
        <w:t>7月1日总书记主持召开中央财经委员会强调，</w:t>
      </w:r>
      <w:r>
        <w:rPr>
          <w:rFonts w:ascii="思源黑体 CN Light" w:eastAsia="思源黑体 CN Light" w:hAnsi="思源黑体 CN Light" w:cs="Times New Roman" w:hint="eastAsia"/>
          <w:color w:val="000000" w:themeColor="text1"/>
          <w:sz w:val="21"/>
          <w:szCs w:val="20"/>
        </w:rPr>
        <w:t>要纵深推进全国统一大市场建设，聚焦重点难点，</w:t>
      </w:r>
      <w:r>
        <w:rPr>
          <w:rFonts w:ascii="思源黑体 CN Light" w:eastAsia="思源黑体 CN Light" w:hAnsi="思源黑体 CN Light" w:cs="Times New Roman" w:hint="eastAsia"/>
          <w:color w:val="000000"/>
          <w:sz w:val="21"/>
          <w:szCs w:val="20"/>
          <w:shd w:val="clear" w:color="auto" w:fill="FFFFFF"/>
        </w:rPr>
        <w:t>依法依规治理企业低价无序竞争，引导企业提升产品品质，推动落后产能有序退出。同日《求是》发文《深刻认识和综合整治“内卷式”竞争》，</w:t>
      </w:r>
      <w:r>
        <w:rPr>
          <w:rFonts w:ascii="思源黑体 CN Light" w:eastAsia="思源黑体 CN Light" w:hAnsi="思源黑体 CN Light" w:cs="Times New Roman" w:hint="eastAsia"/>
          <w:color w:val="000000" w:themeColor="text1"/>
          <w:sz w:val="21"/>
          <w:szCs w:val="20"/>
        </w:rPr>
        <w:t>“反内卷”风向下市场对国内新一轮供给</w:t>
      </w:r>
      <w:proofErr w:type="gramStart"/>
      <w:r>
        <w:rPr>
          <w:rFonts w:ascii="思源黑体 CN Light" w:eastAsia="思源黑体 CN Light" w:hAnsi="思源黑体 CN Light" w:cs="Times New Roman" w:hint="eastAsia"/>
          <w:color w:val="000000" w:themeColor="text1"/>
          <w:sz w:val="21"/>
          <w:szCs w:val="20"/>
        </w:rPr>
        <w:t>侧改革</w:t>
      </w:r>
      <w:proofErr w:type="gramEnd"/>
      <w:r>
        <w:rPr>
          <w:rFonts w:ascii="思源黑体 CN Light" w:eastAsia="思源黑体 CN Light" w:hAnsi="思源黑体 CN Light" w:cs="Times New Roman" w:hint="eastAsia"/>
          <w:color w:val="000000" w:themeColor="text1"/>
          <w:sz w:val="21"/>
          <w:szCs w:val="20"/>
        </w:rPr>
        <w:t>的预期增强</w:t>
      </w:r>
      <w:r>
        <w:rPr>
          <w:rFonts w:ascii="思源黑体 CN Light" w:eastAsia="思源黑体 CN Light" w:hAnsi="思源黑体 CN Light" w:cs="Times New Roman" w:hint="eastAsia"/>
          <w:color w:val="000000"/>
          <w:sz w:val="21"/>
          <w:szCs w:val="20"/>
          <w:shd w:val="clear" w:color="auto" w:fill="FFFFFF"/>
        </w:rPr>
        <w:t>。</w:t>
      </w:r>
    </w:p>
    <w:p w14:paraId="05ADF56B" w14:textId="706518F9" w:rsidR="00231816" w:rsidRDefault="003253A4">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sidRPr="0001078A">
        <w:rPr>
          <w:rFonts w:ascii="思源黑体 CN Light" w:eastAsia="思源黑体 CN Light" w:hAnsi="思源黑体 CN Light" w:cs="Times New Roman" w:hint="eastAsia"/>
          <w:color w:val="000000" w:themeColor="text1"/>
          <w:sz w:val="21"/>
          <w:szCs w:val="20"/>
        </w:rPr>
        <w:t>我们认为，</w:t>
      </w:r>
      <w:r>
        <w:rPr>
          <w:rFonts w:ascii="思源黑体 CN Light" w:eastAsia="思源黑体 CN Light" w:hAnsi="思源黑体 CN Light" w:cs="Times New Roman" w:hint="eastAsia"/>
          <w:color w:val="000000" w:themeColor="text1"/>
          <w:sz w:val="21"/>
          <w:szCs w:val="20"/>
        </w:rPr>
        <w:t>行业真正的出清或许只能依靠市场规律，当国内钢厂持续亏损面临现金流压力，行业的生存危机对产值考核造成釜底抽薪式的压力时，行业实质性的减产才有望水到渠成。当前市场资金对“反内卷”的理解从治理低价无序竞争发散到新一轮供给</w:t>
      </w:r>
      <w:proofErr w:type="gramStart"/>
      <w:r>
        <w:rPr>
          <w:rFonts w:ascii="思源黑体 CN Light" w:eastAsia="思源黑体 CN Light" w:hAnsi="思源黑体 CN Light" w:cs="Times New Roman" w:hint="eastAsia"/>
          <w:color w:val="000000" w:themeColor="text1"/>
          <w:sz w:val="21"/>
          <w:szCs w:val="20"/>
        </w:rPr>
        <w:t>侧改革</w:t>
      </w:r>
      <w:proofErr w:type="gramEnd"/>
      <w:r>
        <w:rPr>
          <w:rFonts w:ascii="思源黑体 CN Light" w:eastAsia="思源黑体 CN Light" w:hAnsi="思源黑体 CN Light" w:cs="Times New Roman" w:hint="eastAsia"/>
          <w:color w:val="000000" w:themeColor="text1"/>
          <w:sz w:val="21"/>
          <w:szCs w:val="20"/>
        </w:rPr>
        <w:t>的联想，更多是对上一轮供给</w:t>
      </w:r>
      <w:proofErr w:type="gramStart"/>
      <w:r>
        <w:rPr>
          <w:rFonts w:ascii="思源黑体 CN Light" w:eastAsia="思源黑体 CN Light" w:hAnsi="思源黑体 CN Light" w:cs="Times New Roman" w:hint="eastAsia"/>
          <w:color w:val="000000" w:themeColor="text1"/>
          <w:sz w:val="21"/>
          <w:szCs w:val="20"/>
        </w:rPr>
        <w:t>侧改革</w:t>
      </w:r>
      <w:proofErr w:type="gramEnd"/>
      <w:r>
        <w:rPr>
          <w:rFonts w:ascii="思源黑体 CN Light" w:eastAsia="思源黑体 CN Light" w:hAnsi="思源黑体 CN Light" w:cs="Times New Roman" w:hint="eastAsia"/>
          <w:color w:val="000000" w:themeColor="text1"/>
          <w:sz w:val="21"/>
          <w:szCs w:val="20"/>
        </w:rPr>
        <w:t>引领行情的肌肉记忆所致。</w:t>
      </w:r>
    </w:p>
    <w:p w14:paraId="7DACCCC7" w14:textId="77777777" w:rsidR="00231816" w:rsidRDefault="003253A4">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展望后市，自从2024年9月份政策组合</w:t>
      </w:r>
      <w:proofErr w:type="gramStart"/>
      <w:r>
        <w:rPr>
          <w:rFonts w:ascii="思源黑体 CN Light" w:eastAsia="思源黑体 CN Light" w:hAnsi="思源黑体 CN Light" w:cs="Times New Roman" w:hint="eastAsia"/>
          <w:color w:val="000000" w:themeColor="text1"/>
          <w:sz w:val="21"/>
          <w:szCs w:val="20"/>
        </w:rPr>
        <w:t>拳连续</w:t>
      </w:r>
      <w:proofErr w:type="gramEnd"/>
      <w:r>
        <w:rPr>
          <w:rFonts w:ascii="思源黑体 CN Light" w:eastAsia="思源黑体 CN Light" w:hAnsi="思源黑体 CN Light" w:cs="Times New Roman" w:hint="eastAsia"/>
          <w:color w:val="000000" w:themeColor="text1"/>
          <w:sz w:val="21"/>
          <w:szCs w:val="20"/>
        </w:rPr>
        <w:t>出台，市场对宏观经济的预期开始从悲观扭转，考虑到钢材市场当下仍处于传统消费淡季，且在钢价上涨后，国内钢材的出口空间收窄，</w:t>
      </w:r>
      <w:proofErr w:type="gramStart"/>
      <w:r>
        <w:rPr>
          <w:rFonts w:ascii="思源黑体 CN Light" w:eastAsia="思源黑体 CN Light" w:hAnsi="思源黑体 CN Light" w:cs="Times New Roman" w:hint="eastAsia"/>
          <w:color w:val="000000" w:themeColor="text1"/>
          <w:sz w:val="21"/>
          <w:szCs w:val="20"/>
        </w:rPr>
        <w:t>矿钢基差</w:t>
      </w:r>
      <w:proofErr w:type="gramEnd"/>
      <w:r>
        <w:rPr>
          <w:rFonts w:ascii="思源黑体 CN Light" w:eastAsia="思源黑体 CN Light" w:hAnsi="思源黑体 CN Light" w:cs="Times New Roman" w:hint="eastAsia"/>
          <w:color w:val="000000" w:themeColor="text1"/>
          <w:sz w:val="21"/>
          <w:szCs w:val="20"/>
        </w:rPr>
        <w:t>均有走弱，若短期国内外</w:t>
      </w:r>
      <w:r>
        <w:rPr>
          <w:rFonts w:ascii="思源黑体 CN Light" w:eastAsia="思源黑体 CN Light" w:hAnsi="思源黑体 CN Light" w:cs="Times New Roman" w:hint="eastAsia"/>
          <w:color w:val="000000" w:themeColor="text1"/>
          <w:sz w:val="21"/>
          <w:szCs w:val="20"/>
        </w:rPr>
        <w:lastRenderedPageBreak/>
        <w:t>宏观层面没有进一步的利好驱动，预计</w:t>
      </w:r>
      <w:proofErr w:type="gramStart"/>
      <w:r>
        <w:rPr>
          <w:rFonts w:ascii="思源黑体 CN Light" w:eastAsia="思源黑体 CN Light" w:hAnsi="思源黑体 CN Light" w:cs="Times New Roman" w:hint="eastAsia"/>
          <w:color w:val="000000" w:themeColor="text1"/>
          <w:sz w:val="21"/>
          <w:szCs w:val="20"/>
        </w:rPr>
        <w:t>钢矿价格</w:t>
      </w:r>
      <w:proofErr w:type="gramEnd"/>
      <w:r>
        <w:rPr>
          <w:rFonts w:ascii="思源黑体 CN Light" w:eastAsia="思源黑体 CN Light" w:hAnsi="思源黑体 CN Light" w:cs="Times New Roman" w:hint="eastAsia"/>
          <w:color w:val="000000" w:themeColor="text1"/>
          <w:sz w:val="21"/>
          <w:szCs w:val="20"/>
        </w:rPr>
        <w:t>可能面临震荡调整。需要注意情绪一致后钢铁行业震荡回落的风险。</w:t>
      </w:r>
    </w:p>
    <w:p w14:paraId="6938F65C" w14:textId="77777777" w:rsidR="00231816" w:rsidRDefault="00231816">
      <w:pPr>
        <w:tabs>
          <w:tab w:val="left" w:pos="5594"/>
        </w:tabs>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1"/>
    <w:p w14:paraId="4950223B" w14:textId="77777777" w:rsidR="00231816" w:rsidRDefault="003253A4">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b/>
          <w:bCs/>
          <w:sz w:val="22"/>
          <w:szCs w:val="24"/>
        </w:rPr>
        <w:t>三、本周展望</w:t>
      </w:r>
    </w:p>
    <w:p w14:paraId="223E001C" w14:textId="77777777" w:rsidR="00231816" w:rsidRDefault="003253A4">
      <w:pPr>
        <w:ind w:firstLineChars="200" w:firstLine="420"/>
        <w:rPr>
          <w:rFonts w:ascii="思源黑体 CN Light" w:eastAsia="思源黑体 CN Light" w:hAnsi="思源黑体 CN Light" w:cs="Times New Roman" w:hint="eastAsia"/>
          <w:color w:val="000000"/>
          <w:sz w:val="21"/>
          <w:szCs w:val="20"/>
          <w:shd w:val="clear" w:color="auto" w:fill="FFFFFF"/>
        </w:rPr>
      </w:pPr>
      <w:bookmarkStart w:id="2" w:name="OLE_LINK1"/>
      <w:r>
        <w:rPr>
          <w:rFonts w:ascii="思源黑体 CN Light" w:eastAsia="思源黑体 CN Light" w:hAnsi="思源黑体 CN Light" w:cs="Times New Roman" w:hint="eastAsia"/>
          <w:color w:val="000000"/>
          <w:sz w:val="21"/>
          <w:szCs w:val="20"/>
          <w:shd w:val="clear" w:color="auto" w:fill="FFFFFF"/>
        </w:rPr>
        <w:t>上周权益市场多数指数上涨。周期板块受益于“反内卷”预期，迎来了主题投资的窗口期，涨幅靠前。在短期内，周期板块仍具有持续挖掘的机会。然而，后续的趋势性机会需进一步观察是否有相关的供给出清细则出台。</w:t>
      </w:r>
    </w:p>
    <w:p w14:paraId="3F97015F" w14:textId="77777777" w:rsidR="00231816" w:rsidRDefault="003253A4">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美国与各国贸易关税的90天暂缓期即将结束。从越南与美国达成的20%关税协定来看，海外关税问题可能好于预期，这或许会成为市场继续向上的契机。</w:t>
      </w:r>
    </w:p>
    <w:p w14:paraId="1F1C7321" w14:textId="77777777" w:rsidR="00231816" w:rsidRDefault="003253A4">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目前市场各大指数已临近前期高位，我们建议稳中求进。一方面关注过去2~3个月一直处于震荡调整的科技板块，如AI算力、应用、机器人等板块；另一方面，随着半年报预告密集披露期的临近，关注业绩表现向好的细分方向。</w:t>
      </w:r>
    </w:p>
    <w:bookmarkEnd w:id="2"/>
    <w:p w14:paraId="217975C2" w14:textId="77777777" w:rsidR="00231816" w:rsidRDefault="00231816">
      <w:pPr>
        <w:rPr>
          <w:rFonts w:ascii="思源黑体 CN Light" w:eastAsia="思源黑体 CN Light" w:hAnsi="思源黑体 CN Light" w:cs="Times New Roman" w:hint="eastAsia"/>
          <w:color w:val="000000"/>
          <w:sz w:val="21"/>
          <w:szCs w:val="20"/>
          <w:shd w:val="clear" w:color="auto" w:fill="FFFFFF"/>
        </w:rPr>
      </w:pPr>
    </w:p>
    <w:p w14:paraId="4BA752DE" w14:textId="77777777" w:rsidR="00231816" w:rsidRDefault="00231816">
      <w:pPr>
        <w:pStyle w:val="af3"/>
        <w:ind w:firstLineChars="0" w:firstLine="0"/>
        <w:rPr>
          <w:rFonts w:ascii="思源黑体 CN Light" w:eastAsia="思源黑体 CN Light" w:hAnsi="思源黑体 CN Light" w:cs="Times New Roman" w:hint="eastAsia"/>
          <w:sz w:val="20"/>
          <w:szCs w:val="20"/>
        </w:rPr>
      </w:pPr>
    </w:p>
    <w:p w14:paraId="6D22DBBF" w14:textId="77777777" w:rsidR="00231816" w:rsidRDefault="003253A4">
      <w:pPr>
        <w:ind w:firstLineChars="200" w:firstLine="360"/>
        <w:rPr>
          <w:rFonts w:hint="eastAsia"/>
        </w:rPr>
      </w:pPr>
      <w:r>
        <w:rPr>
          <w:rFonts w:ascii="思源黑体 CN Light" w:eastAsia="思源黑体 CN Light" w:hAnsi="思源黑体 CN Light" w:hint="eastAsia"/>
          <w:sz w:val="18"/>
          <w:szCs w:val="15"/>
        </w:rPr>
        <w:t>风险提示：</w:t>
      </w:r>
      <w:r>
        <w:rPr>
          <w:rFonts w:ascii="思源黑体 CN Light" w:eastAsia="思源黑体 CN Light" w:hAnsi="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18"/>
          <w:szCs w:val="15"/>
        </w:rPr>
        <w:t>作出</w:t>
      </w:r>
      <w:proofErr w:type="gramEnd"/>
      <w:r>
        <w:rPr>
          <w:rFonts w:ascii="思源黑体 CN Light" w:eastAsia="思源黑体 CN Light" w:hAnsi="思源黑体 CN Light"/>
          <w:sz w:val="18"/>
          <w:szCs w:val="15"/>
        </w:rPr>
        <w:t>调整。2、本材料中的资料、观点和预测等仅供参考，在任何时候均不构成对任何人的个人推荐。市场有风险，投资需谨慎。</w:t>
      </w:r>
      <w:bookmarkEnd w:id="0"/>
    </w:p>
    <w:sectPr w:rsidR="00231816">
      <w:headerReference w:type="default" r:id="rId8"/>
      <w:footerReference w:type="default" r:id="rId9"/>
      <w:pgSz w:w="11906" w:h="16838"/>
      <w:pgMar w:top="1440" w:right="851" w:bottom="1134"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810B" w14:textId="77777777" w:rsidR="00073400" w:rsidRDefault="00073400">
      <w:pPr>
        <w:spacing w:line="240" w:lineRule="auto"/>
        <w:rPr>
          <w:rFonts w:hint="eastAsia"/>
        </w:rPr>
      </w:pPr>
      <w:r>
        <w:separator/>
      </w:r>
    </w:p>
  </w:endnote>
  <w:endnote w:type="continuationSeparator" w:id="0">
    <w:p w14:paraId="0D0493B4" w14:textId="77777777" w:rsidR="00073400" w:rsidRDefault="0007340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FEC2" w14:textId="77777777" w:rsidR="00231816" w:rsidRDefault="003253A4">
    <w:pPr>
      <w:pStyle w:val="a4"/>
      <w:tabs>
        <w:tab w:val="center" w:pos="5102"/>
        <w:tab w:val="left" w:pos="6847"/>
      </w:tabs>
      <w:rPr>
        <w:rFonts w:hint="eastAsia"/>
      </w:rPr>
    </w:pPr>
    <w:r>
      <w:tab/>
    </w:r>
    <w:r>
      <w:tab/>
    </w:r>
    <w:sdt>
      <w:sdtPr>
        <w:id w:val="1107850672"/>
      </w:sdtPr>
      <w:sdtContent>
        <w:sdt>
          <w:sdtPr>
            <w:id w:val="1728636285"/>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sidR="00733963">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733963">
              <w:rPr>
                <w:b/>
                <w:bCs/>
                <w:noProof/>
              </w:rPr>
              <w:t>3</w:t>
            </w:r>
            <w:r>
              <w:rPr>
                <w:b/>
                <w:bCs/>
                <w:sz w:val="24"/>
                <w:szCs w:val="24"/>
              </w:rPr>
              <w:fldChar w:fldCharType="end"/>
            </w:r>
          </w:sdtContent>
        </w:sdt>
      </w:sdtContent>
    </w:sdt>
    <w:r>
      <w:tab/>
    </w:r>
  </w:p>
  <w:p w14:paraId="272B2AAD" w14:textId="77777777" w:rsidR="00231816" w:rsidRDefault="00231816">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AC1F4" w14:textId="77777777" w:rsidR="00073400" w:rsidRDefault="00073400">
      <w:pPr>
        <w:rPr>
          <w:rFonts w:hint="eastAsia"/>
        </w:rPr>
      </w:pPr>
      <w:r>
        <w:separator/>
      </w:r>
    </w:p>
  </w:footnote>
  <w:footnote w:type="continuationSeparator" w:id="0">
    <w:p w14:paraId="3823EF0D" w14:textId="77777777" w:rsidR="00073400" w:rsidRDefault="0007340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d"/>
      <w:tblpPr w:leftFromText="180" w:rightFromText="180" w:vertAnchor="text" w:tblpXSpec="right" w:tblpY="1"/>
      <w:tblOverlap w:val="never"/>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335"/>
    </w:tblGrid>
    <w:tr w:rsidR="00231816" w14:paraId="7C1C0226" w14:textId="77777777">
      <w:trPr>
        <w:trHeight w:val="424"/>
      </w:trPr>
      <w:tc>
        <w:tcPr>
          <w:tcW w:w="3652" w:type="dxa"/>
          <w:shd w:val="clear" w:color="auto" w:fill="F3F3F3"/>
          <w:vAlign w:val="center"/>
        </w:tcPr>
        <w:p w14:paraId="403E06D6" w14:textId="77777777" w:rsidR="00231816" w:rsidRDefault="003253A4">
          <w:pPr>
            <w:pStyle w:val="a6"/>
            <w:pBdr>
              <w:bottom w:val="none" w:sz="0" w:space="0" w:color="auto"/>
            </w:pBdr>
            <w:jc w:val="right"/>
            <w:rPr>
              <w:kern w:val="0"/>
            </w:rPr>
          </w:pPr>
          <w:r>
            <w:rPr>
              <w:rFonts w:hint="eastAsia"/>
              <w:kern w:val="0"/>
            </w:rPr>
            <w:t>证券研究报告</w:t>
          </w:r>
        </w:p>
      </w:tc>
      <w:tc>
        <w:tcPr>
          <w:tcW w:w="284" w:type="dxa"/>
          <w:shd w:val="clear" w:color="auto" w:fill="C3E2F4"/>
        </w:tcPr>
        <w:p w14:paraId="26990E6B" w14:textId="77777777" w:rsidR="00231816" w:rsidRDefault="00231816">
          <w:pPr>
            <w:pStyle w:val="a6"/>
            <w:pBdr>
              <w:bottom w:val="none" w:sz="0" w:space="0" w:color="auto"/>
            </w:pBdr>
            <w:jc w:val="left"/>
            <w:rPr>
              <w:kern w:val="0"/>
            </w:rPr>
          </w:pPr>
        </w:p>
      </w:tc>
      <w:tc>
        <w:tcPr>
          <w:tcW w:w="2335" w:type="dxa"/>
          <w:shd w:val="clear" w:color="auto" w:fill="013F98"/>
          <w:vAlign w:val="center"/>
        </w:tcPr>
        <w:p w14:paraId="58CAEE12" w14:textId="77777777" w:rsidR="00231816" w:rsidRDefault="003253A4">
          <w:pPr>
            <w:pStyle w:val="a6"/>
            <w:pBdr>
              <w:bottom w:val="none" w:sz="0" w:space="0" w:color="auto"/>
            </w:pBdr>
            <w:rPr>
              <w:kern w:val="0"/>
            </w:rPr>
          </w:pPr>
          <w:r>
            <w:rPr>
              <w:rFonts w:hint="eastAsia"/>
              <w:kern w:val="0"/>
            </w:rPr>
            <w:t>权益周报</w:t>
          </w:r>
        </w:p>
      </w:tc>
    </w:tr>
  </w:tbl>
  <w:p w14:paraId="598B754C" w14:textId="77777777" w:rsidR="00231816" w:rsidRDefault="003253A4">
    <w:pPr>
      <w:pStyle w:val="a6"/>
      <w:pBdr>
        <w:bottom w:val="single" w:sz="6" w:space="0" w:color="auto"/>
      </w:pBdr>
      <w:tabs>
        <w:tab w:val="clear" w:pos="4153"/>
        <w:tab w:val="clear" w:pos="8306"/>
        <w:tab w:val="left" w:pos="4673"/>
        <w:tab w:val="left" w:pos="8341"/>
      </w:tabs>
      <w:ind w:leftChars="-337" w:left="-809" w:rightChars="-770" w:right="-1848" w:firstLineChars="300" w:firstLine="540"/>
      <w:jc w:val="left"/>
      <w:rPr>
        <w:rFonts w:hint="eastAsia"/>
      </w:rPr>
    </w:pPr>
    <w:r>
      <w:rPr>
        <w:noProof/>
      </w:rPr>
      <w:drawing>
        <wp:inline distT="0" distB="0" distL="0" distR="0" wp14:anchorId="4DAF8A80" wp14:editId="62612A30">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B65"/>
    <w:rsid w:val="0001078A"/>
    <w:rsid w:val="00073400"/>
    <w:rsid w:val="000916BB"/>
    <w:rsid w:val="000A273E"/>
    <w:rsid w:val="001302D7"/>
    <w:rsid w:val="00231816"/>
    <w:rsid w:val="002F63B0"/>
    <w:rsid w:val="003253A4"/>
    <w:rsid w:val="00374622"/>
    <w:rsid w:val="004F1B65"/>
    <w:rsid w:val="00681C2A"/>
    <w:rsid w:val="006C7857"/>
    <w:rsid w:val="00733963"/>
    <w:rsid w:val="00770C0A"/>
    <w:rsid w:val="00852735"/>
    <w:rsid w:val="008B3939"/>
    <w:rsid w:val="008C3FCC"/>
    <w:rsid w:val="00E40870"/>
    <w:rsid w:val="51DE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A25B2"/>
  <w15:docId w15:val="{3B26D77F-07C3-4D4A-82B0-000DF9AC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a">
    <w:name w:val="Normal (Web)"/>
    <w:basedOn w:val="a"/>
    <w:uiPriority w:val="99"/>
    <w:semiHidden/>
    <w:unhideWhenUsed/>
    <w:rPr>
      <w:rFonts w:ascii="Times New Roman" w:hAnsi="Times New Roman" w:cs="Times New Roman"/>
      <w:szCs w:val="24"/>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5">
    <w:name w:val="页脚 字符"/>
    <w:basedOn w:val="a0"/>
    <w:link w:val="a4"/>
    <w:uiPriority w:val="99"/>
    <w:qFormat/>
    <w:rPr>
      <w:sz w:val="18"/>
      <w:szCs w:val="18"/>
      <w14:ligatures w14:val="none"/>
    </w:rPr>
  </w:style>
  <w:style w:type="character" w:customStyle="1" w:styleId="a7">
    <w:name w:val="页眉 字符"/>
    <w:basedOn w:val="a0"/>
    <w:link w:val="a6"/>
    <w:uiPriority w:val="99"/>
    <w:qFormat/>
    <w:rPr>
      <w:sz w:val="18"/>
      <w:szCs w:val="18"/>
      <w14:ligatures w14:val="none"/>
    </w:rPr>
  </w:style>
  <w:style w:type="paragraph" w:styleId="af3">
    <w:name w:val="No Spacing"/>
    <w:basedOn w:val="aa"/>
    <w:link w:val="af4"/>
    <w:uiPriority w:val="1"/>
    <w:qFormat/>
    <w:pPr>
      <w:widowControl/>
      <w:shd w:val="clear" w:color="auto" w:fill="FFFFFF"/>
      <w:ind w:firstLineChars="200" w:firstLine="200"/>
      <w:jc w:val="left"/>
    </w:pPr>
    <w:rPr>
      <w:rFonts w:asciiTheme="minorHAnsi" w:hAnsiTheme="minorHAnsi" w:cstheme="minorBidi"/>
      <w:kern w:val="0"/>
      <w:szCs w:val="22"/>
    </w:rPr>
  </w:style>
  <w:style w:type="character" w:customStyle="1" w:styleId="af4">
    <w:name w:val="无间隔 字符"/>
    <w:basedOn w:val="a0"/>
    <w:link w:val="af3"/>
    <w:uiPriority w:val="1"/>
    <w:qFormat/>
    <w:rPr>
      <w:kern w:val="0"/>
      <w:sz w:val="24"/>
      <w:szCs w:val="22"/>
      <w:shd w:val="clear" w:color="auto" w:fill="FFFFFF"/>
      <w14:ligatures w14:val="none"/>
    </w:rPr>
  </w:style>
  <w:style w:type="character" w:styleId="af5">
    <w:name w:val="annotation reference"/>
    <w:basedOn w:val="a0"/>
    <w:uiPriority w:val="99"/>
    <w:semiHidden/>
    <w:unhideWhenUsed/>
    <w:rPr>
      <w:sz w:val="21"/>
      <w:szCs w:val="21"/>
    </w:rPr>
  </w:style>
  <w:style w:type="paragraph" w:styleId="af6">
    <w:name w:val="Balloon Text"/>
    <w:basedOn w:val="a"/>
    <w:link w:val="af7"/>
    <w:uiPriority w:val="99"/>
    <w:semiHidden/>
    <w:unhideWhenUsed/>
    <w:rsid w:val="00770C0A"/>
    <w:pPr>
      <w:spacing w:line="240" w:lineRule="auto"/>
    </w:pPr>
    <w:rPr>
      <w:sz w:val="18"/>
      <w:szCs w:val="18"/>
    </w:rPr>
  </w:style>
  <w:style w:type="character" w:customStyle="1" w:styleId="af7">
    <w:name w:val="批注框文本 字符"/>
    <w:basedOn w:val="a0"/>
    <w:link w:val="af6"/>
    <w:uiPriority w:val="99"/>
    <w:semiHidden/>
    <w:rsid w:val="00770C0A"/>
    <w:rPr>
      <w:kern w:val="2"/>
      <w:sz w:val="18"/>
      <w:szCs w:val="18"/>
    </w:rPr>
  </w:style>
  <w:style w:type="paragraph" w:styleId="af8">
    <w:name w:val="Revision"/>
    <w:hidden/>
    <w:uiPriority w:val="99"/>
    <w:unhideWhenUsed/>
    <w:rsid w:val="0001078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715</Words>
  <Characters>816</Characters>
  <Application>Microsoft Office Word</Application>
  <DocSecurity>0</DocSecurity>
  <Lines>24</Lines>
  <Paragraphs>17</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5</cp:revision>
  <dcterms:created xsi:type="dcterms:W3CDTF">2025-07-07T07:28:00Z</dcterms:created>
  <dcterms:modified xsi:type="dcterms:W3CDTF">2025-07-07T07:49:00Z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2052-12.1.0.21541</vt:lpwstr>
  </property>
  <property fmtid="{D5CDD505-2E9C-101B-9397-08002B2CF9AE}" pid="4" name="ICV">
    <vt:lpwstr>B7DD771B8D244B7CB08A49B8F29508D0_12</vt:lpwstr>
  </property>
</Properties>
</file>