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9E0EC" w14:textId="77777777" w:rsidR="009072BD" w:rsidRDefault="00000000">
      <w:pPr>
        <w:jc w:val="center"/>
        <w:rPr>
          <w:rFonts w:ascii="思源黑体 CN Bold" w:eastAsia="思源黑体 CN Bold" w:hAnsi="思源黑体 CN Bold" w:hint="eastAsia"/>
          <w:b/>
          <w:bCs/>
          <w:sz w:val="28"/>
          <w:szCs w:val="28"/>
        </w:rPr>
      </w:pPr>
      <w:r>
        <w:rPr>
          <w:rFonts w:ascii="思源黑体 CN Bold" w:eastAsia="思源黑体 CN Bold" w:hAnsi="思源黑体 CN Bold" w:hint="eastAsia"/>
          <w:b/>
          <w:bCs/>
          <w:sz w:val="28"/>
          <w:szCs w:val="28"/>
        </w:rPr>
        <w:t>富</w:t>
      </w:r>
      <w:proofErr w:type="gramStart"/>
      <w:r>
        <w:rPr>
          <w:rFonts w:ascii="思源黑体 CN Bold" w:eastAsia="思源黑体 CN Bold" w:hAnsi="思源黑体 CN Bold" w:hint="eastAsia"/>
          <w:b/>
          <w:bCs/>
          <w:sz w:val="28"/>
          <w:szCs w:val="28"/>
        </w:rPr>
        <w:t>荣固收</w:t>
      </w:r>
      <w:proofErr w:type="gramEnd"/>
      <w:r>
        <w:rPr>
          <w:rFonts w:ascii="思源黑体 CN Bold" w:eastAsia="思源黑体 CN Bold" w:hAnsi="思源黑体 CN Bold" w:hint="eastAsia"/>
          <w:b/>
          <w:bCs/>
          <w:sz w:val="28"/>
          <w:szCs w:val="28"/>
        </w:rPr>
        <w:t>：季后资金转松，债市整体震荡偏强</w:t>
      </w:r>
    </w:p>
    <w:p w14:paraId="2A369BEC" w14:textId="77777777" w:rsidR="009072BD" w:rsidRDefault="00000000">
      <w:pPr>
        <w:rPr>
          <w:rFonts w:ascii="思源黑体 CN Light" w:eastAsia="思源黑体 CN Light" w:hAnsi="思源黑体 CN Light" w:hint="eastAsia"/>
          <w:szCs w:val="21"/>
        </w:rPr>
      </w:pPr>
      <w:r>
        <w:rPr>
          <w:rFonts w:ascii="思源黑体 CN Light" w:eastAsia="思源黑体 CN Light" w:hAnsi="思源黑体 CN Light" w:hint="eastAsia"/>
          <w:szCs w:val="21"/>
        </w:rPr>
        <w:t>观点：</w:t>
      </w:r>
      <w:bookmarkStart w:id="0" w:name="_Toc134985519"/>
    </w:p>
    <w:p w14:paraId="0C086C94" w14:textId="77777777" w:rsidR="009072B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（1）国内方面：</w:t>
      </w:r>
    </w:p>
    <w:p w14:paraId="3A3A13F3" w14:textId="77777777" w:rsidR="009072B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6月CPI食品</w:t>
      </w:r>
      <w:proofErr w:type="gramStart"/>
      <w:r>
        <w:rPr>
          <w:rFonts w:ascii="思源黑体 CN Light" w:eastAsia="思源黑体 CN Light" w:hAnsi="思源黑体 CN Light" w:hint="eastAsia"/>
          <w:szCs w:val="21"/>
        </w:rPr>
        <w:t>项价格</w:t>
      </w:r>
      <w:proofErr w:type="gramEnd"/>
      <w:r>
        <w:rPr>
          <w:rFonts w:ascii="思源黑体 CN Light" w:eastAsia="思源黑体 CN Light" w:hAnsi="思源黑体 CN Light" w:hint="eastAsia"/>
          <w:szCs w:val="21"/>
        </w:rPr>
        <w:t>偏弱运行，PPI受制于黑色系等工业品需求不振，经济弱复苏格局未改，需求疲软持续压制工业品价格。二季度数据或短暂扰动债券市场，但房地产低迷、信贷增速放缓等核心矛盾未解，基本面仍对债市形成支撑。后续关注政治局会议可能释放的增量政策预期。</w:t>
      </w:r>
    </w:p>
    <w:p w14:paraId="611C353B" w14:textId="77777777" w:rsidR="009072B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7月流动性环境或整体友好，存单到期压力减轻，信贷投放偏弱叠加理财回流形成支撑，</w:t>
      </w:r>
      <w:proofErr w:type="gramStart"/>
      <w:r>
        <w:rPr>
          <w:rFonts w:ascii="思源黑体 CN Light" w:eastAsia="思源黑体 CN Light" w:hAnsi="思源黑体 CN Light" w:hint="eastAsia"/>
          <w:szCs w:val="21"/>
        </w:rPr>
        <w:t>政府债净融资</w:t>
      </w:r>
      <w:proofErr w:type="gramEnd"/>
      <w:r>
        <w:rPr>
          <w:rFonts w:ascii="思源黑体 CN Light" w:eastAsia="思源黑体 CN Light" w:hAnsi="思源黑体 CN Light" w:hint="eastAsia"/>
          <w:szCs w:val="21"/>
        </w:rPr>
        <w:t>环比持平（约1.39</w:t>
      </w:r>
      <w:proofErr w:type="gramStart"/>
      <w:r>
        <w:rPr>
          <w:rFonts w:ascii="思源黑体 CN Light" w:eastAsia="思源黑体 CN Light" w:hAnsi="思源黑体 CN Light" w:hint="eastAsia"/>
          <w:szCs w:val="21"/>
        </w:rPr>
        <w:t>万亿</w:t>
      </w:r>
      <w:proofErr w:type="gramEnd"/>
      <w:r>
        <w:rPr>
          <w:rFonts w:ascii="思源黑体 CN Light" w:eastAsia="思源黑体 CN Light" w:hAnsi="思源黑体 CN Light" w:hint="eastAsia"/>
          <w:szCs w:val="21"/>
        </w:rPr>
        <w:t>）但需警惕税期和央行操作节奏微调可能。短期总量宽松（</w:t>
      </w:r>
      <w:proofErr w:type="gramStart"/>
      <w:r>
        <w:rPr>
          <w:rFonts w:ascii="思源黑体 CN Light" w:eastAsia="思源黑体 CN Light" w:hAnsi="思源黑体 CN Light" w:hint="eastAsia"/>
          <w:szCs w:val="21"/>
        </w:rPr>
        <w:t>降准降息</w:t>
      </w:r>
      <w:proofErr w:type="gramEnd"/>
      <w:r>
        <w:rPr>
          <w:rFonts w:ascii="思源黑体 CN Light" w:eastAsia="思源黑体 CN Light" w:hAnsi="思源黑体 CN Light" w:hint="eastAsia"/>
          <w:szCs w:val="21"/>
        </w:rPr>
        <w:t>）概率低，央行优先以MLF续作、买断式逆回购等</w:t>
      </w:r>
      <w:proofErr w:type="gramStart"/>
      <w:r>
        <w:rPr>
          <w:rFonts w:ascii="思源黑体 CN Light" w:eastAsia="思源黑体 CN Light" w:hAnsi="思源黑体 CN Light" w:hint="eastAsia"/>
          <w:szCs w:val="21"/>
        </w:rPr>
        <w:t>工具维稳流动性</w:t>
      </w:r>
      <w:proofErr w:type="gramEnd"/>
      <w:r>
        <w:rPr>
          <w:rFonts w:ascii="思源黑体 CN Light" w:eastAsia="思源黑体 CN Light" w:hAnsi="思源黑体 CN Light" w:hint="eastAsia"/>
          <w:szCs w:val="21"/>
        </w:rPr>
        <w:t>。重启国债购买可能推迟，但年内仍是重要政策工具储备。</w:t>
      </w:r>
    </w:p>
    <w:p w14:paraId="1232FE1D" w14:textId="77777777" w:rsidR="009072B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（2）海外及其他：</w:t>
      </w:r>
    </w:p>
    <w:p w14:paraId="494B64AB" w14:textId="46C2CE4C" w:rsidR="009072B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美国对华关税政策悬而未决，24%的暂停关税是否在7月</w:t>
      </w:r>
      <w:proofErr w:type="gramStart"/>
      <w:r>
        <w:rPr>
          <w:rFonts w:ascii="思源黑体 CN Light" w:eastAsia="思源黑体 CN Light" w:hAnsi="思源黑体 CN Light" w:hint="eastAsia"/>
          <w:szCs w:val="21"/>
        </w:rPr>
        <w:t>重启存不确定性</w:t>
      </w:r>
      <w:proofErr w:type="gramEnd"/>
      <w:r>
        <w:rPr>
          <w:rFonts w:ascii="思源黑体 CN Light" w:eastAsia="思源黑体 CN Light" w:hAnsi="思源黑体 CN Light" w:hint="eastAsia"/>
          <w:szCs w:val="21"/>
        </w:rPr>
        <w:t>，实际30%关税保留形成潜在扰动。外部风险偏好波动或阶段性</w:t>
      </w:r>
      <w:proofErr w:type="gramStart"/>
      <w:r>
        <w:rPr>
          <w:rFonts w:ascii="思源黑体 CN Light" w:eastAsia="思源黑体 CN Light" w:hAnsi="思源黑体 CN Light" w:hint="eastAsia"/>
          <w:szCs w:val="21"/>
        </w:rPr>
        <w:t>利好国</w:t>
      </w:r>
      <w:proofErr w:type="gramEnd"/>
      <w:r>
        <w:rPr>
          <w:rFonts w:ascii="思源黑体 CN Light" w:eastAsia="思源黑体 CN Light" w:hAnsi="思源黑体 CN Light" w:hint="eastAsia"/>
          <w:szCs w:val="21"/>
        </w:rPr>
        <w:t>内债市，但需防范事件驱动型冲击。</w:t>
      </w:r>
    </w:p>
    <w:p w14:paraId="6C61CE8F" w14:textId="77777777" w:rsidR="009072B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（3）上周债券市场：</w:t>
      </w:r>
    </w:p>
    <w:p w14:paraId="7F3E2700" w14:textId="77777777" w:rsidR="009072B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上周（2025年6月30日-2025年7月4日，以下简称上周）债市维持震荡偏强格局，利率债收益率多数下行，跨季后资金面维持宽松，隔夜利率下至1.3%水平。</w:t>
      </w:r>
    </w:p>
    <w:p w14:paraId="0E6B304D" w14:textId="77777777" w:rsidR="009072B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展望后市，债市整体或仍在有利环境。但7月仍存在关税、会议等扰动因素，若资金利率持续低位，市场有望在7月走出由短及长行情。</w:t>
      </w:r>
    </w:p>
    <w:p w14:paraId="4128B2D8" w14:textId="77777777" w:rsidR="009072BD" w:rsidRDefault="00000000">
      <w:pPr>
        <w:pStyle w:val="1"/>
        <w:tabs>
          <w:tab w:val="left" w:pos="6289"/>
        </w:tabs>
        <w:spacing w:line="360" w:lineRule="auto"/>
        <w:rPr>
          <w:rFonts w:ascii="思源黑体 CN Light" w:eastAsia="思源黑体 CN Light" w:hAnsi="思源黑体 CN Light" w:cs="Times New Roman" w:hint="eastAsia"/>
          <w:szCs w:val="21"/>
        </w:rPr>
      </w:pPr>
      <w:r>
        <w:rPr>
          <w:rFonts w:ascii="思源黑体 CN Light" w:eastAsia="思源黑体 CN Light" w:hAnsi="思源黑体 CN Light" w:cs="Arial" w:hint="eastAsia"/>
          <w:sz w:val="36"/>
          <w:szCs w:val="36"/>
        </w:rPr>
        <w:lastRenderedPageBreak/>
        <w:t>1</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高频数据</w:t>
      </w:r>
      <w:bookmarkEnd w:id="0"/>
    </w:p>
    <w:p w14:paraId="5161DD23" w14:textId="77777777" w:rsidR="009072BD" w:rsidRDefault="00000000">
      <w:pPr>
        <w:spacing w:line="288" w:lineRule="auto"/>
        <w:ind w:firstLineChars="200" w:firstLine="440"/>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美联储主席鲍威尔暗示美国通胀压力正在缓慢回落，导致市场情绪反复。截至7月4日，美元指数下跌0.28%，在岸人民币涨0.05%，欧元涨0.65%，</w:t>
      </w:r>
      <w:proofErr w:type="gramStart"/>
      <w:r>
        <w:rPr>
          <w:rFonts w:ascii="思源黑体 CN Light" w:eastAsia="思源黑体 CN Light" w:hAnsi="思源黑体 CN Light" w:cs="Times New Roman" w:hint="eastAsia"/>
          <w:sz w:val="22"/>
          <w:szCs w:val="21"/>
          <w14:ligatures w14:val="standardContextual"/>
        </w:rPr>
        <w:t>瑞郎涨</w:t>
      </w:r>
      <w:proofErr w:type="gramEnd"/>
      <w:r>
        <w:rPr>
          <w:rFonts w:ascii="思源黑体 CN Light" w:eastAsia="思源黑体 CN Light" w:hAnsi="思源黑体 CN Light" w:cs="Times New Roman" w:hint="eastAsia"/>
          <w:sz w:val="22"/>
          <w:szCs w:val="21"/>
          <w14:ligatures w14:val="standardContextual"/>
        </w:rPr>
        <w:t>0.70%。</w:t>
      </w:r>
    </w:p>
    <w:p w14:paraId="326D6B4C" w14:textId="77777777" w:rsidR="009072BD"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图一：主要货币变化率</w:t>
      </w:r>
      <w:r>
        <w:rPr>
          <w:rFonts w:ascii="思源黑体 CN Light" w:eastAsia="思源黑体 CN Light" w:hAnsi="思源黑体 CN Light" w:cs="Times New Roman"/>
          <w:b/>
          <w:noProof/>
          <w:color w:val="000000"/>
          <w:kern w:val="0"/>
          <w:sz w:val="20"/>
          <w:szCs w:val="20"/>
        </w:rPr>
        <w:drawing>
          <wp:inline distT="0" distB="0" distL="0" distR="0" wp14:anchorId="1E2EB49F" wp14:editId="00D403BE">
            <wp:extent cx="5274310" cy="2060575"/>
            <wp:effectExtent l="0" t="0" r="2540" b="0"/>
            <wp:docPr id="49" name="图片 48"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图表, 条形图&#10;&#10;AI 生成的内容可能不正确。"/>
                    <pic:cNvPicPr>
                      <a:picLocks noChangeAspect="1"/>
                    </pic:cNvPicPr>
                  </pic:nvPicPr>
                  <pic:blipFill>
                    <a:blip r:embed="rId6"/>
                    <a:stretch>
                      <a:fillRect/>
                    </a:stretch>
                  </pic:blipFill>
                  <pic:spPr>
                    <a:xfrm>
                      <a:off x="0" y="0"/>
                      <a:ext cx="5274310" cy="206057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数据来源：wind，富荣基金；统计区间：20250630-2025</w:t>
      </w:r>
      <w:bookmarkStart w:id="1" w:name="_Toc134985520"/>
      <w:r>
        <w:rPr>
          <w:rFonts w:ascii="思源黑体 CN Light" w:eastAsia="思源黑体 CN Light" w:hAnsi="思源黑体 CN Light" w:cs="Times New Roman" w:hint="eastAsia"/>
          <w:sz w:val="16"/>
          <w:szCs w:val="16"/>
        </w:rPr>
        <w:t>0704</w:t>
      </w:r>
    </w:p>
    <w:p w14:paraId="2ABA0572" w14:textId="77777777" w:rsidR="009072BD" w:rsidRDefault="00000000">
      <w:pPr>
        <w:pStyle w:val="1"/>
        <w:spacing w:line="360" w:lineRule="auto"/>
        <w:rPr>
          <w:rFonts w:ascii="思源黑体 CN Light" w:eastAsia="思源黑体 CN Light" w:hAnsi="思源黑体 CN Light" w:cs="Arial" w:hint="eastAsia"/>
          <w:sz w:val="36"/>
          <w:szCs w:val="36"/>
        </w:rPr>
      </w:pPr>
      <w:r>
        <w:rPr>
          <w:rFonts w:ascii="思源黑体 CN Light" w:eastAsia="思源黑体 CN Light" w:hAnsi="思源黑体 CN Light" w:cs="Arial" w:hint="eastAsia"/>
          <w:sz w:val="36"/>
          <w:szCs w:val="36"/>
        </w:rPr>
        <w:t>2</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债券市场</w:t>
      </w:r>
      <w:bookmarkEnd w:id="1"/>
    </w:p>
    <w:p w14:paraId="3D6FC127" w14:textId="77777777" w:rsidR="009072BD" w:rsidRDefault="00000000">
      <w:pPr>
        <w:spacing w:line="288" w:lineRule="auto"/>
        <w:ind w:firstLineChars="200" w:firstLine="449"/>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资金面呈现“短期扰动与中期宽松并存”。</w:t>
      </w:r>
      <w:r>
        <w:rPr>
          <w:rFonts w:ascii="思源黑体 CN Light" w:eastAsia="思源黑体 CN Light" w:hAnsi="思源黑体 CN Light" w:cs="Times New Roman" w:hint="eastAsia"/>
          <w:sz w:val="22"/>
          <w:szCs w:val="21"/>
          <w14:ligatures w14:val="standardContextual"/>
        </w:rPr>
        <w:t>DR001下行5.43bp至1.31%，DR007下行27.46bp至1.42%，R001下行9.94bp至1.36％，R007下行43.20bp至1.49％，GC001下行207.20bp至1.43%，GC007下行51.70bp至1.49％。</w:t>
      </w:r>
    </w:p>
    <w:p w14:paraId="0351CDBD" w14:textId="77777777" w:rsidR="009072BD" w:rsidRDefault="00000000">
      <w:pPr>
        <w:spacing w:line="288" w:lineRule="auto"/>
        <w:ind w:firstLineChars="200" w:firstLine="449"/>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债市短端收益率下行。</w:t>
      </w:r>
      <w:r>
        <w:rPr>
          <w:rFonts w:ascii="思源黑体 CN Light" w:eastAsia="思源黑体 CN Light" w:hAnsi="思源黑体 CN Light" w:cs="Times New Roman" w:hint="eastAsia"/>
          <w:sz w:val="22"/>
          <w:szCs w:val="21"/>
          <w14:ligatures w14:val="standardContextual"/>
        </w:rPr>
        <w:t xml:space="preserve">1Y、5Y、10Y、30Y国债收益率分别较前一周变化-0.90bp、-1.36bp、-0.29bp、0.2bp至1.3362%、1.4929%、1.6433%、1.8516%。   </w:t>
      </w:r>
      <w:r>
        <w:rPr>
          <w:rFonts w:ascii="思源黑体 CN Light" w:eastAsia="思源黑体 CN Light" w:hAnsi="思源黑体 CN Light" w:cs="Times New Roman" w:hint="eastAsia"/>
          <w:b/>
          <w:bCs/>
          <w:sz w:val="22"/>
          <w:szCs w:val="21"/>
          <w14:ligatures w14:val="standardContextual"/>
        </w:rPr>
        <w:t xml:space="preserve">                                                                                                                                                                                                                                                  </w:t>
      </w:r>
    </w:p>
    <w:p w14:paraId="744E7398" w14:textId="77777777" w:rsidR="009072BD" w:rsidRDefault="00000000">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图二：资金面变化</w:t>
      </w:r>
      <w:r>
        <w:rPr>
          <w:rFonts w:ascii="思源黑体 CN Light" w:eastAsia="思源黑体 CN Light" w:hAnsi="思源黑体 CN Light" w:cs="Times New Roman"/>
          <w:b/>
          <w:noProof/>
          <w:color w:val="000000"/>
          <w:kern w:val="0"/>
          <w:sz w:val="20"/>
          <w:szCs w:val="20"/>
        </w:rPr>
        <w:lastRenderedPageBreak/>
        <w:drawing>
          <wp:inline distT="0" distB="0" distL="0" distR="0" wp14:anchorId="60A04A8A" wp14:editId="00588B05">
            <wp:extent cx="4390390" cy="2593340"/>
            <wp:effectExtent l="0" t="0" r="0" b="0"/>
            <wp:docPr id="72" name="图片 71"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descr="图表&#10;&#10;AI 生成的内容可能不正确。"/>
                    <pic:cNvPicPr>
                      <a:picLocks noChangeAspect="1"/>
                    </pic:cNvPicPr>
                  </pic:nvPicPr>
                  <pic:blipFill>
                    <a:blip r:embed="rId7"/>
                    <a:stretch>
                      <a:fillRect/>
                    </a:stretch>
                  </pic:blipFill>
                  <pic:spPr>
                    <a:xfrm>
                      <a:off x="0" y="0"/>
                      <a:ext cx="4390454" cy="2593365"/>
                    </a:xfrm>
                    <a:prstGeom prst="rect">
                      <a:avLst/>
                    </a:prstGeom>
                  </pic:spPr>
                </pic:pic>
              </a:graphicData>
            </a:graphic>
          </wp:inline>
        </w:drawing>
      </w:r>
    </w:p>
    <w:p w14:paraId="00B5874F" w14:textId="77777777" w:rsidR="009072BD"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sz w:val="16"/>
          <w:szCs w:val="16"/>
        </w:rPr>
        <w:t>数据来源：wind，富荣基金；统计区间：20250630-20250704</w:t>
      </w:r>
    </w:p>
    <w:p w14:paraId="4F149A45" w14:textId="77777777" w:rsidR="009072BD" w:rsidRDefault="00000000">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图三：</w:t>
      </w:r>
      <w:proofErr w:type="gramStart"/>
      <w:r>
        <w:rPr>
          <w:rFonts w:ascii="思源黑体 CN Light" w:eastAsia="思源黑体 CN Light" w:hAnsi="思源黑体 CN Light" w:cs="Times New Roman" w:hint="eastAsia"/>
          <w:b/>
          <w:color w:val="000000"/>
          <w:kern w:val="0"/>
          <w:sz w:val="20"/>
          <w:szCs w:val="20"/>
        </w:rPr>
        <w:t>国债周度</w:t>
      </w:r>
      <w:proofErr w:type="gramEnd"/>
      <w:r>
        <w:rPr>
          <w:rFonts w:ascii="思源黑体 CN Light" w:eastAsia="思源黑体 CN Light" w:hAnsi="思源黑体 CN Light" w:cs="Times New Roman" w:hint="eastAsia"/>
          <w:b/>
          <w:color w:val="000000"/>
          <w:kern w:val="0"/>
          <w:sz w:val="20"/>
          <w:szCs w:val="20"/>
        </w:rPr>
        <w:t>变化</w:t>
      </w:r>
    </w:p>
    <w:p w14:paraId="646F2839" w14:textId="77777777" w:rsidR="009072BD"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b/>
          <w:noProof/>
          <w:color w:val="000000"/>
          <w:kern w:val="0"/>
          <w:sz w:val="20"/>
          <w:szCs w:val="20"/>
        </w:rPr>
        <w:drawing>
          <wp:inline distT="0" distB="0" distL="0" distR="0" wp14:anchorId="5FD9F98F" wp14:editId="4847CC60">
            <wp:extent cx="4059555" cy="2578100"/>
            <wp:effectExtent l="0" t="0" r="0" b="0"/>
            <wp:docPr id="71" name="图片 70"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图表, 瀑布图&#10;&#10;AI 生成的内容可能不正确。"/>
                    <pic:cNvPicPr>
                      <a:picLocks noChangeAspect="1"/>
                    </pic:cNvPicPr>
                  </pic:nvPicPr>
                  <pic:blipFill>
                    <a:blip r:embed="rId8"/>
                    <a:stretch>
                      <a:fillRect/>
                    </a:stretch>
                  </pic:blipFill>
                  <pic:spPr>
                    <a:xfrm>
                      <a:off x="0" y="0"/>
                      <a:ext cx="4059936" cy="2578608"/>
                    </a:xfrm>
                    <a:prstGeom prst="rect">
                      <a:avLst/>
                    </a:prstGeom>
                  </pic:spPr>
                </pic:pic>
              </a:graphicData>
            </a:graphic>
          </wp:inline>
        </w:drawing>
      </w:r>
    </w:p>
    <w:p w14:paraId="1767123D" w14:textId="77777777" w:rsidR="009072BD"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sz w:val="16"/>
          <w:szCs w:val="16"/>
        </w:rPr>
        <w:t>数据来源：wind，富荣基金；统计区间：20250630-20250704</w:t>
      </w:r>
    </w:p>
    <w:p w14:paraId="6833677A" w14:textId="77777777" w:rsidR="009072BD" w:rsidRDefault="00000000">
      <w:pPr>
        <w:spacing w:line="288" w:lineRule="auto"/>
        <w:ind w:firstLineChars="200" w:firstLine="440"/>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上周资金跨季后转松，央行OMO大幅净回笼，资金跨季后转松1.375</w:t>
      </w:r>
      <w:proofErr w:type="gramStart"/>
      <w:r>
        <w:rPr>
          <w:rFonts w:ascii="思源黑体 CN Light" w:eastAsia="思源黑体 CN Light" w:hAnsi="思源黑体 CN Light" w:cs="Times New Roman" w:hint="eastAsia"/>
          <w:sz w:val="22"/>
          <w:szCs w:val="21"/>
          <w14:ligatures w14:val="standardContextual"/>
        </w:rPr>
        <w:t>万亿</w:t>
      </w:r>
      <w:proofErr w:type="gramEnd"/>
      <w:r>
        <w:rPr>
          <w:rFonts w:ascii="思源黑体 CN Light" w:eastAsia="思源黑体 CN Light" w:hAnsi="思源黑体 CN Light" w:cs="Times New Roman" w:hint="eastAsia"/>
          <w:sz w:val="22"/>
          <w:szCs w:val="21"/>
          <w14:ligatures w14:val="standardContextual"/>
        </w:rPr>
        <w:t>元，总体资金面仍然偏宽松状态。</w:t>
      </w:r>
    </w:p>
    <w:p w14:paraId="1715B1CD" w14:textId="77777777" w:rsidR="009072BD" w:rsidRDefault="00000000">
      <w:pPr>
        <w:spacing w:line="288" w:lineRule="auto"/>
        <w:ind w:firstLineChars="200" w:firstLine="440"/>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收益率继续下行，信用虽跟随下行但国开利差有所拉大，符合7月季节性特征。短期内存单下行趋势或仍持续，带动债市小幅陡峭化。当前市场聚焦利差挖掘，对长久期开始形成一定利好。</w:t>
      </w:r>
    </w:p>
    <w:p w14:paraId="3652D054" w14:textId="77777777" w:rsidR="009072BD" w:rsidRDefault="00000000">
      <w:pPr>
        <w:spacing w:line="288" w:lineRule="auto"/>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图四：信用债收益率变化</w:t>
      </w:r>
    </w:p>
    <w:p w14:paraId="220EEB9A" w14:textId="77777777" w:rsidR="009072BD" w:rsidRDefault="00000000">
      <w:pPr>
        <w:spacing w:line="288" w:lineRule="auto"/>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b/>
          <w:noProof/>
          <w:color w:val="000000"/>
          <w:kern w:val="0"/>
          <w:sz w:val="20"/>
          <w:szCs w:val="20"/>
        </w:rPr>
        <w:lastRenderedPageBreak/>
        <w:drawing>
          <wp:inline distT="0" distB="0" distL="0" distR="0" wp14:anchorId="0578568C" wp14:editId="749CD9E6">
            <wp:extent cx="4168140" cy="2415540"/>
            <wp:effectExtent l="0" t="0" r="3810" b="3810"/>
            <wp:docPr id="78" name="图片 77"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7" descr="图表, 瀑布图&#10;&#10;AI 生成的内容可能不正确。"/>
                    <pic:cNvPicPr>
                      <a:picLocks noChangeAspect="1"/>
                    </pic:cNvPicPr>
                  </pic:nvPicPr>
                  <pic:blipFill>
                    <a:blip r:embed="rId9"/>
                    <a:srcRect t="21026" r="53064"/>
                    <a:stretch>
                      <a:fillRect/>
                    </a:stretch>
                  </pic:blipFill>
                  <pic:spPr>
                    <a:xfrm>
                      <a:off x="0" y="0"/>
                      <a:ext cx="4168140" cy="2415540"/>
                    </a:xfrm>
                    <a:prstGeom prst="rect">
                      <a:avLst/>
                    </a:prstGeom>
                    <a:ln>
                      <a:noFill/>
                    </a:ln>
                  </pic:spPr>
                </pic:pic>
              </a:graphicData>
            </a:graphic>
          </wp:inline>
        </w:drawing>
      </w:r>
    </w:p>
    <w:p w14:paraId="3171388E" w14:textId="77777777" w:rsidR="009072BD" w:rsidRDefault="00000000">
      <w:pPr>
        <w:spacing w:line="288" w:lineRule="auto"/>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sz w:val="16"/>
          <w:szCs w:val="16"/>
        </w:rPr>
        <w:t>数据来源：wind，富荣基金；统计区间：20250630-20250704</w:t>
      </w:r>
    </w:p>
    <w:p w14:paraId="5F936F9C" w14:textId="77777777" w:rsidR="009072BD" w:rsidRDefault="00000000">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图五：信用利差变化</w:t>
      </w:r>
    </w:p>
    <w:p w14:paraId="362D8D36" w14:textId="77777777" w:rsidR="009072BD" w:rsidRDefault="00000000">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b/>
          <w:noProof/>
          <w:color w:val="000000"/>
          <w:kern w:val="0"/>
          <w:sz w:val="20"/>
          <w:szCs w:val="20"/>
        </w:rPr>
        <w:drawing>
          <wp:inline distT="0" distB="0" distL="0" distR="0" wp14:anchorId="406050BA" wp14:editId="4A05D94B">
            <wp:extent cx="3848100" cy="2468880"/>
            <wp:effectExtent l="0" t="0" r="0" b="7620"/>
            <wp:docPr id="1745555526" name="图片 77"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55526" name="图片 77" descr="图表, 瀑布图&#10;&#10;AI 生成的内容可能不正确。"/>
                    <pic:cNvPicPr>
                      <a:picLocks noChangeAspect="1"/>
                    </pic:cNvPicPr>
                  </pic:nvPicPr>
                  <pic:blipFill>
                    <a:blip r:embed="rId9"/>
                    <a:srcRect l="45365" t="21538"/>
                    <a:stretch>
                      <a:fillRect/>
                    </a:stretch>
                  </pic:blipFill>
                  <pic:spPr>
                    <a:xfrm>
                      <a:off x="0" y="0"/>
                      <a:ext cx="3848100" cy="2468880"/>
                    </a:xfrm>
                    <a:prstGeom prst="rect">
                      <a:avLst/>
                    </a:prstGeom>
                    <a:ln>
                      <a:noFill/>
                    </a:ln>
                  </pic:spPr>
                </pic:pic>
              </a:graphicData>
            </a:graphic>
          </wp:inline>
        </w:drawing>
      </w:r>
    </w:p>
    <w:p w14:paraId="0C8F2CC8" w14:textId="77777777" w:rsidR="009072BD"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sz w:val="16"/>
          <w:szCs w:val="16"/>
        </w:rPr>
        <w:t>数据来源：wind，富荣基金；统计区间：20250630-20250704</w:t>
      </w:r>
    </w:p>
    <w:p w14:paraId="6BB5B82A" w14:textId="77777777" w:rsidR="009072BD" w:rsidRDefault="009072BD">
      <w:pPr>
        <w:ind w:firstLineChars="200" w:firstLine="400"/>
        <w:rPr>
          <w:rFonts w:ascii="思源黑体 CN Light" w:eastAsia="思源黑体 CN Light" w:hAnsi="思源黑体 CN Light" w:hint="eastAsia"/>
          <w:sz w:val="20"/>
          <w:szCs w:val="20"/>
        </w:rPr>
      </w:pPr>
    </w:p>
    <w:p w14:paraId="35671659" w14:textId="77777777" w:rsidR="009072BD" w:rsidRDefault="009072BD">
      <w:pPr>
        <w:ind w:firstLineChars="200" w:firstLine="400"/>
        <w:rPr>
          <w:rFonts w:ascii="思源黑体 CN Light" w:eastAsia="思源黑体 CN Light" w:hAnsi="思源黑体 CN Light" w:hint="eastAsia"/>
          <w:sz w:val="20"/>
          <w:szCs w:val="20"/>
        </w:rPr>
      </w:pPr>
    </w:p>
    <w:p w14:paraId="4ED12E2C" w14:textId="77777777" w:rsidR="009072BD" w:rsidRDefault="00000000">
      <w:pPr>
        <w:ind w:firstLineChars="200" w:firstLine="400"/>
        <w:rPr>
          <w:rFonts w:ascii="思源黑体 CN Light" w:eastAsia="思源黑体 CN Light" w:hAnsi="思源黑体 CN Light" w:cs="Times New Roman" w:hint="eastAsia"/>
          <w:sz w:val="20"/>
          <w:szCs w:val="20"/>
        </w:rPr>
      </w:pPr>
      <w:r>
        <w:rPr>
          <w:rFonts w:ascii="思源黑体 CN Light" w:eastAsia="思源黑体 CN Light" w:hAnsi="思源黑体 CN Light" w:hint="eastAsia"/>
          <w:sz w:val="20"/>
          <w:szCs w:val="20"/>
        </w:rPr>
        <w:t>风险提示：</w:t>
      </w:r>
    </w:p>
    <w:p w14:paraId="49E51FA8" w14:textId="77777777" w:rsidR="009072BD" w:rsidRDefault="00000000">
      <w:pPr>
        <w:rPr>
          <w:rFonts w:hint="eastAsia"/>
        </w:rPr>
      </w:pPr>
      <w:r>
        <w:rPr>
          <w:rFonts w:ascii="思源黑体 CN Light" w:eastAsia="思源黑体 CN Light" w:hAnsi="思源黑体 CN Light"/>
          <w:sz w:val="20"/>
          <w:szCs w:val="20"/>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20"/>
          <w:szCs w:val="20"/>
        </w:rPr>
        <w:t>作出</w:t>
      </w:r>
      <w:proofErr w:type="gramEnd"/>
      <w:r>
        <w:rPr>
          <w:rFonts w:ascii="思源黑体 CN Light" w:eastAsia="思源黑体 CN Light" w:hAnsi="思源黑体 CN Light"/>
          <w:sz w:val="20"/>
          <w:szCs w:val="20"/>
        </w:rPr>
        <w:t>调整。2、本材料中的资料、观点和预测等仅供参考，在任何时候均不构成对任何人的个人推荐。</w:t>
      </w:r>
      <w:r>
        <w:rPr>
          <w:rFonts w:ascii="思源黑体 CN Light" w:eastAsia="思源黑体 CN Light" w:hAnsi="思源黑体 CN Light"/>
          <w:sz w:val="20"/>
          <w:szCs w:val="20"/>
        </w:rPr>
        <w:lastRenderedPageBreak/>
        <w:t>市场有风险，投资需谨慎。</w:t>
      </w:r>
    </w:p>
    <w:p w14:paraId="75FC496B" w14:textId="77777777" w:rsidR="009072BD" w:rsidRDefault="009072BD">
      <w:pPr>
        <w:rPr>
          <w:rFonts w:hint="eastAsia"/>
        </w:rPr>
      </w:pPr>
    </w:p>
    <w:p w14:paraId="6A998275" w14:textId="77777777" w:rsidR="009072BD" w:rsidRDefault="009072BD">
      <w:pPr>
        <w:rPr>
          <w:rFonts w:hint="eastAsia"/>
        </w:rPr>
      </w:pPr>
    </w:p>
    <w:sectPr w:rsidR="009072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9397E" w14:textId="77777777" w:rsidR="00912BEF" w:rsidRDefault="00912BEF">
      <w:pPr>
        <w:rPr>
          <w:rFonts w:hint="eastAsia"/>
        </w:rPr>
      </w:pPr>
      <w:r>
        <w:separator/>
      </w:r>
    </w:p>
  </w:endnote>
  <w:endnote w:type="continuationSeparator" w:id="0">
    <w:p w14:paraId="1156259F" w14:textId="77777777" w:rsidR="00912BEF" w:rsidRDefault="00912B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B5181" w14:textId="77777777" w:rsidR="00912BEF" w:rsidRDefault="00912BEF">
      <w:pPr>
        <w:rPr>
          <w:rFonts w:hint="eastAsia"/>
        </w:rPr>
      </w:pPr>
      <w:r>
        <w:separator/>
      </w:r>
    </w:p>
  </w:footnote>
  <w:footnote w:type="continuationSeparator" w:id="0">
    <w:p w14:paraId="4910A0BB" w14:textId="77777777" w:rsidR="00912BEF" w:rsidRDefault="00912BE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D1"/>
    <w:rsid w:val="000916BB"/>
    <w:rsid w:val="00251667"/>
    <w:rsid w:val="00263880"/>
    <w:rsid w:val="002953D1"/>
    <w:rsid w:val="002F63B0"/>
    <w:rsid w:val="00397A52"/>
    <w:rsid w:val="007D6B35"/>
    <w:rsid w:val="00852735"/>
    <w:rsid w:val="009072BD"/>
    <w:rsid w:val="00912BEF"/>
    <w:rsid w:val="00924B77"/>
    <w:rsid w:val="009E5696"/>
    <w:rsid w:val="00F15063"/>
    <w:rsid w:val="4B38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D45B6"/>
  <w15:docId w15:val="{5CE31D40-090C-43D9-8E5B-32F71A99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b">
    <w:name w:val="明显引用 字符"/>
    <w:basedOn w:val="a0"/>
    <w:link w:val="aa"/>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styleId="ac">
    <w:name w:val="Revision"/>
    <w:hidden/>
    <w:uiPriority w:val="99"/>
    <w:unhideWhenUsed/>
    <w:rsid w:val="00F150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766</Words>
  <Characters>943</Characters>
  <Application>Microsoft Office Word</Application>
  <DocSecurity>0</DocSecurity>
  <Lines>39</Lines>
  <Paragraphs>33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4</cp:revision>
  <dcterms:created xsi:type="dcterms:W3CDTF">2025-07-07T01:00:00Z</dcterms:created>
  <dcterms:modified xsi:type="dcterms:W3CDTF">2025-07-07T07:42:00Z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2052-12.1.0.21541</vt:lpwstr>
  </property>
  <property fmtid="{D5CDD505-2E9C-101B-9397-08002B2CF9AE}" pid="4" name="ICV">
    <vt:lpwstr>FF2054B2EDAF4FB181603E4436E15BFD_12</vt:lpwstr>
  </property>
</Properties>
</file>