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C1829" w14:textId="77777777" w:rsidR="00D71E9E" w:rsidRDefault="00000000">
      <w:pPr>
        <w:pStyle w:val="2"/>
        <w:tabs>
          <w:tab w:val="left" w:pos="4364"/>
          <w:tab w:val="right" w:pos="10204"/>
        </w:tabs>
        <w:jc w:val="center"/>
        <w:rPr>
          <w:rFonts w:ascii="思源黑体 CN Bold" w:eastAsia="思源黑体 CN Bold" w:hAnsi="思源黑体 CN Bold" w:cs="Times New Roman" w:hint="eastAsia"/>
          <w:b/>
          <w:color w:val="FA842D"/>
          <w:kern w:val="0"/>
          <w:sz w:val="24"/>
          <w:szCs w:val="18"/>
        </w:rPr>
      </w:pPr>
      <w:bookmarkStart w:id="0" w:name="_Hlk182226954"/>
      <w:r>
        <w:rPr>
          <w:rFonts w:ascii="思源黑体 CN Bold" w:eastAsia="思源黑体 CN Bold" w:hAnsi="思源黑体 CN Bold" w:cs="Times New Roman" w:hint="eastAsia"/>
          <w:b/>
          <w:color w:val="FA842D"/>
          <w:kern w:val="0"/>
          <w:sz w:val="24"/>
          <w:szCs w:val="18"/>
        </w:rPr>
        <w:t>富荣权益：市场成交额持续放大，做多情绪高涨</w:t>
      </w:r>
    </w:p>
    <w:p w14:paraId="20579ADD" w14:textId="77777777" w:rsidR="00D71E9E" w:rsidRDefault="00000000">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hint="eastAsia"/>
          <w:b/>
          <w:bCs/>
          <w:sz w:val="22"/>
          <w:szCs w:val="24"/>
        </w:rPr>
        <w:t>一</w:t>
      </w:r>
      <w:r>
        <w:rPr>
          <w:rFonts w:ascii="思源黑体 CN Light" w:eastAsia="思源黑体 CN Light" w:hAnsi="思源黑体 CN Light" w:cs="Times New Roman"/>
          <w:b/>
          <w:bCs/>
          <w:sz w:val="22"/>
          <w:szCs w:val="24"/>
        </w:rPr>
        <w:t>、</w:t>
      </w:r>
      <w:r>
        <w:rPr>
          <w:rFonts w:ascii="思源黑体 CN Light" w:eastAsia="思源黑体 CN Light" w:hAnsi="思源黑体 CN Light" w:cs="Times New Roman" w:hint="eastAsia"/>
          <w:b/>
          <w:bCs/>
          <w:sz w:val="22"/>
          <w:szCs w:val="24"/>
        </w:rPr>
        <w:t>权益</w:t>
      </w:r>
      <w:proofErr w:type="gramStart"/>
      <w:r>
        <w:rPr>
          <w:rFonts w:ascii="思源黑体 CN Light" w:eastAsia="思源黑体 CN Light" w:hAnsi="思源黑体 CN Light" w:cs="Times New Roman"/>
          <w:b/>
          <w:bCs/>
          <w:sz w:val="22"/>
          <w:szCs w:val="24"/>
        </w:rPr>
        <w:t>市场</w:t>
      </w:r>
      <w:r>
        <w:rPr>
          <w:rFonts w:ascii="思源黑体 CN Light" w:eastAsia="思源黑体 CN Light" w:hAnsi="思源黑体 CN Light" w:cs="Times New Roman" w:hint="eastAsia"/>
          <w:b/>
          <w:bCs/>
          <w:sz w:val="22"/>
          <w:szCs w:val="24"/>
        </w:rPr>
        <w:t>周度表现</w:t>
      </w:r>
      <w:proofErr w:type="gramEnd"/>
    </w:p>
    <w:p w14:paraId="5BDCCC14" w14:textId="77777777" w:rsidR="00D71E9E" w:rsidRDefault="00000000">
      <w:pPr>
        <w:ind w:firstLineChars="200" w:firstLine="420"/>
        <w:jc w:val="left"/>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上周（2025年7月7日至2025年7月11日，下同）权益市场普遍反弹，</w:t>
      </w:r>
      <w:r>
        <w:rPr>
          <w:rFonts w:ascii="思源黑体 CN Light" w:eastAsia="思源黑体 CN Light" w:hAnsi="思源黑体 CN Light" w:cs="Times New Roman"/>
          <w:color w:val="000000" w:themeColor="text1"/>
          <w:sz w:val="21"/>
          <w:szCs w:val="20"/>
        </w:rPr>
        <w:t>深证成指、上证指数、创业板指分别报收</w:t>
      </w:r>
      <w:r>
        <w:rPr>
          <w:rFonts w:ascii="思源黑体 CN Light" w:eastAsia="思源黑体 CN Light" w:hAnsi="思源黑体 CN Light" w:cs="Times New Roman" w:hint="eastAsia"/>
          <w:color w:val="000000" w:themeColor="text1"/>
          <w:sz w:val="21"/>
          <w:szCs w:val="20"/>
        </w:rPr>
        <w:t>10696.10</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3510.18</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2207.10</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。各主要指数涨跌表现如下：创成长（+2.78%）、创业板50（+2.65%）、中证1000（+2.36%）、创业板指（+2.36%）、中证500（+1.96%）、深证成指（+1.78%）、上证指数（+1.09%）、</w:t>
      </w:r>
      <w:proofErr w:type="gramStart"/>
      <w:r>
        <w:rPr>
          <w:rFonts w:ascii="思源黑体 CN Light" w:eastAsia="思源黑体 CN Light" w:hAnsi="思源黑体 CN Light" w:cs="Times New Roman" w:hint="eastAsia"/>
          <w:color w:val="000000" w:themeColor="text1"/>
          <w:sz w:val="21"/>
          <w:szCs w:val="20"/>
        </w:rPr>
        <w:t>科创</w:t>
      </w:r>
      <w:proofErr w:type="gramEnd"/>
      <w:r>
        <w:rPr>
          <w:rFonts w:ascii="思源黑体 CN Light" w:eastAsia="思源黑体 CN Light" w:hAnsi="思源黑体 CN Light" w:cs="Times New Roman" w:hint="eastAsia"/>
          <w:color w:val="000000" w:themeColor="text1"/>
          <w:sz w:val="21"/>
          <w:szCs w:val="20"/>
        </w:rPr>
        <w:t>50（+0.98%）、沪深300（+0.82%）、上证50（+0.60%）。</w:t>
      </w:r>
    </w:p>
    <w:p w14:paraId="20B621D8" w14:textId="77777777" w:rsidR="00D71E9E" w:rsidRDefault="00000000">
      <w:pPr>
        <w:ind w:firstLineChars="200" w:firstLine="428"/>
        <w:jc w:val="left"/>
        <w:rPr>
          <w:rFonts w:ascii="思源黑体 CN Light" w:eastAsia="思源黑体 CN Light" w:hAnsi="思源黑体 CN Light" w:cs="Times New Roman" w:hint="eastAsia"/>
          <w:sz w:val="13"/>
          <w:szCs w:val="20"/>
        </w:rPr>
      </w:pPr>
      <w:r>
        <w:rPr>
          <w:rFonts w:ascii="思源黑体 CN Light" w:eastAsia="思源黑体 CN Light" w:hAnsi="思源黑体 CN Light" w:cs="Times New Roman"/>
          <w:b/>
          <w:sz w:val="21"/>
          <w:szCs w:val="20"/>
        </w:rPr>
        <w:t>图：主要</w:t>
      </w:r>
      <w:proofErr w:type="gramStart"/>
      <w:r>
        <w:rPr>
          <w:rFonts w:ascii="思源黑体 CN Light" w:eastAsia="思源黑体 CN Light" w:hAnsi="思源黑体 CN Light" w:cs="Times New Roman"/>
          <w:b/>
          <w:sz w:val="21"/>
          <w:szCs w:val="20"/>
        </w:rPr>
        <w:t>股指</w:t>
      </w:r>
      <w:r>
        <w:rPr>
          <w:rFonts w:ascii="思源黑体 CN Light" w:eastAsia="思源黑体 CN Light" w:hAnsi="思源黑体 CN Light" w:cs="Times New Roman" w:hint="eastAsia"/>
          <w:b/>
          <w:sz w:val="21"/>
          <w:szCs w:val="20"/>
        </w:rPr>
        <w:t>周度</w:t>
      </w:r>
      <w:proofErr w:type="gramEnd"/>
      <w:r>
        <w:rPr>
          <w:rFonts w:ascii="思源黑体 CN Light" w:eastAsia="思源黑体 CN Light" w:hAnsi="思源黑体 CN Light" w:cs="Times New Roman" w:hint="eastAsia"/>
          <w:b/>
          <w:sz w:val="21"/>
          <w:szCs w:val="20"/>
        </w:rPr>
        <w:t>/月度</w:t>
      </w:r>
      <w:r>
        <w:rPr>
          <w:rFonts w:ascii="思源黑体 CN Light" w:eastAsia="思源黑体 CN Light" w:hAnsi="思源黑体 CN Light" w:cs="Times New Roman"/>
          <w:b/>
          <w:sz w:val="21"/>
          <w:szCs w:val="20"/>
        </w:rPr>
        <w:t>涨跌幅（单位：%）</w:t>
      </w:r>
      <w:r>
        <w:rPr>
          <w:rFonts w:ascii="思源黑体 CN Light" w:eastAsia="思源黑体 CN Light" w:hAnsi="思源黑体 CN Light" w:cs="Times New Roman"/>
          <w:b/>
          <w:noProof/>
          <w:sz w:val="21"/>
          <w:szCs w:val="20"/>
        </w:rPr>
        <w:drawing>
          <wp:inline distT="0" distB="0" distL="0" distR="0" wp14:anchorId="6AC3E6B8" wp14:editId="78771D12">
            <wp:extent cx="6431280" cy="3291840"/>
            <wp:effectExtent l="0" t="0" r="7620" b="3810"/>
            <wp:docPr id="1804275708" name="图片 57"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75708" name="图片 57" descr="图表, 条形图&#10;&#10;AI 生成的内容可能不正确。"/>
                    <pic:cNvPicPr>
                      <a:picLocks noChangeAspect="1"/>
                    </pic:cNvPicPr>
                  </pic:nvPicPr>
                  <pic:blipFill>
                    <a:blip r:embed="rId6"/>
                    <a:stretch>
                      <a:fillRect/>
                    </a:stretch>
                  </pic:blipFill>
                  <pic:spPr>
                    <a:xfrm>
                      <a:off x="0" y="0"/>
                      <a:ext cx="6431280" cy="3291840"/>
                    </a:xfrm>
                    <a:prstGeom prst="rect">
                      <a:avLst/>
                    </a:prstGeom>
                  </pic:spPr>
                </pic:pic>
              </a:graphicData>
            </a:graphic>
          </wp:inline>
        </w:drawing>
      </w:r>
      <w:r>
        <w:rPr>
          <w:rFonts w:ascii="思源黑体 CN Light" w:eastAsia="思源黑体 CN Light" w:hAnsi="思源黑体 CN Light" w:cs="Times New Roman"/>
          <w:sz w:val="13"/>
          <w:szCs w:val="20"/>
        </w:rPr>
        <w:t>数据来源：wind，富</w:t>
      </w:r>
      <w:proofErr w:type="gramStart"/>
      <w:r>
        <w:rPr>
          <w:rFonts w:ascii="思源黑体 CN Light" w:eastAsia="思源黑体 CN Light" w:hAnsi="思源黑体 CN Light" w:cs="Times New Roman"/>
          <w:sz w:val="13"/>
          <w:szCs w:val="20"/>
        </w:rPr>
        <w:t>荣基金</w:t>
      </w:r>
      <w:proofErr w:type="gramEnd"/>
      <w:r>
        <w:rPr>
          <w:rFonts w:ascii="思源黑体 CN Light" w:eastAsia="思源黑体 CN Light" w:hAnsi="思源黑体 CN Light" w:cs="Times New Roman"/>
          <w:sz w:val="13"/>
          <w:szCs w:val="20"/>
        </w:rPr>
        <w:t>管理有限公司</w:t>
      </w:r>
      <w:r>
        <w:rPr>
          <w:rFonts w:ascii="思源黑体 CN Light" w:eastAsia="思源黑体 CN Light" w:hAnsi="思源黑体 CN Light" w:cs="Times New Roman" w:hint="eastAsia"/>
          <w:sz w:val="13"/>
          <w:szCs w:val="20"/>
        </w:rPr>
        <w:t>；周涨跌</w:t>
      </w:r>
      <w:proofErr w:type="gramStart"/>
      <w:r>
        <w:rPr>
          <w:rFonts w:ascii="思源黑体 CN Light" w:eastAsia="思源黑体 CN Light" w:hAnsi="思源黑体 CN Light" w:cs="Times New Roman" w:hint="eastAsia"/>
          <w:sz w:val="13"/>
          <w:szCs w:val="20"/>
        </w:rPr>
        <w:t>幅统计</w:t>
      </w:r>
      <w:proofErr w:type="gramEnd"/>
      <w:r>
        <w:rPr>
          <w:rFonts w:ascii="思源黑体 CN Light" w:eastAsia="思源黑体 CN Light" w:hAnsi="思源黑体 CN Light" w:cs="Times New Roman" w:hint="eastAsia"/>
          <w:sz w:val="13"/>
          <w:szCs w:val="20"/>
        </w:rPr>
        <w:t>区间：20250707-20250711；月涨跌</w:t>
      </w:r>
      <w:proofErr w:type="gramStart"/>
      <w:r>
        <w:rPr>
          <w:rFonts w:ascii="思源黑体 CN Light" w:eastAsia="思源黑体 CN Light" w:hAnsi="思源黑体 CN Light" w:cs="Times New Roman" w:hint="eastAsia"/>
          <w:sz w:val="13"/>
          <w:szCs w:val="20"/>
        </w:rPr>
        <w:t>幅统计</w:t>
      </w:r>
      <w:proofErr w:type="gramEnd"/>
      <w:r>
        <w:rPr>
          <w:rFonts w:ascii="思源黑体 CN Light" w:eastAsia="思源黑体 CN Light" w:hAnsi="思源黑体 CN Light" w:cs="Times New Roman" w:hint="eastAsia"/>
          <w:sz w:val="13"/>
          <w:szCs w:val="20"/>
        </w:rPr>
        <w:t>区间：20250701-20250711</w:t>
      </w:r>
    </w:p>
    <w:p w14:paraId="063D2CEB" w14:textId="77777777" w:rsidR="00D71E9E" w:rsidRDefault="00000000">
      <w:pPr>
        <w:ind w:firstLineChars="200" w:firstLine="420"/>
        <w:jc w:val="left"/>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各行业普遍反弹，少数行业补跌。</w:t>
      </w:r>
      <w:proofErr w:type="gramStart"/>
      <w:r>
        <w:rPr>
          <w:rFonts w:ascii="思源黑体 CN Light" w:eastAsia="思源黑体 CN Light" w:hAnsi="思源黑体 CN Light" w:cs="Times New Roman" w:hint="eastAsia"/>
          <w:color w:val="000000" w:themeColor="text1"/>
          <w:sz w:val="21"/>
          <w:szCs w:val="20"/>
        </w:rPr>
        <w:t>申万一级行业</w:t>
      </w:r>
      <w:proofErr w:type="gramEnd"/>
      <w:r>
        <w:rPr>
          <w:rFonts w:ascii="思源黑体 CN Light" w:eastAsia="思源黑体 CN Light" w:hAnsi="思源黑体 CN Light" w:cs="Times New Roman" w:hint="eastAsia"/>
          <w:color w:val="000000" w:themeColor="text1"/>
          <w:sz w:val="21"/>
          <w:szCs w:val="20"/>
        </w:rPr>
        <w:t>指数中，房地产（+6.12%）、钢铁（+4.41%）、非银金融（+3.96%）等行业上涨较为明显，汽车（-0.41%）、银行（-1.00%）、煤炭（-1.08%）等行业补跌。</w:t>
      </w:r>
    </w:p>
    <w:p w14:paraId="463B8762" w14:textId="1E4F141A" w:rsidR="00D71E9E" w:rsidRDefault="00000000">
      <w:pPr>
        <w:ind w:firstLineChars="200" w:firstLine="428"/>
        <w:jc w:val="left"/>
        <w:rPr>
          <w:rFonts w:ascii="思源黑体 CN Light" w:eastAsia="思源黑体 CN Light" w:hAnsi="思源黑体 CN Light" w:cs="Times New Roman" w:hint="eastAsia"/>
          <w:b/>
          <w:sz w:val="21"/>
          <w:szCs w:val="20"/>
        </w:rPr>
      </w:pPr>
      <w:r>
        <w:rPr>
          <w:rFonts w:ascii="思源黑体 CN Light" w:eastAsia="思源黑体 CN Light" w:hAnsi="思源黑体 CN Light" w:cs="Times New Roman"/>
          <w:b/>
          <w:sz w:val="21"/>
          <w:szCs w:val="20"/>
        </w:rPr>
        <w:t>图：申万</w:t>
      </w:r>
      <w:proofErr w:type="gramStart"/>
      <w:r>
        <w:rPr>
          <w:rFonts w:ascii="思源黑体 CN Light" w:eastAsia="思源黑体 CN Light" w:hAnsi="思源黑体 CN Light" w:cs="Times New Roman"/>
          <w:b/>
          <w:sz w:val="21"/>
          <w:szCs w:val="20"/>
        </w:rPr>
        <w:t>一级行业周涨跌</w:t>
      </w:r>
      <w:proofErr w:type="gramEnd"/>
      <w:r>
        <w:rPr>
          <w:rFonts w:ascii="思源黑体 CN Light" w:eastAsia="思源黑体 CN Light" w:hAnsi="思源黑体 CN Light" w:cs="Times New Roman"/>
          <w:b/>
          <w:sz w:val="21"/>
          <w:szCs w:val="20"/>
        </w:rPr>
        <w:t>幅（单位：%）</w:t>
      </w:r>
      <w:r w:rsidR="00EC03BF">
        <w:rPr>
          <w:rFonts w:hint="eastAsia"/>
          <w:noProof/>
        </w:rPr>
        <w:lastRenderedPageBreak/>
        <w:drawing>
          <wp:inline distT="0" distB="0" distL="0" distR="0" wp14:anchorId="58EED2B8" wp14:editId="2348565E">
            <wp:extent cx="6479540" cy="4278630"/>
            <wp:effectExtent l="0" t="0" r="0" b="7620"/>
            <wp:docPr id="10959808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80811" name=""/>
                    <pic:cNvPicPr/>
                  </pic:nvPicPr>
                  <pic:blipFill>
                    <a:blip r:embed="rId7">
                      <a:extLst>
                        <a:ext uri="{28A0092B-C50C-407E-A947-70E740481C1C}">
                          <a14:useLocalDpi xmlns:a14="http://schemas.microsoft.com/office/drawing/2010/main" val="0"/>
                        </a:ext>
                      </a:extLst>
                    </a:blip>
                    <a:stretch>
                      <a:fillRect/>
                    </a:stretch>
                  </pic:blipFill>
                  <pic:spPr>
                    <a:xfrm>
                      <a:off x="0" y="0"/>
                      <a:ext cx="6479540" cy="4278630"/>
                    </a:xfrm>
                    <a:prstGeom prst="rect">
                      <a:avLst/>
                    </a:prstGeom>
                  </pic:spPr>
                </pic:pic>
              </a:graphicData>
            </a:graphic>
          </wp:inline>
        </w:drawing>
      </w:r>
    </w:p>
    <w:p w14:paraId="73F0F7DA" w14:textId="77777777" w:rsidR="00D71E9E" w:rsidRDefault="00000000">
      <w:pPr>
        <w:ind w:firstLineChars="200" w:firstLine="260"/>
        <w:jc w:val="left"/>
        <w:rPr>
          <w:rFonts w:ascii="思源黑体 CN Light" w:eastAsia="思源黑体 CN Light" w:hAnsi="思源黑体 CN Light" w:cs="Times New Roman" w:hint="eastAsia"/>
          <w:sz w:val="13"/>
          <w:szCs w:val="20"/>
        </w:rPr>
      </w:pPr>
      <w:r>
        <w:rPr>
          <w:rFonts w:ascii="思源黑体 CN Light" w:eastAsia="思源黑体 CN Light" w:hAnsi="思源黑体 CN Light" w:cs="Times New Roman"/>
          <w:sz w:val="13"/>
          <w:szCs w:val="20"/>
        </w:rPr>
        <w:t>数据来源：wind，富</w:t>
      </w:r>
      <w:proofErr w:type="gramStart"/>
      <w:r>
        <w:rPr>
          <w:rFonts w:ascii="思源黑体 CN Light" w:eastAsia="思源黑体 CN Light" w:hAnsi="思源黑体 CN Light" w:cs="Times New Roman"/>
          <w:sz w:val="13"/>
          <w:szCs w:val="20"/>
        </w:rPr>
        <w:t>荣基金</w:t>
      </w:r>
      <w:proofErr w:type="gramEnd"/>
      <w:r>
        <w:rPr>
          <w:rFonts w:ascii="思源黑体 CN Light" w:eastAsia="思源黑体 CN Light" w:hAnsi="思源黑体 CN Light" w:cs="Times New Roman"/>
          <w:sz w:val="13"/>
          <w:szCs w:val="20"/>
        </w:rPr>
        <w:t>管理有限公司</w:t>
      </w:r>
      <w:r>
        <w:rPr>
          <w:rFonts w:ascii="思源黑体 CN Light" w:eastAsia="思源黑体 CN Light" w:hAnsi="思源黑体 CN Light" w:cs="Times New Roman" w:hint="eastAsia"/>
          <w:sz w:val="13"/>
          <w:szCs w:val="20"/>
        </w:rPr>
        <w:t>；统计区间：20250707-20250711</w:t>
      </w:r>
    </w:p>
    <w:p w14:paraId="7E616725" w14:textId="77777777" w:rsidR="00D71E9E" w:rsidRDefault="00D71E9E">
      <w:pPr>
        <w:pStyle w:val="2"/>
        <w:tabs>
          <w:tab w:val="left" w:pos="4364"/>
          <w:tab w:val="right" w:pos="10204"/>
        </w:tabs>
        <w:rPr>
          <w:rFonts w:ascii="思源黑体 CN Light" w:eastAsia="思源黑体 CN Light" w:hAnsi="思源黑体 CN Light" w:cs="Times New Roman" w:hint="eastAsia"/>
          <w:color w:val="000000"/>
          <w:sz w:val="21"/>
          <w:szCs w:val="20"/>
          <w:shd w:val="clear" w:color="auto" w:fill="FFFFFF"/>
        </w:rPr>
      </w:pPr>
    </w:p>
    <w:p w14:paraId="79BEE781" w14:textId="77777777" w:rsidR="00D71E9E" w:rsidRDefault="00000000">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hint="eastAsia"/>
          <w:b/>
          <w:bCs/>
          <w:sz w:val="22"/>
          <w:szCs w:val="24"/>
        </w:rPr>
        <w:t>二、钢铁行业点评与展望</w:t>
      </w:r>
    </w:p>
    <w:p w14:paraId="2BC443D0" w14:textId="77777777" w:rsidR="00D71E9E"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bookmarkStart w:id="1" w:name="_Hlk140420797"/>
      <w:r>
        <w:rPr>
          <w:rFonts w:ascii="思源黑体 CN Light" w:eastAsia="思源黑体 CN Light" w:hAnsi="思源黑体 CN Light" w:cs="Times New Roman" w:hint="eastAsia"/>
          <w:color w:val="000000" w:themeColor="text1"/>
          <w:sz w:val="21"/>
          <w:szCs w:val="20"/>
        </w:rPr>
        <w:t>上周申万钢铁行业指数涨幅为4.41%，相对沪深300指数超额收益为3.59%，周涨幅在所有申万</w:t>
      </w:r>
      <w:proofErr w:type="gramStart"/>
      <w:r>
        <w:rPr>
          <w:rFonts w:ascii="思源黑体 CN Light" w:eastAsia="思源黑体 CN Light" w:hAnsi="思源黑体 CN Light" w:cs="Times New Roman" w:hint="eastAsia"/>
          <w:color w:val="000000" w:themeColor="text1"/>
          <w:sz w:val="21"/>
          <w:szCs w:val="20"/>
        </w:rPr>
        <w:t>一级行业</w:t>
      </w:r>
      <w:proofErr w:type="gramEnd"/>
      <w:r>
        <w:rPr>
          <w:rFonts w:ascii="思源黑体 CN Light" w:eastAsia="思源黑体 CN Light" w:hAnsi="思源黑体 CN Light" w:cs="Times New Roman" w:hint="eastAsia"/>
          <w:color w:val="000000" w:themeColor="text1"/>
          <w:sz w:val="21"/>
          <w:szCs w:val="20"/>
        </w:rPr>
        <w:t>指数中位居第二。</w:t>
      </w:r>
    </w:p>
    <w:p w14:paraId="3040D7F6" w14:textId="77777777" w:rsidR="00D71E9E"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钢铁板块上周表现超出预期，继续领</w:t>
      </w:r>
      <w:proofErr w:type="gramStart"/>
      <w:r>
        <w:rPr>
          <w:rFonts w:ascii="思源黑体 CN Light" w:eastAsia="思源黑体 CN Light" w:hAnsi="思源黑体 CN Light" w:cs="Times New Roman" w:hint="eastAsia"/>
          <w:color w:val="000000" w:themeColor="text1"/>
          <w:sz w:val="21"/>
          <w:szCs w:val="20"/>
        </w:rPr>
        <w:t>涨整个</w:t>
      </w:r>
      <w:proofErr w:type="gramEnd"/>
      <w:r>
        <w:rPr>
          <w:rFonts w:ascii="思源黑体 CN Light" w:eastAsia="思源黑体 CN Light" w:hAnsi="思源黑体 CN Light" w:cs="Times New Roman" w:hint="eastAsia"/>
          <w:color w:val="000000" w:themeColor="text1"/>
          <w:sz w:val="21"/>
          <w:szCs w:val="20"/>
        </w:rPr>
        <w:t>市场。主要是受地产政策消息的催化，提振了投资者对顺周期板块的配置意愿。展望后市，虽然市场对宏观经济的预期开始从悲观扭转，但考虑到钢材市场当下仍处于传统消费淡季，若短期没有强力政策落地，需要注意钢铁板块情绪震荡回落的风险。</w:t>
      </w:r>
    </w:p>
    <w:p w14:paraId="42A9D43B" w14:textId="77777777" w:rsidR="00D71E9E" w:rsidRDefault="00D71E9E">
      <w:pPr>
        <w:tabs>
          <w:tab w:val="left" w:pos="5594"/>
        </w:tabs>
        <w:ind w:firstLineChars="200" w:firstLine="420"/>
        <w:rPr>
          <w:rFonts w:ascii="思源黑体 CN Light" w:eastAsia="思源黑体 CN Light" w:hAnsi="思源黑体 CN Light" w:cs="Times New Roman" w:hint="eastAsia"/>
          <w:color w:val="000000"/>
          <w:sz w:val="21"/>
          <w:szCs w:val="20"/>
          <w:shd w:val="clear" w:color="auto" w:fill="FFFFFF"/>
        </w:rPr>
      </w:pPr>
    </w:p>
    <w:bookmarkEnd w:id="1"/>
    <w:p w14:paraId="083FA970" w14:textId="77777777" w:rsidR="00D71E9E" w:rsidRDefault="00000000">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b/>
          <w:bCs/>
          <w:sz w:val="22"/>
          <w:szCs w:val="24"/>
        </w:rPr>
        <w:lastRenderedPageBreak/>
        <w:t>三、本周展望</w:t>
      </w:r>
    </w:p>
    <w:p w14:paraId="684A80EE" w14:textId="77777777" w:rsidR="00D71E9E"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bookmarkStart w:id="2" w:name="OLE_LINK1"/>
      <w:r>
        <w:rPr>
          <w:rFonts w:ascii="思源黑体 CN Light" w:eastAsia="思源黑体 CN Light" w:hAnsi="思源黑体 CN Light" w:cs="Times New Roman" w:hint="eastAsia"/>
          <w:color w:val="000000"/>
          <w:sz w:val="21"/>
          <w:szCs w:val="20"/>
          <w:shd w:val="clear" w:color="auto" w:fill="FFFFFF"/>
        </w:rPr>
        <w:t>近期权益市场连续上涨，市场做多情绪高涨，各板块</w:t>
      </w:r>
      <w:proofErr w:type="gramStart"/>
      <w:r>
        <w:rPr>
          <w:rFonts w:ascii="思源黑体 CN Light" w:eastAsia="思源黑体 CN Light" w:hAnsi="思源黑体 CN Light" w:cs="Times New Roman" w:hint="eastAsia"/>
          <w:color w:val="000000"/>
          <w:sz w:val="21"/>
          <w:szCs w:val="20"/>
          <w:shd w:val="clear" w:color="auto" w:fill="FFFFFF"/>
        </w:rPr>
        <w:t>呈现出轮动</w:t>
      </w:r>
      <w:proofErr w:type="gramEnd"/>
      <w:r>
        <w:rPr>
          <w:rFonts w:ascii="思源黑体 CN Light" w:eastAsia="思源黑体 CN Light" w:hAnsi="思源黑体 CN Light" w:cs="Times New Roman" w:hint="eastAsia"/>
          <w:color w:val="000000"/>
          <w:sz w:val="21"/>
          <w:szCs w:val="20"/>
          <w:shd w:val="clear" w:color="auto" w:fill="FFFFFF"/>
        </w:rPr>
        <w:t>上涨的趋势。价值板块的银行、顺周期，成长板块的海外</w:t>
      </w:r>
      <w:proofErr w:type="gramStart"/>
      <w:r>
        <w:rPr>
          <w:rFonts w:ascii="思源黑体 CN Light" w:eastAsia="思源黑体 CN Light" w:hAnsi="思源黑体 CN Light" w:cs="Times New Roman" w:hint="eastAsia"/>
          <w:color w:val="000000"/>
          <w:sz w:val="21"/>
          <w:szCs w:val="20"/>
          <w:shd w:val="clear" w:color="auto" w:fill="FFFFFF"/>
        </w:rPr>
        <w:t>算力链</w:t>
      </w:r>
      <w:proofErr w:type="gramEnd"/>
      <w:r>
        <w:rPr>
          <w:rFonts w:ascii="思源黑体 CN Light" w:eastAsia="思源黑体 CN Light" w:hAnsi="思源黑体 CN Light" w:cs="Times New Roman" w:hint="eastAsia"/>
          <w:color w:val="000000"/>
          <w:sz w:val="21"/>
          <w:szCs w:val="20"/>
          <w:shd w:val="clear" w:color="auto" w:fill="FFFFFF"/>
        </w:rPr>
        <w:t>，以及</w:t>
      </w:r>
      <w:proofErr w:type="gramStart"/>
      <w:r>
        <w:rPr>
          <w:rFonts w:ascii="思源黑体 CN Light" w:eastAsia="思源黑体 CN Light" w:hAnsi="思源黑体 CN Light" w:cs="Times New Roman" w:hint="eastAsia"/>
          <w:color w:val="000000"/>
          <w:sz w:val="21"/>
          <w:szCs w:val="20"/>
          <w:shd w:val="clear" w:color="auto" w:fill="FFFFFF"/>
        </w:rPr>
        <w:t>偏主题</w:t>
      </w:r>
      <w:proofErr w:type="gramEnd"/>
      <w:r>
        <w:rPr>
          <w:rFonts w:ascii="思源黑体 CN Light" w:eastAsia="思源黑体 CN Light" w:hAnsi="思源黑体 CN Light" w:cs="Times New Roman" w:hint="eastAsia"/>
          <w:color w:val="000000"/>
          <w:sz w:val="21"/>
          <w:szCs w:val="20"/>
          <w:shd w:val="clear" w:color="auto" w:fill="FFFFFF"/>
        </w:rPr>
        <w:t>的稳定币等均有不俗的表现。</w:t>
      </w:r>
    </w:p>
    <w:p w14:paraId="0D410DBF" w14:textId="77777777" w:rsidR="00D71E9E"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上周美国与各国所达成的贸易关税税率普遍低于4月初的税率，这使得中美关税向好的预期上升。同时，“反内卷”现象引发了市场对于2016~2017年供给</w:t>
      </w:r>
      <w:proofErr w:type="gramStart"/>
      <w:r>
        <w:rPr>
          <w:rFonts w:ascii="思源黑体 CN Light" w:eastAsia="思源黑体 CN Light" w:hAnsi="思源黑体 CN Light" w:cs="Times New Roman" w:hint="eastAsia"/>
          <w:color w:val="000000"/>
          <w:sz w:val="21"/>
          <w:szCs w:val="20"/>
          <w:shd w:val="clear" w:color="auto" w:fill="FFFFFF"/>
        </w:rPr>
        <w:t>侧改革</w:t>
      </w:r>
      <w:proofErr w:type="gramEnd"/>
      <w:r>
        <w:rPr>
          <w:rFonts w:ascii="思源黑体 CN Light" w:eastAsia="思源黑体 CN Light" w:hAnsi="思源黑体 CN Light" w:cs="Times New Roman" w:hint="eastAsia"/>
          <w:color w:val="000000"/>
          <w:sz w:val="21"/>
          <w:szCs w:val="20"/>
          <w:shd w:val="clear" w:color="auto" w:fill="FFFFFF"/>
        </w:rPr>
        <w:t>的联想。我们认为目前市场处于主题投资起预期阶段，短期仍存在持续挖掘的机会，建议重点关注价格弹性大的品种。</w:t>
      </w:r>
    </w:p>
    <w:p w14:paraId="13B8FF5A" w14:textId="35D516DC" w:rsidR="00D71E9E"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进一步来看，近期海外和国内AI产业链的股价剪刀差持续扩大。但我们认为随着中美关税谈判的推进，部分芯片可能解禁，同时伴随着国内模型的持续迭代，互联网平台的资本开支可能重新上行，国内AI算力、应用也有望迎来向上预期。</w:t>
      </w:r>
    </w:p>
    <w:p w14:paraId="41C1CF25" w14:textId="77777777" w:rsidR="00D71E9E"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短期市场成交额持续放大，做多动能正在积聚。我们建议稳中求进，行业重点关注：1、成长赛道，如AI应用、半导体、医药等板块；2、底部区间有拐点预期的板块，如证券、电新、消费等。</w:t>
      </w:r>
    </w:p>
    <w:p w14:paraId="54BCE893" w14:textId="77777777" w:rsidR="00D71E9E" w:rsidRDefault="00D71E9E">
      <w:pPr>
        <w:ind w:firstLineChars="200" w:firstLine="420"/>
        <w:rPr>
          <w:rFonts w:ascii="思源黑体 CN Light" w:eastAsia="思源黑体 CN Light" w:hAnsi="思源黑体 CN Light" w:cs="Times New Roman" w:hint="eastAsia"/>
          <w:color w:val="000000"/>
          <w:sz w:val="21"/>
          <w:szCs w:val="20"/>
          <w:shd w:val="clear" w:color="auto" w:fill="FFFFFF"/>
        </w:rPr>
      </w:pPr>
    </w:p>
    <w:p w14:paraId="6CA2F5EE" w14:textId="77777777" w:rsidR="00D71E9E" w:rsidRPr="00EC03BF" w:rsidRDefault="00D71E9E">
      <w:pPr>
        <w:ind w:firstLineChars="200" w:firstLine="420"/>
        <w:rPr>
          <w:rFonts w:ascii="思源黑体 CN Light" w:eastAsia="思源黑体 CN Light" w:hAnsi="思源黑体 CN Light" w:cs="Times New Roman" w:hint="eastAsia"/>
          <w:color w:val="000000"/>
          <w:sz w:val="21"/>
          <w:szCs w:val="20"/>
          <w:shd w:val="clear" w:color="auto" w:fill="FFFFFF"/>
        </w:rPr>
      </w:pPr>
    </w:p>
    <w:bookmarkEnd w:id="2"/>
    <w:p w14:paraId="42C18A8C" w14:textId="77777777" w:rsidR="00D71E9E" w:rsidRDefault="00D71E9E">
      <w:pPr>
        <w:rPr>
          <w:rFonts w:ascii="思源黑体 CN Light" w:eastAsia="思源黑体 CN Light" w:hAnsi="思源黑体 CN Light" w:cs="Times New Roman" w:hint="eastAsia"/>
          <w:color w:val="000000"/>
          <w:sz w:val="21"/>
          <w:szCs w:val="20"/>
          <w:shd w:val="clear" w:color="auto" w:fill="FFFFFF"/>
        </w:rPr>
      </w:pPr>
    </w:p>
    <w:p w14:paraId="15ECE3AB" w14:textId="77777777" w:rsidR="00D71E9E" w:rsidRDefault="00D71E9E">
      <w:pPr>
        <w:pStyle w:val="af3"/>
        <w:ind w:firstLineChars="0" w:firstLine="0"/>
        <w:rPr>
          <w:rFonts w:ascii="思源黑体 CN Light" w:eastAsia="思源黑体 CN Light" w:hAnsi="思源黑体 CN Light" w:cs="Times New Roman" w:hint="eastAsia"/>
          <w:sz w:val="20"/>
          <w:szCs w:val="20"/>
        </w:rPr>
      </w:pPr>
    </w:p>
    <w:p w14:paraId="3BE6E38C" w14:textId="77777777" w:rsidR="00D71E9E" w:rsidRDefault="00000000">
      <w:pPr>
        <w:ind w:firstLineChars="200" w:firstLine="360"/>
        <w:rPr>
          <w:rFonts w:hint="eastAsia"/>
        </w:rPr>
      </w:pPr>
      <w:r>
        <w:rPr>
          <w:rFonts w:ascii="思源黑体 CN Light" w:eastAsia="思源黑体 CN Light" w:hAnsi="思源黑体 CN Light" w:hint="eastAsia"/>
          <w:sz w:val="18"/>
          <w:szCs w:val="15"/>
        </w:rPr>
        <w:t>风险提示：</w:t>
      </w:r>
      <w:r>
        <w:rPr>
          <w:rFonts w:ascii="思源黑体 CN Light" w:eastAsia="思源黑体 CN Light" w:hAnsi="思源黑体 CN Light"/>
          <w:sz w:val="18"/>
          <w:szCs w:val="15"/>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w:t>
      </w:r>
      <w:proofErr w:type="gramStart"/>
      <w:r>
        <w:rPr>
          <w:rFonts w:ascii="思源黑体 CN Light" w:eastAsia="思源黑体 CN Light" w:hAnsi="思源黑体 CN Light"/>
          <w:sz w:val="18"/>
          <w:szCs w:val="15"/>
        </w:rPr>
        <w:t>作出</w:t>
      </w:r>
      <w:proofErr w:type="gramEnd"/>
      <w:r>
        <w:rPr>
          <w:rFonts w:ascii="思源黑体 CN Light" w:eastAsia="思源黑体 CN Light" w:hAnsi="思源黑体 CN Light"/>
          <w:sz w:val="18"/>
          <w:szCs w:val="15"/>
        </w:rPr>
        <w:t>调整。2、本材料中的资料、观点和预测等仅供参考，在任何时候均不构成对任何人的个人推荐。市场有风险，投资需谨慎。</w:t>
      </w:r>
      <w:bookmarkEnd w:id="0"/>
    </w:p>
    <w:p w14:paraId="5DD3EF8C" w14:textId="77777777" w:rsidR="00D71E9E" w:rsidRDefault="00D71E9E">
      <w:pPr>
        <w:rPr>
          <w:rFonts w:hint="eastAsia"/>
        </w:rPr>
      </w:pPr>
    </w:p>
    <w:sectPr w:rsidR="00D71E9E">
      <w:headerReference w:type="default" r:id="rId8"/>
      <w:footerReference w:type="default" r:id="rId9"/>
      <w:pgSz w:w="11906" w:h="16838"/>
      <w:pgMar w:top="1440" w:right="851" w:bottom="1134" w:left="851"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1A157" w14:textId="77777777" w:rsidR="00377FBF" w:rsidRDefault="00377FBF">
      <w:pPr>
        <w:spacing w:line="240" w:lineRule="auto"/>
        <w:rPr>
          <w:rFonts w:hint="eastAsia"/>
        </w:rPr>
      </w:pPr>
      <w:r>
        <w:separator/>
      </w:r>
    </w:p>
  </w:endnote>
  <w:endnote w:type="continuationSeparator" w:id="0">
    <w:p w14:paraId="37DFAA1E" w14:textId="77777777" w:rsidR="00377FBF" w:rsidRDefault="00377FBF">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Light">
    <w:altName w:val="黑体"/>
    <w:panose1 w:val="020B0300000000000000"/>
    <w:charset w:val="86"/>
    <w:family w:val="swiss"/>
    <w:notTrueType/>
    <w:pitch w:val="variable"/>
    <w:sig w:usb0="2000020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8C61F" w14:textId="77777777" w:rsidR="00D71E9E" w:rsidRDefault="00000000">
    <w:pPr>
      <w:pStyle w:val="a4"/>
      <w:tabs>
        <w:tab w:val="center" w:pos="5102"/>
        <w:tab w:val="left" w:pos="6847"/>
      </w:tabs>
      <w:rPr>
        <w:rFonts w:hint="eastAsia"/>
      </w:rPr>
    </w:pPr>
    <w:r>
      <w:tab/>
    </w:r>
    <w:r>
      <w:tab/>
    </w:r>
    <w:sdt>
      <w:sdtPr>
        <w:id w:val="1107850672"/>
      </w:sdtPr>
      <w:sdtContent>
        <w:sdt>
          <w:sdtPr>
            <w:id w:val="1728636285"/>
          </w:sdtPr>
          <w:sdtContent>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sdtContent>
        </w:sdt>
      </w:sdtContent>
    </w:sdt>
    <w:r>
      <w:tab/>
    </w:r>
  </w:p>
  <w:p w14:paraId="4AC56EFA" w14:textId="77777777" w:rsidR="00D71E9E" w:rsidRDefault="00D71E9E">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DDBC0" w14:textId="77777777" w:rsidR="00377FBF" w:rsidRDefault="00377FBF">
      <w:pPr>
        <w:rPr>
          <w:rFonts w:hint="eastAsia"/>
        </w:rPr>
      </w:pPr>
      <w:r>
        <w:separator/>
      </w:r>
    </w:p>
  </w:footnote>
  <w:footnote w:type="continuationSeparator" w:id="0">
    <w:p w14:paraId="64A4CE4A" w14:textId="77777777" w:rsidR="00377FBF" w:rsidRDefault="00377FB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d"/>
      <w:tblpPr w:leftFromText="180" w:rightFromText="180" w:vertAnchor="text" w:tblpXSpec="right" w:tblpY="1"/>
      <w:tblOverlap w:val="never"/>
      <w:tblW w:w="6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2335"/>
    </w:tblGrid>
    <w:tr w:rsidR="00D71E9E" w14:paraId="6A6F9B36" w14:textId="77777777">
      <w:trPr>
        <w:trHeight w:val="424"/>
      </w:trPr>
      <w:tc>
        <w:tcPr>
          <w:tcW w:w="3652" w:type="dxa"/>
          <w:shd w:val="clear" w:color="auto" w:fill="F3F3F3"/>
          <w:vAlign w:val="center"/>
        </w:tcPr>
        <w:p w14:paraId="08D0E87F" w14:textId="77777777" w:rsidR="00D71E9E" w:rsidRDefault="00000000">
          <w:pPr>
            <w:pStyle w:val="a6"/>
            <w:pBdr>
              <w:bottom w:val="none" w:sz="0" w:space="0" w:color="auto"/>
            </w:pBdr>
            <w:jc w:val="right"/>
            <w:rPr>
              <w:rFonts w:ascii="Times New Roman" w:eastAsia="宋体" w:hAnsi="Times New Roman" w:cs="Times New Roman"/>
              <w:kern w:val="0"/>
            </w:rPr>
          </w:pPr>
          <w:r>
            <w:rPr>
              <w:rFonts w:ascii="Times New Roman" w:eastAsia="宋体" w:hAnsi="Times New Roman" w:cs="Times New Roman" w:hint="eastAsia"/>
              <w:kern w:val="0"/>
            </w:rPr>
            <w:t>证券研究报告</w:t>
          </w:r>
        </w:p>
      </w:tc>
      <w:tc>
        <w:tcPr>
          <w:tcW w:w="284" w:type="dxa"/>
          <w:shd w:val="clear" w:color="auto" w:fill="C3E2F4"/>
        </w:tcPr>
        <w:p w14:paraId="517414B2" w14:textId="77777777" w:rsidR="00D71E9E" w:rsidRDefault="00D71E9E">
          <w:pPr>
            <w:pStyle w:val="a6"/>
            <w:pBdr>
              <w:bottom w:val="none" w:sz="0" w:space="0" w:color="auto"/>
            </w:pBdr>
            <w:jc w:val="left"/>
            <w:rPr>
              <w:rFonts w:ascii="Times New Roman" w:eastAsia="宋体" w:hAnsi="Times New Roman" w:cs="Times New Roman"/>
              <w:kern w:val="0"/>
            </w:rPr>
          </w:pPr>
        </w:p>
      </w:tc>
      <w:tc>
        <w:tcPr>
          <w:tcW w:w="2335" w:type="dxa"/>
          <w:shd w:val="clear" w:color="auto" w:fill="013F98"/>
          <w:vAlign w:val="center"/>
        </w:tcPr>
        <w:p w14:paraId="6D4AD238" w14:textId="77777777" w:rsidR="00D71E9E" w:rsidRDefault="00000000">
          <w:pPr>
            <w:pStyle w:val="a6"/>
            <w:pBdr>
              <w:bottom w:val="none" w:sz="0" w:space="0" w:color="auto"/>
            </w:pBdr>
            <w:rPr>
              <w:rFonts w:ascii="Times New Roman" w:eastAsia="宋体" w:hAnsi="Times New Roman" w:cs="Times New Roman"/>
              <w:kern w:val="0"/>
            </w:rPr>
          </w:pPr>
          <w:r>
            <w:rPr>
              <w:rFonts w:ascii="Times New Roman" w:eastAsia="宋体" w:hAnsi="Times New Roman" w:cs="Times New Roman" w:hint="eastAsia"/>
              <w:kern w:val="0"/>
            </w:rPr>
            <w:t>权益周报</w:t>
          </w:r>
        </w:p>
      </w:tc>
    </w:tr>
  </w:tbl>
  <w:p w14:paraId="56A263F9" w14:textId="77777777" w:rsidR="00D71E9E" w:rsidRDefault="00000000">
    <w:pPr>
      <w:pStyle w:val="a6"/>
      <w:pBdr>
        <w:bottom w:val="single" w:sz="6" w:space="0" w:color="auto"/>
      </w:pBdr>
      <w:tabs>
        <w:tab w:val="clear" w:pos="4153"/>
        <w:tab w:val="clear" w:pos="8306"/>
        <w:tab w:val="left" w:pos="4673"/>
        <w:tab w:val="left" w:pos="8341"/>
      </w:tabs>
      <w:ind w:leftChars="-337" w:left="-809" w:rightChars="-770" w:right="-1848" w:firstLineChars="300" w:firstLine="540"/>
      <w:jc w:val="left"/>
      <w:rPr>
        <w:rFonts w:hint="eastAsia"/>
      </w:rPr>
    </w:pPr>
    <w:r>
      <w:rPr>
        <w:noProof/>
      </w:rPr>
      <w:drawing>
        <wp:inline distT="0" distB="0" distL="0" distR="0" wp14:anchorId="606C85F5" wp14:editId="3E5BF0D4">
          <wp:extent cx="883920" cy="285750"/>
          <wp:effectExtent l="0" t="0" r="0" b="0"/>
          <wp:docPr id="2" name="图片 2" descr="C:\Users\Administrator\Desktop\富荣基金SIRM-G1\{EE36CA8E-224C-471B-8096-7E812271A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富荣基金SIRM-G1\{EE36CA8E-224C-471B-8096-7E812271AC7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4041" cy="285750"/>
                  </a:xfrm>
                  <a:prstGeom prst="rect">
                    <a:avLst/>
                  </a:prstGeom>
                  <a:noFill/>
                  <a:ln>
                    <a:noFill/>
                  </a:ln>
                </pic:spPr>
              </pic:pic>
            </a:graphicData>
          </a:graphic>
        </wp:inline>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1A0"/>
    <w:rsid w:val="00082859"/>
    <w:rsid w:val="0009182E"/>
    <w:rsid w:val="002F63B0"/>
    <w:rsid w:val="00377FBF"/>
    <w:rsid w:val="00460E2E"/>
    <w:rsid w:val="006D3E7C"/>
    <w:rsid w:val="00852735"/>
    <w:rsid w:val="008936B5"/>
    <w:rsid w:val="00AD2E64"/>
    <w:rsid w:val="00C66EBF"/>
    <w:rsid w:val="00D71E9E"/>
    <w:rsid w:val="00D921A0"/>
    <w:rsid w:val="00E27C8B"/>
    <w:rsid w:val="00EC03BF"/>
    <w:rsid w:val="00F60FA5"/>
    <w:rsid w:val="66E76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8CF702-DC66-4D3B-9310-FF92B866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kern w:val="2"/>
      <w:sz w:val="24"/>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a">
    <w:name w:val="Normal (Web)"/>
    <w:basedOn w:val="a"/>
    <w:uiPriority w:val="99"/>
    <w:semiHidden/>
    <w:unhideWhenUsed/>
    <w:rPr>
      <w:rFonts w:ascii="Times New Roman" w:hAnsi="Times New Roman" w:cs="Times New Roman"/>
      <w:szCs w:val="24"/>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table" w:styleId="ad">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c">
    <w:name w:val="标题 字符"/>
    <w:basedOn w:val="a0"/>
    <w:link w:val="ab"/>
    <w:uiPriority w:val="10"/>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after="160" w:line="278" w:lineRule="auto"/>
      <w:jc w:val="center"/>
    </w:pPr>
    <w:rPr>
      <w:i/>
      <w:iCs/>
      <w:color w:val="404040" w:themeColor="text1" w:themeTint="BF"/>
      <w:sz w:val="22"/>
      <w:szCs w:val="24"/>
      <w14:ligatures w14:val="standardContextual"/>
    </w:rPr>
  </w:style>
  <w:style w:type="character" w:customStyle="1" w:styleId="af">
    <w:name w:val="引用 字符"/>
    <w:basedOn w:val="a0"/>
    <w:link w:val="ae"/>
    <w:uiPriority w:val="29"/>
    <w:rPr>
      <w:i/>
      <w:iCs/>
      <w:color w:val="404040" w:themeColor="text1" w:themeTint="BF"/>
    </w:rPr>
  </w:style>
  <w:style w:type="paragraph" w:styleId="af0">
    <w:name w:val="List Paragraph"/>
    <w:basedOn w:val="a"/>
    <w:uiPriority w:val="34"/>
    <w:qFormat/>
    <w:pPr>
      <w:spacing w:after="160" w:line="278" w:lineRule="auto"/>
      <w:ind w:left="720"/>
      <w:contextualSpacing/>
      <w:jc w:val="left"/>
    </w:pPr>
    <w:rPr>
      <w:sz w:val="2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f1">
    <w:name w:val="Intense Quote"/>
    <w:basedOn w:val="a"/>
    <w:next w:val="a"/>
    <w:link w:val="af2"/>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f2">
    <w:name w:val="明显引用 字符"/>
    <w:basedOn w:val="a0"/>
    <w:link w:val="af1"/>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5">
    <w:name w:val="页脚 字符"/>
    <w:basedOn w:val="a0"/>
    <w:link w:val="a4"/>
    <w:uiPriority w:val="99"/>
    <w:qFormat/>
    <w:rPr>
      <w:sz w:val="18"/>
      <w:szCs w:val="18"/>
      <w14:ligatures w14:val="none"/>
    </w:rPr>
  </w:style>
  <w:style w:type="character" w:customStyle="1" w:styleId="a7">
    <w:name w:val="页眉 字符"/>
    <w:basedOn w:val="a0"/>
    <w:link w:val="a6"/>
    <w:uiPriority w:val="99"/>
    <w:qFormat/>
    <w:rPr>
      <w:sz w:val="18"/>
      <w:szCs w:val="18"/>
      <w14:ligatures w14:val="none"/>
    </w:rPr>
  </w:style>
  <w:style w:type="paragraph" w:styleId="af3">
    <w:name w:val="No Spacing"/>
    <w:basedOn w:val="aa"/>
    <w:link w:val="af4"/>
    <w:uiPriority w:val="1"/>
    <w:qFormat/>
    <w:pPr>
      <w:widowControl/>
      <w:shd w:val="clear" w:color="auto" w:fill="FFFFFF"/>
      <w:ind w:firstLineChars="200" w:firstLine="200"/>
      <w:jc w:val="left"/>
    </w:pPr>
    <w:rPr>
      <w:rFonts w:asciiTheme="minorHAnsi" w:hAnsiTheme="minorHAnsi" w:cstheme="minorBidi"/>
      <w:kern w:val="0"/>
      <w:szCs w:val="22"/>
    </w:rPr>
  </w:style>
  <w:style w:type="character" w:customStyle="1" w:styleId="af4">
    <w:name w:val="无间隔 字符"/>
    <w:basedOn w:val="a0"/>
    <w:link w:val="af3"/>
    <w:uiPriority w:val="1"/>
    <w:qFormat/>
    <w:rPr>
      <w:kern w:val="0"/>
      <w:sz w:val="24"/>
      <w:szCs w:val="22"/>
      <w:shd w:val="clear" w:color="auto" w:fill="FFFFFF"/>
      <w14:ligatures w14:val="none"/>
    </w:rPr>
  </w:style>
  <w:style w:type="character" w:styleId="af5">
    <w:name w:val="annotation reference"/>
    <w:basedOn w:val="a0"/>
    <w:uiPriority w:val="99"/>
    <w:semiHidden/>
    <w:unhideWhenUsed/>
    <w:rPr>
      <w:sz w:val="21"/>
      <w:szCs w:val="21"/>
    </w:rPr>
  </w:style>
  <w:style w:type="paragraph" w:styleId="af6">
    <w:name w:val="Revision"/>
    <w:hidden/>
    <w:uiPriority w:val="99"/>
    <w:unhideWhenUsed/>
    <w:rsid w:val="008936B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613</Words>
  <Characters>718</Characters>
  <Application>Microsoft Office Word</Application>
  <DocSecurity>0</DocSecurity>
  <Lines>23</Lines>
  <Paragraphs>16</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叶蕊</dc:creator>
  <cp:lastModifiedBy>叶蕊</cp:lastModifiedBy>
  <cp:revision>3</cp:revision>
  <dcterms:created xsi:type="dcterms:W3CDTF">2025-07-14T05:52:00Z</dcterms:created>
  <dcterms:modified xsi:type="dcterms:W3CDTF">2025-07-14T08:52:00Z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eyJoZGlkIjoiYWEyZTA3M2M5N2Q0MmQwMWJkYjAxYzAyY2RhYmU3MjYiLCJ1c2VySWQiOiIxNTIwODY1NzQwIn0=</vt:lpwstr>
  </property>
  <property fmtid="{D5CDD505-2E9C-101B-9397-08002B2CF9AE}" pid="3" name="KSOProductBuildVer">
    <vt:lpwstr>2052-12.1.0.21915</vt:lpwstr>
  </property>
  <property fmtid="{D5CDD505-2E9C-101B-9397-08002B2CF9AE}" pid="4" name="ICV">
    <vt:lpwstr>61D82273830B4A2DB11A974C3597099B_12</vt:lpwstr>
  </property>
</Properties>
</file>