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25198" w14:textId="77777777" w:rsidR="0061366D" w:rsidRDefault="00000000">
      <w:pPr>
        <w:pStyle w:val="2"/>
        <w:tabs>
          <w:tab w:val="left" w:pos="4364"/>
          <w:tab w:val="right" w:pos="10204"/>
        </w:tabs>
        <w:jc w:val="center"/>
        <w:rPr>
          <w:rFonts w:ascii="思源黑体 CN Bold" w:eastAsia="思源黑体 CN Bold" w:hAnsi="思源黑体 CN Bold" w:cs="Times New Roman" w:hint="eastAsia"/>
          <w:b/>
          <w:color w:val="FA842D"/>
          <w:kern w:val="0"/>
          <w:sz w:val="24"/>
          <w:szCs w:val="18"/>
        </w:rPr>
      </w:pPr>
      <w:bookmarkStart w:id="0" w:name="_Hlk182226954"/>
      <w:r>
        <w:rPr>
          <w:rFonts w:ascii="思源黑体 CN Bold" w:eastAsia="思源黑体 CN Bold" w:hAnsi="思源黑体 CN Bold" w:cs="Times New Roman" w:hint="eastAsia"/>
          <w:b/>
          <w:color w:val="FA842D"/>
          <w:kern w:val="0"/>
          <w:sz w:val="24"/>
          <w:szCs w:val="18"/>
        </w:rPr>
        <w:t>富荣权益：上证站稳3500点，关注高成长与“反内卷”板块</w:t>
      </w:r>
    </w:p>
    <w:p w14:paraId="3DC12882" w14:textId="77777777" w:rsidR="0061366D"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一</w:t>
      </w:r>
      <w:r>
        <w:rPr>
          <w:rFonts w:ascii="思源黑体 CN Light" w:eastAsia="思源黑体 CN Light" w:hAnsi="思源黑体 CN Light" w:cs="Times New Roman"/>
          <w:b/>
          <w:bCs/>
          <w:sz w:val="22"/>
          <w:szCs w:val="24"/>
        </w:rPr>
        <w:t>、</w:t>
      </w:r>
      <w:r>
        <w:rPr>
          <w:rFonts w:ascii="思源黑体 CN Light" w:eastAsia="思源黑体 CN Light" w:hAnsi="思源黑体 CN Light" w:cs="Times New Roman" w:hint="eastAsia"/>
          <w:b/>
          <w:bCs/>
          <w:sz w:val="22"/>
          <w:szCs w:val="24"/>
        </w:rPr>
        <w:t>权益</w:t>
      </w:r>
      <w:proofErr w:type="gramStart"/>
      <w:r>
        <w:rPr>
          <w:rFonts w:ascii="思源黑体 CN Light" w:eastAsia="思源黑体 CN Light" w:hAnsi="思源黑体 CN Light" w:cs="Times New Roman"/>
          <w:b/>
          <w:bCs/>
          <w:sz w:val="22"/>
          <w:szCs w:val="24"/>
        </w:rPr>
        <w:t>市场</w:t>
      </w:r>
      <w:r>
        <w:rPr>
          <w:rFonts w:ascii="思源黑体 CN Light" w:eastAsia="思源黑体 CN Light" w:hAnsi="思源黑体 CN Light" w:cs="Times New Roman" w:hint="eastAsia"/>
          <w:b/>
          <w:bCs/>
          <w:sz w:val="22"/>
          <w:szCs w:val="24"/>
        </w:rPr>
        <w:t>周度表现</w:t>
      </w:r>
      <w:proofErr w:type="gramEnd"/>
    </w:p>
    <w:p w14:paraId="363BD978" w14:textId="77777777" w:rsidR="0061366D" w:rsidRDefault="00000000">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上周（2025年7月14日至2025年7月18日，下同）权益市场普遍反弹，</w:t>
      </w:r>
      <w:r>
        <w:rPr>
          <w:rFonts w:ascii="思源黑体 CN Light" w:eastAsia="思源黑体 CN Light" w:hAnsi="思源黑体 CN Light" w:cs="Times New Roman"/>
          <w:color w:val="000000" w:themeColor="text1"/>
          <w:sz w:val="21"/>
          <w:szCs w:val="20"/>
        </w:rPr>
        <w:t>深证成指、上证指数、创业板指分别报收</w:t>
      </w:r>
      <w:r>
        <w:rPr>
          <w:rFonts w:ascii="思源黑体 CN Light" w:eastAsia="思源黑体 CN Light" w:hAnsi="思源黑体 CN Light" w:cs="Times New Roman" w:hint="eastAsia"/>
          <w:color w:val="000000" w:themeColor="text1"/>
          <w:sz w:val="21"/>
          <w:szCs w:val="20"/>
        </w:rPr>
        <w:t>10913.84</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3534.48</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2277.15</w:t>
      </w:r>
      <w:r>
        <w:rPr>
          <w:rFonts w:ascii="思源黑体 CN Light" w:eastAsia="思源黑体 CN Light" w:hAnsi="思源黑体 CN Light" w:cs="Times New Roman"/>
          <w:color w:val="000000" w:themeColor="text1"/>
          <w:sz w:val="21"/>
          <w:szCs w:val="20"/>
        </w:rPr>
        <w:t>点</w:t>
      </w:r>
      <w:r>
        <w:rPr>
          <w:rFonts w:ascii="思源黑体 CN Light" w:eastAsia="思源黑体 CN Light" w:hAnsi="思源黑体 CN Light" w:cs="Times New Roman" w:hint="eastAsia"/>
          <w:color w:val="000000" w:themeColor="text1"/>
          <w:sz w:val="21"/>
          <w:szCs w:val="20"/>
        </w:rPr>
        <w:t>。各主要指数涨跌表现如下：创业板50（+3.49%）、创业板指（+3.17%）、深证成指（+2.04%）、创成长（+1.43%）、中证1000（+1.41%）、</w:t>
      </w:r>
      <w:proofErr w:type="gramStart"/>
      <w:r>
        <w:rPr>
          <w:rFonts w:ascii="思源黑体 CN Light" w:eastAsia="思源黑体 CN Light" w:hAnsi="思源黑体 CN Light" w:cs="Times New Roman" w:hint="eastAsia"/>
          <w:color w:val="000000" w:themeColor="text1"/>
          <w:sz w:val="21"/>
          <w:szCs w:val="20"/>
        </w:rPr>
        <w:t>科创</w:t>
      </w:r>
      <w:proofErr w:type="gramEnd"/>
      <w:r>
        <w:rPr>
          <w:rFonts w:ascii="思源黑体 CN Light" w:eastAsia="思源黑体 CN Light" w:hAnsi="思源黑体 CN Light" w:cs="Times New Roman" w:hint="eastAsia"/>
          <w:color w:val="000000" w:themeColor="text1"/>
          <w:sz w:val="21"/>
          <w:szCs w:val="20"/>
        </w:rPr>
        <w:t>50（+1.32%）、中证500（+1.20%）、沪深300（+1.09%）、上证指数（+0.69%）、上证50（+0.28%）。</w:t>
      </w:r>
    </w:p>
    <w:p w14:paraId="3112AD0E" w14:textId="77777777" w:rsidR="0061366D" w:rsidRDefault="00000000">
      <w:pPr>
        <w:ind w:firstLineChars="200" w:firstLine="428"/>
        <w:jc w:val="left"/>
        <w:rPr>
          <w:rFonts w:ascii="思源黑体 CN Light" w:eastAsia="思源黑体 CN Light" w:hAnsi="思源黑体 CN Light" w:cs="Times New Roman" w:hint="eastAsia"/>
          <w:b/>
          <w:sz w:val="21"/>
          <w:szCs w:val="20"/>
        </w:rPr>
      </w:pPr>
      <w:r>
        <w:rPr>
          <w:rFonts w:ascii="思源黑体 CN Light" w:eastAsia="思源黑体 CN Light" w:hAnsi="思源黑体 CN Light" w:cs="Times New Roman"/>
          <w:b/>
          <w:sz w:val="21"/>
          <w:szCs w:val="20"/>
        </w:rPr>
        <w:t>图：主要</w:t>
      </w:r>
      <w:proofErr w:type="gramStart"/>
      <w:r>
        <w:rPr>
          <w:rFonts w:ascii="思源黑体 CN Light" w:eastAsia="思源黑体 CN Light" w:hAnsi="思源黑体 CN Light" w:cs="Times New Roman"/>
          <w:b/>
          <w:sz w:val="21"/>
          <w:szCs w:val="20"/>
        </w:rPr>
        <w:t>股指</w:t>
      </w:r>
      <w:r>
        <w:rPr>
          <w:rFonts w:ascii="思源黑体 CN Light" w:eastAsia="思源黑体 CN Light" w:hAnsi="思源黑体 CN Light" w:cs="Times New Roman" w:hint="eastAsia"/>
          <w:b/>
          <w:sz w:val="21"/>
          <w:szCs w:val="20"/>
        </w:rPr>
        <w:t>周度</w:t>
      </w:r>
      <w:proofErr w:type="gramEnd"/>
      <w:r>
        <w:rPr>
          <w:rFonts w:ascii="思源黑体 CN Light" w:eastAsia="思源黑体 CN Light" w:hAnsi="思源黑体 CN Light" w:cs="Times New Roman" w:hint="eastAsia"/>
          <w:b/>
          <w:sz w:val="21"/>
          <w:szCs w:val="20"/>
        </w:rPr>
        <w:t>/月度</w:t>
      </w:r>
      <w:r>
        <w:rPr>
          <w:rFonts w:ascii="思源黑体 CN Light" w:eastAsia="思源黑体 CN Light" w:hAnsi="思源黑体 CN Light" w:cs="Times New Roman"/>
          <w:b/>
          <w:sz w:val="21"/>
          <w:szCs w:val="20"/>
        </w:rPr>
        <w:t>涨跌幅（单位：%）</w:t>
      </w:r>
      <w:r>
        <w:rPr>
          <w:rFonts w:ascii="思源黑体 CN Light" w:eastAsia="思源黑体 CN Light" w:hAnsi="思源黑体 CN Light" w:cs="Times New Roman"/>
          <w:b/>
          <w:noProof/>
          <w:sz w:val="21"/>
          <w:szCs w:val="20"/>
        </w:rPr>
        <w:drawing>
          <wp:inline distT="0" distB="0" distL="0" distR="0" wp14:anchorId="4FFBD308" wp14:editId="0ADBC8E1">
            <wp:extent cx="6370320" cy="3216910"/>
            <wp:effectExtent l="0" t="0" r="0" b="2540"/>
            <wp:docPr id="56" name="图片 55"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图表, 条形图&#10;&#10;AI 生成的内容可能不正确。"/>
                    <pic:cNvPicPr>
                      <a:picLocks noChangeAspect="1"/>
                    </pic:cNvPicPr>
                  </pic:nvPicPr>
                  <pic:blipFill>
                    <a:blip r:embed="rId6"/>
                    <a:stretch>
                      <a:fillRect/>
                    </a:stretch>
                  </pic:blipFill>
                  <pic:spPr>
                    <a:xfrm>
                      <a:off x="0" y="0"/>
                      <a:ext cx="6370436" cy="3217483"/>
                    </a:xfrm>
                    <a:prstGeom prst="rect">
                      <a:avLst/>
                    </a:prstGeom>
                  </pic:spPr>
                </pic:pic>
              </a:graphicData>
            </a:graphic>
          </wp:inline>
        </w:drawing>
      </w:r>
    </w:p>
    <w:p w14:paraId="3485D178" w14:textId="77777777" w:rsidR="0061366D" w:rsidRDefault="00000000">
      <w:pPr>
        <w:ind w:firstLineChars="200" w:firstLine="260"/>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；周涨跌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区间：20250714-20250718；月涨跌</w:t>
      </w:r>
      <w:proofErr w:type="gramStart"/>
      <w:r>
        <w:rPr>
          <w:rFonts w:ascii="思源黑体 CN Light" w:eastAsia="思源黑体 CN Light" w:hAnsi="思源黑体 CN Light" w:cs="Times New Roman" w:hint="eastAsia"/>
          <w:sz w:val="13"/>
          <w:szCs w:val="20"/>
        </w:rPr>
        <w:t>幅统计</w:t>
      </w:r>
      <w:proofErr w:type="gramEnd"/>
      <w:r>
        <w:rPr>
          <w:rFonts w:ascii="思源黑体 CN Light" w:eastAsia="思源黑体 CN Light" w:hAnsi="思源黑体 CN Light" w:cs="Times New Roman" w:hint="eastAsia"/>
          <w:sz w:val="13"/>
          <w:szCs w:val="20"/>
        </w:rPr>
        <w:t>区间：20250701-20250718</w:t>
      </w:r>
    </w:p>
    <w:p w14:paraId="0CC1CB34" w14:textId="77777777" w:rsidR="0061366D" w:rsidRDefault="00000000">
      <w:pPr>
        <w:ind w:firstLineChars="200" w:firstLine="420"/>
        <w:jc w:val="left"/>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各行业普遍反弹，少数行业补跌。</w:t>
      </w:r>
      <w:proofErr w:type="gramStart"/>
      <w:r>
        <w:rPr>
          <w:rFonts w:ascii="思源黑体 CN Light" w:eastAsia="思源黑体 CN Light" w:hAnsi="思源黑体 CN Light" w:cs="Times New Roman" w:hint="eastAsia"/>
          <w:color w:val="000000" w:themeColor="text1"/>
          <w:sz w:val="21"/>
          <w:szCs w:val="20"/>
        </w:rPr>
        <w:t>申万一级行业</w:t>
      </w:r>
      <w:proofErr w:type="gramEnd"/>
      <w:r>
        <w:rPr>
          <w:rFonts w:ascii="思源黑体 CN Light" w:eastAsia="思源黑体 CN Light" w:hAnsi="思源黑体 CN Light" w:cs="Times New Roman" w:hint="eastAsia"/>
          <w:color w:val="000000" w:themeColor="text1"/>
          <w:sz w:val="21"/>
          <w:szCs w:val="20"/>
        </w:rPr>
        <w:t>指数中，通信（+7.56%）、医药生物（+4.00%）、汽车（+3.28%）等行业上涨较为明显，公用事业（-1.37%）、房地产（-2.17%）、传媒（-2.24%）等行业补跌。</w:t>
      </w:r>
    </w:p>
    <w:p w14:paraId="019D3EDE" w14:textId="77777777" w:rsidR="0061366D" w:rsidRDefault="00000000">
      <w:pPr>
        <w:ind w:firstLineChars="200" w:firstLine="428"/>
        <w:jc w:val="left"/>
        <w:rPr>
          <w:rFonts w:ascii="思源黑体 CN Light" w:eastAsia="思源黑体 CN Light" w:hAnsi="思源黑体 CN Light" w:cs="Times New Roman" w:hint="eastAsia"/>
          <w:b/>
          <w:sz w:val="21"/>
          <w:szCs w:val="20"/>
        </w:rPr>
      </w:pPr>
      <w:r>
        <w:rPr>
          <w:rFonts w:ascii="思源黑体 CN Light" w:eastAsia="思源黑体 CN Light" w:hAnsi="思源黑体 CN Light" w:cs="Times New Roman"/>
          <w:b/>
          <w:sz w:val="21"/>
          <w:szCs w:val="20"/>
        </w:rPr>
        <w:t>图：</w:t>
      </w:r>
      <w:proofErr w:type="gramStart"/>
      <w:r>
        <w:rPr>
          <w:rFonts w:ascii="思源黑体 CN Light" w:eastAsia="思源黑体 CN Light" w:hAnsi="思源黑体 CN Light" w:cs="Times New Roman"/>
          <w:b/>
          <w:sz w:val="21"/>
          <w:szCs w:val="20"/>
        </w:rPr>
        <w:t>申万一级行业周涨跌</w:t>
      </w:r>
      <w:proofErr w:type="gramEnd"/>
      <w:r>
        <w:rPr>
          <w:rFonts w:ascii="思源黑体 CN Light" w:eastAsia="思源黑体 CN Light" w:hAnsi="思源黑体 CN Light" w:cs="Times New Roman"/>
          <w:b/>
          <w:sz w:val="21"/>
          <w:szCs w:val="20"/>
        </w:rPr>
        <w:t>幅（单位：%）</w:t>
      </w:r>
      <w:r>
        <w:rPr>
          <w:rFonts w:ascii="思源黑体 CN Light" w:eastAsia="思源黑体 CN Light" w:hAnsi="思源黑体 CN Light" w:cs="Times New Roman"/>
          <w:b/>
          <w:noProof/>
          <w:sz w:val="21"/>
          <w:szCs w:val="20"/>
        </w:rPr>
        <w:lastRenderedPageBreak/>
        <w:drawing>
          <wp:inline distT="0" distB="0" distL="0" distR="0" wp14:anchorId="2CB61397" wp14:editId="601A5601">
            <wp:extent cx="6461760" cy="3216910"/>
            <wp:effectExtent l="0" t="0" r="0" b="2540"/>
            <wp:docPr id="57" name="图片 56" descr="图片包含 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图片包含 图表&#10;&#10;AI 生成的内容可能不正确。"/>
                    <pic:cNvPicPr>
                      <a:picLocks noChangeAspect="1"/>
                    </pic:cNvPicPr>
                  </pic:nvPicPr>
                  <pic:blipFill>
                    <a:blip r:embed="rId7"/>
                    <a:stretch>
                      <a:fillRect/>
                    </a:stretch>
                  </pic:blipFill>
                  <pic:spPr>
                    <a:xfrm>
                      <a:off x="0" y="0"/>
                      <a:ext cx="6462912" cy="3217484"/>
                    </a:xfrm>
                    <a:prstGeom prst="rect">
                      <a:avLst/>
                    </a:prstGeom>
                  </pic:spPr>
                </pic:pic>
              </a:graphicData>
            </a:graphic>
          </wp:inline>
        </w:drawing>
      </w:r>
    </w:p>
    <w:p w14:paraId="08818E3D" w14:textId="77777777" w:rsidR="0061366D" w:rsidRDefault="00000000">
      <w:pPr>
        <w:ind w:firstLineChars="200" w:firstLine="260"/>
        <w:jc w:val="left"/>
        <w:rPr>
          <w:rFonts w:ascii="思源黑体 CN Light" w:eastAsia="思源黑体 CN Light" w:hAnsi="思源黑体 CN Light" w:cs="Times New Roman" w:hint="eastAsia"/>
          <w:sz w:val="13"/>
          <w:szCs w:val="20"/>
        </w:rPr>
      </w:pPr>
      <w:r>
        <w:rPr>
          <w:rFonts w:ascii="思源黑体 CN Light" w:eastAsia="思源黑体 CN Light" w:hAnsi="思源黑体 CN Light" w:cs="Times New Roman"/>
          <w:sz w:val="13"/>
          <w:szCs w:val="20"/>
        </w:rPr>
        <w:t>数据来源：wind，富</w:t>
      </w:r>
      <w:proofErr w:type="gramStart"/>
      <w:r>
        <w:rPr>
          <w:rFonts w:ascii="思源黑体 CN Light" w:eastAsia="思源黑体 CN Light" w:hAnsi="思源黑体 CN Light" w:cs="Times New Roman"/>
          <w:sz w:val="13"/>
          <w:szCs w:val="20"/>
        </w:rPr>
        <w:t>荣基金</w:t>
      </w:r>
      <w:proofErr w:type="gramEnd"/>
      <w:r>
        <w:rPr>
          <w:rFonts w:ascii="思源黑体 CN Light" w:eastAsia="思源黑体 CN Light" w:hAnsi="思源黑体 CN Light" w:cs="Times New Roman"/>
          <w:sz w:val="13"/>
          <w:szCs w:val="20"/>
        </w:rPr>
        <w:t>管理有限公司</w:t>
      </w:r>
      <w:r>
        <w:rPr>
          <w:rFonts w:ascii="思源黑体 CN Light" w:eastAsia="思源黑体 CN Light" w:hAnsi="思源黑体 CN Light" w:cs="Times New Roman" w:hint="eastAsia"/>
          <w:sz w:val="13"/>
          <w:szCs w:val="20"/>
        </w:rPr>
        <w:t>；统计区间：20250714-20250718</w:t>
      </w:r>
    </w:p>
    <w:p w14:paraId="6D3A677E" w14:textId="77777777" w:rsidR="0061366D" w:rsidRDefault="0061366D">
      <w:pPr>
        <w:pStyle w:val="2"/>
        <w:tabs>
          <w:tab w:val="left" w:pos="4364"/>
          <w:tab w:val="right" w:pos="10204"/>
        </w:tabs>
        <w:rPr>
          <w:rFonts w:ascii="思源黑体 CN Light" w:eastAsia="思源黑体 CN Light" w:hAnsi="思源黑体 CN Light" w:cs="Times New Roman" w:hint="eastAsia"/>
          <w:color w:val="000000"/>
          <w:sz w:val="21"/>
          <w:szCs w:val="20"/>
          <w:shd w:val="clear" w:color="auto" w:fill="FFFFFF"/>
        </w:rPr>
      </w:pPr>
    </w:p>
    <w:p w14:paraId="74A12DFD" w14:textId="77777777" w:rsidR="0061366D"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hint="eastAsia"/>
          <w:b/>
          <w:bCs/>
          <w:sz w:val="22"/>
          <w:szCs w:val="24"/>
        </w:rPr>
        <w:t>二、通信行业点评与展望</w:t>
      </w:r>
    </w:p>
    <w:p w14:paraId="666E4A01" w14:textId="228A55D5" w:rsidR="0061366D"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bookmarkStart w:id="1" w:name="_Hlk140420797"/>
      <w:r>
        <w:rPr>
          <w:rFonts w:ascii="思源黑体 CN Light" w:eastAsia="思源黑体 CN Light" w:hAnsi="思源黑体 CN Light" w:cs="Times New Roman" w:hint="eastAsia"/>
          <w:color w:val="000000" w:themeColor="text1"/>
          <w:sz w:val="21"/>
          <w:szCs w:val="20"/>
        </w:rPr>
        <w:t>上周申万通信指数上涨7.56%，在所有申万</w:t>
      </w:r>
      <w:proofErr w:type="gramStart"/>
      <w:r>
        <w:rPr>
          <w:rFonts w:ascii="思源黑体 CN Light" w:eastAsia="思源黑体 CN Light" w:hAnsi="思源黑体 CN Light" w:cs="Times New Roman" w:hint="eastAsia"/>
          <w:color w:val="000000" w:themeColor="text1"/>
          <w:sz w:val="21"/>
          <w:szCs w:val="20"/>
        </w:rPr>
        <w:t>一级行业</w:t>
      </w:r>
      <w:proofErr w:type="gramEnd"/>
      <w:r>
        <w:rPr>
          <w:rFonts w:ascii="思源黑体 CN Light" w:eastAsia="思源黑体 CN Light" w:hAnsi="思源黑体 CN Light" w:cs="Times New Roman" w:hint="eastAsia"/>
          <w:color w:val="000000" w:themeColor="text1"/>
          <w:sz w:val="21"/>
          <w:szCs w:val="20"/>
        </w:rPr>
        <w:t>中涨幅居前，同期沪深300上涨1.09%。近期通信行业上涨，主要是由于光模块龙头公司业绩大超预期，带动市场信心的提升。</w:t>
      </w:r>
      <w:proofErr w:type="gramStart"/>
      <w:r>
        <w:rPr>
          <w:rFonts w:ascii="思源黑体 CN Light" w:eastAsia="思源黑体 CN Light" w:hAnsi="思源黑体 CN Light" w:cs="Times New Roman" w:hint="eastAsia"/>
          <w:color w:val="000000" w:themeColor="text1"/>
          <w:sz w:val="21"/>
          <w:szCs w:val="20"/>
        </w:rPr>
        <w:t>业绩超</w:t>
      </w:r>
      <w:proofErr w:type="gramEnd"/>
      <w:r>
        <w:rPr>
          <w:rFonts w:ascii="思源黑体 CN Light" w:eastAsia="思源黑体 CN Light" w:hAnsi="思源黑体 CN Light" w:cs="Times New Roman" w:hint="eastAsia"/>
          <w:color w:val="000000" w:themeColor="text1"/>
          <w:sz w:val="21"/>
          <w:szCs w:val="20"/>
        </w:rPr>
        <w:t>预期是源于海外</w:t>
      </w:r>
      <w:proofErr w:type="gramStart"/>
      <w:r>
        <w:rPr>
          <w:rFonts w:ascii="思源黑体 CN Light" w:eastAsia="思源黑体 CN Light" w:hAnsi="思源黑体 CN Light" w:cs="Times New Roman" w:hint="eastAsia"/>
          <w:color w:val="000000" w:themeColor="text1"/>
          <w:sz w:val="21"/>
          <w:szCs w:val="20"/>
        </w:rPr>
        <w:t>算力链需求</w:t>
      </w:r>
      <w:proofErr w:type="gramEnd"/>
      <w:r>
        <w:rPr>
          <w:rFonts w:ascii="思源黑体 CN Light" w:eastAsia="思源黑体 CN Light" w:hAnsi="思源黑体 CN Light" w:cs="Times New Roman" w:hint="eastAsia"/>
          <w:color w:val="000000" w:themeColor="text1"/>
          <w:sz w:val="21"/>
          <w:szCs w:val="20"/>
        </w:rPr>
        <w:t>上修与技术升级的共振</w:t>
      </w:r>
      <w:r>
        <w:rPr>
          <w:rFonts w:ascii="思源黑体 CN Light" w:eastAsia="思源黑体 CN Light" w:hAnsi="思源黑体 CN Light" w:cs="思源黑体 CN Light" w:hint="eastAsia"/>
          <w:color w:val="000000" w:themeColor="text1"/>
          <w:sz w:val="21"/>
          <w:szCs w:val="20"/>
        </w:rPr>
        <w:t>。</w:t>
      </w:r>
    </w:p>
    <w:p w14:paraId="3019F563" w14:textId="58D04614" w:rsidR="0061366D"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思源黑体 CN Light" w:hint="eastAsia"/>
          <w:color w:val="000000" w:themeColor="text1"/>
          <w:sz w:val="21"/>
          <w:szCs w:val="20"/>
        </w:rPr>
        <w:t>需求层面，</w:t>
      </w:r>
      <w:r>
        <w:rPr>
          <w:rFonts w:ascii="思源黑体 CN Light" w:eastAsia="思源黑体 CN Light" w:hAnsi="思源黑体 CN Light" w:cs="Times New Roman"/>
          <w:color w:val="000000" w:themeColor="text1"/>
          <w:sz w:val="21"/>
          <w:szCs w:val="20"/>
        </w:rPr>
        <w:t>2025年</w:t>
      </w:r>
      <w:r>
        <w:rPr>
          <w:rFonts w:ascii="思源黑体 CN Light" w:eastAsia="思源黑体 CN Light" w:hAnsi="思源黑体 CN Light" w:cs="Times New Roman" w:hint="eastAsia"/>
          <w:color w:val="000000" w:themeColor="text1"/>
          <w:sz w:val="21"/>
          <w:szCs w:val="20"/>
        </w:rPr>
        <w:t>海外四大</w:t>
      </w:r>
      <w:proofErr w:type="gramStart"/>
      <w:r>
        <w:rPr>
          <w:rFonts w:ascii="思源黑体 CN Light" w:eastAsia="思源黑体 CN Light" w:hAnsi="思源黑体 CN Light" w:cs="Times New Roman" w:hint="eastAsia"/>
          <w:color w:val="000000" w:themeColor="text1"/>
          <w:sz w:val="21"/>
          <w:szCs w:val="20"/>
        </w:rPr>
        <w:t>云计算</w:t>
      </w:r>
      <w:proofErr w:type="gramEnd"/>
      <w:r>
        <w:rPr>
          <w:rFonts w:ascii="思源黑体 CN Light" w:eastAsia="思源黑体 CN Light" w:hAnsi="思源黑体 CN Light" w:cs="Times New Roman" w:hint="eastAsia"/>
          <w:color w:val="000000" w:themeColor="text1"/>
          <w:sz w:val="21"/>
          <w:szCs w:val="20"/>
        </w:rPr>
        <w:t>巨头的</w:t>
      </w:r>
      <w:r>
        <w:rPr>
          <w:rFonts w:ascii="思源黑体 CN Light" w:eastAsia="思源黑体 CN Light" w:hAnsi="思源黑体 CN Light" w:cs="Times New Roman"/>
          <w:color w:val="000000" w:themeColor="text1"/>
          <w:sz w:val="21"/>
          <w:szCs w:val="20"/>
        </w:rPr>
        <w:t>资本开支</w:t>
      </w:r>
      <w:r>
        <w:rPr>
          <w:rFonts w:ascii="思源黑体 CN Light" w:eastAsia="思源黑体 CN Light" w:hAnsi="思源黑体 CN Light" w:cs="Times New Roman" w:hint="eastAsia"/>
          <w:color w:val="000000" w:themeColor="text1"/>
          <w:sz w:val="21"/>
          <w:szCs w:val="20"/>
        </w:rPr>
        <w:t>指引高达</w:t>
      </w:r>
      <w:r>
        <w:rPr>
          <w:rFonts w:ascii="思源黑体 CN Light" w:eastAsia="思源黑体 CN Light" w:hAnsi="思源黑体 CN Light" w:cs="Times New Roman"/>
          <w:color w:val="000000" w:themeColor="text1"/>
          <w:sz w:val="21"/>
          <w:szCs w:val="20"/>
        </w:rPr>
        <w:t>3230亿美元（同比+42.5%），</w:t>
      </w:r>
      <w:r>
        <w:rPr>
          <w:rFonts w:ascii="思源黑体 CN Light" w:eastAsia="思源黑体 CN Light" w:hAnsi="思源黑体 CN Light" w:cs="Times New Roman" w:hint="eastAsia"/>
          <w:color w:val="000000" w:themeColor="text1"/>
          <w:sz w:val="21"/>
          <w:szCs w:val="20"/>
        </w:rPr>
        <w:t>且资金</w:t>
      </w:r>
      <w:r>
        <w:rPr>
          <w:rFonts w:ascii="思源黑体 CN Light" w:eastAsia="思源黑体 CN Light" w:hAnsi="思源黑体 CN Light" w:cs="Times New Roman"/>
          <w:color w:val="000000" w:themeColor="text1"/>
          <w:sz w:val="21"/>
          <w:szCs w:val="20"/>
        </w:rPr>
        <w:t>重点投向AI数据中心建设。</w:t>
      </w:r>
      <w:r>
        <w:rPr>
          <w:rFonts w:ascii="思源黑体 CN Light" w:eastAsia="思源黑体 CN Light" w:hAnsi="思源黑体 CN Light" w:cs="Times New Roman" w:hint="eastAsia"/>
          <w:color w:val="000000" w:themeColor="text1"/>
          <w:sz w:val="21"/>
          <w:szCs w:val="20"/>
        </w:rPr>
        <w:t>搜索巨头</w:t>
      </w:r>
      <w:r>
        <w:rPr>
          <w:rFonts w:ascii="思源黑体 CN Light" w:eastAsia="思源黑体 CN Light" w:hAnsi="思源黑体 CN Light" w:cs="Times New Roman"/>
          <w:color w:val="000000" w:themeColor="text1"/>
          <w:sz w:val="21"/>
          <w:szCs w:val="20"/>
        </w:rPr>
        <w:t>月度AI推理Token处理量从2024年4月的9.7</w:t>
      </w:r>
      <w:proofErr w:type="gramStart"/>
      <w:r>
        <w:rPr>
          <w:rFonts w:ascii="思源黑体 CN Light" w:eastAsia="思源黑体 CN Light" w:hAnsi="思源黑体 CN Light" w:cs="Times New Roman"/>
          <w:color w:val="000000" w:themeColor="text1"/>
          <w:sz w:val="21"/>
          <w:szCs w:val="20"/>
        </w:rPr>
        <w:t>万亿</w:t>
      </w:r>
      <w:proofErr w:type="gramEnd"/>
      <w:r>
        <w:rPr>
          <w:rFonts w:ascii="思源黑体 CN Light" w:eastAsia="思源黑体 CN Light" w:hAnsi="思源黑体 CN Light" w:cs="Times New Roman"/>
          <w:color w:val="000000" w:themeColor="text1"/>
          <w:sz w:val="21"/>
          <w:szCs w:val="20"/>
        </w:rPr>
        <w:t>飙升至2025年4月的480</w:t>
      </w:r>
      <w:proofErr w:type="gramStart"/>
      <w:r>
        <w:rPr>
          <w:rFonts w:ascii="思源黑体 CN Light" w:eastAsia="思源黑体 CN Light" w:hAnsi="思源黑体 CN Light" w:cs="Times New Roman"/>
          <w:color w:val="000000" w:themeColor="text1"/>
          <w:sz w:val="21"/>
          <w:szCs w:val="20"/>
        </w:rPr>
        <w:t>万亿</w:t>
      </w:r>
      <w:proofErr w:type="gramEnd"/>
      <w:r>
        <w:rPr>
          <w:rFonts w:ascii="思源黑体 CN Light" w:eastAsia="思源黑体 CN Light" w:hAnsi="思源黑体 CN Light" w:cs="Times New Roman"/>
          <w:color w:val="000000" w:themeColor="text1"/>
          <w:sz w:val="21"/>
          <w:szCs w:val="20"/>
        </w:rPr>
        <w:t>（50倍增长），</w:t>
      </w:r>
      <w:proofErr w:type="gramStart"/>
      <w:r>
        <w:rPr>
          <w:rFonts w:ascii="思源黑体 CN Light" w:eastAsia="思源黑体 CN Light" w:hAnsi="思源黑体 CN Light" w:cs="Times New Roman"/>
          <w:color w:val="000000" w:themeColor="text1"/>
          <w:sz w:val="21"/>
          <w:szCs w:val="20"/>
        </w:rPr>
        <w:t>驱动算力基建</w:t>
      </w:r>
      <w:proofErr w:type="gramEnd"/>
      <w:r>
        <w:rPr>
          <w:rFonts w:ascii="思源黑体 CN Light" w:eastAsia="思源黑体 CN Light" w:hAnsi="思源黑体 CN Light" w:cs="Times New Roman"/>
          <w:color w:val="000000" w:themeColor="text1"/>
          <w:sz w:val="21"/>
          <w:szCs w:val="20"/>
        </w:rPr>
        <w:t>扩张。</w:t>
      </w:r>
      <w:r>
        <w:rPr>
          <w:rFonts w:ascii="思源黑体 CN Light" w:eastAsia="思源黑体 CN Light" w:hAnsi="思源黑体 CN Light" w:cs="Times New Roman" w:hint="eastAsia"/>
          <w:color w:val="000000" w:themeColor="text1"/>
          <w:sz w:val="21"/>
          <w:szCs w:val="20"/>
        </w:rPr>
        <w:t>海外社交巨头亦</w:t>
      </w:r>
      <w:r>
        <w:rPr>
          <w:rFonts w:ascii="思源黑体 CN Light" w:eastAsia="思源黑体 CN Light" w:hAnsi="思源黑体 CN Light" w:cs="Times New Roman"/>
          <w:color w:val="000000" w:themeColor="text1"/>
          <w:sz w:val="21"/>
          <w:szCs w:val="20"/>
        </w:rPr>
        <w:t>宣布投入数千亿美元建造超大规模AI集群。</w:t>
      </w:r>
    </w:p>
    <w:p w14:paraId="6EE79574" w14:textId="10D42F18" w:rsidR="0061366D"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color w:val="000000" w:themeColor="text1"/>
          <w:sz w:val="21"/>
          <w:szCs w:val="20"/>
        </w:rPr>
        <w:t>技术升级层面，AI集群</w:t>
      </w:r>
      <w:r>
        <w:rPr>
          <w:rFonts w:ascii="思源黑体 CN Light" w:eastAsia="思源黑体 CN Light" w:hAnsi="思源黑体 CN Light" w:cs="Times New Roman" w:hint="eastAsia"/>
          <w:color w:val="000000" w:themeColor="text1"/>
          <w:sz w:val="21"/>
          <w:szCs w:val="20"/>
        </w:rPr>
        <w:t>规模扩大后，</w:t>
      </w:r>
      <w:r>
        <w:rPr>
          <w:rFonts w:ascii="思源黑体 CN Light" w:eastAsia="思源黑体 CN Light" w:hAnsi="思源黑体 CN Light" w:cs="Times New Roman"/>
          <w:color w:val="000000" w:themeColor="text1"/>
          <w:sz w:val="21"/>
          <w:szCs w:val="20"/>
        </w:rPr>
        <w:t>GPU与光模块</w:t>
      </w:r>
      <w:r>
        <w:rPr>
          <w:rFonts w:ascii="思源黑体 CN Light" w:eastAsia="思源黑体 CN Light" w:hAnsi="思源黑体 CN Light" w:cs="Times New Roman" w:hint="eastAsia"/>
          <w:color w:val="000000" w:themeColor="text1"/>
          <w:sz w:val="21"/>
          <w:szCs w:val="20"/>
        </w:rPr>
        <w:t>的</w:t>
      </w:r>
      <w:r>
        <w:rPr>
          <w:rFonts w:ascii="思源黑体 CN Light" w:eastAsia="思源黑体 CN Light" w:hAnsi="思源黑体 CN Light" w:cs="Times New Roman"/>
          <w:color w:val="000000" w:themeColor="text1"/>
          <w:sz w:val="21"/>
          <w:szCs w:val="20"/>
        </w:rPr>
        <w:t>配</w:t>
      </w:r>
      <w:r>
        <w:rPr>
          <w:rFonts w:ascii="思源黑体 CN Light" w:eastAsia="思源黑体 CN Light" w:hAnsi="思源黑体 CN Light" w:cs="Times New Roman" w:hint="eastAsia"/>
          <w:color w:val="000000" w:themeColor="text1"/>
          <w:sz w:val="21"/>
          <w:szCs w:val="20"/>
        </w:rPr>
        <w:t>比从传统的</w:t>
      </w:r>
      <w:r>
        <w:rPr>
          <w:rFonts w:ascii="思源黑体 CN Light" w:eastAsia="思源黑体 CN Light" w:hAnsi="思源黑体 CN Light" w:cs="Times New Roman"/>
          <w:color w:val="000000" w:themeColor="text1"/>
          <w:sz w:val="21"/>
          <w:szCs w:val="20"/>
        </w:rPr>
        <w:t>1:3升</w:t>
      </w:r>
      <w:r>
        <w:rPr>
          <w:rFonts w:ascii="思源黑体 CN Light" w:eastAsia="思源黑体 CN Light" w:hAnsi="思源黑体 CN Light" w:cs="Times New Roman" w:hint="eastAsia"/>
          <w:color w:val="000000" w:themeColor="text1"/>
          <w:sz w:val="21"/>
          <w:szCs w:val="20"/>
        </w:rPr>
        <w:t>抬升至</w:t>
      </w:r>
      <w:r>
        <w:rPr>
          <w:rFonts w:ascii="思源黑体 CN Light" w:eastAsia="思源黑体 CN Light" w:hAnsi="思源黑体 CN Light" w:cs="Times New Roman"/>
          <w:color w:val="000000" w:themeColor="text1"/>
          <w:sz w:val="21"/>
          <w:szCs w:val="20"/>
        </w:rPr>
        <w:t>1:5</w:t>
      </w:r>
      <w:r>
        <w:rPr>
          <w:rFonts w:ascii="思源黑体 CN Light" w:eastAsia="思源黑体 CN Light" w:hAnsi="思源黑体 CN Light" w:cs="Times New Roman" w:hint="eastAsia"/>
          <w:color w:val="000000" w:themeColor="text1"/>
          <w:sz w:val="21"/>
          <w:szCs w:val="20"/>
        </w:rPr>
        <w:t>以上</w:t>
      </w:r>
      <w:r>
        <w:rPr>
          <w:rFonts w:ascii="思源黑体 CN Light" w:eastAsia="思源黑体 CN Light" w:hAnsi="思源黑体 CN Light" w:cs="Times New Roman"/>
          <w:color w:val="000000" w:themeColor="text1"/>
          <w:sz w:val="21"/>
          <w:szCs w:val="20"/>
        </w:rPr>
        <w:t>，部分ASIC架构</w:t>
      </w:r>
      <w:r>
        <w:rPr>
          <w:rFonts w:ascii="思源黑体 CN Light" w:eastAsia="思源黑体 CN Light" w:hAnsi="思源黑体 CN Light" w:cs="Times New Roman" w:hint="eastAsia"/>
          <w:color w:val="000000" w:themeColor="text1"/>
          <w:sz w:val="21"/>
          <w:szCs w:val="20"/>
        </w:rPr>
        <w:t>甚至</w:t>
      </w:r>
      <w:r>
        <w:rPr>
          <w:rFonts w:ascii="思源黑体 CN Light" w:eastAsia="思源黑体 CN Light" w:hAnsi="思源黑体 CN Light" w:cs="Times New Roman"/>
          <w:color w:val="000000" w:themeColor="text1"/>
          <w:sz w:val="21"/>
          <w:szCs w:val="20"/>
        </w:rPr>
        <w:t>达</w:t>
      </w:r>
      <w:r>
        <w:rPr>
          <w:rFonts w:ascii="思源黑体 CN Light" w:eastAsia="思源黑体 CN Light" w:hAnsi="思源黑体 CN Light" w:cs="Times New Roman" w:hint="eastAsia"/>
          <w:color w:val="000000" w:themeColor="text1"/>
          <w:sz w:val="21"/>
          <w:szCs w:val="20"/>
        </w:rPr>
        <w:t>到</w:t>
      </w:r>
      <w:r>
        <w:rPr>
          <w:rFonts w:ascii="思源黑体 CN Light" w:eastAsia="思源黑体 CN Light" w:hAnsi="思源黑体 CN Light" w:cs="Times New Roman"/>
          <w:color w:val="000000" w:themeColor="text1"/>
          <w:sz w:val="21"/>
          <w:szCs w:val="20"/>
        </w:rPr>
        <w:t>1:8。</w:t>
      </w:r>
      <w:proofErr w:type="gramStart"/>
      <w:r>
        <w:rPr>
          <w:rFonts w:ascii="思源黑体 CN Light" w:eastAsia="思源黑体 CN Light" w:hAnsi="思源黑体 CN Light" w:cs="Times New Roman" w:hint="eastAsia"/>
          <w:color w:val="000000" w:themeColor="text1"/>
          <w:sz w:val="21"/>
          <w:szCs w:val="20"/>
        </w:rPr>
        <w:t>某核心</w:t>
      </w:r>
      <w:proofErr w:type="gramEnd"/>
      <w:r>
        <w:rPr>
          <w:rFonts w:ascii="思源黑体 CN Light" w:eastAsia="思源黑体 CN Light" w:hAnsi="思源黑体 CN Light" w:cs="Times New Roman" w:hint="eastAsia"/>
          <w:color w:val="000000" w:themeColor="text1"/>
          <w:sz w:val="21"/>
          <w:szCs w:val="20"/>
        </w:rPr>
        <w:t>芯片厂商最新</w:t>
      </w:r>
      <w:r>
        <w:rPr>
          <w:rFonts w:ascii="思源黑体 CN Light" w:eastAsia="思源黑体 CN Light" w:hAnsi="思源黑体 CN Light" w:cs="Times New Roman"/>
          <w:color w:val="000000" w:themeColor="text1"/>
          <w:sz w:val="21"/>
          <w:szCs w:val="20"/>
        </w:rPr>
        <w:t>发布</w:t>
      </w:r>
      <w:r>
        <w:rPr>
          <w:rFonts w:ascii="思源黑体 CN Light" w:eastAsia="思源黑体 CN Light" w:hAnsi="思源黑体 CN Light" w:cs="Times New Roman" w:hint="eastAsia"/>
          <w:color w:val="000000" w:themeColor="text1"/>
          <w:sz w:val="21"/>
          <w:szCs w:val="20"/>
        </w:rPr>
        <w:t>的</w:t>
      </w:r>
      <w:r>
        <w:rPr>
          <w:rFonts w:ascii="思源黑体 CN Light" w:eastAsia="思源黑体 CN Light" w:hAnsi="思源黑体 CN Light" w:cs="Times New Roman"/>
          <w:color w:val="000000" w:themeColor="text1"/>
          <w:sz w:val="21"/>
          <w:szCs w:val="20"/>
        </w:rPr>
        <w:t>TH6芯片</w:t>
      </w:r>
      <w:r>
        <w:rPr>
          <w:rFonts w:ascii="思源黑体 CN Light" w:eastAsia="思源黑体 CN Light" w:hAnsi="思源黑体 CN Light" w:cs="Times New Roman" w:hint="eastAsia"/>
          <w:color w:val="000000" w:themeColor="text1"/>
          <w:sz w:val="21"/>
          <w:szCs w:val="20"/>
        </w:rPr>
        <w:t>，成功</w:t>
      </w:r>
      <w:r>
        <w:rPr>
          <w:rFonts w:ascii="思源黑体 CN Light" w:eastAsia="思源黑体 CN Light" w:hAnsi="思源黑体 CN Light" w:cs="Times New Roman"/>
          <w:color w:val="000000" w:themeColor="text1"/>
          <w:sz w:val="21"/>
          <w:szCs w:val="20"/>
        </w:rPr>
        <w:t>打通以太网1.6T</w:t>
      </w:r>
      <w:r>
        <w:rPr>
          <w:rFonts w:ascii="思源黑体 CN Light" w:eastAsia="思源黑体 CN Light" w:hAnsi="思源黑体 CN Light" w:cs="Times New Roman" w:hint="eastAsia"/>
          <w:color w:val="000000" w:themeColor="text1"/>
          <w:sz w:val="21"/>
          <w:szCs w:val="20"/>
        </w:rPr>
        <w:t>的</w:t>
      </w:r>
      <w:r>
        <w:rPr>
          <w:rFonts w:ascii="思源黑体 CN Light" w:eastAsia="思源黑体 CN Light" w:hAnsi="思源黑体 CN Light" w:cs="Times New Roman"/>
          <w:color w:val="000000" w:themeColor="text1"/>
          <w:sz w:val="21"/>
          <w:szCs w:val="20"/>
        </w:rPr>
        <w:t>技术瓶颈，</w:t>
      </w:r>
      <w:r>
        <w:rPr>
          <w:rFonts w:ascii="思源黑体 CN Light" w:eastAsia="思源黑体 CN Light" w:hAnsi="思源黑体 CN Light" w:cs="Times New Roman" w:hint="eastAsia"/>
          <w:color w:val="000000" w:themeColor="text1"/>
          <w:sz w:val="21"/>
          <w:szCs w:val="20"/>
        </w:rPr>
        <w:t>预计</w:t>
      </w:r>
      <w:r>
        <w:rPr>
          <w:rFonts w:ascii="思源黑体 CN Light" w:eastAsia="思源黑体 CN Light" w:hAnsi="思源黑体 CN Light" w:cs="Times New Roman"/>
          <w:color w:val="000000" w:themeColor="text1"/>
          <w:sz w:val="21"/>
          <w:szCs w:val="20"/>
        </w:rPr>
        <w:t>2026年</w:t>
      </w:r>
      <w:r>
        <w:rPr>
          <w:rFonts w:ascii="思源黑体 CN Light" w:eastAsia="思源黑体 CN Light" w:hAnsi="思源黑体 CN Light" w:cs="Times New Roman" w:hint="eastAsia"/>
          <w:color w:val="000000" w:themeColor="text1"/>
          <w:sz w:val="21"/>
          <w:szCs w:val="20"/>
        </w:rPr>
        <w:t>将</w:t>
      </w:r>
      <w:r>
        <w:rPr>
          <w:rFonts w:ascii="思源黑体 CN Light" w:eastAsia="思源黑体 CN Light" w:hAnsi="思源黑体 CN Light" w:cs="Times New Roman"/>
          <w:color w:val="000000" w:themeColor="text1"/>
          <w:sz w:val="21"/>
          <w:szCs w:val="20"/>
        </w:rPr>
        <w:t>随以太网升级</w:t>
      </w:r>
      <w:r>
        <w:rPr>
          <w:rFonts w:ascii="思源黑体 CN Light" w:eastAsia="思源黑体 CN Light" w:hAnsi="思源黑体 CN Light" w:cs="Times New Roman" w:hint="eastAsia"/>
          <w:color w:val="000000" w:themeColor="text1"/>
          <w:sz w:val="21"/>
          <w:szCs w:val="20"/>
        </w:rPr>
        <w:t>而</w:t>
      </w:r>
      <w:r>
        <w:rPr>
          <w:rFonts w:ascii="思源黑体 CN Light" w:eastAsia="思源黑体 CN Light" w:hAnsi="思源黑体 CN Light" w:cs="Times New Roman"/>
          <w:color w:val="000000" w:themeColor="text1"/>
          <w:sz w:val="21"/>
          <w:szCs w:val="20"/>
        </w:rPr>
        <w:t>放量。</w:t>
      </w:r>
    </w:p>
    <w:p w14:paraId="455D6FB6" w14:textId="77777777" w:rsidR="0061366D"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同时，</w:t>
      </w:r>
      <w:proofErr w:type="gramStart"/>
      <w:r>
        <w:rPr>
          <w:rFonts w:ascii="思源黑体 CN Light" w:eastAsia="思源黑体 CN Light" w:hAnsi="思源黑体 CN Light" w:cs="Times New Roman" w:hint="eastAsia"/>
          <w:color w:val="000000" w:themeColor="text1"/>
          <w:sz w:val="21"/>
          <w:szCs w:val="20"/>
        </w:rPr>
        <w:t>国内算力也</w:t>
      </w:r>
      <w:proofErr w:type="gramEnd"/>
      <w:r>
        <w:rPr>
          <w:rFonts w:ascii="思源黑体 CN Light" w:eastAsia="思源黑体 CN Light" w:hAnsi="思源黑体 CN Light" w:cs="Times New Roman" w:hint="eastAsia"/>
          <w:color w:val="000000" w:themeColor="text1"/>
          <w:sz w:val="21"/>
          <w:szCs w:val="20"/>
        </w:rPr>
        <w:t>迎来供给松绑。AI芯片</w:t>
      </w:r>
      <w:proofErr w:type="gramStart"/>
      <w:r>
        <w:rPr>
          <w:rFonts w:ascii="思源黑体 CN Light" w:eastAsia="思源黑体 CN Light" w:hAnsi="思源黑体 CN Light" w:cs="Times New Roman" w:hint="eastAsia"/>
          <w:color w:val="000000" w:themeColor="text1"/>
          <w:sz w:val="21"/>
          <w:szCs w:val="20"/>
        </w:rPr>
        <w:t>龙头获</w:t>
      </w:r>
      <w:proofErr w:type="gramEnd"/>
      <w:r>
        <w:rPr>
          <w:rFonts w:ascii="思源黑体 CN Light" w:eastAsia="思源黑体 CN Light" w:hAnsi="思源黑体 CN Light" w:cs="Times New Roman" w:hint="eastAsia"/>
          <w:color w:val="000000" w:themeColor="text1"/>
          <w:sz w:val="21"/>
          <w:szCs w:val="20"/>
        </w:rPr>
        <w:t>美国政府批准许可，恢复对华销售</w:t>
      </w:r>
      <w:proofErr w:type="gramStart"/>
      <w:r>
        <w:rPr>
          <w:rFonts w:ascii="思源黑体 CN Light" w:eastAsia="思源黑体 CN Light" w:hAnsi="思源黑体 CN Light" w:cs="Times New Roman" w:hint="eastAsia"/>
          <w:color w:val="000000" w:themeColor="text1"/>
          <w:sz w:val="21"/>
          <w:szCs w:val="20"/>
        </w:rPr>
        <w:t>特供版</w:t>
      </w:r>
      <w:proofErr w:type="gramEnd"/>
      <w:r>
        <w:rPr>
          <w:rFonts w:ascii="思源黑体 CN Light" w:eastAsia="思源黑体 CN Light" w:hAnsi="思源黑体 CN Light" w:cs="Times New Roman" w:hint="eastAsia"/>
          <w:color w:val="000000" w:themeColor="text1"/>
          <w:sz w:val="21"/>
          <w:szCs w:val="20"/>
        </w:rPr>
        <w:t>AI芯片（H20及</w:t>
      </w:r>
      <w:r>
        <w:rPr>
          <w:rFonts w:ascii="思源黑体 CN Light" w:eastAsia="思源黑体 CN Light" w:hAnsi="思源黑体 CN Light" w:cs="Times New Roman" w:hint="eastAsia"/>
          <w:color w:val="000000" w:themeColor="text1"/>
          <w:sz w:val="21"/>
          <w:szCs w:val="20"/>
        </w:rPr>
        <w:lastRenderedPageBreak/>
        <w:t>Blackwell架构新品），有效缓解了4月关税冲突引发的供应链焦虑。</w:t>
      </w:r>
    </w:p>
    <w:p w14:paraId="2C937A9A" w14:textId="092E659B" w:rsidR="0061366D" w:rsidRDefault="00000000">
      <w:pPr>
        <w:tabs>
          <w:tab w:val="left" w:pos="5594"/>
        </w:tabs>
        <w:ind w:firstLineChars="200" w:firstLine="420"/>
        <w:rPr>
          <w:rFonts w:ascii="思源黑体 CN Light" w:eastAsia="思源黑体 CN Light" w:hAnsi="思源黑体 CN Light" w:cs="Times New Roman" w:hint="eastAsia"/>
          <w:color w:val="000000" w:themeColor="text1"/>
          <w:sz w:val="21"/>
          <w:szCs w:val="20"/>
        </w:rPr>
      </w:pPr>
      <w:r>
        <w:rPr>
          <w:rFonts w:ascii="思源黑体 CN Light" w:eastAsia="思源黑体 CN Light" w:hAnsi="思源黑体 CN Light" w:cs="Times New Roman" w:hint="eastAsia"/>
          <w:color w:val="000000" w:themeColor="text1"/>
          <w:sz w:val="21"/>
          <w:szCs w:val="20"/>
        </w:rPr>
        <w:t>展望未来，业绩的确定性、需求的高增长及技术的代际升级或将持续推动板块的增长，我们持续看好以光模块为代表的AI</w:t>
      </w:r>
      <w:proofErr w:type="gramStart"/>
      <w:r>
        <w:rPr>
          <w:rFonts w:ascii="思源黑体 CN Light" w:eastAsia="思源黑体 CN Light" w:hAnsi="思源黑体 CN Light" w:cs="Times New Roman" w:hint="eastAsia"/>
          <w:color w:val="000000" w:themeColor="text1"/>
          <w:sz w:val="21"/>
          <w:szCs w:val="20"/>
        </w:rPr>
        <w:t>算力板块</w:t>
      </w:r>
      <w:proofErr w:type="gramEnd"/>
      <w:r>
        <w:rPr>
          <w:rFonts w:ascii="思源黑体 CN Light" w:eastAsia="思源黑体 CN Light" w:hAnsi="思源黑体 CN Light" w:cs="Times New Roman" w:hint="eastAsia"/>
          <w:color w:val="000000" w:themeColor="text1"/>
          <w:sz w:val="21"/>
          <w:szCs w:val="20"/>
        </w:rPr>
        <w:t>。我们认为更高效的网络架构和更大带宽的支持，有望成为未来数据中心</w:t>
      </w:r>
      <w:proofErr w:type="gramStart"/>
      <w:r>
        <w:rPr>
          <w:rFonts w:ascii="思源黑体 CN Light" w:eastAsia="思源黑体 CN Light" w:hAnsi="思源黑体 CN Light" w:cs="Times New Roman" w:hint="eastAsia"/>
          <w:color w:val="000000" w:themeColor="text1"/>
          <w:sz w:val="21"/>
          <w:szCs w:val="20"/>
        </w:rPr>
        <w:t>和算力平台</w:t>
      </w:r>
      <w:proofErr w:type="gramEnd"/>
      <w:r>
        <w:rPr>
          <w:rFonts w:ascii="思源黑体 CN Light" w:eastAsia="思源黑体 CN Light" w:hAnsi="思源黑体 CN Light" w:cs="Times New Roman" w:hint="eastAsia"/>
          <w:color w:val="000000" w:themeColor="text1"/>
          <w:sz w:val="21"/>
          <w:szCs w:val="20"/>
        </w:rPr>
        <w:t>提升计算效率的关键因素，光通信、铜连接等国内相关产业链环节或将持续受益。</w:t>
      </w:r>
    </w:p>
    <w:p w14:paraId="30D3257C" w14:textId="77777777" w:rsidR="0061366D" w:rsidRDefault="0061366D">
      <w:pPr>
        <w:tabs>
          <w:tab w:val="left" w:pos="5594"/>
        </w:tabs>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1"/>
    <w:p w14:paraId="2F51E116" w14:textId="77777777" w:rsidR="0061366D" w:rsidRDefault="00000000">
      <w:pPr>
        <w:pStyle w:val="2"/>
        <w:tabs>
          <w:tab w:val="left" w:pos="4364"/>
          <w:tab w:val="right" w:pos="10204"/>
        </w:tabs>
        <w:rPr>
          <w:rFonts w:ascii="思源黑体 CN Light" w:eastAsia="思源黑体 CN Light" w:hAnsi="思源黑体 CN Light" w:cs="Times New Roman" w:hint="eastAsia"/>
          <w:b/>
          <w:bCs/>
          <w:sz w:val="22"/>
          <w:szCs w:val="24"/>
        </w:rPr>
      </w:pPr>
      <w:r>
        <w:rPr>
          <w:rFonts w:ascii="思源黑体 CN Light" w:eastAsia="思源黑体 CN Light" w:hAnsi="思源黑体 CN Light" w:cs="Times New Roman"/>
          <w:b/>
          <w:bCs/>
          <w:sz w:val="22"/>
          <w:szCs w:val="24"/>
        </w:rPr>
        <w:t>三、本周展望</w:t>
      </w:r>
    </w:p>
    <w:p w14:paraId="7334D711" w14:textId="77777777" w:rsidR="0061366D"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bookmarkStart w:id="2" w:name="OLE_LINK1"/>
      <w:r>
        <w:rPr>
          <w:rFonts w:ascii="思源黑体 CN Light" w:eastAsia="思源黑体 CN Light" w:hAnsi="思源黑体 CN Light" w:cs="Times New Roman" w:hint="eastAsia"/>
          <w:color w:val="000000"/>
          <w:sz w:val="21"/>
          <w:szCs w:val="20"/>
          <w:shd w:val="clear" w:color="auto" w:fill="FFFFFF"/>
        </w:rPr>
        <w:t>上周权益市场情绪依旧高涨，多数指数延续上涨，上证指数一举站稳3500点。我们认为中美贸易摩擦的不确定性在逐步“落地”，这是当前市场表现强劲的核心驱动力之一。一方面，7月初美国与主要贸易伙伴达成的新关税水平普遍低于4月初的草案；另一方面，上周</w:t>
      </w:r>
      <w:proofErr w:type="gramStart"/>
      <w:r>
        <w:rPr>
          <w:rFonts w:ascii="思源黑体 CN Light" w:eastAsia="思源黑体 CN Light" w:hAnsi="思源黑体 CN Light" w:cs="Times New Roman" w:hint="eastAsia"/>
          <w:color w:val="000000"/>
          <w:sz w:val="21"/>
          <w:szCs w:val="20"/>
          <w:shd w:val="clear" w:color="auto" w:fill="FFFFFF"/>
        </w:rPr>
        <w:t>黄仁勋访华</w:t>
      </w:r>
      <w:proofErr w:type="gramEnd"/>
      <w:r>
        <w:rPr>
          <w:rFonts w:ascii="思源黑体 CN Light" w:eastAsia="思源黑体 CN Light" w:hAnsi="思源黑体 CN Light" w:cs="Times New Roman" w:hint="eastAsia"/>
          <w:color w:val="000000"/>
          <w:sz w:val="21"/>
          <w:szCs w:val="20"/>
          <w:shd w:val="clear" w:color="auto" w:fill="FFFFFF"/>
        </w:rPr>
        <w:t>并宣布H20芯片对华销售解禁。中美贸易“硬着陆”的可能性大幅降低。当然贸易谈判不会一蹴而就，节奏上我们认为贸易的博弈会偏中长期，伴随着加码、谈判、缓和等反复拉锯，对市场的影响也将边际减弱。</w:t>
      </w:r>
    </w:p>
    <w:p w14:paraId="4D2B8B5B" w14:textId="39D3E1E0" w:rsidR="0061366D"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短期随着外部不确定性的逐步缓解，我们建议</w:t>
      </w:r>
      <w:r w:rsidR="00CE0C20">
        <w:rPr>
          <w:rFonts w:ascii="思源黑体 CN Light" w:eastAsia="思源黑体 CN Light" w:hAnsi="思源黑体 CN Light" w:cs="Times New Roman" w:hint="eastAsia"/>
          <w:color w:val="000000"/>
          <w:sz w:val="21"/>
          <w:szCs w:val="20"/>
          <w:shd w:val="clear" w:color="auto" w:fill="FFFFFF"/>
        </w:rPr>
        <w:t>重点关注</w:t>
      </w:r>
      <w:r>
        <w:rPr>
          <w:rFonts w:ascii="思源黑体 CN Light" w:eastAsia="思源黑体 CN Light" w:hAnsi="思源黑体 CN Light" w:cs="Times New Roman" w:hint="eastAsia"/>
          <w:color w:val="000000"/>
          <w:sz w:val="21"/>
          <w:szCs w:val="20"/>
          <w:shd w:val="clear" w:color="auto" w:fill="FFFFFF"/>
        </w:rPr>
        <w:t>高成长产业，如AI、机器人、创新药等。同时国内 “反内卷”政策正密集进入落地期，工信部总工程师在国新办新闻发布会上表示，钢铁、有色金属、石化、建材等十大重点行业的</w:t>
      </w:r>
      <w:proofErr w:type="gramStart"/>
      <w:r>
        <w:rPr>
          <w:rFonts w:ascii="思源黑体 CN Light" w:eastAsia="思源黑体 CN Light" w:hAnsi="思源黑体 CN Light" w:cs="Times New Roman" w:hint="eastAsia"/>
          <w:color w:val="000000"/>
          <w:sz w:val="21"/>
          <w:szCs w:val="20"/>
          <w:shd w:val="clear" w:color="auto" w:fill="FFFFFF"/>
        </w:rPr>
        <w:t>稳增长</w:t>
      </w:r>
      <w:proofErr w:type="gramEnd"/>
      <w:r>
        <w:rPr>
          <w:rFonts w:ascii="思源黑体 CN Light" w:eastAsia="思源黑体 CN Light" w:hAnsi="思源黑体 CN Light" w:cs="Times New Roman" w:hint="eastAsia"/>
          <w:color w:val="000000"/>
          <w:sz w:val="21"/>
          <w:szCs w:val="20"/>
          <w:shd w:val="clear" w:color="auto" w:fill="FFFFFF"/>
        </w:rPr>
        <w:t>工作方案即将出台，核心重点是“调结构、优供给、淘汰落后产能”。我们认为随着细分行业供给</w:t>
      </w:r>
      <w:proofErr w:type="gramStart"/>
      <w:r>
        <w:rPr>
          <w:rFonts w:ascii="思源黑体 CN Light" w:eastAsia="思源黑体 CN Light" w:hAnsi="思源黑体 CN Light" w:cs="Times New Roman" w:hint="eastAsia"/>
          <w:color w:val="000000"/>
          <w:sz w:val="21"/>
          <w:szCs w:val="20"/>
          <w:shd w:val="clear" w:color="auto" w:fill="FFFFFF"/>
        </w:rPr>
        <w:t>端政策</w:t>
      </w:r>
      <w:proofErr w:type="gramEnd"/>
      <w:r>
        <w:rPr>
          <w:rFonts w:ascii="思源黑体 CN Light" w:eastAsia="思源黑体 CN Light" w:hAnsi="思源黑体 CN Light" w:cs="Times New Roman" w:hint="eastAsia"/>
          <w:color w:val="000000"/>
          <w:sz w:val="21"/>
          <w:szCs w:val="20"/>
          <w:shd w:val="clear" w:color="auto" w:fill="FFFFFF"/>
        </w:rPr>
        <w:t>的持续发布，“反内卷”相关的周期板块仍有持续挖掘的空间，核心关注价格弹性大的品种。</w:t>
      </w:r>
    </w:p>
    <w:p w14:paraId="1A8DF65B" w14:textId="77777777" w:rsidR="0061366D" w:rsidRDefault="00000000">
      <w:pPr>
        <w:ind w:firstLineChars="200" w:firstLine="420"/>
        <w:rPr>
          <w:rFonts w:ascii="思源黑体 CN Light" w:eastAsia="思源黑体 CN Light" w:hAnsi="思源黑体 CN Light" w:cs="Times New Roman" w:hint="eastAsia"/>
          <w:color w:val="000000"/>
          <w:sz w:val="21"/>
          <w:szCs w:val="20"/>
          <w:shd w:val="clear" w:color="auto" w:fill="FFFFFF"/>
        </w:rPr>
      </w:pPr>
      <w:r>
        <w:rPr>
          <w:rFonts w:ascii="思源黑体 CN Light" w:eastAsia="思源黑体 CN Light" w:hAnsi="思源黑体 CN Light" w:cs="Times New Roman" w:hint="eastAsia"/>
          <w:color w:val="000000"/>
          <w:sz w:val="21"/>
          <w:szCs w:val="20"/>
          <w:shd w:val="clear" w:color="auto" w:fill="FFFFFF"/>
        </w:rPr>
        <w:t>我们建议稳中求进，行业重点关注：1、成长赛道，如AI应用、半导体、医药等板块；2、反内卷政策受益的板块，如电新、钢铁、有色等。</w:t>
      </w:r>
    </w:p>
    <w:p w14:paraId="5330C1CC" w14:textId="77777777" w:rsidR="0061366D" w:rsidRDefault="0061366D">
      <w:pPr>
        <w:ind w:firstLineChars="200" w:firstLine="420"/>
        <w:rPr>
          <w:rFonts w:ascii="思源黑体 CN Light" w:eastAsia="思源黑体 CN Light" w:hAnsi="思源黑体 CN Light" w:cs="Times New Roman" w:hint="eastAsia"/>
          <w:color w:val="000000"/>
          <w:sz w:val="21"/>
          <w:szCs w:val="20"/>
          <w:shd w:val="clear" w:color="auto" w:fill="FFFFFF"/>
        </w:rPr>
      </w:pPr>
    </w:p>
    <w:p w14:paraId="1087868E" w14:textId="77777777" w:rsidR="0061366D" w:rsidRDefault="0061366D">
      <w:pPr>
        <w:ind w:firstLineChars="200" w:firstLine="420"/>
        <w:rPr>
          <w:rFonts w:ascii="思源黑体 CN Light" w:eastAsia="思源黑体 CN Light" w:hAnsi="思源黑体 CN Light" w:cs="Times New Roman" w:hint="eastAsia"/>
          <w:color w:val="000000"/>
          <w:sz w:val="21"/>
          <w:szCs w:val="20"/>
          <w:shd w:val="clear" w:color="auto" w:fill="FFFFFF"/>
        </w:rPr>
      </w:pPr>
    </w:p>
    <w:bookmarkEnd w:id="2"/>
    <w:p w14:paraId="3A41A817" w14:textId="77777777" w:rsidR="0061366D" w:rsidRDefault="0061366D">
      <w:pPr>
        <w:rPr>
          <w:rFonts w:ascii="思源黑体 CN Light" w:eastAsia="思源黑体 CN Light" w:hAnsi="思源黑体 CN Light" w:cs="Times New Roman" w:hint="eastAsia"/>
          <w:color w:val="000000"/>
          <w:sz w:val="21"/>
          <w:szCs w:val="20"/>
          <w:shd w:val="clear" w:color="auto" w:fill="FFFFFF"/>
        </w:rPr>
      </w:pPr>
    </w:p>
    <w:p w14:paraId="03DA3E2B" w14:textId="77777777" w:rsidR="0061366D" w:rsidRDefault="0061366D">
      <w:pPr>
        <w:pStyle w:val="af2"/>
        <w:ind w:firstLineChars="0" w:firstLine="0"/>
        <w:rPr>
          <w:rFonts w:ascii="思源黑体 CN Light" w:eastAsia="思源黑体 CN Light" w:hAnsi="思源黑体 CN Light" w:cs="Times New Roman" w:hint="eastAsia"/>
          <w:sz w:val="20"/>
          <w:szCs w:val="20"/>
        </w:rPr>
      </w:pPr>
    </w:p>
    <w:p w14:paraId="668FB9DB" w14:textId="77777777" w:rsidR="0061366D" w:rsidRDefault="00000000">
      <w:pPr>
        <w:ind w:firstLineChars="200" w:firstLine="360"/>
        <w:rPr>
          <w:rFonts w:hint="eastAsia"/>
        </w:rPr>
      </w:pPr>
      <w:r>
        <w:rPr>
          <w:rFonts w:ascii="思源黑体 CN Light" w:eastAsia="思源黑体 CN Light" w:hAnsi="思源黑体 CN Light" w:hint="eastAsia"/>
          <w:sz w:val="18"/>
          <w:szCs w:val="15"/>
        </w:rPr>
        <w:lastRenderedPageBreak/>
        <w:t>风险提示：</w:t>
      </w:r>
      <w:r>
        <w:rPr>
          <w:rFonts w:ascii="思源黑体 CN Light" w:eastAsia="思源黑体 CN Light" w:hAnsi="思源黑体 CN Light"/>
          <w:sz w:val="18"/>
          <w:szCs w:val="15"/>
        </w:rPr>
        <w:t>1、本材料中的信息均来源于我们认为可靠的已公开资料和合作客户的研究成果，但本公司及研究人员对这些信息的准确性和完整性不作任何保证，也不保证本材料所包含的信息或建议在本材料发出后不会发生任何变更，且本材料仅反映发布时的资料、观点和预测，可能在随后会</w:t>
      </w:r>
      <w:proofErr w:type="gramStart"/>
      <w:r>
        <w:rPr>
          <w:rFonts w:ascii="思源黑体 CN Light" w:eastAsia="思源黑体 CN Light" w:hAnsi="思源黑体 CN Light"/>
          <w:sz w:val="18"/>
          <w:szCs w:val="15"/>
        </w:rPr>
        <w:t>作出</w:t>
      </w:r>
      <w:proofErr w:type="gramEnd"/>
      <w:r>
        <w:rPr>
          <w:rFonts w:ascii="思源黑体 CN Light" w:eastAsia="思源黑体 CN Light" w:hAnsi="思源黑体 CN Light"/>
          <w:sz w:val="18"/>
          <w:szCs w:val="15"/>
        </w:rPr>
        <w:t>调整。2、本材料中的资料、观点和预测等仅供参考，在任何时候均不构成对任何人的个人推荐。市场有风险，投资需谨慎。</w:t>
      </w:r>
      <w:bookmarkEnd w:id="0"/>
    </w:p>
    <w:p w14:paraId="32D9F647" w14:textId="77777777" w:rsidR="0061366D" w:rsidRDefault="0061366D">
      <w:pPr>
        <w:rPr>
          <w:rFonts w:hint="eastAsia"/>
        </w:rPr>
      </w:pPr>
    </w:p>
    <w:p w14:paraId="6EC9D4F6" w14:textId="77777777" w:rsidR="0061366D" w:rsidRDefault="0061366D">
      <w:pPr>
        <w:rPr>
          <w:rFonts w:hint="eastAsia"/>
        </w:rPr>
      </w:pPr>
    </w:p>
    <w:sectPr w:rsidR="0061366D">
      <w:headerReference w:type="default" r:id="rId8"/>
      <w:footerReference w:type="default" r:id="rId9"/>
      <w:pgSz w:w="11906" w:h="16838"/>
      <w:pgMar w:top="1440" w:right="851" w:bottom="1134" w:left="851"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29216" w14:textId="77777777" w:rsidR="0042557C" w:rsidRDefault="0042557C">
      <w:pPr>
        <w:spacing w:line="240" w:lineRule="auto"/>
        <w:rPr>
          <w:rFonts w:hint="eastAsia"/>
        </w:rPr>
      </w:pPr>
      <w:r>
        <w:separator/>
      </w:r>
    </w:p>
  </w:endnote>
  <w:endnote w:type="continuationSeparator" w:id="0">
    <w:p w14:paraId="501177E2" w14:textId="77777777" w:rsidR="0042557C" w:rsidRDefault="0042557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思源黑体 CN Bold">
    <w:altName w:val="黑体"/>
    <w:panose1 w:val="020B0800000000000000"/>
    <w:charset w:val="86"/>
    <w:family w:val="swiss"/>
    <w:notTrueType/>
    <w:pitch w:val="variable"/>
    <w:sig w:usb0="20000207" w:usb1="2ADF3C10" w:usb2="00000016" w:usb3="00000000" w:csb0="00060107" w:csb1="00000000"/>
  </w:font>
  <w:font w:name="思源黑体 CN Light">
    <w:altName w:val="黑体"/>
    <w:panose1 w:val="020B0300000000000000"/>
    <w:charset w:val="86"/>
    <w:family w:val="swiss"/>
    <w:notTrueType/>
    <w:pitch w:val="variable"/>
    <w:sig w:usb0="2000020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5CB3" w14:textId="77777777" w:rsidR="0061366D" w:rsidRDefault="00000000">
    <w:pPr>
      <w:pStyle w:val="a3"/>
      <w:tabs>
        <w:tab w:val="center" w:pos="5102"/>
        <w:tab w:val="left" w:pos="6847"/>
      </w:tabs>
      <w:rPr>
        <w:rFonts w:hint="eastAsia"/>
      </w:rPr>
    </w:pPr>
    <w:r>
      <w:tab/>
    </w:r>
    <w:r>
      <w:tab/>
    </w:r>
    <w:sdt>
      <w:sdtPr>
        <w:id w:val="1107850672"/>
      </w:sdtPr>
      <w:sdtContent>
        <w:sdt>
          <w:sdtPr>
            <w:id w:val="1728636285"/>
          </w:sdt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sdtContent>
        </w:sdt>
      </w:sdtContent>
    </w:sdt>
    <w:r>
      <w:tab/>
    </w:r>
  </w:p>
  <w:p w14:paraId="338C3D6F" w14:textId="77777777" w:rsidR="0061366D" w:rsidRDefault="0061366D">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7ECF2" w14:textId="77777777" w:rsidR="0042557C" w:rsidRDefault="0042557C">
      <w:pPr>
        <w:rPr>
          <w:rFonts w:hint="eastAsia"/>
        </w:rPr>
      </w:pPr>
      <w:r>
        <w:separator/>
      </w:r>
    </w:p>
  </w:footnote>
  <w:footnote w:type="continuationSeparator" w:id="0">
    <w:p w14:paraId="2BBAB2DC" w14:textId="77777777" w:rsidR="0042557C" w:rsidRDefault="0042557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pPr w:leftFromText="180" w:rightFromText="180" w:vertAnchor="text" w:tblpXSpec="right" w:tblpY="1"/>
      <w:tblOverlap w:val="never"/>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2335"/>
    </w:tblGrid>
    <w:tr w:rsidR="0061366D" w14:paraId="7F1189EC" w14:textId="77777777">
      <w:trPr>
        <w:trHeight w:val="424"/>
      </w:trPr>
      <w:tc>
        <w:tcPr>
          <w:tcW w:w="3652" w:type="dxa"/>
          <w:shd w:val="clear" w:color="auto" w:fill="F3F3F3"/>
          <w:vAlign w:val="center"/>
        </w:tcPr>
        <w:p w14:paraId="6B96BBF1" w14:textId="77777777" w:rsidR="0061366D" w:rsidRDefault="00000000">
          <w:pPr>
            <w:pStyle w:val="a5"/>
            <w:pBdr>
              <w:bottom w:val="none" w:sz="0" w:space="0" w:color="auto"/>
            </w:pBdr>
            <w:jc w:val="right"/>
            <w:rPr>
              <w:rFonts w:ascii="Times New Roman" w:eastAsia="宋体" w:hAnsi="Times New Roman" w:cs="Times New Roman"/>
              <w:kern w:val="0"/>
            </w:rPr>
          </w:pPr>
          <w:r>
            <w:rPr>
              <w:rFonts w:ascii="Times New Roman" w:eastAsia="宋体" w:hAnsi="Times New Roman" w:cs="Times New Roman" w:hint="eastAsia"/>
              <w:kern w:val="0"/>
            </w:rPr>
            <w:t>证券研究报告</w:t>
          </w:r>
        </w:p>
      </w:tc>
      <w:tc>
        <w:tcPr>
          <w:tcW w:w="284" w:type="dxa"/>
          <w:shd w:val="clear" w:color="auto" w:fill="C3E2F4"/>
        </w:tcPr>
        <w:p w14:paraId="10B50B08" w14:textId="77777777" w:rsidR="0061366D" w:rsidRDefault="0061366D">
          <w:pPr>
            <w:pStyle w:val="a5"/>
            <w:pBdr>
              <w:bottom w:val="none" w:sz="0" w:space="0" w:color="auto"/>
            </w:pBdr>
            <w:jc w:val="left"/>
            <w:rPr>
              <w:rFonts w:ascii="Times New Roman" w:eastAsia="宋体" w:hAnsi="Times New Roman" w:cs="Times New Roman"/>
              <w:kern w:val="0"/>
            </w:rPr>
          </w:pPr>
        </w:p>
      </w:tc>
      <w:tc>
        <w:tcPr>
          <w:tcW w:w="2335" w:type="dxa"/>
          <w:shd w:val="clear" w:color="auto" w:fill="013F98"/>
          <w:vAlign w:val="center"/>
        </w:tcPr>
        <w:p w14:paraId="0C74FCC3" w14:textId="77777777" w:rsidR="0061366D" w:rsidRDefault="00000000">
          <w:pPr>
            <w:pStyle w:val="a5"/>
            <w:pBdr>
              <w:bottom w:val="none" w:sz="0" w:space="0" w:color="auto"/>
            </w:pBdr>
            <w:rPr>
              <w:rFonts w:ascii="Times New Roman" w:eastAsia="宋体" w:hAnsi="Times New Roman" w:cs="Times New Roman"/>
              <w:kern w:val="0"/>
            </w:rPr>
          </w:pPr>
          <w:r>
            <w:rPr>
              <w:rFonts w:ascii="Times New Roman" w:eastAsia="宋体" w:hAnsi="Times New Roman" w:cs="Times New Roman" w:hint="eastAsia"/>
              <w:kern w:val="0"/>
            </w:rPr>
            <w:t>权益周报</w:t>
          </w:r>
        </w:p>
      </w:tc>
    </w:tr>
  </w:tbl>
  <w:p w14:paraId="5EE50EB4" w14:textId="77777777" w:rsidR="0061366D" w:rsidRDefault="00000000">
    <w:pPr>
      <w:pStyle w:val="a5"/>
      <w:pBdr>
        <w:bottom w:val="single" w:sz="6" w:space="0" w:color="auto"/>
      </w:pBdr>
      <w:tabs>
        <w:tab w:val="clear" w:pos="4153"/>
        <w:tab w:val="clear" w:pos="8306"/>
        <w:tab w:val="left" w:pos="4673"/>
        <w:tab w:val="left" w:pos="8341"/>
      </w:tabs>
      <w:ind w:leftChars="-337" w:left="-809" w:rightChars="-770" w:right="-1848" w:firstLineChars="300" w:firstLine="540"/>
      <w:jc w:val="left"/>
      <w:rPr>
        <w:rFonts w:hint="eastAsia"/>
      </w:rPr>
    </w:pPr>
    <w:r>
      <w:rPr>
        <w:noProof/>
      </w:rPr>
      <w:drawing>
        <wp:inline distT="0" distB="0" distL="0" distR="0" wp14:anchorId="6A1074C6" wp14:editId="145CCA37">
          <wp:extent cx="883920" cy="285750"/>
          <wp:effectExtent l="0" t="0" r="0" b="0"/>
          <wp:docPr id="2" name="图片 2" descr="C:\Users\Administrator\Desktop\富荣基金SIRM-G1\{EE36CA8E-224C-471B-8096-7E812271A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富荣基金SIRM-G1\{EE36CA8E-224C-471B-8096-7E812271AC7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4041" cy="285750"/>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2C"/>
    <w:rsid w:val="002D6017"/>
    <w:rsid w:val="002F63B0"/>
    <w:rsid w:val="00362287"/>
    <w:rsid w:val="0042557C"/>
    <w:rsid w:val="004A09A6"/>
    <w:rsid w:val="00561E8C"/>
    <w:rsid w:val="0061366D"/>
    <w:rsid w:val="006A4D82"/>
    <w:rsid w:val="00832AB0"/>
    <w:rsid w:val="00852735"/>
    <w:rsid w:val="008C36D9"/>
    <w:rsid w:val="009B1F30"/>
    <w:rsid w:val="00C936D5"/>
    <w:rsid w:val="00CA402C"/>
    <w:rsid w:val="00CE0C20"/>
    <w:rsid w:val="00DB0575"/>
    <w:rsid w:val="00DC08EE"/>
    <w:rsid w:val="00E70DF0"/>
    <w:rsid w:val="39F3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1AF5D"/>
  <w15:docId w15:val="{4AE4AC7D-F649-4AB2-AA04-2F17937D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9">
    <w:name w:val="Normal (Web)"/>
    <w:basedOn w:val="a"/>
    <w:uiPriority w:val="99"/>
    <w:semiHidden/>
    <w:unhideWhenUsed/>
    <w:qFormat/>
    <w:rPr>
      <w:rFonts w:ascii="Times New Roman" w:hAnsi="Times New Roman" w:cs="Times New Roman"/>
      <w:szCs w:val="24"/>
    </w:rPr>
  </w:style>
  <w:style w:type="paragraph" w:styleId="aa">
    <w:name w:val="Title"/>
    <w:basedOn w:val="a"/>
    <w:next w:val="a"/>
    <w:link w:val="ab"/>
    <w:uiPriority w:val="10"/>
    <w:qFormat/>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table" w:styleId="ac">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line="278" w:lineRule="auto"/>
      <w:jc w:val="center"/>
    </w:pPr>
    <w:rPr>
      <w:i/>
      <w:iCs/>
      <w:color w:val="404040" w:themeColor="text1" w:themeTint="BF"/>
      <w:sz w:val="22"/>
      <w:szCs w:val="24"/>
      <w14:ligatures w14:val="standardContextual"/>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f1">
    <w:name w:val="明显引用 字符"/>
    <w:basedOn w:val="a0"/>
    <w:link w:val="af0"/>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4">
    <w:name w:val="页脚 字符"/>
    <w:basedOn w:val="a0"/>
    <w:link w:val="a3"/>
    <w:uiPriority w:val="99"/>
    <w:qFormat/>
    <w:rPr>
      <w:sz w:val="18"/>
      <w:szCs w:val="18"/>
      <w14:ligatures w14:val="none"/>
    </w:rPr>
  </w:style>
  <w:style w:type="character" w:customStyle="1" w:styleId="a6">
    <w:name w:val="页眉 字符"/>
    <w:basedOn w:val="a0"/>
    <w:link w:val="a5"/>
    <w:uiPriority w:val="99"/>
    <w:qFormat/>
    <w:rPr>
      <w:sz w:val="18"/>
      <w:szCs w:val="18"/>
      <w14:ligatures w14:val="none"/>
    </w:rPr>
  </w:style>
  <w:style w:type="paragraph" w:styleId="af2">
    <w:name w:val="No Spacing"/>
    <w:basedOn w:val="a9"/>
    <w:link w:val="af3"/>
    <w:uiPriority w:val="1"/>
    <w:qFormat/>
    <w:pPr>
      <w:widowControl/>
      <w:shd w:val="clear" w:color="auto" w:fill="FFFFFF"/>
      <w:ind w:firstLineChars="200" w:firstLine="200"/>
      <w:jc w:val="left"/>
    </w:pPr>
    <w:rPr>
      <w:rFonts w:asciiTheme="minorHAnsi" w:hAnsiTheme="minorHAnsi" w:cstheme="minorBidi"/>
      <w:kern w:val="0"/>
      <w:szCs w:val="22"/>
    </w:rPr>
  </w:style>
  <w:style w:type="character" w:customStyle="1" w:styleId="af3">
    <w:name w:val="无间隔 字符"/>
    <w:basedOn w:val="a0"/>
    <w:link w:val="af2"/>
    <w:uiPriority w:val="1"/>
    <w:qFormat/>
    <w:rPr>
      <w:kern w:val="0"/>
      <w:sz w:val="24"/>
      <w:szCs w:val="22"/>
      <w:shd w:val="clear" w:color="auto" w:fill="FFFFFF"/>
      <w14:ligatures w14:val="none"/>
    </w:rPr>
  </w:style>
  <w:style w:type="paragraph" w:styleId="af4">
    <w:name w:val="Revision"/>
    <w:hidden/>
    <w:uiPriority w:val="99"/>
    <w:unhideWhenUsed/>
    <w:rsid w:val="00CE0C2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848</Words>
  <Characters>984</Characters>
  <Application>Microsoft Office Word</Application>
  <DocSecurity>0</DocSecurity>
  <Lines>28</Lines>
  <Paragraphs>19</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叶蕊</dc:creator>
  <cp:lastModifiedBy>叶蕊</cp:lastModifiedBy>
  <cp:revision>3</cp:revision>
  <dcterms:created xsi:type="dcterms:W3CDTF">2025-07-21T02:30:00Z</dcterms:created>
  <dcterms:modified xsi:type="dcterms:W3CDTF">2025-07-21T07:17:00Z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eyJoZGlkIjoiYWEyZTA3M2M5N2Q0MmQwMWJkYjAxYzAyY2RhYmU3MjYiLCJ1c2VySWQiOiIxNTIwODY1NzQwIn0=</vt:lpwstr>
  </property>
  <property fmtid="{D5CDD505-2E9C-101B-9397-08002B2CF9AE}" pid="3" name="KSOProductBuildVer">
    <vt:lpwstr>2052-12.1.0.21915</vt:lpwstr>
  </property>
  <property fmtid="{D5CDD505-2E9C-101B-9397-08002B2CF9AE}" pid="4" name="ICV">
    <vt:lpwstr>C1823C27262841A982C54AAD3F67E803_12</vt:lpwstr>
  </property>
</Properties>
</file>