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300E" w14:textId="6D458097" w:rsidR="0069059C" w:rsidRDefault="0069059C" w:rsidP="0069059C">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w:t>
      </w:r>
      <w:r w:rsidR="004B2C1B">
        <w:rPr>
          <w:rFonts w:ascii="思源黑体 CN Bold" w:eastAsia="思源黑体 CN Bold" w:hAnsi="思源黑体 CN Bold" w:cs="Times New Roman" w:hint="eastAsia"/>
          <w:b/>
          <w:color w:val="FA842D"/>
          <w:kern w:val="0"/>
          <w:sz w:val="24"/>
          <w:szCs w:val="18"/>
        </w:rPr>
        <w:t>稳中求进，适度切换两条主线</w:t>
      </w:r>
    </w:p>
    <w:p w14:paraId="1B926FD1" w14:textId="77777777" w:rsidR="0069059C" w:rsidRDefault="0069059C" w:rsidP="0069059C">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5BD85986" w14:textId="129F0D63" w:rsidR="0069059C" w:rsidRDefault="0069059C" w:rsidP="0069059C">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上周（2025年7月</w:t>
      </w:r>
      <w:r w:rsidR="00872170">
        <w:rPr>
          <w:rFonts w:ascii="思源黑体 CN Light" w:eastAsia="思源黑体 CN Light" w:hAnsi="思源黑体 CN Light" w:cs="Times New Roman" w:hint="eastAsia"/>
          <w:color w:val="000000" w:themeColor="text1"/>
          <w:sz w:val="21"/>
          <w:szCs w:val="20"/>
        </w:rPr>
        <w:t>21</w:t>
      </w:r>
      <w:r>
        <w:rPr>
          <w:rFonts w:ascii="思源黑体 CN Light" w:eastAsia="思源黑体 CN Light" w:hAnsi="思源黑体 CN Light" w:cs="Times New Roman" w:hint="eastAsia"/>
          <w:color w:val="000000" w:themeColor="text1"/>
          <w:sz w:val="21"/>
          <w:szCs w:val="20"/>
        </w:rPr>
        <w:t>日至2025年7月</w:t>
      </w:r>
      <w:r w:rsidR="00872170">
        <w:rPr>
          <w:rFonts w:ascii="思源黑体 CN Light" w:eastAsia="思源黑体 CN Light" w:hAnsi="思源黑体 CN Light" w:cs="Times New Roman" w:hint="eastAsia"/>
          <w:color w:val="000000" w:themeColor="text1"/>
          <w:sz w:val="21"/>
          <w:szCs w:val="20"/>
        </w:rPr>
        <w:t>25</w:t>
      </w:r>
      <w:r>
        <w:rPr>
          <w:rFonts w:ascii="思源黑体 CN Light" w:eastAsia="思源黑体 CN Light" w:hAnsi="思源黑体 CN Light" w:cs="Times New Roman" w:hint="eastAsia"/>
          <w:color w:val="000000" w:themeColor="text1"/>
          <w:sz w:val="21"/>
          <w:szCs w:val="20"/>
        </w:rPr>
        <w:t>日，下同）权益市场普遍反弹，</w:t>
      </w:r>
      <w:r>
        <w:rPr>
          <w:rFonts w:ascii="思源黑体 CN Light" w:eastAsia="思源黑体 CN Light" w:hAnsi="思源黑体 CN Light" w:cs="Times New Roman"/>
          <w:color w:val="000000" w:themeColor="text1"/>
          <w:sz w:val="21"/>
          <w:szCs w:val="20"/>
        </w:rPr>
        <w:t>深证成指、上证指数、创业板指分别报收</w:t>
      </w:r>
      <w:r w:rsidR="00872170">
        <w:rPr>
          <w:rFonts w:ascii="思源黑体 CN Light" w:eastAsia="思源黑体 CN Light" w:hAnsi="思源黑体 CN Light" w:cs="Times New Roman" w:hint="eastAsia"/>
          <w:color w:val="000000" w:themeColor="text1"/>
          <w:sz w:val="21"/>
          <w:szCs w:val="20"/>
        </w:rPr>
        <w:t>11168.14</w:t>
      </w:r>
      <w:r>
        <w:rPr>
          <w:rFonts w:ascii="思源黑体 CN Light" w:eastAsia="思源黑体 CN Light" w:hAnsi="思源黑体 CN Light" w:cs="Times New Roman"/>
          <w:color w:val="000000" w:themeColor="text1"/>
          <w:sz w:val="21"/>
          <w:szCs w:val="20"/>
        </w:rPr>
        <w:t>点、</w:t>
      </w:r>
      <w:r w:rsidR="00872170">
        <w:rPr>
          <w:rFonts w:ascii="思源黑体 CN Light" w:eastAsia="思源黑体 CN Light" w:hAnsi="思源黑体 CN Light" w:cs="Times New Roman" w:hint="eastAsia"/>
          <w:color w:val="000000" w:themeColor="text1"/>
          <w:sz w:val="21"/>
          <w:szCs w:val="20"/>
        </w:rPr>
        <w:t>3593.66</w:t>
      </w:r>
      <w:r>
        <w:rPr>
          <w:rFonts w:ascii="思源黑体 CN Light" w:eastAsia="思源黑体 CN Light" w:hAnsi="思源黑体 CN Light" w:cs="Times New Roman"/>
          <w:color w:val="000000" w:themeColor="text1"/>
          <w:sz w:val="21"/>
          <w:szCs w:val="20"/>
        </w:rPr>
        <w:t>点、</w:t>
      </w:r>
      <w:r w:rsidR="00872170">
        <w:rPr>
          <w:rFonts w:ascii="思源黑体 CN Light" w:eastAsia="思源黑体 CN Light" w:hAnsi="思源黑体 CN Light" w:cs="Times New Roman" w:hint="eastAsia"/>
          <w:color w:val="000000" w:themeColor="text1"/>
          <w:sz w:val="21"/>
          <w:szCs w:val="20"/>
        </w:rPr>
        <w:t>2340.06</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w:t>
      </w:r>
      <w:proofErr w:type="gramStart"/>
      <w:r w:rsidR="00872170" w:rsidRPr="00872170">
        <w:rPr>
          <w:rFonts w:ascii="思源黑体 CN Light" w:eastAsia="思源黑体 CN Light" w:hAnsi="思源黑体 CN Light" w:cs="Times New Roman" w:hint="eastAsia"/>
          <w:color w:val="000000" w:themeColor="text1"/>
          <w:sz w:val="21"/>
          <w:szCs w:val="20"/>
        </w:rPr>
        <w:t>科创</w:t>
      </w:r>
      <w:proofErr w:type="gramEnd"/>
      <w:r w:rsidR="00872170" w:rsidRPr="00872170">
        <w:rPr>
          <w:rFonts w:ascii="思源黑体 CN Light" w:eastAsia="思源黑体 CN Light" w:hAnsi="思源黑体 CN Light" w:cs="Times New Roman" w:hint="eastAsia"/>
          <w:color w:val="000000" w:themeColor="text1"/>
          <w:sz w:val="21"/>
          <w:szCs w:val="20"/>
        </w:rPr>
        <w:t>50（+4.63%）、中证500（+3.28%）、创业板指（+2.76%）、创业板50（+2.47%）、中证1000（+2.36%）、深证成指（+2.33%）、创成长（+1.79%）、沪深300（+1.69%）、上证指数（+1.67%）、上证50（+1.12%）。</w:t>
      </w:r>
    </w:p>
    <w:p w14:paraId="15EF5727" w14:textId="091A1C73" w:rsidR="0069059C" w:rsidRPr="00872170" w:rsidRDefault="0069059C" w:rsidP="008719A4">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sidR="00872170" w:rsidRPr="00872170">
        <w:rPr>
          <w:rFonts w:ascii="思源黑体 CN Light" w:eastAsia="思源黑体 CN Light" w:hAnsi="思源黑体 CN Light" w:cs="Times New Roman"/>
          <w:b/>
          <w:noProof/>
          <w:sz w:val="21"/>
          <w:szCs w:val="20"/>
        </w:rPr>
        <w:drawing>
          <wp:inline distT="0" distB="0" distL="0" distR="0" wp14:anchorId="49C22717" wp14:editId="18B89C7B">
            <wp:extent cx="6431280" cy="3291840"/>
            <wp:effectExtent l="0" t="0" r="7620" b="3810"/>
            <wp:docPr id="56" name="图片 5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表, 条形图&#10;&#10;AI 生成的内容可能不正确。"/>
                    <pic:cNvPicPr>
                      <a:picLocks noChangeAspect="1"/>
                    </pic:cNvPicPr>
                  </pic:nvPicPr>
                  <pic:blipFill>
                    <a:blip r:embed="rId6"/>
                    <a:stretch>
                      <a:fillRect/>
                    </a:stretch>
                  </pic:blipFill>
                  <pic:spPr>
                    <a:xfrm>
                      <a:off x="0" y="0"/>
                      <a:ext cx="6431280" cy="3291840"/>
                    </a:xfrm>
                    <a:prstGeom prst="rect">
                      <a:avLst/>
                    </a:prstGeom>
                  </pic:spPr>
                </pic:pic>
              </a:graphicData>
            </a:graphic>
          </wp:inline>
        </w:drawing>
      </w:r>
    </w:p>
    <w:p w14:paraId="19EF351C" w14:textId="28F268DA" w:rsidR="0069059C" w:rsidRDefault="0069059C" w:rsidP="0069059C">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w:t>
      </w:r>
      <w:r w:rsidR="00872170">
        <w:rPr>
          <w:rFonts w:ascii="思源黑体 CN Light" w:eastAsia="思源黑体 CN Light" w:hAnsi="思源黑体 CN Light" w:cs="Times New Roman" w:hint="eastAsia"/>
          <w:sz w:val="13"/>
          <w:szCs w:val="20"/>
        </w:rPr>
        <w:t>21</w:t>
      </w:r>
      <w:r>
        <w:rPr>
          <w:rFonts w:ascii="思源黑体 CN Light" w:eastAsia="思源黑体 CN Light" w:hAnsi="思源黑体 CN Light" w:cs="Times New Roman" w:hint="eastAsia"/>
          <w:sz w:val="13"/>
          <w:szCs w:val="20"/>
        </w:rPr>
        <w:t>-202507</w:t>
      </w:r>
      <w:r w:rsidR="00872170">
        <w:rPr>
          <w:rFonts w:ascii="思源黑体 CN Light" w:eastAsia="思源黑体 CN Light" w:hAnsi="思源黑体 CN Light" w:cs="Times New Roman" w:hint="eastAsia"/>
          <w:sz w:val="13"/>
          <w:szCs w:val="20"/>
        </w:rPr>
        <w:t>25</w:t>
      </w:r>
      <w:r>
        <w:rPr>
          <w:rFonts w:ascii="思源黑体 CN Light" w:eastAsia="思源黑体 CN Light" w:hAnsi="思源黑体 CN Light" w:cs="Times New Roman" w:hint="eastAsia"/>
          <w:sz w:val="13"/>
          <w:szCs w:val="20"/>
        </w:rPr>
        <w:t>；月涨跌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区间：20250701-202507</w:t>
      </w:r>
      <w:r w:rsidR="00872170">
        <w:rPr>
          <w:rFonts w:ascii="思源黑体 CN Light" w:eastAsia="思源黑体 CN Light" w:hAnsi="思源黑体 CN Light" w:cs="Times New Roman" w:hint="eastAsia"/>
          <w:sz w:val="13"/>
          <w:szCs w:val="20"/>
        </w:rPr>
        <w:t>25</w:t>
      </w:r>
    </w:p>
    <w:p w14:paraId="08D520A8" w14:textId="456E6C71" w:rsidR="0069059C" w:rsidRDefault="00872170" w:rsidP="0069059C">
      <w:pPr>
        <w:ind w:firstLineChars="200" w:firstLine="420"/>
        <w:jc w:val="left"/>
        <w:rPr>
          <w:rFonts w:ascii="思源黑体 CN Light" w:eastAsia="思源黑体 CN Light" w:hAnsi="思源黑体 CN Light" w:cs="Times New Roman" w:hint="eastAsia"/>
          <w:color w:val="000000" w:themeColor="text1"/>
          <w:sz w:val="21"/>
          <w:szCs w:val="20"/>
        </w:rPr>
      </w:pPr>
      <w:r w:rsidRPr="00872170">
        <w:rPr>
          <w:rFonts w:ascii="思源黑体 CN Light" w:eastAsia="思源黑体 CN Light" w:hAnsi="思源黑体 CN Light" w:cs="Times New Roman" w:hint="eastAsia"/>
          <w:color w:val="000000" w:themeColor="text1"/>
          <w:sz w:val="21"/>
          <w:szCs w:val="20"/>
        </w:rPr>
        <w:t>各行业普遍反弹，少数行业补跌，</w:t>
      </w:r>
      <w:proofErr w:type="gramStart"/>
      <w:r w:rsidRPr="00872170">
        <w:rPr>
          <w:rFonts w:ascii="思源黑体 CN Light" w:eastAsia="思源黑体 CN Light" w:hAnsi="思源黑体 CN Light" w:cs="Times New Roman" w:hint="eastAsia"/>
          <w:color w:val="000000" w:themeColor="text1"/>
          <w:sz w:val="21"/>
          <w:szCs w:val="20"/>
        </w:rPr>
        <w:t>申万</w:t>
      </w:r>
      <w:r>
        <w:rPr>
          <w:rFonts w:ascii="思源黑体 CN Light" w:eastAsia="思源黑体 CN Light" w:hAnsi="思源黑体 CN Light" w:cs="Times New Roman" w:hint="eastAsia"/>
          <w:color w:val="000000" w:themeColor="text1"/>
          <w:sz w:val="21"/>
          <w:szCs w:val="20"/>
        </w:rPr>
        <w:t>一级</w:t>
      </w:r>
      <w:r w:rsidRPr="00872170">
        <w:rPr>
          <w:rFonts w:ascii="思源黑体 CN Light" w:eastAsia="思源黑体 CN Light" w:hAnsi="思源黑体 CN Light" w:cs="Times New Roman" w:hint="eastAsia"/>
          <w:color w:val="000000" w:themeColor="text1"/>
          <w:sz w:val="21"/>
          <w:szCs w:val="20"/>
        </w:rPr>
        <w:t>行业</w:t>
      </w:r>
      <w:proofErr w:type="gramEnd"/>
      <w:r w:rsidRPr="00872170">
        <w:rPr>
          <w:rFonts w:ascii="思源黑体 CN Light" w:eastAsia="思源黑体 CN Light" w:hAnsi="思源黑体 CN Light" w:cs="Times New Roman" w:hint="eastAsia"/>
          <w:color w:val="000000" w:themeColor="text1"/>
          <w:sz w:val="21"/>
          <w:szCs w:val="20"/>
        </w:rPr>
        <w:t>指数中，建筑材料（+8.20%）、煤炭（+7.98%）、钢铁（+7.67%）等行业上涨较为明显，公用事业（-0.27%）、通信（-0.77%）、银行（-2.87%）等行业补跌。</w:t>
      </w:r>
    </w:p>
    <w:p w14:paraId="73528A52" w14:textId="43CD84B1" w:rsidR="0069059C" w:rsidRPr="002F769C" w:rsidRDefault="0069059C" w:rsidP="008719A4">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sidR="002F769C" w:rsidRPr="002F769C">
        <w:rPr>
          <w:rFonts w:ascii="思源黑体 CN Light" w:eastAsia="思源黑体 CN Light" w:hAnsi="思源黑体 CN Light" w:cs="Times New Roman"/>
          <w:b/>
          <w:noProof/>
          <w:sz w:val="21"/>
          <w:szCs w:val="20"/>
        </w:rPr>
        <w:lastRenderedPageBreak/>
        <w:drawing>
          <wp:inline distT="0" distB="0" distL="0" distR="0" wp14:anchorId="3E685DBB" wp14:editId="6C5391E7">
            <wp:extent cx="6461760" cy="3216910"/>
            <wp:effectExtent l="0" t="0" r="0" b="2540"/>
            <wp:docPr id="57" name="图片 56" descr="图片包含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图片包含 直方图&#10;&#10;AI 生成的内容可能不正确。"/>
                    <pic:cNvPicPr>
                      <a:picLocks noChangeAspect="1"/>
                    </pic:cNvPicPr>
                  </pic:nvPicPr>
                  <pic:blipFill>
                    <a:blip r:embed="rId7"/>
                    <a:stretch>
                      <a:fillRect/>
                    </a:stretch>
                  </pic:blipFill>
                  <pic:spPr>
                    <a:xfrm>
                      <a:off x="0" y="0"/>
                      <a:ext cx="6462911" cy="3217483"/>
                    </a:xfrm>
                    <a:prstGeom prst="rect">
                      <a:avLst/>
                    </a:prstGeom>
                  </pic:spPr>
                </pic:pic>
              </a:graphicData>
            </a:graphic>
          </wp:inline>
        </w:drawing>
      </w:r>
    </w:p>
    <w:p w14:paraId="40915BF5" w14:textId="42114B92" w:rsidR="0069059C" w:rsidRDefault="0069059C" w:rsidP="0069059C">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；统计区间：202507</w:t>
      </w:r>
      <w:r w:rsidR="00872170">
        <w:rPr>
          <w:rFonts w:ascii="思源黑体 CN Light" w:eastAsia="思源黑体 CN Light" w:hAnsi="思源黑体 CN Light" w:cs="Times New Roman" w:hint="eastAsia"/>
          <w:sz w:val="13"/>
          <w:szCs w:val="20"/>
        </w:rPr>
        <w:t>21</w:t>
      </w:r>
      <w:r>
        <w:rPr>
          <w:rFonts w:ascii="思源黑体 CN Light" w:eastAsia="思源黑体 CN Light" w:hAnsi="思源黑体 CN Light" w:cs="Times New Roman" w:hint="eastAsia"/>
          <w:sz w:val="13"/>
          <w:szCs w:val="20"/>
        </w:rPr>
        <w:t>-202507</w:t>
      </w:r>
      <w:r w:rsidR="00872170">
        <w:rPr>
          <w:rFonts w:ascii="思源黑体 CN Light" w:eastAsia="思源黑体 CN Light" w:hAnsi="思源黑体 CN Light" w:cs="Times New Roman" w:hint="eastAsia"/>
          <w:sz w:val="13"/>
          <w:szCs w:val="20"/>
        </w:rPr>
        <w:t>25</w:t>
      </w:r>
    </w:p>
    <w:p w14:paraId="23819CB3" w14:textId="77777777" w:rsidR="0069059C" w:rsidRDefault="0069059C" w:rsidP="0069059C">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3E653893" w14:textId="7925D0E8" w:rsidR="0069059C" w:rsidRDefault="0069059C" w:rsidP="0069059C">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w:t>
      </w:r>
      <w:r w:rsidR="002F769C">
        <w:rPr>
          <w:rFonts w:ascii="思源黑体 CN Light" w:eastAsia="思源黑体 CN Light" w:hAnsi="思源黑体 CN Light" w:cs="Times New Roman" w:hint="eastAsia"/>
          <w:b/>
          <w:bCs/>
          <w:sz w:val="22"/>
          <w:szCs w:val="24"/>
        </w:rPr>
        <w:t>建材</w:t>
      </w:r>
      <w:r>
        <w:rPr>
          <w:rFonts w:ascii="思源黑体 CN Light" w:eastAsia="思源黑体 CN Light" w:hAnsi="思源黑体 CN Light" w:cs="Times New Roman" w:hint="eastAsia"/>
          <w:b/>
          <w:bCs/>
          <w:sz w:val="22"/>
          <w:szCs w:val="24"/>
        </w:rPr>
        <w:t>行业点评与展望</w:t>
      </w:r>
    </w:p>
    <w:p w14:paraId="71089480" w14:textId="4AE60998" w:rsidR="002F769C" w:rsidRPr="002F769C" w:rsidRDefault="0069059C" w:rsidP="002F769C">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w:t>
      </w:r>
      <w:proofErr w:type="gramStart"/>
      <w:r w:rsidR="002F769C" w:rsidRPr="002F769C">
        <w:rPr>
          <w:rFonts w:ascii="思源黑体 CN Light" w:eastAsia="思源黑体 CN Light" w:hAnsi="思源黑体 CN Light" w:cs="Times New Roman" w:hint="eastAsia"/>
          <w:color w:val="000000" w:themeColor="text1"/>
          <w:sz w:val="21"/>
          <w:szCs w:val="20"/>
        </w:rPr>
        <w:t>申万</w:t>
      </w:r>
      <w:r w:rsidR="002F769C">
        <w:rPr>
          <w:rFonts w:ascii="思源黑体 CN Light" w:eastAsia="思源黑体 CN Light" w:hAnsi="思源黑体 CN Light" w:cs="Times New Roman" w:hint="eastAsia"/>
          <w:color w:val="000000" w:themeColor="text1"/>
          <w:sz w:val="21"/>
          <w:szCs w:val="20"/>
        </w:rPr>
        <w:t>一级</w:t>
      </w:r>
      <w:proofErr w:type="gramEnd"/>
      <w:r w:rsidR="002F769C" w:rsidRPr="002F769C">
        <w:rPr>
          <w:rFonts w:ascii="思源黑体 CN Light" w:eastAsia="思源黑体 CN Light" w:hAnsi="思源黑体 CN Light" w:cs="Times New Roman" w:hint="eastAsia"/>
          <w:color w:val="000000" w:themeColor="text1"/>
          <w:sz w:val="21"/>
          <w:szCs w:val="20"/>
        </w:rPr>
        <w:t>建筑材料指数大幅上涨8.20%，显著</w:t>
      </w:r>
      <w:proofErr w:type="gramStart"/>
      <w:r w:rsidR="002F769C" w:rsidRPr="002F769C">
        <w:rPr>
          <w:rFonts w:ascii="思源黑体 CN Light" w:eastAsia="思源黑体 CN Light" w:hAnsi="思源黑体 CN Light" w:cs="Times New Roman" w:hint="eastAsia"/>
          <w:color w:val="000000" w:themeColor="text1"/>
          <w:sz w:val="21"/>
          <w:szCs w:val="20"/>
        </w:rPr>
        <w:t>跑赢深证</w:t>
      </w:r>
      <w:proofErr w:type="gramEnd"/>
      <w:r w:rsidR="002F769C" w:rsidRPr="002F769C">
        <w:rPr>
          <w:rFonts w:ascii="思源黑体 CN Light" w:eastAsia="思源黑体 CN Light" w:hAnsi="思源黑体 CN Light" w:cs="Times New Roman" w:hint="eastAsia"/>
          <w:color w:val="000000" w:themeColor="text1"/>
          <w:sz w:val="21"/>
          <w:szCs w:val="20"/>
        </w:rPr>
        <w:t>综指（+2.19%）、沪深300（+1.69%）及上证指数（+1.67%）， 超额收益的核心驱动力来自政策</w:t>
      </w:r>
      <w:r w:rsidR="002F769C">
        <w:rPr>
          <w:rFonts w:ascii="思源黑体 CN Light" w:eastAsia="思源黑体 CN Light" w:hAnsi="思源黑体 CN Light" w:cs="Times New Roman" w:hint="eastAsia"/>
          <w:color w:val="000000" w:themeColor="text1"/>
          <w:sz w:val="21"/>
          <w:szCs w:val="20"/>
        </w:rPr>
        <w:t>、重大项目及</w:t>
      </w:r>
      <w:r w:rsidR="006D5446">
        <w:rPr>
          <w:rFonts w:ascii="思源黑体 CN Light" w:eastAsia="思源黑体 CN Light" w:hAnsi="思源黑体 CN Light" w:cs="Times New Roman" w:hint="eastAsia"/>
          <w:color w:val="000000" w:themeColor="text1"/>
          <w:sz w:val="21"/>
          <w:szCs w:val="20"/>
        </w:rPr>
        <w:t>资金偏好</w:t>
      </w:r>
      <w:r w:rsidR="002F769C" w:rsidRPr="002F769C">
        <w:rPr>
          <w:rFonts w:ascii="思源黑体 CN Light" w:eastAsia="思源黑体 CN Light" w:hAnsi="思源黑体 CN Light" w:cs="Times New Roman" w:hint="eastAsia"/>
          <w:color w:val="000000" w:themeColor="text1"/>
          <w:sz w:val="21"/>
          <w:szCs w:val="20"/>
        </w:rPr>
        <w:t>的</w:t>
      </w:r>
      <w:r w:rsidR="002F769C">
        <w:rPr>
          <w:rFonts w:ascii="思源黑体 CN Light" w:eastAsia="思源黑体 CN Light" w:hAnsi="思源黑体 CN Light" w:cs="Times New Roman" w:hint="eastAsia"/>
          <w:color w:val="000000" w:themeColor="text1"/>
          <w:sz w:val="21"/>
          <w:szCs w:val="20"/>
        </w:rPr>
        <w:t>多重</w:t>
      </w:r>
      <w:r w:rsidR="002F769C" w:rsidRPr="002F769C">
        <w:rPr>
          <w:rFonts w:ascii="思源黑体 CN Light" w:eastAsia="思源黑体 CN Light" w:hAnsi="思源黑体 CN Light" w:cs="Times New Roman" w:hint="eastAsia"/>
          <w:color w:val="000000" w:themeColor="text1"/>
          <w:sz w:val="21"/>
          <w:szCs w:val="20"/>
        </w:rPr>
        <w:t>催化</w:t>
      </w:r>
      <w:r w:rsidR="002F769C">
        <w:rPr>
          <w:rFonts w:ascii="思源黑体 CN Light" w:eastAsia="思源黑体 CN Light" w:hAnsi="思源黑体 CN Light" w:cs="Times New Roman" w:hint="eastAsia"/>
          <w:color w:val="000000" w:themeColor="text1"/>
          <w:sz w:val="21"/>
          <w:szCs w:val="20"/>
        </w:rPr>
        <w:t>。</w:t>
      </w:r>
    </w:p>
    <w:p w14:paraId="6E34CFF1" w14:textId="5255DBCD" w:rsidR="002F769C" w:rsidRDefault="002F769C" w:rsidP="002F769C">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sidRPr="002F769C">
        <w:rPr>
          <w:rFonts w:ascii="思源黑体 CN Light" w:eastAsia="思源黑体 CN Light" w:hAnsi="思源黑体 CN Light" w:cs="Times New Roman" w:hint="eastAsia"/>
          <w:color w:val="000000" w:themeColor="text1"/>
          <w:sz w:val="21"/>
          <w:szCs w:val="20"/>
        </w:rPr>
        <w:t>政策红利</w:t>
      </w:r>
      <w:r>
        <w:rPr>
          <w:rFonts w:ascii="思源黑体 CN Light" w:eastAsia="思源黑体 CN Light" w:hAnsi="思源黑体 CN Light" w:cs="Times New Roman" w:hint="eastAsia"/>
          <w:color w:val="000000" w:themeColor="text1"/>
          <w:sz w:val="21"/>
          <w:szCs w:val="20"/>
        </w:rPr>
        <w:t>近期</w:t>
      </w:r>
      <w:r w:rsidRPr="002F769C">
        <w:rPr>
          <w:rFonts w:ascii="思源黑体 CN Light" w:eastAsia="思源黑体 CN Light" w:hAnsi="思源黑体 CN Light" w:cs="Times New Roman" w:hint="eastAsia"/>
          <w:color w:val="000000" w:themeColor="text1"/>
          <w:sz w:val="21"/>
          <w:szCs w:val="20"/>
        </w:rPr>
        <w:t>集中释放</w:t>
      </w:r>
      <w:r>
        <w:rPr>
          <w:rFonts w:ascii="思源黑体 CN Light" w:eastAsia="思源黑体 CN Light" w:hAnsi="思源黑体 CN Light" w:cs="Times New Roman" w:hint="eastAsia"/>
          <w:color w:val="000000" w:themeColor="text1"/>
          <w:sz w:val="21"/>
          <w:szCs w:val="20"/>
        </w:rPr>
        <w:t>。</w:t>
      </w:r>
      <w:proofErr w:type="gramStart"/>
      <w:r w:rsidRPr="002F769C">
        <w:rPr>
          <w:rFonts w:ascii="思源黑体 CN Light" w:eastAsia="思源黑体 CN Light" w:hAnsi="思源黑体 CN Light" w:cs="Times New Roman" w:hint="eastAsia"/>
          <w:color w:val="000000" w:themeColor="text1"/>
          <w:sz w:val="21"/>
          <w:szCs w:val="20"/>
        </w:rPr>
        <w:t>稳增长</w:t>
      </w:r>
      <w:proofErr w:type="gramEnd"/>
      <w:r w:rsidRPr="002F769C">
        <w:rPr>
          <w:rFonts w:ascii="思源黑体 CN Light" w:eastAsia="思源黑体 CN Light" w:hAnsi="思源黑体 CN Light" w:cs="Times New Roman" w:hint="eastAsia"/>
          <w:color w:val="000000" w:themeColor="text1"/>
          <w:sz w:val="21"/>
          <w:szCs w:val="20"/>
        </w:rPr>
        <w:t>工作方案预期出台，有望与“反内卷”政策形成合力。7月高层会议提出“反内卷”导向后，多地出台行业自律公约，限制水泥、玻璃等传统建材的恶性价格竞争，改善盈利预期。7月18日工信部总工程师在国新办发布会上表示，将实施新一轮建材等十大重点行业</w:t>
      </w:r>
      <w:proofErr w:type="gramStart"/>
      <w:r w:rsidRPr="002F769C">
        <w:rPr>
          <w:rFonts w:ascii="思源黑体 CN Light" w:eastAsia="思源黑体 CN Light" w:hAnsi="思源黑体 CN Light" w:cs="Times New Roman" w:hint="eastAsia"/>
          <w:color w:val="000000" w:themeColor="text1"/>
          <w:sz w:val="21"/>
          <w:szCs w:val="20"/>
        </w:rPr>
        <w:t>稳增长</w:t>
      </w:r>
      <w:proofErr w:type="gramEnd"/>
      <w:r w:rsidRPr="002F769C">
        <w:rPr>
          <w:rFonts w:ascii="思源黑体 CN Light" w:eastAsia="思源黑体 CN Light" w:hAnsi="思源黑体 CN Light" w:cs="Times New Roman" w:hint="eastAsia"/>
          <w:color w:val="000000" w:themeColor="text1"/>
          <w:sz w:val="21"/>
          <w:szCs w:val="20"/>
        </w:rPr>
        <w:t>工作方案，推动调结构、优供给、淘汰落后产能</w:t>
      </w:r>
      <w:r>
        <w:rPr>
          <w:rFonts w:ascii="思源黑体 CN Light" w:eastAsia="思源黑体 CN Light" w:hAnsi="思源黑体 CN Light" w:cs="Times New Roman" w:hint="eastAsia"/>
          <w:color w:val="000000" w:themeColor="text1"/>
          <w:sz w:val="21"/>
          <w:szCs w:val="20"/>
        </w:rPr>
        <w:t>。</w:t>
      </w:r>
      <w:r w:rsidRPr="002F769C">
        <w:rPr>
          <w:rFonts w:ascii="思源黑体 CN Light" w:eastAsia="思源黑体 CN Light" w:hAnsi="思源黑体 CN Light" w:cs="Times New Roman" w:hint="eastAsia"/>
          <w:color w:val="000000" w:themeColor="text1"/>
          <w:sz w:val="21"/>
          <w:szCs w:val="20"/>
        </w:rPr>
        <w:t>我们认为</w:t>
      </w:r>
      <w:proofErr w:type="gramStart"/>
      <w:r w:rsidRPr="002F769C">
        <w:rPr>
          <w:rFonts w:ascii="思源黑体 CN Light" w:eastAsia="思源黑体 CN Light" w:hAnsi="思源黑体 CN Light" w:cs="Times New Roman" w:hint="eastAsia"/>
          <w:color w:val="000000" w:themeColor="text1"/>
          <w:sz w:val="21"/>
          <w:szCs w:val="20"/>
        </w:rPr>
        <w:t>稳增长</w:t>
      </w:r>
      <w:proofErr w:type="gramEnd"/>
      <w:r w:rsidRPr="002F769C">
        <w:rPr>
          <w:rFonts w:ascii="思源黑体 CN Light" w:eastAsia="思源黑体 CN Light" w:hAnsi="思源黑体 CN Light" w:cs="Times New Roman" w:hint="eastAsia"/>
          <w:color w:val="000000" w:themeColor="text1"/>
          <w:sz w:val="21"/>
          <w:szCs w:val="20"/>
        </w:rPr>
        <w:t>工作方案有望与“反内卷”政策形成合力，共同推动行业供给端格局改善。</w:t>
      </w:r>
    </w:p>
    <w:p w14:paraId="67E46CD3" w14:textId="750A19C4" w:rsidR="002F769C" w:rsidRDefault="002F769C" w:rsidP="002F769C">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重大</w:t>
      </w:r>
      <w:r w:rsidRPr="002F769C">
        <w:rPr>
          <w:rFonts w:ascii="思源黑体 CN Light" w:eastAsia="思源黑体 CN Light" w:hAnsi="思源黑体 CN Light" w:cs="Times New Roman" w:hint="eastAsia"/>
          <w:color w:val="000000" w:themeColor="text1"/>
          <w:sz w:val="21"/>
          <w:szCs w:val="20"/>
        </w:rPr>
        <w:t>基建投资</w:t>
      </w:r>
      <w:r>
        <w:rPr>
          <w:rFonts w:ascii="思源黑体 CN Light" w:eastAsia="思源黑体 CN Light" w:hAnsi="思源黑体 CN Light" w:cs="Times New Roman" w:hint="eastAsia"/>
          <w:color w:val="000000" w:themeColor="text1"/>
          <w:sz w:val="21"/>
          <w:szCs w:val="20"/>
        </w:rPr>
        <w:t>项目</w:t>
      </w:r>
      <w:r w:rsidRPr="002F769C">
        <w:rPr>
          <w:rFonts w:ascii="思源黑体 CN Light" w:eastAsia="思源黑体 CN Light" w:hAnsi="思源黑体 CN Light" w:cs="Times New Roman" w:hint="eastAsia"/>
          <w:color w:val="000000" w:themeColor="text1"/>
          <w:sz w:val="21"/>
          <w:szCs w:val="20"/>
        </w:rPr>
        <w:t>加码</w:t>
      </w:r>
      <w:r>
        <w:rPr>
          <w:rFonts w:ascii="思源黑体 CN Light" w:eastAsia="思源黑体 CN Light" w:hAnsi="思源黑体 CN Light" w:cs="Times New Roman" w:hint="eastAsia"/>
          <w:color w:val="000000" w:themeColor="text1"/>
          <w:sz w:val="21"/>
          <w:szCs w:val="20"/>
        </w:rPr>
        <w:t>，将</w:t>
      </w:r>
      <w:r w:rsidRPr="002F769C">
        <w:rPr>
          <w:rFonts w:ascii="思源黑体 CN Light" w:eastAsia="思源黑体 CN Light" w:hAnsi="思源黑体 CN Light" w:cs="Times New Roman" w:hint="eastAsia"/>
          <w:color w:val="000000" w:themeColor="text1"/>
          <w:sz w:val="21"/>
          <w:szCs w:val="20"/>
        </w:rPr>
        <w:t>推动建材需求</w:t>
      </w:r>
      <w:r>
        <w:rPr>
          <w:rFonts w:ascii="思源黑体 CN Light" w:eastAsia="思源黑体 CN Light" w:hAnsi="思源黑体 CN Light" w:cs="Times New Roman" w:hint="eastAsia"/>
          <w:color w:val="000000" w:themeColor="text1"/>
          <w:sz w:val="21"/>
          <w:szCs w:val="20"/>
        </w:rPr>
        <w:t>量快速上升</w:t>
      </w:r>
      <w:r w:rsidRPr="002F769C">
        <w:rPr>
          <w:rFonts w:ascii="思源黑体 CN Light" w:eastAsia="思源黑体 CN Light" w:hAnsi="思源黑体 CN Light" w:cs="Times New Roman" w:hint="eastAsia"/>
          <w:color w:val="000000" w:themeColor="text1"/>
          <w:sz w:val="21"/>
          <w:szCs w:val="20"/>
        </w:rPr>
        <w:t>。雅鲁藏布江下游水电工程（总投资1.2</w:t>
      </w:r>
      <w:proofErr w:type="gramStart"/>
      <w:r w:rsidRPr="002F769C">
        <w:rPr>
          <w:rFonts w:ascii="思源黑体 CN Light" w:eastAsia="思源黑体 CN Light" w:hAnsi="思源黑体 CN Light" w:cs="Times New Roman" w:hint="eastAsia"/>
          <w:color w:val="000000" w:themeColor="text1"/>
          <w:sz w:val="21"/>
          <w:szCs w:val="20"/>
        </w:rPr>
        <w:t>万亿</w:t>
      </w:r>
      <w:proofErr w:type="gramEnd"/>
      <w:r w:rsidRPr="002F769C">
        <w:rPr>
          <w:rFonts w:ascii="思源黑体 CN Light" w:eastAsia="思源黑体 CN Light" w:hAnsi="思源黑体 CN Light" w:cs="Times New Roman" w:hint="eastAsia"/>
          <w:color w:val="000000" w:themeColor="text1"/>
          <w:sz w:val="21"/>
          <w:szCs w:val="20"/>
        </w:rPr>
        <w:t>元）正式开工，叠加西藏75个产业项目签约（投资额3175亿元），直接拉动区域性建材需求。</w:t>
      </w:r>
    </w:p>
    <w:p w14:paraId="3E08B100" w14:textId="1E6A399E" w:rsidR="002F769C" w:rsidRPr="002F769C" w:rsidRDefault="006D5446" w:rsidP="002F769C">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叠加</w:t>
      </w:r>
      <w:r w:rsidR="002F769C" w:rsidRPr="002F769C">
        <w:rPr>
          <w:rFonts w:ascii="思源黑体 CN Light" w:eastAsia="思源黑体 CN Light" w:hAnsi="思源黑体 CN Light" w:cs="Times New Roman" w:hint="eastAsia"/>
          <w:color w:val="000000" w:themeColor="text1"/>
          <w:sz w:val="21"/>
          <w:szCs w:val="20"/>
        </w:rPr>
        <w:t>近期资金偏好周期板块，建材板块作为低估值</w:t>
      </w:r>
      <w:r w:rsidR="002F769C">
        <w:rPr>
          <w:rFonts w:ascii="思源黑体 CN Light" w:eastAsia="思源黑体 CN Light" w:hAnsi="思源黑体 CN Light" w:cs="Times New Roman" w:hint="eastAsia"/>
          <w:color w:val="000000" w:themeColor="text1"/>
          <w:sz w:val="21"/>
          <w:szCs w:val="20"/>
        </w:rPr>
        <w:t>、</w:t>
      </w:r>
      <w:r w:rsidR="002F769C" w:rsidRPr="002F769C">
        <w:rPr>
          <w:rFonts w:ascii="思源黑体 CN Light" w:eastAsia="思源黑体 CN Light" w:hAnsi="思源黑体 CN Light" w:cs="Times New Roman" w:hint="eastAsia"/>
          <w:color w:val="000000" w:themeColor="text1"/>
          <w:sz w:val="21"/>
          <w:szCs w:val="20"/>
        </w:rPr>
        <w:t>顺周期方向，成为资金配置重点</w:t>
      </w:r>
      <w:r w:rsidR="002F769C">
        <w:rPr>
          <w:rFonts w:ascii="思源黑体 CN Light" w:eastAsia="思源黑体 CN Light" w:hAnsi="思源黑体 CN Light" w:cs="Times New Roman" w:hint="eastAsia"/>
          <w:color w:val="000000" w:themeColor="text1"/>
          <w:sz w:val="21"/>
          <w:szCs w:val="20"/>
        </w:rPr>
        <w:t>方向之一</w:t>
      </w:r>
      <w:r w:rsidR="002F769C" w:rsidRPr="002F769C">
        <w:rPr>
          <w:rFonts w:ascii="思源黑体 CN Light" w:eastAsia="思源黑体 CN Light" w:hAnsi="思源黑体 CN Light" w:cs="Times New Roman" w:hint="eastAsia"/>
          <w:color w:val="000000" w:themeColor="text1"/>
          <w:sz w:val="21"/>
          <w:szCs w:val="20"/>
        </w:rPr>
        <w:t>。</w:t>
      </w:r>
    </w:p>
    <w:p w14:paraId="6F2B9DD9" w14:textId="7527889E" w:rsidR="0069059C" w:rsidRDefault="002F769C" w:rsidP="002F769C">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sidRPr="002F769C">
        <w:rPr>
          <w:rFonts w:ascii="思源黑体 CN Light" w:eastAsia="思源黑体 CN Light" w:hAnsi="思源黑体 CN Light" w:cs="Times New Roman" w:hint="eastAsia"/>
          <w:color w:val="000000" w:themeColor="text1"/>
          <w:sz w:val="21"/>
          <w:szCs w:val="20"/>
        </w:rPr>
        <w:t>展望后市，建材板块的修复行情</w:t>
      </w:r>
      <w:r>
        <w:rPr>
          <w:rFonts w:ascii="思源黑体 CN Light" w:eastAsia="思源黑体 CN Light" w:hAnsi="思源黑体 CN Light" w:cs="Times New Roman" w:hint="eastAsia"/>
          <w:color w:val="000000" w:themeColor="text1"/>
          <w:sz w:val="21"/>
          <w:szCs w:val="20"/>
        </w:rPr>
        <w:t>或</w:t>
      </w:r>
      <w:r w:rsidRPr="002F769C">
        <w:rPr>
          <w:rFonts w:ascii="思源黑体 CN Light" w:eastAsia="思源黑体 CN Light" w:hAnsi="思源黑体 CN Light" w:cs="Times New Roman" w:hint="eastAsia"/>
          <w:color w:val="000000" w:themeColor="text1"/>
          <w:sz w:val="21"/>
          <w:szCs w:val="20"/>
        </w:rPr>
        <w:t>具持续性。短期</w:t>
      </w:r>
      <w:r>
        <w:rPr>
          <w:rFonts w:ascii="思源黑体 CN Light" w:eastAsia="思源黑体 CN Light" w:hAnsi="思源黑体 CN Light" w:cs="Times New Roman" w:hint="eastAsia"/>
          <w:color w:val="000000" w:themeColor="text1"/>
          <w:sz w:val="21"/>
          <w:szCs w:val="20"/>
        </w:rPr>
        <w:t>来看</w:t>
      </w:r>
      <w:r w:rsidRPr="002F769C">
        <w:rPr>
          <w:rFonts w:ascii="思源黑体 CN Light" w:eastAsia="思源黑体 CN Light" w:hAnsi="思源黑体 CN Light" w:cs="Times New Roman" w:hint="eastAsia"/>
          <w:color w:val="000000" w:themeColor="text1"/>
          <w:sz w:val="21"/>
          <w:szCs w:val="20"/>
        </w:rPr>
        <w:t>，7月底政治局会议若强化"反内卷"政策</w:t>
      </w:r>
      <w:r>
        <w:rPr>
          <w:rFonts w:ascii="思源黑体 CN Light" w:eastAsia="思源黑体 CN Light" w:hAnsi="思源黑体 CN Light" w:cs="Times New Roman" w:hint="eastAsia"/>
          <w:color w:val="000000" w:themeColor="text1"/>
          <w:sz w:val="21"/>
          <w:szCs w:val="20"/>
        </w:rPr>
        <w:t>的</w:t>
      </w:r>
      <w:r w:rsidRPr="002F769C">
        <w:rPr>
          <w:rFonts w:ascii="思源黑体 CN Light" w:eastAsia="思源黑体 CN Light" w:hAnsi="思源黑体 CN Light" w:cs="Times New Roman" w:hint="eastAsia"/>
          <w:color w:val="000000" w:themeColor="text1"/>
          <w:sz w:val="21"/>
          <w:szCs w:val="20"/>
        </w:rPr>
        <w:t>落实，水</w:t>
      </w:r>
      <w:r w:rsidRPr="002F769C">
        <w:rPr>
          <w:rFonts w:ascii="思源黑体 CN Light" w:eastAsia="思源黑体 CN Light" w:hAnsi="思源黑体 CN Light" w:cs="Times New Roman" w:hint="eastAsia"/>
          <w:color w:val="000000" w:themeColor="text1"/>
          <w:sz w:val="21"/>
          <w:szCs w:val="20"/>
        </w:rPr>
        <w:lastRenderedPageBreak/>
        <w:t>泥、玻璃等周期品盈利预期有望继续上修，但需警惕部分涨幅过高标的</w:t>
      </w:r>
      <w:proofErr w:type="gramStart"/>
      <w:r w:rsidRPr="002F769C">
        <w:rPr>
          <w:rFonts w:ascii="思源黑体 CN Light" w:eastAsia="思源黑体 CN Light" w:hAnsi="思源黑体 CN Light" w:cs="Times New Roman" w:hint="eastAsia"/>
          <w:color w:val="000000" w:themeColor="text1"/>
          <w:sz w:val="21"/>
          <w:szCs w:val="20"/>
        </w:rPr>
        <w:t>的</w:t>
      </w:r>
      <w:proofErr w:type="gramEnd"/>
      <w:r w:rsidRPr="002F769C">
        <w:rPr>
          <w:rFonts w:ascii="思源黑体 CN Light" w:eastAsia="思源黑体 CN Light" w:hAnsi="思源黑体 CN Light" w:cs="Times New Roman" w:hint="eastAsia"/>
          <w:color w:val="000000" w:themeColor="text1"/>
          <w:sz w:val="21"/>
          <w:szCs w:val="20"/>
        </w:rPr>
        <w:t>资金获利了结风险。中长期</w:t>
      </w:r>
      <w:r w:rsidR="006D5446">
        <w:rPr>
          <w:rFonts w:ascii="思源黑体 CN Light" w:eastAsia="思源黑体 CN Light" w:hAnsi="思源黑体 CN Light" w:cs="Times New Roman" w:hint="eastAsia"/>
          <w:color w:val="000000" w:themeColor="text1"/>
          <w:sz w:val="21"/>
          <w:szCs w:val="20"/>
        </w:rPr>
        <w:t>建议</w:t>
      </w:r>
      <w:r w:rsidRPr="002F769C">
        <w:rPr>
          <w:rFonts w:ascii="思源黑体 CN Light" w:eastAsia="思源黑体 CN Light" w:hAnsi="思源黑体 CN Light" w:cs="Times New Roman" w:hint="eastAsia"/>
          <w:color w:val="000000" w:themeColor="text1"/>
          <w:sz w:val="21"/>
          <w:szCs w:val="20"/>
        </w:rPr>
        <w:t>关注具有护城河</w:t>
      </w:r>
      <w:r w:rsidR="006D5446">
        <w:rPr>
          <w:rFonts w:ascii="思源黑体 CN Light" w:eastAsia="思源黑体 CN Light" w:hAnsi="思源黑体 CN Light" w:cs="Times New Roman" w:hint="eastAsia"/>
          <w:color w:val="000000" w:themeColor="text1"/>
          <w:sz w:val="21"/>
          <w:szCs w:val="20"/>
        </w:rPr>
        <w:t>优势、</w:t>
      </w:r>
      <w:r w:rsidRPr="002F769C">
        <w:rPr>
          <w:rFonts w:ascii="思源黑体 CN Light" w:eastAsia="思源黑体 CN Light" w:hAnsi="思源黑体 CN Light" w:cs="Times New Roman" w:hint="eastAsia"/>
          <w:color w:val="000000" w:themeColor="text1"/>
          <w:sz w:val="21"/>
          <w:szCs w:val="20"/>
        </w:rPr>
        <w:t>等待复苏的消费建材白马以及供需有边际改善且高股息的</w:t>
      </w:r>
      <w:proofErr w:type="gramStart"/>
      <w:r w:rsidRPr="002F769C">
        <w:rPr>
          <w:rFonts w:ascii="思源黑体 CN Light" w:eastAsia="思源黑体 CN Light" w:hAnsi="思源黑体 CN Light" w:cs="Times New Roman" w:hint="eastAsia"/>
          <w:color w:val="000000" w:themeColor="text1"/>
          <w:sz w:val="21"/>
          <w:szCs w:val="20"/>
        </w:rPr>
        <w:t>的</w:t>
      </w:r>
      <w:proofErr w:type="gramEnd"/>
      <w:r w:rsidRPr="002F769C">
        <w:rPr>
          <w:rFonts w:ascii="思源黑体 CN Light" w:eastAsia="思源黑体 CN Light" w:hAnsi="思源黑体 CN Light" w:cs="Times New Roman" w:hint="eastAsia"/>
          <w:color w:val="000000" w:themeColor="text1"/>
          <w:sz w:val="21"/>
          <w:szCs w:val="20"/>
        </w:rPr>
        <w:t>大宗建材。</w:t>
      </w:r>
    </w:p>
    <w:p w14:paraId="7753935A" w14:textId="77777777" w:rsidR="0069059C" w:rsidRDefault="0069059C" w:rsidP="0069059C">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5C48D7E8" w14:textId="77777777" w:rsidR="0069059C" w:rsidRDefault="0069059C" w:rsidP="0069059C">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4F575BD3" w14:textId="77777777" w:rsidR="004B2C1B" w:rsidRPr="004B2C1B" w:rsidRDefault="004B2C1B" w:rsidP="004B2C1B">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sidRPr="004B2C1B">
        <w:rPr>
          <w:rFonts w:ascii="思源黑体 CN Light" w:eastAsia="思源黑体 CN Light" w:hAnsi="思源黑体 CN Light" w:cs="Times New Roman" w:hint="eastAsia"/>
          <w:color w:val="000000"/>
          <w:sz w:val="21"/>
          <w:szCs w:val="20"/>
          <w:shd w:val="clear" w:color="auto" w:fill="FFFFFF"/>
        </w:rPr>
        <w:t>上周在雅鲁藏布江下游水电工程“万亿级”投资消息的催化下，市场持续活跃，周期与蓝</w:t>
      </w:r>
      <w:proofErr w:type="gramStart"/>
      <w:r w:rsidRPr="004B2C1B">
        <w:rPr>
          <w:rFonts w:ascii="思源黑体 CN Light" w:eastAsia="思源黑体 CN Light" w:hAnsi="思源黑体 CN Light" w:cs="Times New Roman" w:hint="eastAsia"/>
          <w:color w:val="000000"/>
          <w:sz w:val="21"/>
          <w:szCs w:val="20"/>
          <w:shd w:val="clear" w:color="auto" w:fill="FFFFFF"/>
        </w:rPr>
        <w:t>筹板块</w:t>
      </w:r>
      <w:proofErr w:type="gramEnd"/>
      <w:r w:rsidRPr="004B2C1B">
        <w:rPr>
          <w:rFonts w:ascii="思源黑体 CN Light" w:eastAsia="思源黑体 CN Light" w:hAnsi="思源黑体 CN Light" w:cs="Times New Roman" w:hint="eastAsia"/>
          <w:color w:val="000000"/>
          <w:sz w:val="21"/>
          <w:szCs w:val="20"/>
          <w:shd w:val="clear" w:color="auto" w:fill="FFFFFF"/>
        </w:rPr>
        <w:t>风格大涨。</w:t>
      </w:r>
    </w:p>
    <w:p w14:paraId="656A9B0C" w14:textId="77777777" w:rsidR="004B2C1B" w:rsidRPr="004B2C1B" w:rsidRDefault="004B2C1B" w:rsidP="004B2C1B">
      <w:pPr>
        <w:ind w:firstLineChars="200" w:firstLine="420"/>
        <w:rPr>
          <w:rFonts w:ascii="思源黑体 CN Light" w:eastAsia="思源黑体 CN Light" w:hAnsi="思源黑体 CN Light" w:cs="Times New Roman" w:hint="eastAsia"/>
          <w:color w:val="000000"/>
          <w:sz w:val="21"/>
          <w:szCs w:val="20"/>
          <w:shd w:val="clear" w:color="auto" w:fill="FFFFFF"/>
        </w:rPr>
      </w:pPr>
      <w:r w:rsidRPr="004B2C1B">
        <w:rPr>
          <w:rFonts w:ascii="思源黑体 CN Light" w:eastAsia="思源黑体 CN Light" w:hAnsi="思源黑体 CN Light" w:cs="Times New Roman" w:hint="eastAsia"/>
          <w:color w:val="000000"/>
          <w:sz w:val="21"/>
          <w:szCs w:val="20"/>
          <w:shd w:val="clear" w:color="auto" w:fill="FFFFFF"/>
        </w:rPr>
        <w:t>周期与蓝</w:t>
      </w:r>
      <w:proofErr w:type="gramStart"/>
      <w:r w:rsidRPr="004B2C1B">
        <w:rPr>
          <w:rFonts w:ascii="思源黑体 CN Light" w:eastAsia="思源黑体 CN Light" w:hAnsi="思源黑体 CN Light" w:cs="Times New Roman" w:hint="eastAsia"/>
          <w:color w:val="000000"/>
          <w:sz w:val="21"/>
          <w:szCs w:val="20"/>
          <w:shd w:val="clear" w:color="auto" w:fill="FFFFFF"/>
        </w:rPr>
        <w:t>筹板块</w:t>
      </w:r>
      <w:proofErr w:type="gramEnd"/>
      <w:r w:rsidRPr="004B2C1B">
        <w:rPr>
          <w:rFonts w:ascii="思源黑体 CN Light" w:eastAsia="思源黑体 CN Light" w:hAnsi="思源黑体 CN Light" w:cs="Times New Roman" w:hint="eastAsia"/>
          <w:color w:val="000000"/>
          <w:sz w:val="21"/>
          <w:szCs w:val="20"/>
          <w:shd w:val="clear" w:color="auto" w:fill="FFFFFF"/>
        </w:rPr>
        <w:t>受益于“反内卷”政策及水电工程万亿规模投资，在“供给侧+需求侧”的双轮共振下，市场对工业品价格的看涨预期显著抬升。但值得注意的是，板块在上周出现明显加速，短期需注意风险。</w:t>
      </w:r>
    </w:p>
    <w:p w14:paraId="45CAFCB1" w14:textId="09EA5B18" w:rsidR="004B2C1B" w:rsidRPr="004B2C1B" w:rsidRDefault="004B2C1B" w:rsidP="004B2C1B">
      <w:pPr>
        <w:ind w:firstLineChars="200" w:firstLine="420"/>
        <w:rPr>
          <w:rFonts w:ascii="思源黑体 CN Light" w:eastAsia="思源黑体 CN Light" w:hAnsi="思源黑体 CN Light" w:cs="Times New Roman" w:hint="eastAsia"/>
          <w:color w:val="000000"/>
          <w:sz w:val="21"/>
          <w:szCs w:val="20"/>
          <w:shd w:val="clear" w:color="auto" w:fill="FFFFFF"/>
        </w:rPr>
      </w:pPr>
      <w:r w:rsidRPr="004B2C1B">
        <w:rPr>
          <w:rFonts w:ascii="思源黑体 CN Light" w:eastAsia="思源黑体 CN Light" w:hAnsi="思源黑体 CN Light" w:cs="Times New Roman" w:hint="eastAsia"/>
          <w:color w:val="000000"/>
          <w:sz w:val="21"/>
          <w:szCs w:val="20"/>
          <w:shd w:val="clear" w:color="auto" w:fill="FFFFFF"/>
        </w:rPr>
        <w:t>从中期来看，“反内卷”</w:t>
      </w:r>
      <w:r w:rsidR="008E049E">
        <w:rPr>
          <w:rFonts w:ascii="思源黑体 CN Light" w:eastAsia="思源黑体 CN Light" w:hAnsi="思源黑体 CN Light" w:cs="Times New Roman" w:hint="eastAsia"/>
          <w:color w:val="000000"/>
          <w:sz w:val="21"/>
          <w:szCs w:val="20"/>
          <w:shd w:val="clear" w:color="auto" w:fill="FFFFFF"/>
        </w:rPr>
        <w:t>政策</w:t>
      </w:r>
      <w:r w:rsidRPr="004B2C1B">
        <w:rPr>
          <w:rFonts w:ascii="思源黑体 CN Light" w:eastAsia="思源黑体 CN Light" w:hAnsi="思源黑体 CN Light" w:cs="Times New Roman" w:hint="eastAsia"/>
          <w:color w:val="000000"/>
          <w:sz w:val="21"/>
          <w:szCs w:val="20"/>
          <w:shd w:val="clear" w:color="auto" w:fill="FFFFFF"/>
        </w:rPr>
        <w:t>仍</w:t>
      </w:r>
      <w:r w:rsidR="008E049E">
        <w:rPr>
          <w:rFonts w:ascii="思源黑体 CN Light" w:eastAsia="思源黑体 CN Light" w:hAnsi="思源黑体 CN Light" w:cs="Times New Roman" w:hint="eastAsia"/>
          <w:color w:val="000000"/>
          <w:sz w:val="21"/>
          <w:szCs w:val="20"/>
          <w:shd w:val="clear" w:color="auto" w:fill="FFFFFF"/>
        </w:rPr>
        <w:t>值得关注</w:t>
      </w:r>
      <w:r w:rsidRPr="004B2C1B">
        <w:rPr>
          <w:rFonts w:ascii="思源黑体 CN Light" w:eastAsia="思源黑体 CN Light" w:hAnsi="思源黑体 CN Light" w:cs="Times New Roman" w:hint="eastAsia"/>
          <w:color w:val="000000"/>
          <w:sz w:val="21"/>
          <w:szCs w:val="20"/>
          <w:shd w:val="clear" w:color="auto" w:fill="FFFFFF"/>
        </w:rPr>
        <w:t>，大概率仍有持续演绎的机会，但后续需关注细分行业供给</w:t>
      </w:r>
      <w:proofErr w:type="gramStart"/>
      <w:r w:rsidRPr="004B2C1B">
        <w:rPr>
          <w:rFonts w:ascii="思源黑体 CN Light" w:eastAsia="思源黑体 CN Light" w:hAnsi="思源黑体 CN Light" w:cs="Times New Roman" w:hint="eastAsia"/>
          <w:color w:val="000000"/>
          <w:sz w:val="21"/>
          <w:szCs w:val="20"/>
          <w:shd w:val="clear" w:color="auto" w:fill="FFFFFF"/>
        </w:rPr>
        <w:t>端政策</w:t>
      </w:r>
      <w:proofErr w:type="gramEnd"/>
      <w:r w:rsidRPr="004B2C1B">
        <w:rPr>
          <w:rFonts w:ascii="思源黑体 CN Light" w:eastAsia="思源黑体 CN Light" w:hAnsi="思源黑体 CN Light" w:cs="Times New Roman" w:hint="eastAsia"/>
          <w:color w:val="000000"/>
          <w:sz w:val="21"/>
          <w:szCs w:val="20"/>
          <w:shd w:val="clear" w:color="auto" w:fill="FFFFFF"/>
        </w:rPr>
        <w:t>的落地与执行情况。</w:t>
      </w:r>
    </w:p>
    <w:p w14:paraId="174CEA45" w14:textId="77777777" w:rsidR="004B2C1B" w:rsidRPr="004B2C1B" w:rsidRDefault="004B2C1B" w:rsidP="004B2C1B">
      <w:pPr>
        <w:ind w:firstLineChars="200" w:firstLine="420"/>
        <w:rPr>
          <w:rFonts w:ascii="思源黑体 CN Light" w:eastAsia="思源黑体 CN Light" w:hAnsi="思源黑体 CN Light" w:cs="Times New Roman" w:hint="eastAsia"/>
          <w:color w:val="000000"/>
          <w:sz w:val="21"/>
          <w:szCs w:val="20"/>
          <w:shd w:val="clear" w:color="auto" w:fill="FFFFFF"/>
        </w:rPr>
      </w:pPr>
      <w:r w:rsidRPr="004B2C1B">
        <w:rPr>
          <w:rFonts w:ascii="思源黑体 CN Light" w:eastAsia="思源黑体 CN Light" w:hAnsi="思源黑体 CN Light" w:cs="Times New Roman" w:hint="eastAsia"/>
          <w:color w:val="000000"/>
          <w:sz w:val="21"/>
          <w:szCs w:val="20"/>
          <w:shd w:val="clear" w:color="auto" w:fill="FFFFFF"/>
        </w:rPr>
        <w:t>宏观层面，一方面下周即将进行的中美会谈有望为关税问题提供“软着陆”路径；另一方面，证监会表态“全力巩固市场回稳向好态势”，资本市场整体风险或可控。</w:t>
      </w:r>
    </w:p>
    <w:p w14:paraId="12CBA8B1" w14:textId="38B6BFF0" w:rsidR="0069059C" w:rsidRDefault="004B2C1B" w:rsidP="004B2C1B">
      <w:pPr>
        <w:ind w:firstLineChars="200" w:firstLine="420"/>
        <w:rPr>
          <w:rFonts w:ascii="思源黑体 CN Light" w:eastAsia="思源黑体 CN Light" w:hAnsi="思源黑体 CN Light" w:cs="Times New Roman" w:hint="eastAsia"/>
          <w:color w:val="000000"/>
          <w:sz w:val="21"/>
          <w:szCs w:val="20"/>
          <w:shd w:val="clear" w:color="auto" w:fill="FFFFFF"/>
        </w:rPr>
      </w:pPr>
      <w:r w:rsidRPr="004B2C1B">
        <w:rPr>
          <w:rFonts w:ascii="思源黑体 CN Light" w:eastAsia="思源黑体 CN Light" w:hAnsi="思源黑体 CN Light" w:cs="Times New Roman" w:hint="eastAsia"/>
          <w:color w:val="000000"/>
          <w:sz w:val="21"/>
          <w:szCs w:val="20"/>
          <w:shd w:val="clear" w:color="auto" w:fill="FFFFFF"/>
        </w:rPr>
        <w:t>我们建议稳中求进，</w:t>
      </w:r>
      <w:r>
        <w:rPr>
          <w:rFonts w:ascii="思源黑体 CN Light" w:eastAsia="思源黑体 CN Light" w:hAnsi="思源黑体 CN Light" w:cs="Times New Roman" w:hint="eastAsia"/>
          <w:color w:val="000000"/>
          <w:sz w:val="21"/>
          <w:szCs w:val="20"/>
          <w:shd w:val="clear" w:color="auto" w:fill="FFFFFF"/>
        </w:rPr>
        <w:t>短期内</w:t>
      </w:r>
      <w:r w:rsidRPr="004B2C1B">
        <w:rPr>
          <w:rFonts w:ascii="思源黑体 CN Light" w:eastAsia="思源黑体 CN Light" w:hAnsi="思源黑体 CN Light" w:cs="Times New Roman" w:hint="eastAsia"/>
          <w:color w:val="000000"/>
          <w:sz w:val="21"/>
          <w:szCs w:val="20"/>
          <w:shd w:val="clear" w:color="auto" w:fill="FFFFFF"/>
        </w:rPr>
        <w:t>高成长与</w:t>
      </w:r>
      <w:r w:rsidR="006E195D">
        <w:rPr>
          <w:rFonts w:ascii="思源黑体 CN Light" w:eastAsia="思源黑体 CN Light" w:hAnsi="思源黑体 CN Light" w:cs="Times New Roman" w:hint="eastAsia"/>
          <w:color w:val="000000"/>
          <w:sz w:val="21"/>
          <w:szCs w:val="20"/>
          <w:shd w:val="clear" w:color="auto" w:fill="FFFFFF"/>
        </w:rPr>
        <w:t>“</w:t>
      </w:r>
      <w:r w:rsidRPr="004B2C1B">
        <w:rPr>
          <w:rFonts w:ascii="思源黑体 CN Light" w:eastAsia="思源黑体 CN Light" w:hAnsi="思源黑体 CN Light" w:cs="Times New Roman" w:hint="eastAsia"/>
          <w:color w:val="000000"/>
          <w:sz w:val="21"/>
          <w:szCs w:val="20"/>
          <w:shd w:val="clear" w:color="auto" w:fill="FFFFFF"/>
        </w:rPr>
        <w:t>反内卷</w:t>
      </w:r>
      <w:r w:rsidR="006E195D">
        <w:rPr>
          <w:rFonts w:ascii="思源黑体 CN Light" w:eastAsia="思源黑体 CN Light" w:hAnsi="思源黑体 CN Light" w:cs="Times New Roman" w:hint="eastAsia"/>
          <w:color w:val="000000"/>
          <w:sz w:val="21"/>
          <w:szCs w:val="20"/>
          <w:shd w:val="clear" w:color="auto" w:fill="FFFFFF"/>
        </w:rPr>
        <w:t>”</w:t>
      </w:r>
      <w:r w:rsidRPr="004B2C1B">
        <w:rPr>
          <w:rFonts w:ascii="思源黑体 CN Light" w:eastAsia="思源黑体 CN Light" w:hAnsi="思源黑体 CN Light" w:cs="Times New Roman" w:hint="eastAsia"/>
          <w:color w:val="000000"/>
          <w:sz w:val="21"/>
          <w:szCs w:val="20"/>
          <w:shd w:val="clear" w:color="auto" w:fill="FFFFFF"/>
        </w:rPr>
        <w:t>板块</w:t>
      </w:r>
      <w:r>
        <w:rPr>
          <w:rFonts w:ascii="思源黑体 CN Light" w:eastAsia="思源黑体 CN Light" w:hAnsi="思源黑体 CN Light" w:cs="Times New Roman" w:hint="eastAsia"/>
          <w:color w:val="000000"/>
          <w:sz w:val="21"/>
          <w:szCs w:val="20"/>
          <w:shd w:val="clear" w:color="auto" w:fill="FFFFFF"/>
        </w:rPr>
        <w:t>可</w:t>
      </w:r>
      <w:r w:rsidRPr="004B2C1B">
        <w:rPr>
          <w:rFonts w:ascii="思源黑体 CN Light" w:eastAsia="思源黑体 CN Light" w:hAnsi="思源黑体 CN Light" w:cs="Times New Roman" w:hint="eastAsia"/>
          <w:color w:val="000000"/>
          <w:sz w:val="21"/>
          <w:szCs w:val="20"/>
          <w:shd w:val="clear" w:color="auto" w:fill="FFFFFF"/>
        </w:rPr>
        <w:t>做适度轮换，行业重点关注：1、成长赛道，如AI应用、半导体、医药等板块；2、</w:t>
      </w:r>
      <w:r w:rsidR="006E195D">
        <w:rPr>
          <w:rFonts w:ascii="思源黑体 CN Light" w:eastAsia="思源黑体 CN Light" w:hAnsi="思源黑体 CN Light" w:cs="Times New Roman" w:hint="eastAsia"/>
          <w:color w:val="000000"/>
          <w:sz w:val="21"/>
          <w:szCs w:val="20"/>
          <w:shd w:val="clear" w:color="auto" w:fill="FFFFFF"/>
        </w:rPr>
        <w:t>“</w:t>
      </w:r>
      <w:r w:rsidRPr="004B2C1B">
        <w:rPr>
          <w:rFonts w:ascii="思源黑体 CN Light" w:eastAsia="思源黑体 CN Light" w:hAnsi="思源黑体 CN Light" w:cs="Times New Roman" w:hint="eastAsia"/>
          <w:color w:val="000000"/>
          <w:sz w:val="21"/>
          <w:szCs w:val="20"/>
          <w:shd w:val="clear" w:color="auto" w:fill="FFFFFF"/>
        </w:rPr>
        <w:t>反内卷</w:t>
      </w:r>
      <w:r w:rsidR="006E195D">
        <w:rPr>
          <w:rFonts w:ascii="思源黑体 CN Light" w:eastAsia="思源黑体 CN Light" w:hAnsi="思源黑体 CN Light" w:cs="Times New Roman" w:hint="eastAsia"/>
          <w:color w:val="000000"/>
          <w:sz w:val="21"/>
          <w:szCs w:val="20"/>
          <w:shd w:val="clear" w:color="auto" w:fill="FFFFFF"/>
        </w:rPr>
        <w:t>”</w:t>
      </w:r>
      <w:r w:rsidRPr="004B2C1B">
        <w:rPr>
          <w:rFonts w:ascii="思源黑体 CN Light" w:eastAsia="思源黑体 CN Light" w:hAnsi="思源黑体 CN Light" w:cs="Times New Roman" w:hint="eastAsia"/>
          <w:color w:val="000000"/>
          <w:sz w:val="21"/>
          <w:szCs w:val="20"/>
          <w:shd w:val="clear" w:color="auto" w:fill="FFFFFF"/>
        </w:rPr>
        <w:t>政策受益板块，如电新、钢铁、有色等。</w:t>
      </w:r>
    </w:p>
    <w:p w14:paraId="2A135C61" w14:textId="77777777" w:rsidR="0069059C" w:rsidRDefault="0069059C" w:rsidP="0069059C">
      <w:pPr>
        <w:ind w:firstLineChars="200" w:firstLine="420"/>
        <w:rPr>
          <w:rFonts w:ascii="思源黑体 CN Light" w:eastAsia="思源黑体 CN Light" w:hAnsi="思源黑体 CN Light" w:cs="Times New Roman" w:hint="eastAsia"/>
          <w:color w:val="000000"/>
          <w:sz w:val="21"/>
          <w:szCs w:val="20"/>
          <w:shd w:val="clear" w:color="auto" w:fill="FFFFFF"/>
        </w:rPr>
      </w:pPr>
    </w:p>
    <w:p w14:paraId="43CBB30E" w14:textId="77777777" w:rsidR="0069059C" w:rsidRDefault="0069059C" w:rsidP="0069059C">
      <w:pPr>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2"/>
    <w:p w14:paraId="78A0F44D" w14:textId="77777777" w:rsidR="0069059C" w:rsidRDefault="0069059C" w:rsidP="0069059C">
      <w:pPr>
        <w:rPr>
          <w:rFonts w:ascii="思源黑体 CN Light" w:eastAsia="思源黑体 CN Light" w:hAnsi="思源黑体 CN Light" w:cs="Times New Roman" w:hint="eastAsia"/>
          <w:color w:val="000000"/>
          <w:sz w:val="21"/>
          <w:szCs w:val="20"/>
          <w:shd w:val="clear" w:color="auto" w:fill="FFFFFF"/>
        </w:rPr>
      </w:pPr>
    </w:p>
    <w:p w14:paraId="51C93478" w14:textId="77777777" w:rsidR="0069059C" w:rsidRDefault="0069059C" w:rsidP="0069059C">
      <w:pPr>
        <w:pStyle w:val="af3"/>
        <w:ind w:firstLineChars="0" w:firstLine="0"/>
        <w:rPr>
          <w:rFonts w:ascii="思源黑体 CN Light" w:eastAsia="思源黑体 CN Light" w:hAnsi="思源黑体 CN Light" w:cs="Times New Roman" w:hint="eastAsia"/>
          <w:sz w:val="20"/>
          <w:szCs w:val="20"/>
        </w:rPr>
      </w:pPr>
    </w:p>
    <w:p w14:paraId="669D3C05" w14:textId="0196C549" w:rsidR="002F63B0" w:rsidRDefault="0069059C" w:rsidP="004B2C1B">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sectPr w:rsidR="002F63B0" w:rsidSect="0069059C">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061B" w14:textId="77777777" w:rsidR="002F2BFC" w:rsidRDefault="002F2BFC">
      <w:pPr>
        <w:spacing w:line="240" w:lineRule="auto"/>
        <w:rPr>
          <w:rFonts w:hint="eastAsia"/>
        </w:rPr>
      </w:pPr>
      <w:r>
        <w:separator/>
      </w:r>
    </w:p>
  </w:endnote>
  <w:endnote w:type="continuationSeparator" w:id="0">
    <w:p w14:paraId="3D9AF431" w14:textId="77777777" w:rsidR="002F2BFC" w:rsidRDefault="002F2BF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8041" w14:textId="77777777" w:rsidR="00202547" w:rsidRDefault="00E66E24">
    <w:pPr>
      <w:pStyle w:val="ae"/>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6E195D">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6E195D">
              <w:rPr>
                <w:b/>
                <w:bCs/>
                <w:noProof/>
              </w:rPr>
              <w:t>3</w:t>
            </w:r>
            <w:r>
              <w:rPr>
                <w:b/>
                <w:bCs/>
                <w:sz w:val="24"/>
                <w:szCs w:val="24"/>
              </w:rPr>
              <w:fldChar w:fldCharType="end"/>
            </w:r>
          </w:sdtContent>
        </w:sdt>
      </w:sdtContent>
    </w:sdt>
    <w:r>
      <w:tab/>
    </w:r>
  </w:p>
  <w:p w14:paraId="1F4CF703" w14:textId="77777777" w:rsidR="00202547" w:rsidRDefault="00202547">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D731D" w14:textId="77777777" w:rsidR="002F2BFC" w:rsidRDefault="002F2BFC">
      <w:pPr>
        <w:spacing w:line="240" w:lineRule="auto"/>
        <w:rPr>
          <w:rFonts w:hint="eastAsia"/>
        </w:rPr>
      </w:pPr>
      <w:r>
        <w:separator/>
      </w:r>
    </w:p>
  </w:footnote>
  <w:footnote w:type="continuationSeparator" w:id="0">
    <w:p w14:paraId="43BDC990" w14:textId="77777777" w:rsidR="002F2BFC" w:rsidRDefault="002F2BFC">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2"/>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61366D" w14:paraId="564A0E83" w14:textId="77777777">
      <w:trPr>
        <w:trHeight w:val="424"/>
      </w:trPr>
      <w:tc>
        <w:tcPr>
          <w:tcW w:w="3652" w:type="dxa"/>
          <w:shd w:val="clear" w:color="auto" w:fill="F3F3F3"/>
          <w:vAlign w:val="center"/>
        </w:tcPr>
        <w:p w14:paraId="66B6DAAA" w14:textId="77777777" w:rsidR="00202547" w:rsidRDefault="00E66E24">
          <w:pPr>
            <w:pStyle w:val="af0"/>
            <w:pBdr>
              <w:bottom w:val="none" w:sz="0" w:space="0" w:color="auto"/>
            </w:pBdr>
            <w:jc w:val="right"/>
          </w:pPr>
          <w:r>
            <w:rPr>
              <w:rFonts w:hint="eastAsia"/>
            </w:rPr>
            <w:t>证券研究报告</w:t>
          </w:r>
        </w:p>
      </w:tc>
      <w:tc>
        <w:tcPr>
          <w:tcW w:w="284" w:type="dxa"/>
          <w:shd w:val="clear" w:color="auto" w:fill="C3E2F4"/>
        </w:tcPr>
        <w:p w14:paraId="0FEF9662" w14:textId="77777777" w:rsidR="00202547" w:rsidRDefault="00202547">
          <w:pPr>
            <w:pStyle w:val="af0"/>
            <w:pBdr>
              <w:bottom w:val="none" w:sz="0" w:space="0" w:color="auto"/>
            </w:pBdr>
            <w:jc w:val="left"/>
          </w:pPr>
        </w:p>
      </w:tc>
      <w:tc>
        <w:tcPr>
          <w:tcW w:w="2335" w:type="dxa"/>
          <w:shd w:val="clear" w:color="auto" w:fill="013F98"/>
          <w:vAlign w:val="center"/>
        </w:tcPr>
        <w:p w14:paraId="7568F348" w14:textId="77777777" w:rsidR="00202547" w:rsidRDefault="00E66E24">
          <w:pPr>
            <w:pStyle w:val="af0"/>
            <w:pBdr>
              <w:bottom w:val="none" w:sz="0" w:space="0" w:color="auto"/>
            </w:pBdr>
          </w:pPr>
          <w:r>
            <w:rPr>
              <w:rFonts w:hint="eastAsia"/>
            </w:rPr>
            <w:t>权益周报</w:t>
          </w:r>
        </w:p>
      </w:tc>
    </w:tr>
  </w:tbl>
  <w:p w14:paraId="721B8D15" w14:textId="77777777" w:rsidR="00202547" w:rsidRDefault="00E66E24">
    <w:pPr>
      <w:pStyle w:val="af0"/>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72F5F494" wp14:editId="60B4D6FD">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59C"/>
    <w:rsid w:val="00202547"/>
    <w:rsid w:val="00267BA7"/>
    <w:rsid w:val="002D0581"/>
    <w:rsid w:val="002F2BFC"/>
    <w:rsid w:val="002F63B0"/>
    <w:rsid w:val="002F769C"/>
    <w:rsid w:val="004B2C1B"/>
    <w:rsid w:val="0069059C"/>
    <w:rsid w:val="006D5446"/>
    <w:rsid w:val="006E195D"/>
    <w:rsid w:val="00852735"/>
    <w:rsid w:val="008719A4"/>
    <w:rsid w:val="00872170"/>
    <w:rsid w:val="008E049E"/>
    <w:rsid w:val="00A135A0"/>
    <w:rsid w:val="00E6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A7239"/>
  <w15:docId w15:val="{EDE949B8-E05D-4911-B435-93DD1E3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59C"/>
    <w:pPr>
      <w:widowControl w:val="0"/>
      <w:spacing w:after="0" w:line="360" w:lineRule="auto"/>
      <w:jc w:val="both"/>
    </w:pPr>
    <w:rPr>
      <w:sz w:val="24"/>
      <w:szCs w:val="22"/>
      <w14:ligatures w14:val="none"/>
    </w:rPr>
  </w:style>
  <w:style w:type="paragraph" w:styleId="1">
    <w:name w:val="heading 1"/>
    <w:basedOn w:val="a"/>
    <w:next w:val="a"/>
    <w:link w:val="10"/>
    <w:uiPriority w:val="9"/>
    <w:qFormat/>
    <w:rsid w:val="0069059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rsid w:val="0069059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9059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9059C"/>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9059C"/>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69059C"/>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69059C"/>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9059C"/>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9059C"/>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5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6905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905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9059C"/>
    <w:rPr>
      <w:rFonts w:cstheme="majorBidi"/>
      <w:color w:val="0F4761" w:themeColor="accent1" w:themeShade="BF"/>
      <w:sz w:val="28"/>
      <w:szCs w:val="28"/>
    </w:rPr>
  </w:style>
  <w:style w:type="character" w:customStyle="1" w:styleId="50">
    <w:name w:val="标题 5 字符"/>
    <w:basedOn w:val="a0"/>
    <w:link w:val="5"/>
    <w:uiPriority w:val="9"/>
    <w:semiHidden/>
    <w:rsid w:val="0069059C"/>
    <w:rPr>
      <w:rFonts w:cstheme="majorBidi"/>
      <w:color w:val="0F4761" w:themeColor="accent1" w:themeShade="BF"/>
      <w:sz w:val="24"/>
    </w:rPr>
  </w:style>
  <w:style w:type="character" w:customStyle="1" w:styleId="60">
    <w:name w:val="标题 6 字符"/>
    <w:basedOn w:val="a0"/>
    <w:link w:val="6"/>
    <w:uiPriority w:val="9"/>
    <w:semiHidden/>
    <w:rsid w:val="0069059C"/>
    <w:rPr>
      <w:rFonts w:cstheme="majorBidi"/>
      <w:b/>
      <w:bCs/>
      <w:color w:val="0F4761" w:themeColor="accent1" w:themeShade="BF"/>
    </w:rPr>
  </w:style>
  <w:style w:type="character" w:customStyle="1" w:styleId="70">
    <w:name w:val="标题 7 字符"/>
    <w:basedOn w:val="a0"/>
    <w:link w:val="7"/>
    <w:uiPriority w:val="9"/>
    <w:semiHidden/>
    <w:rsid w:val="0069059C"/>
    <w:rPr>
      <w:rFonts w:cstheme="majorBidi"/>
      <w:b/>
      <w:bCs/>
      <w:color w:val="595959" w:themeColor="text1" w:themeTint="A6"/>
    </w:rPr>
  </w:style>
  <w:style w:type="character" w:customStyle="1" w:styleId="80">
    <w:name w:val="标题 8 字符"/>
    <w:basedOn w:val="a0"/>
    <w:link w:val="8"/>
    <w:uiPriority w:val="9"/>
    <w:semiHidden/>
    <w:rsid w:val="0069059C"/>
    <w:rPr>
      <w:rFonts w:cstheme="majorBidi"/>
      <w:color w:val="595959" w:themeColor="text1" w:themeTint="A6"/>
    </w:rPr>
  </w:style>
  <w:style w:type="character" w:customStyle="1" w:styleId="90">
    <w:name w:val="标题 9 字符"/>
    <w:basedOn w:val="a0"/>
    <w:link w:val="9"/>
    <w:uiPriority w:val="9"/>
    <w:semiHidden/>
    <w:rsid w:val="0069059C"/>
    <w:rPr>
      <w:rFonts w:eastAsiaTheme="majorEastAsia" w:cstheme="majorBidi"/>
      <w:color w:val="595959" w:themeColor="text1" w:themeTint="A6"/>
    </w:rPr>
  </w:style>
  <w:style w:type="paragraph" w:styleId="a3">
    <w:name w:val="Title"/>
    <w:basedOn w:val="a"/>
    <w:next w:val="a"/>
    <w:link w:val="a4"/>
    <w:uiPriority w:val="10"/>
    <w:qFormat/>
    <w:rsid w:val="0069059C"/>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90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59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90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59C"/>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69059C"/>
    <w:rPr>
      <w:i/>
      <w:iCs/>
      <w:color w:val="404040" w:themeColor="text1" w:themeTint="BF"/>
    </w:rPr>
  </w:style>
  <w:style w:type="paragraph" w:styleId="a9">
    <w:name w:val="List Paragraph"/>
    <w:basedOn w:val="a"/>
    <w:uiPriority w:val="34"/>
    <w:qFormat/>
    <w:rsid w:val="0069059C"/>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69059C"/>
    <w:rPr>
      <w:i/>
      <w:iCs/>
      <w:color w:val="0F4761" w:themeColor="accent1" w:themeShade="BF"/>
    </w:rPr>
  </w:style>
  <w:style w:type="paragraph" w:styleId="ab">
    <w:name w:val="Intense Quote"/>
    <w:basedOn w:val="a"/>
    <w:next w:val="a"/>
    <w:link w:val="ac"/>
    <w:uiPriority w:val="30"/>
    <w:qFormat/>
    <w:rsid w:val="0069059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69059C"/>
    <w:rPr>
      <w:i/>
      <w:iCs/>
      <w:color w:val="0F4761" w:themeColor="accent1" w:themeShade="BF"/>
    </w:rPr>
  </w:style>
  <w:style w:type="character" w:styleId="ad">
    <w:name w:val="Intense Reference"/>
    <w:basedOn w:val="a0"/>
    <w:uiPriority w:val="32"/>
    <w:qFormat/>
    <w:rsid w:val="0069059C"/>
    <w:rPr>
      <w:b/>
      <w:bCs/>
      <w:smallCaps/>
      <w:color w:val="0F4761" w:themeColor="accent1" w:themeShade="BF"/>
      <w:spacing w:val="5"/>
    </w:rPr>
  </w:style>
  <w:style w:type="paragraph" w:styleId="ae">
    <w:name w:val="footer"/>
    <w:basedOn w:val="a"/>
    <w:link w:val="af"/>
    <w:uiPriority w:val="99"/>
    <w:unhideWhenUsed/>
    <w:qFormat/>
    <w:rsid w:val="0069059C"/>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69059C"/>
    <w:rPr>
      <w:sz w:val="18"/>
      <w:szCs w:val="18"/>
      <w14:ligatures w14:val="none"/>
    </w:rPr>
  </w:style>
  <w:style w:type="paragraph" w:styleId="af0">
    <w:name w:val="header"/>
    <w:basedOn w:val="a"/>
    <w:link w:val="af1"/>
    <w:uiPriority w:val="99"/>
    <w:unhideWhenUsed/>
    <w:qFormat/>
    <w:rsid w:val="0069059C"/>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69059C"/>
    <w:rPr>
      <w:sz w:val="18"/>
      <w:szCs w:val="18"/>
      <w14:ligatures w14:val="none"/>
    </w:rPr>
  </w:style>
  <w:style w:type="table" w:styleId="af2">
    <w:name w:val="Table Grid"/>
    <w:basedOn w:val="a1"/>
    <w:uiPriority w:val="39"/>
    <w:qFormat/>
    <w:rsid w:val="0069059C"/>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basedOn w:val="af4"/>
    <w:link w:val="af5"/>
    <w:uiPriority w:val="1"/>
    <w:qFormat/>
    <w:rsid w:val="0069059C"/>
    <w:pPr>
      <w:widowControl/>
      <w:shd w:val="clear" w:color="auto" w:fill="FFFFFF"/>
      <w:ind w:firstLineChars="200" w:firstLine="200"/>
      <w:jc w:val="left"/>
    </w:pPr>
    <w:rPr>
      <w:rFonts w:asciiTheme="minorHAnsi" w:hAnsiTheme="minorHAnsi" w:cstheme="minorBidi"/>
      <w:kern w:val="0"/>
      <w:szCs w:val="22"/>
    </w:rPr>
  </w:style>
  <w:style w:type="character" w:customStyle="1" w:styleId="af5">
    <w:name w:val="无间隔 字符"/>
    <w:basedOn w:val="a0"/>
    <w:link w:val="af3"/>
    <w:uiPriority w:val="1"/>
    <w:qFormat/>
    <w:rsid w:val="0069059C"/>
    <w:rPr>
      <w:kern w:val="0"/>
      <w:sz w:val="24"/>
      <w:szCs w:val="22"/>
      <w:shd w:val="clear" w:color="auto" w:fill="FFFFFF"/>
      <w14:ligatures w14:val="none"/>
    </w:rPr>
  </w:style>
  <w:style w:type="paragraph" w:styleId="af4">
    <w:name w:val="Normal (Web)"/>
    <w:basedOn w:val="a"/>
    <w:uiPriority w:val="99"/>
    <w:semiHidden/>
    <w:unhideWhenUsed/>
    <w:rsid w:val="0069059C"/>
    <w:rPr>
      <w:rFonts w:ascii="Times New Roman" w:hAnsi="Times New Roman" w:cs="Times New Roman"/>
      <w:szCs w:val="24"/>
    </w:rPr>
  </w:style>
  <w:style w:type="paragraph" w:styleId="af6">
    <w:name w:val="Balloon Text"/>
    <w:basedOn w:val="a"/>
    <w:link w:val="af7"/>
    <w:uiPriority w:val="99"/>
    <w:semiHidden/>
    <w:unhideWhenUsed/>
    <w:rsid w:val="008719A4"/>
    <w:pPr>
      <w:spacing w:line="240" w:lineRule="auto"/>
    </w:pPr>
    <w:rPr>
      <w:sz w:val="18"/>
      <w:szCs w:val="18"/>
    </w:rPr>
  </w:style>
  <w:style w:type="character" w:customStyle="1" w:styleId="af7">
    <w:name w:val="批注框文本 字符"/>
    <w:basedOn w:val="a0"/>
    <w:link w:val="af6"/>
    <w:uiPriority w:val="99"/>
    <w:semiHidden/>
    <w:rsid w:val="008719A4"/>
    <w:rPr>
      <w:sz w:val="18"/>
      <w:szCs w:val="18"/>
      <w14:ligatures w14:val="none"/>
    </w:rPr>
  </w:style>
  <w:style w:type="paragraph" w:styleId="af8">
    <w:name w:val="Revision"/>
    <w:hidden/>
    <w:uiPriority w:val="99"/>
    <w:semiHidden/>
    <w:rsid w:val="008E049E"/>
    <w:pPr>
      <w:spacing w:after="0" w:line="240" w:lineRule="auto"/>
    </w:pPr>
    <w:rPr>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780</Words>
  <Characters>883</Characters>
  <Application>Microsoft Office Word</Application>
  <DocSecurity>0</DocSecurity>
  <Lines>25</Lines>
  <Paragraphs>21</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5</cp:revision>
  <dcterms:created xsi:type="dcterms:W3CDTF">2025-07-28T05:41:00Z</dcterms:created>
  <dcterms:modified xsi:type="dcterms:W3CDTF">2025-07-28T06:13:00Z</dcterms:modified>
</cp:coreProperties>
</file>