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7B80" w14:textId="77777777" w:rsidR="00DF4B43"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：市场风险偏好下降，债市或进入修复期</w:t>
      </w:r>
    </w:p>
    <w:p w14:paraId="1A47B4CB" w14:textId="77777777" w:rsidR="00DF4B43" w:rsidRDefault="00000000">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4BEF9AAD"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420DAAE6" w14:textId="73BC3A2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8月资金</w:t>
      </w:r>
      <w:proofErr w:type="gramStart"/>
      <w:r>
        <w:rPr>
          <w:rFonts w:ascii="思源黑体 CN Light" w:eastAsia="思源黑体 CN Light" w:hAnsi="思源黑体 CN Light" w:hint="eastAsia"/>
          <w:szCs w:val="21"/>
        </w:rPr>
        <w:t>面整体</w:t>
      </w:r>
      <w:proofErr w:type="gramEnd"/>
      <w:r>
        <w:rPr>
          <w:rFonts w:ascii="思源黑体 CN Light" w:eastAsia="思源黑体 CN Light" w:hAnsi="思源黑体 CN Light" w:hint="eastAsia"/>
          <w:szCs w:val="21"/>
        </w:rPr>
        <w:t>均衡偏松。政府债发行放缓、信贷疲软及</w:t>
      </w:r>
      <w:proofErr w:type="gramStart"/>
      <w:r>
        <w:rPr>
          <w:rFonts w:ascii="思源黑体 CN Light" w:eastAsia="思源黑体 CN Light" w:hAnsi="思源黑体 CN Light" w:hint="eastAsia"/>
          <w:szCs w:val="21"/>
        </w:rPr>
        <w:t>央行维稳表态</w:t>
      </w:r>
      <w:proofErr w:type="gramEnd"/>
      <w:r>
        <w:rPr>
          <w:rFonts w:ascii="思源黑体 CN Light" w:eastAsia="思源黑体 CN Light" w:hAnsi="思源黑体 CN Light" w:hint="eastAsia"/>
          <w:szCs w:val="21"/>
        </w:rPr>
        <w:t>支撑资金维持宽松态势。重启国债购买可能成</w:t>
      </w:r>
      <w:r w:rsidR="00C07C9D">
        <w:rPr>
          <w:rFonts w:ascii="思源黑体 CN Light" w:eastAsia="思源黑体 CN Light" w:hAnsi="思源黑体 CN Light" w:hint="eastAsia"/>
          <w:szCs w:val="21"/>
        </w:rPr>
        <w:t>为</w:t>
      </w:r>
      <w:r>
        <w:rPr>
          <w:rFonts w:ascii="思源黑体 CN Light" w:eastAsia="思源黑体 CN Light" w:hAnsi="思源黑体 CN Light" w:hint="eastAsia"/>
          <w:szCs w:val="21"/>
        </w:rPr>
        <w:t>关键的债市行情催化剂。尽管“反内卷”政策可能推升部分商品价格，但终端需求疲弱制约全面涨价。</w:t>
      </w:r>
      <w:proofErr w:type="gramStart"/>
      <w:r>
        <w:rPr>
          <w:rFonts w:ascii="思源黑体 CN Light" w:eastAsia="思源黑体 CN Light" w:hAnsi="思源黑体 CN Light" w:hint="eastAsia"/>
          <w:szCs w:val="21"/>
        </w:rPr>
        <w:t>社融增速</w:t>
      </w:r>
      <w:proofErr w:type="gramEnd"/>
      <w:r>
        <w:rPr>
          <w:rFonts w:ascii="思源黑体 CN Light" w:eastAsia="思源黑体 CN Light" w:hAnsi="思源黑体 CN Light" w:hint="eastAsia"/>
          <w:szCs w:val="21"/>
        </w:rPr>
        <w:t>或面临一定压力，近期政策对通胀和基本面的影响仍待观察，因“反内卷”而出现调整的债市或进入修复期。</w:t>
      </w:r>
    </w:p>
    <w:p w14:paraId="21622168"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4CA8632E"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美联储降息预期反复扰动市场。8月受国内基本面、预期、企业境外分红等影响，汇率或有贬值压力。</w:t>
      </w:r>
    </w:p>
    <w:p w14:paraId="72F1B1BA"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3D3C1A7E"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上周（2025年7月28日-2025年8月1日，以下简称上周）债市随着多项宏观事件的落地，迎来修复行情，现券收益率整体有所下行。国债恢复征收增值税政策或将推升存量</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价值，长期来看对债市影响更偏中性。但可能导致利率债成本优势下降，债市资金向其他资产分流。</w:t>
      </w:r>
    </w:p>
    <w:p w14:paraId="45D1193B" w14:textId="77777777" w:rsidR="00DF4B43"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预计债市震荡修复期仍将持续，10年期国债利率顶部区间明确但底部突破尚需催化剂，8-9月的行情催化剂或是央行重</w:t>
      </w:r>
      <w:proofErr w:type="gramStart"/>
      <w:r>
        <w:rPr>
          <w:rFonts w:ascii="思源黑体 CN Light" w:eastAsia="思源黑体 CN Light" w:hAnsi="思源黑体 CN Light" w:hint="eastAsia"/>
          <w:szCs w:val="21"/>
        </w:rPr>
        <w:t>启购买</w:t>
      </w:r>
      <w:proofErr w:type="gramEnd"/>
      <w:r>
        <w:rPr>
          <w:rFonts w:ascii="思源黑体 CN Light" w:eastAsia="思源黑体 CN Light" w:hAnsi="思源黑体 CN Light" w:hint="eastAsia"/>
          <w:szCs w:val="21"/>
        </w:rPr>
        <w:t>国债。</w:t>
      </w:r>
    </w:p>
    <w:p w14:paraId="01C1D4E3" w14:textId="77777777" w:rsidR="00DF4B43"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0410C3E3" w14:textId="77777777" w:rsidR="00DF4B43"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proofErr w:type="gramStart"/>
      <w:r>
        <w:rPr>
          <w:rFonts w:ascii="思源黑体 CN Light" w:eastAsia="思源黑体 CN Light" w:hAnsi="思源黑体 CN Light" w:cs="Times New Roman" w:hint="eastAsia"/>
          <w:sz w:val="22"/>
          <w:szCs w:val="21"/>
          <w14:ligatures w14:val="standardContextual"/>
        </w:rPr>
        <w:t>受贸易</w:t>
      </w:r>
      <w:proofErr w:type="gramEnd"/>
      <w:r>
        <w:rPr>
          <w:rFonts w:ascii="思源黑体 CN Light" w:eastAsia="思源黑体 CN Light" w:hAnsi="思源黑体 CN Light" w:cs="Times New Roman" w:hint="eastAsia"/>
          <w:sz w:val="22"/>
          <w:szCs w:val="21"/>
          <w14:ligatures w14:val="standardContextual"/>
        </w:rPr>
        <w:t>紧张局势缓解，美国经济数据向好。截至8月1日，美元指数涨1.05%，非美货币普遍下跌，在岸人民币跌0.60%，澳元跌1.45%。</w:t>
      </w:r>
    </w:p>
    <w:p w14:paraId="12379085" w14:textId="77777777" w:rsidR="00DF4B43"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435C71A0" wp14:editId="4C7FEEC0">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数据来源：wind，富荣基金；统计区间：20250728-2025</w:t>
      </w:r>
      <w:bookmarkStart w:id="1" w:name="_Toc134985520"/>
      <w:r>
        <w:rPr>
          <w:rFonts w:ascii="思源黑体 CN Light" w:eastAsia="思源黑体 CN Light" w:hAnsi="思源黑体 CN Light" w:cs="Times New Roman" w:hint="eastAsia"/>
          <w:sz w:val="16"/>
          <w:szCs w:val="16"/>
        </w:rPr>
        <w:t>0801</w:t>
      </w:r>
    </w:p>
    <w:p w14:paraId="78AFF97F" w14:textId="77777777" w:rsidR="00DF4B43"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12038120" w14:textId="77777777" w:rsidR="00DF4B43"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央行对资金面较为呵护。</w:t>
      </w:r>
      <w:r>
        <w:rPr>
          <w:rFonts w:ascii="思源黑体 CN Light" w:eastAsia="思源黑体 CN Light" w:hAnsi="思源黑体 CN Light" w:cs="Times New Roman" w:hint="eastAsia"/>
          <w:sz w:val="22"/>
          <w:szCs w:val="21"/>
          <w14:ligatures w14:val="standardContextual"/>
        </w:rPr>
        <w:t>DR001下行20.35bp至1.31%，DR007下行22.81bp至1.42%，R001下行19.77bp至1.35％，R007下行20.73bp至1.49％，GC001下行7.10bp至1.34%，GC007下行15.80bp至1.48％。</w:t>
      </w:r>
    </w:p>
    <w:p w14:paraId="2B7D6DC9" w14:textId="77777777" w:rsidR="00DF4B43"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债市结束上周短暂调整，加上“反内卷”政策引起的风险偏好抬升有所降温，上周信用</w:t>
      </w:r>
      <w:proofErr w:type="gramStart"/>
      <w:r>
        <w:rPr>
          <w:rFonts w:ascii="思源黑体 CN Light" w:eastAsia="思源黑体 CN Light" w:hAnsi="思源黑体 CN Light" w:cs="Times New Roman" w:hint="eastAsia"/>
          <w:b/>
          <w:bCs/>
          <w:sz w:val="22"/>
          <w:szCs w:val="21"/>
          <w14:ligatures w14:val="standardContextual"/>
        </w:rPr>
        <w:t>债整体</w:t>
      </w:r>
      <w:proofErr w:type="gramEnd"/>
      <w:r>
        <w:rPr>
          <w:rFonts w:ascii="思源黑体 CN Light" w:eastAsia="思源黑体 CN Light" w:hAnsi="思源黑体 CN Light" w:cs="Times New Roman" w:hint="eastAsia"/>
          <w:b/>
          <w:bCs/>
          <w:sz w:val="22"/>
          <w:szCs w:val="21"/>
          <w14:ligatures w14:val="standardContextual"/>
        </w:rPr>
        <w:t>窄幅震荡下行。</w:t>
      </w:r>
      <w:r>
        <w:rPr>
          <w:rFonts w:ascii="思源黑体 CN Light" w:eastAsia="思源黑体 CN Light" w:hAnsi="思源黑体 CN Light" w:cs="Times New Roman" w:hint="eastAsia"/>
          <w:sz w:val="22"/>
          <w:szCs w:val="21"/>
          <w14:ligatures w14:val="standardContextual"/>
        </w:rPr>
        <w:t xml:space="preserve">1Y、5Y、10Y、30Y国债收益率分别较前一周变化-1.01bp、-3.62bp、-2.65bp、-2.35bp至1.3734%、1.5686%、1.7059%、1.9490%。   </w:t>
      </w:r>
      <w:r>
        <w:rPr>
          <w:rFonts w:ascii="思源黑体 CN Light" w:eastAsia="思源黑体 CN Light" w:hAnsi="思源黑体 CN Light" w:cs="Times New Roman" w:hint="eastAsia"/>
          <w:b/>
          <w:bCs/>
          <w:sz w:val="22"/>
          <w:szCs w:val="21"/>
          <w14:ligatures w14:val="standardContextual"/>
        </w:rPr>
        <w:t xml:space="preserve">       </w:t>
      </w:r>
      <w:r>
        <w:rPr>
          <w:rFonts w:ascii="思源黑体 CN Light" w:eastAsia="思源黑体 CN Light" w:hAnsi="思源黑体 CN Light" w:cs="Times New Roman" w:hint="eastAsia"/>
          <w:sz w:val="22"/>
          <w:szCs w:val="21"/>
          <w14:ligatures w14:val="standardContextual"/>
        </w:rPr>
        <w:t xml:space="preserve">   </w:t>
      </w:r>
      <w:r>
        <w:rPr>
          <w:rFonts w:ascii="思源黑体 CN Light" w:eastAsia="思源黑体 CN Light" w:hAnsi="思源黑体 CN Light" w:cs="Times New Roman" w:hint="eastAsia"/>
          <w:b/>
          <w:bCs/>
          <w:sz w:val="22"/>
          <w:szCs w:val="21"/>
          <w14:ligatures w14:val="standardContextual"/>
        </w:rPr>
        <w:t xml:space="preserve">                                                                                                                                                                                                                                                  </w:t>
      </w:r>
    </w:p>
    <w:p w14:paraId="05E9849A" w14:textId="77777777" w:rsidR="00DF4B43"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62F71D9B" wp14:editId="3D37A5B1">
            <wp:extent cx="5274310" cy="3075305"/>
            <wp:effectExtent l="0" t="0" r="2540" b="0"/>
            <wp:docPr id="69" name="图片 68"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图表&#10;&#10;AI 生成的内容可能不正确。"/>
                    <pic:cNvPicPr>
                      <a:picLocks noChangeAspect="1"/>
                    </pic:cNvPicPr>
                  </pic:nvPicPr>
                  <pic:blipFill>
                    <a:blip r:embed="rId7"/>
                    <a:stretch>
                      <a:fillRect/>
                    </a:stretch>
                  </pic:blipFill>
                  <pic:spPr>
                    <a:xfrm>
                      <a:off x="0" y="0"/>
                      <a:ext cx="5274310" cy="307530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数据来源：wind，富荣基金；统计区间：20250728-20250801</w:t>
      </w:r>
    </w:p>
    <w:p w14:paraId="6A90AD7B" w14:textId="77777777" w:rsidR="00DF4B43"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Pr>
          <w:rFonts w:ascii="思源黑体 CN Light" w:eastAsia="思源黑体 CN Light" w:hAnsi="思源黑体 CN Light" w:cs="Times New Roman"/>
          <w:b/>
          <w:noProof/>
          <w:color w:val="000000"/>
          <w:kern w:val="0"/>
          <w:sz w:val="20"/>
          <w:szCs w:val="20"/>
        </w:rPr>
        <w:drawing>
          <wp:inline distT="0" distB="0" distL="0" distR="0" wp14:anchorId="1ADC3DBC" wp14:editId="0E392540">
            <wp:extent cx="5026660" cy="2578100"/>
            <wp:effectExtent l="0" t="0" r="2540" b="0"/>
            <wp:docPr id="70" name="图片 69"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 瀑布图&#10;&#10;AI 生成的内容可能不正确。"/>
                    <pic:cNvPicPr>
                      <a:picLocks noChangeAspect="1"/>
                    </pic:cNvPicPr>
                  </pic:nvPicPr>
                  <pic:blipFill>
                    <a:blip r:embed="rId8"/>
                    <a:stretch>
                      <a:fillRect/>
                    </a:stretch>
                  </pic:blipFill>
                  <pic:spPr>
                    <a:xfrm>
                      <a:off x="0" y="0"/>
                      <a:ext cx="5028994" cy="2579186"/>
                    </a:xfrm>
                    <a:prstGeom prst="rect">
                      <a:avLst/>
                    </a:prstGeom>
                  </pic:spPr>
                </pic:pic>
              </a:graphicData>
            </a:graphic>
          </wp:inline>
        </w:drawing>
      </w:r>
    </w:p>
    <w:p w14:paraId="4B5C47F6" w14:textId="77777777" w:rsidR="00DF4B43"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数据来源：wind，富荣基金；统计区间：20250728-20250801</w:t>
      </w:r>
    </w:p>
    <w:p w14:paraId="2E418102" w14:textId="77777777" w:rsidR="00DF4B43"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央行OMO大规模净投放呵护跨月流动性，资金</w:t>
      </w:r>
      <w:proofErr w:type="gramStart"/>
      <w:r>
        <w:rPr>
          <w:rFonts w:ascii="思源黑体 CN Light" w:eastAsia="思源黑体 CN Light" w:hAnsi="思源黑体 CN Light" w:cs="Times New Roman" w:hint="eastAsia"/>
          <w:sz w:val="22"/>
          <w:szCs w:val="21"/>
          <w14:ligatures w14:val="standardContextual"/>
        </w:rPr>
        <w:t>面回归</w:t>
      </w:r>
      <w:proofErr w:type="gramEnd"/>
      <w:r>
        <w:rPr>
          <w:rFonts w:ascii="思源黑体 CN Light" w:eastAsia="思源黑体 CN Light" w:hAnsi="思源黑体 CN Light" w:cs="Times New Roman" w:hint="eastAsia"/>
          <w:sz w:val="22"/>
          <w:szCs w:val="21"/>
          <w14:ligatures w14:val="standardContextual"/>
        </w:rPr>
        <w:t>平稳，银行间资金价格在1.5%以下。</w:t>
      </w:r>
    </w:p>
    <w:p w14:paraId="21FEFEFF" w14:textId="77777777" w:rsidR="00DF4B43"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债市情绪缓和，信用债收益率重回下行趋势。从利差看，短端对资金放松的反应较为明显，多数收窄；券商次级债等较弱品种走平或走阔。</w:t>
      </w:r>
    </w:p>
    <w:p w14:paraId="4E894B3C" w14:textId="77777777" w:rsidR="00DF4B43"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图四：信用债收益率变化</w:t>
      </w:r>
    </w:p>
    <w:p w14:paraId="04182B65" w14:textId="77777777" w:rsidR="00DF4B43"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lastRenderedPageBreak/>
        <w:drawing>
          <wp:inline distT="0" distB="0" distL="0" distR="0" wp14:anchorId="4156B475" wp14:editId="3655CCCA">
            <wp:extent cx="5274310" cy="2507615"/>
            <wp:effectExtent l="0" t="0" r="2540" b="6985"/>
            <wp:docPr id="4" name="图片 3" descr="图表, 瀑布图, 漏斗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表, 瀑布图, 漏斗图&#10;&#10;AI 生成的内容可能不正确。"/>
                    <pic:cNvPicPr>
                      <a:picLocks noChangeAspect="1"/>
                    </pic:cNvPicPr>
                  </pic:nvPicPr>
                  <pic:blipFill>
                    <a:blip r:embed="rId9"/>
                    <a:stretch>
                      <a:fillRect/>
                    </a:stretch>
                  </pic:blipFill>
                  <pic:spPr>
                    <a:xfrm>
                      <a:off x="0" y="0"/>
                      <a:ext cx="5274310" cy="250761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数据来源：wind，富荣基金；统计区间：20250728-20250801</w:t>
      </w:r>
    </w:p>
    <w:p w14:paraId="2E457911" w14:textId="77777777" w:rsidR="00DF4B43"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图五：信用利差变化</w:t>
      </w:r>
    </w:p>
    <w:p w14:paraId="3A423D92" w14:textId="77777777" w:rsidR="00DF4B43" w:rsidRDefault="00000000">
      <w:pPr>
        <w:spacing w:line="288" w:lineRule="auto"/>
        <w:jc w:val="left"/>
        <w:rPr>
          <w:rFonts w:ascii="思源黑体 CN Light" w:eastAsia="思源黑体 CN Light" w:hAnsi="思源黑体 CN Light" w:hint="eastAsia"/>
          <w:sz w:val="20"/>
          <w:szCs w:val="20"/>
        </w:rPr>
      </w:pPr>
      <w:r>
        <w:rPr>
          <w:rFonts w:ascii="思源黑体 CN Light" w:eastAsia="思源黑体 CN Light" w:hAnsi="思源黑体 CN Light" w:cs="Times New Roman"/>
          <w:b/>
          <w:noProof/>
          <w:color w:val="000000"/>
          <w:kern w:val="0"/>
          <w:sz w:val="20"/>
          <w:szCs w:val="20"/>
        </w:rPr>
        <w:drawing>
          <wp:inline distT="0" distB="0" distL="0" distR="0" wp14:anchorId="149E2486" wp14:editId="11EBD291">
            <wp:extent cx="5274310" cy="2172970"/>
            <wp:effectExtent l="0" t="0" r="2540" b="0"/>
            <wp:docPr id="8" name="图片 7"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表, 瀑布图&#10;&#10;AI 生成的内容可能不正确。"/>
                    <pic:cNvPicPr>
                      <a:picLocks noChangeAspect="1"/>
                    </pic:cNvPicPr>
                  </pic:nvPicPr>
                  <pic:blipFill>
                    <a:blip r:embed="rId10"/>
                    <a:stretch>
                      <a:fillRect/>
                    </a:stretch>
                  </pic:blipFill>
                  <pic:spPr>
                    <a:xfrm>
                      <a:off x="0" y="0"/>
                      <a:ext cx="5274310" cy="217297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数据来源：wind，富荣基金；统计区间：20250728-20250801</w:t>
      </w:r>
    </w:p>
    <w:p w14:paraId="1A40CCF4" w14:textId="77777777" w:rsidR="00DF4B43" w:rsidRDefault="00DF4B43">
      <w:pPr>
        <w:ind w:firstLineChars="200" w:firstLine="400"/>
        <w:rPr>
          <w:rFonts w:ascii="思源黑体 CN Light" w:eastAsia="思源黑体 CN Light" w:hAnsi="思源黑体 CN Light" w:hint="eastAsia"/>
          <w:sz w:val="20"/>
          <w:szCs w:val="20"/>
        </w:rPr>
      </w:pPr>
    </w:p>
    <w:p w14:paraId="430367FC" w14:textId="77777777" w:rsidR="00DF4B43" w:rsidRDefault="00DF4B43">
      <w:pPr>
        <w:ind w:firstLineChars="200" w:firstLine="400"/>
        <w:rPr>
          <w:rFonts w:ascii="思源黑体 CN Light" w:eastAsia="思源黑体 CN Light" w:hAnsi="思源黑体 CN Light" w:hint="eastAsia"/>
          <w:sz w:val="20"/>
          <w:szCs w:val="20"/>
        </w:rPr>
      </w:pPr>
    </w:p>
    <w:p w14:paraId="74B902FD" w14:textId="77777777" w:rsidR="00DF4B43"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78B498F2" w14:textId="77777777" w:rsidR="00DF4B43" w:rsidRDefault="00000000">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调整。2、本材料中的资料、观点和预测等仅供参考，在任何时候均不构成对任何人的个人推荐。市场有风险，投资需谨慎。</w:t>
      </w:r>
    </w:p>
    <w:sectPr w:rsidR="00DF4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2AE4" w14:textId="77777777" w:rsidR="00D577FB" w:rsidRDefault="00D577FB">
      <w:pPr>
        <w:rPr>
          <w:rFonts w:hint="eastAsia"/>
        </w:rPr>
      </w:pPr>
      <w:r>
        <w:separator/>
      </w:r>
    </w:p>
  </w:endnote>
  <w:endnote w:type="continuationSeparator" w:id="0">
    <w:p w14:paraId="1C7EB527" w14:textId="77777777" w:rsidR="00D577FB" w:rsidRDefault="00D577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128F" w14:textId="77777777" w:rsidR="00D577FB" w:rsidRDefault="00D577FB">
      <w:pPr>
        <w:rPr>
          <w:rFonts w:hint="eastAsia"/>
        </w:rPr>
      </w:pPr>
      <w:r>
        <w:separator/>
      </w:r>
    </w:p>
  </w:footnote>
  <w:footnote w:type="continuationSeparator" w:id="0">
    <w:p w14:paraId="28A151A7" w14:textId="77777777" w:rsidR="00D577FB" w:rsidRDefault="00D577F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FF"/>
    <w:rsid w:val="00055FF8"/>
    <w:rsid w:val="001358DA"/>
    <w:rsid w:val="002E628D"/>
    <w:rsid w:val="002F63B0"/>
    <w:rsid w:val="005516FB"/>
    <w:rsid w:val="00680AFF"/>
    <w:rsid w:val="0079198D"/>
    <w:rsid w:val="00852735"/>
    <w:rsid w:val="00894E7E"/>
    <w:rsid w:val="008B53E7"/>
    <w:rsid w:val="008C192E"/>
    <w:rsid w:val="009325E9"/>
    <w:rsid w:val="00C07C9D"/>
    <w:rsid w:val="00D5354C"/>
    <w:rsid w:val="00D577FB"/>
    <w:rsid w:val="00DF4B43"/>
    <w:rsid w:val="171F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8B5DA"/>
  <w15:docId w15:val="{AD8356B2-45BA-465C-8B89-1F832E8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9325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712</Words>
  <Characters>883</Characters>
  <Application>Microsoft Office Word</Application>
  <DocSecurity>0</DocSecurity>
  <Lines>36</Lines>
  <Paragraphs>31</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5</cp:revision>
  <dcterms:created xsi:type="dcterms:W3CDTF">2025-08-04T01:29:00Z</dcterms:created>
  <dcterms:modified xsi:type="dcterms:W3CDTF">2025-08-04T06:00:00Z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0ADAA3C9ECF240248986200CD2D1F715_12</vt:lpwstr>
  </property>
</Properties>
</file>