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B40C2" w14:textId="77777777" w:rsidR="000A3715" w:rsidRDefault="00000000">
      <w:pPr>
        <w:pStyle w:val="2"/>
        <w:tabs>
          <w:tab w:val="left" w:pos="4364"/>
          <w:tab w:val="right" w:pos="10204"/>
        </w:tabs>
        <w:jc w:val="center"/>
        <w:rPr>
          <w:rFonts w:ascii="思源黑体 CN Bold" w:eastAsia="思源黑体 CN Bold" w:hAnsi="思源黑体 CN Bold" w:cs="Times New Roman" w:hint="eastAsia"/>
          <w:b/>
          <w:color w:val="FA842D"/>
          <w:kern w:val="0"/>
          <w:sz w:val="24"/>
          <w:szCs w:val="18"/>
        </w:rPr>
      </w:pPr>
      <w:bookmarkStart w:id="0" w:name="_Hlk182226954"/>
      <w:r>
        <w:rPr>
          <w:rFonts w:ascii="思源黑体 CN Bold" w:eastAsia="思源黑体 CN Bold" w:hAnsi="思源黑体 CN Bold" w:cs="Times New Roman" w:hint="eastAsia"/>
          <w:b/>
          <w:color w:val="FA842D"/>
          <w:kern w:val="0"/>
          <w:sz w:val="24"/>
          <w:szCs w:val="18"/>
        </w:rPr>
        <w:t>富荣权益：政策预期差引发震荡，A股中期向上逻辑或未变</w:t>
      </w:r>
    </w:p>
    <w:p w14:paraId="1F8035FC" w14:textId="77777777" w:rsidR="000A3715" w:rsidRDefault="00000000">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hint="eastAsia"/>
          <w:b/>
          <w:bCs/>
          <w:sz w:val="22"/>
          <w:szCs w:val="24"/>
        </w:rPr>
        <w:t>一</w:t>
      </w:r>
      <w:r>
        <w:rPr>
          <w:rFonts w:ascii="思源黑体 CN Light" w:eastAsia="思源黑体 CN Light" w:hAnsi="思源黑体 CN Light" w:cs="Times New Roman"/>
          <w:b/>
          <w:bCs/>
          <w:sz w:val="22"/>
          <w:szCs w:val="24"/>
        </w:rPr>
        <w:t>、</w:t>
      </w:r>
      <w:r>
        <w:rPr>
          <w:rFonts w:ascii="思源黑体 CN Light" w:eastAsia="思源黑体 CN Light" w:hAnsi="思源黑体 CN Light" w:cs="Times New Roman" w:hint="eastAsia"/>
          <w:b/>
          <w:bCs/>
          <w:sz w:val="22"/>
          <w:szCs w:val="24"/>
        </w:rPr>
        <w:t>权益</w:t>
      </w:r>
      <w:proofErr w:type="gramStart"/>
      <w:r>
        <w:rPr>
          <w:rFonts w:ascii="思源黑体 CN Light" w:eastAsia="思源黑体 CN Light" w:hAnsi="思源黑体 CN Light" w:cs="Times New Roman"/>
          <w:b/>
          <w:bCs/>
          <w:sz w:val="22"/>
          <w:szCs w:val="24"/>
        </w:rPr>
        <w:t>市场</w:t>
      </w:r>
      <w:r>
        <w:rPr>
          <w:rFonts w:ascii="思源黑体 CN Light" w:eastAsia="思源黑体 CN Light" w:hAnsi="思源黑体 CN Light" w:cs="Times New Roman" w:hint="eastAsia"/>
          <w:b/>
          <w:bCs/>
          <w:sz w:val="22"/>
          <w:szCs w:val="24"/>
        </w:rPr>
        <w:t>周度表现</w:t>
      </w:r>
      <w:proofErr w:type="gramEnd"/>
    </w:p>
    <w:p w14:paraId="14A3C06B" w14:textId="77777777" w:rsidR="000A3715" w:rsidRDefault="00000000">
      <w:pPr>
        <w:ind w:firstLineChars="200" w:firstLine="420"/>
        <w:jc w:val="left"/>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上周（2025年7月28日至2025年8月1日，下同）权益市场普遍回调，</w:t>
      </w:r>
      <w:r>
        <w:rPr>
          <w:rFonts w:ascii="思源黑体 CN Light" w:eastAsia="思源黑体 CN Light" w:hAnsi="思源黑体 CN Light" w:cs="Times New Roman"/>
          <w:color w:val="000000" w:themeColor="text1"/>
          <w:sz w:val="21"/>
          <w:szCs w:val="20"/>
        </w:rPr>
        <w:t>深证成指、上证指数、创业板指分别报收</w:t>
      </w:r>
      <w:r>
        <w:rPr>
          <w:rFonts w:ascii="思源黑体 CN Light" w:eastAsia="思源黑体 CN Light" w:hAnsi="思源黑体 CN Light" w:cs="Times New Roman" w:hint="eastAsia"/>
          <w:color w:val="000000" w:themeColor="text1"/>
          <w:sz w:val="21"/>
          <w:szCs w:val="20"/>
        </w:rPr>
        <w:t>10991.32</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3559.95</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2322.63</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。各主要指数涨跌表现如下：中证1000（-0.54%）、创业板50（-0.67%）、创业板指（-0.74%）、创成长（-0.80%）、上证指数（-0.94%）、中证500（-1.37%）、上证50（-1.48%）、深证成指（-1.58%）、</w:t>
      </w:r>
      <w:proofErr w:type="gramStart"/>
      <w:r>
        <w:rPr>
          <w:rFonts w:ascii="思源黑体 CN Light" w:eastAsia="思源黑体 CN Light" w:hAnsi="思源黑体 CN Light" w:cs="Times New Roman" w:hint="eastAsia"/>
          <w:color w:val="000000" w:themeColor="text1"/>
          <w:sz w:val="21"/>
          <w:szCs w:val="20"/>
        </w:rPr>
        <w:t>科创</w:t>
      </w:r>
      <w:proofErr w:type="gramEnd"/>
      <w:r>
        <w:rPr>
          <w:rFonts w:ascii="思源黑体 CN Light" w:eastAsia="思源黑体 CN Light" w:hAnsi="思源黑体 CN Light" w:cs="Times New Roman" w:hint="eastAsia"/>
          <w:color w:val="000000" w:themeColor="text1"/>
          <w:sz w:val="21"/>
          <w:szCs w:val="20"/>
        </w:rPr>
        <w:t>50（-1.65%）、沪深300（-1.75%）。</w:t>
      </w:r>
    </w:p>
    <w:p w14:paraId="1284CB58" w14:textId="77777777" w:rsidR="000A3715" w:rsidRDefault="00000000">
      <w:pPr>
        <w:ind w:firstLineChars="200" w:firstLine="428"/>
        <w:jc w:val="left"/>
        <w:rPr>
          <w:rFonts w:ascii="思源黑体 CN Light" w:eastAsia="思源黑体 CN Light" w:hAnsi="思源黑体 CN Light" w:cs="Times New Roman" w:hint="eastAsia"/>
          <w:sz w:val="13"/>
          <w:szCs w:val="20"/>
        </w:rPr>
      </w:pPr>
      <w:r>
        <w:rPr>
          <w:rFonts w:ascii="思源黑体 CN Light" w:eastAsia="思源黑体 CN Light" w:hAnsi="思源黑体 CN Light" w:cs="Times New Roman"/>
          <w:b/>
          <w:sz w:val="21"/>
          <w:szCs w:val="20"/>
        </w:rPr>
        <w:t>图：主要</w:t>
      </w:r>
      <w:proofErr w:type="gramStart"/>
      <w:r>
        <w:rPr>
          <w:rFonts w:ascii="思源黑体 CN Light" w:eastAsia="思源黑体 CN Light" w:hAnsi="思源黑体 CN Light" w:cs="Times New Roman"/>
          <w:b/>
          <w:sz w:val="21"/>
          <w:szCs w:val="20"/>
        </w:rPr>
        <w:t>股指</w:t>
      </w:r>
      <w:r>
        <w:rPr>
          <w:rFonts w:ascii="思源黑体 CN Light" w:eastAsia="思源黑体 CN Light" w:hAnsi="思源黑体 CN Light" w:cs="Times New Roman" w:hint="eastAsia"/>
          <w:b/>
          <w:sz w:val="21"/>
          <w:szCs w:val="20"/>
        </w:rPr>
        <w:t>周度</w:t>
      </w:r>
      <w:proofErr w:type="gramEnd"/>
      <w:r>
        <w:rPr>
          <w:rFonts w:ascii="思源黑体 CN Light" w:eastAsia="思源黑体 CN Light" w:hAnsi="思源黑体 CN Light" w:cs="Times New Roman" w:hint="eastAsia"/>
          <w:b/>
          <w:sz w:val="21"/>
          <w:szCs w:val="20"/>
        </w:rPr>
        <w:t>/月度</w:t>
      </w:r>
      <w:r>
        <w:rPr>
          <w:rFonts w:ascii="思源黑体 CN Light" w:eastAsia="思源黑体 CN Light" w:hAnsi="思源黑体 CN Light" w:cs="Times New Roman"/>
          <w:b/>
          <w:sz w:val="21"/>
          <w:szCs w:val="20"/>
        </w:rPr>
        <w:t>涨跌幅（单位：%）</w:t>
      </w:r>
      <w:r>
        <w:rPr>
          <w:rFonts w:ascii="思源黑体 CN Light" w:eastAsia="思源黑体 CN Light" w:hAnsi="思源黑体 CN Light" w:cs="Times New Roman"/>
          <w:b/>
          <w:noProof/>
          <w:sz w:val="21"/>
          <w:szCs w:val="20"/>
        </w:rPr>
        <w:drawing>
          <wp:inline distT="0" distB="0" distL="0" distR="0">
            <wp:extent cx="6431280" cy="3291840"/>
            <wp:effectExtent l="0" t="0" r="7620" b="3810"/>
            <wp:docPr id="56" name="图片 55"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descr="图表, 条形图&#10;&#10;AI 生成的内容可能不正确。"/>
                    <pic:cNvPicPr>
                      <a:picLocks noChangeAspect="1"/>
                    </pic:cNvPicPr>
                  </pic:nvPicPr>
                  <pic:blipFill>
                    <a:blip r:embed="rId6"/>
                    <a:stretch>
                      <a:fillRect/>
                    </a:stretch>
                  </pic:blipFill>
                  <pic:spPr>
                    <a:xfrm>
                      <a:off x="0" y="0"/>
                      <a:ext cx="6431280" cy="3291840"/>
                    </a:xfrm>
                    <a:prstGeom prst="rect">
                      <a:avLst/>
                    </a:prstGeom>
                  </pic:spPr>
                </pic:pic>
              </a:graphicData>
            </a:graphic>
          </wp:inline>
        </w:drawing>
      </w:r>
      <w:r>
        <w:rPr>
          <w:rFonts w:ascii="思源黑体 CN Light" w:eastAsia="思源黑体 CN Light" w:hAnsi="思源黑体 CN Light" w:cs="Times New Roman"/>
          <w:sz w:val="13"/>
          <w:szCs w:val="20"/>
        </w:rPr>
        <w:t>数据来源：wind，富</w:t>
      </w:r>
      <w:proofErr w:type="gramStart"/>
      <w:r>
        <w:rPr>
          <w:rFonts w:ascii="思源黑体 CN Light" w:eastAsia="思源黑体 CN Light" w:hAnsi="思源黑体 CN Light" w:cs="Times New Roman"/>
          <w:sz w:val="13"/>
          <w:szCs w:val="20"/>
        </w:rPr>
        <w:t>荣基金</w:t>
      </w:r>
      <w:proofErr w:type="gramEnd"/>
      <w:r>
        <w:rPr>
          <w:rFonts w:ascii="思源黑体 CN Light" w:eastAsia="思源黑体 CN Light" w:hAnsi="思源黑体 CN Light" w:cs="Times New Roman"/>
          <w:sz w:val="13"/>
          <w:szCs w:val="20"/>
        </w:rPr>
        <w:t>管理有限公司</w:t>
      </w:r>
      <w:r>
        <w:rPr>
          <w:rFonts w:ascii="思源黑体 CN Light" w:eastAsia="思源黑体 CN Light" w:hAnsi="思源黑体 CN Light" w:cs="Times New Roman" w:hint="eastAsia"/>
          <w:sz w:val="13"/>
          <w:szCs w:val="20"/>
        </w:rPr>
        <w:t>；周涨跌</w:t>
      </w:r>
      <w:proofErr w:type="gramStart"/>
      <w:r>
        <w:rPr>
          <w:rFonts w:ascii="思源黑体 CN Light" w:eastAsia="思源黑体 CN Light" w:hAnsi="思源黑体 CN Light" w:cs="Times New Roman" w:hint="eastAsia"/>
          <w:sz w:val="13"/>
          <w:szCs w:val="20"/>
        </w:rPr>
        <w:t>幅统计</w:t>
      </w:r>
      <w:proofErr w:type="gramEnd"/>
      <w:r>
        <w:rPr>
          <w:rFonts w:ascii="思源黑体 CN Light" w:eastAsia="思源黑体 CN Light" w:hAnsi="思源黑体 CN Light" w:cs="Times New Roman" w:hint="eastAsia"/>
          <w:sz w:val="13"/>
          <w:szCs w:val="20"/>
        </w:rPr>
        <w:t>区间：20250728-20250801；月涨跌</w:t>
      </w:r>
      <w:proofErr w:type="gramStart"/>
      <w:r>
        <w:rPr>
          <w:rFonts w:ascii="思源黑体 CN Light" w:eastAsia="思源黑体 CN Light" w:hAnsi="思源黑体 CN Light" w:cs="Times New Roman" w:hint="eastAsia"/>
          <w:sz w:val="13"/>
          <w:szCs w:val="20"/>
        </w:rPr>
        <w:t>幅统计</w:t>
      </w:r>
      <w:proofErr w:type="gramEnd"/>
      <w:r>
        <w:rPr>
          <w:rFonts w:ascii="思源黑体 CN Light" w:eastAsia="思源黑体 CN Light" w:hAnsi="思源黑体 CN Light" w:cs="Times New Roman" w:hint="eastAsia"/>
          <w:sz w:val="13"/>
          <w:szCs w:val="20"/>
        </w:rPr>
        <w:t>区间：20250801-20250801</w:t>
      </w:r>
    </w:p>
    <w:p w14:paraId="0B799A6E" w14:textId="77777777" w:rsidR="000A3715" w:rsidRDefault="00000000">
      <w:pPr>
        <w:ind w:firstLineChars="200" w:firstLine="420"/>
        <w:jc w:val="left"/>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各行业普遍回调，少数行业逆势上涨。</w:t>
      </w:r>
      <w:proofErr w:type="gramStart"/>
      <w:r>
        <w:rPr>
          <w:rFonts w:ascii="思源黑体 CN Light" w:eastAsia="思源黑体 CN Light" w:hAnsi="思源黑体 CN Light" w:cs="Times New Roman" w:hint="eastAsia"/>
          <w:color w:val="000000" w:themeColor="text1"/>
          <w:sz w:val="21"/>
          <w:szCs w:val="20"/>
        </w:rPr>
        <w:t>申万一级行业</w:t>
      </w:r>
      <w:proofErr w:type="gramEnd"/>
      <w:r>
        <w:rPr>
          <w:rFonts w:ascii="思源黑体 CN Light" w:eastAsia="思源黑体 CN Light" w:hAnsi="思源黑体 CN Light" w:cs="Times New Roman" w:hint="eastAsia"/>
          <w:color w:val="000000" w:themeColor="text1"/>
          <w:sz w:val="21"/>
          <w:szCs w:val="20"/>
        </w:rPr>
        <w:t>指数中，医药生物（+2.95%）、通信（+2.54%）、传媒（+1.13%）等行业上涨较为明显，房地产（-3.43%）、有色金属（-4.62%）、煤炭（-4.67%）等行业大跌。</w:t>
      </w:r>
    </w:p>
    <w:p w14:paraId="53262EEC" w14:textId="54CC4EC4" w:rsidR="000A3715" w:rsidRPr="00670082" w:rsidRDefault="00000000">
      <w:pPr>
        <w:ind w:firstLineChars="200" w:firstLine="428"/>
        <w:jc w:val="left"/>
        <w:rPr>
          <w:rFonts w:ascii="思源黑体 CN Light" w:eastAsia="思源黑体 CN Light" w:hAnsi="思源黑体 CN Light" w:cs="Times New Roman" w:hint="eastAsia"/>
          <w:b/>
          <w:sz w:val="21"/>
          <w:szCs w:val="20"/>
        </w:rPr>
      </w:pPr>
      <w:r>
        <w:rPr>
          <w:rFonts w:ascii="思源黑体 CN Light" w:eastAsia="思源黑体 CN Light" w:hAnsi="思源黑体 CN Light" w:cs="Times New Roman"/>
          <w:b/>
          <w:sz w:val="21"/>
          <w:szCs w:val="20"/>
        </w:rPr>
        <w:t>图：</w:t>
      </w:r>
      <w:proofErr w:type="gramStart"/>
      <w:r>
        <w:rPr>
          <w:rFonts w:ascii="思源黑体 CN Light" w:eastAsia="思源黑体 CN Light" w:hAnsi="思源黑体 CN Light" w:cs="Times New Roman"/>
          <w:b/>
          <w:sz w:val="21"/>
          <w:szCs w:val="20"/>
        </w:rPr>
        <w:t>申万一级行业周涨跌</w:t>
      </w:r>
      <w:proofErr w:type="gramEnd"/>
      <w:r>
        <w:rPr>
          <w:rFonts w:ascii="思源黑体 CN Light" w:eastAsia="思源黑体 CN Light" w:hAnsi="思源黑体 CN Light" w:cs="Times New Roman"/>
          <w:b/>
          <w:sz w:val="21"/>
          <w:szCs w:val="20"/>
        </w:rPr>
        <w:t>幅（单位：%）</w:t>
      </w:r>
      <w:r w:rsidR="00B814C1">
        <w:rPr>
          <w:rFonts w:ascii="思源黑体 CN Light" w:eastAsia="思源黑体 CN Light" w:hAnsi="思源黑体 CN Light" w:cs="Times New Roman" w:hint="eastAsia"/>
          <w:b/>
          <w:noProof/>
          <w:sz w:val="21"/>
          <w:szCs w:val="20"/>
        </w:rPr>
        <w:lastRenderedPageBreak/>
        <w:drawing>
          <wp:inline distT="0" distB="0" distL="0" distR="0" wp14:anchorId="3CF6A705" wp14:editId="1830465D">
            <wp:extent cx="6479540" cy="3169920"/>
            <wp:effectExtent l="0" t="0" r="0" b="0"/>
            <wp:docPr id="372589476" name="图片 1" descr="图片包含 日历&#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89476" name="图片 1" descr="图片包含 日历&#10;&#10;AI 生成的内容可能不正确。"/>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3169920"/>
                    </a:xfrm>
                    <a:prstGeom prst="rect">
                      <a:avLst/>
                    </a:prstGeom>
                  </pic:spPr>
                </pic:pic>
              </a:graphicData>
            </a:graphic>
          </wp:inline>
        </w:drawing>
      </w:r>
    </w:p>
    <w:p w14:paraId="7AE30014" w14:textId="77777777" w:rsidR="000A3715" w:rsidRDefault="00000000">
      <w:pPr>
        <w:ind w:firstLineChars="200" w:firstLine="260"/>
        <w:jc w:val="left"/>
        <w:rPr>
          <w:rFonts w:ascii="思源黑体 CN Light" w:eastAsia="思源黑体 CN Light" w:hAnsi="思源黑体 CN Light" w:cs="Times New Roman" w:hint="eastAsia"/>
          <w:sz w:val="13"/>
          <w:szCs w:val="20"/>
        </w:rPr>
      </w:pPr>
      <w:r>
        <w:rPr>
          <w:rFonts w:ascii="思源黑体 CN Light" w:eastAsia="思源黑体 CN Light" w:hAnsi="思源黑体 CN Light" w:cs="Times New Roman"/>
          <w:sz w:val="13"/>
          <w:szCs w:val="20"/>
        </w:rPr>
        <w:t>数据来源：wind，富</w:t>
      </w:r>
      <w:proofErr w:type="gramStart"/>
      <w:r>
        <w:rPr>
          <w:rFonts w:ascii="思源黑体 CN Light" w:eastAsia="思源黑体 CN Light" w:hAnsi="思源黑体 CN Light" w:cs="Times New Roman"/>
          <w:sz w:val="13"/>
          <w:szCs w:val="20"/>
        </w:rPr>
        <w:t>荣基金</w:t>
      </w:r>
      <w:proofErr w:type="gramEnd"/>
      <w:r>
        <w:rPr>
          <w:rFonts w:ascii="思源黑体 CN Light" w:eastAsia="思源黑体 CN Light" w:hAnsi="思源黑体 CN Light" w:cs="Times New Roman"/>
          <w:sz w:val="13"/>
          <w:szCs w:val="20"/>
        </w:rPr>
        <w:t>管理有限公司</w:t>
      </w:r>
      <w:r>
        <w:rPr>
          <w:rFonts w:ascii="思源黑体 CN Light" w:eastAsia="思源黑体 CN Light" w:hAnsi="思源黑体 CN Light" w:cs="Times New Roman" w:hint="eastAsia"/>
          <w:sz w:val="13"/>
          <w:szCs w:val="20"/>
        </w:rPr>
        <w:t>；统计区间：20250728-20250801</w:t>
      </w:r>
    </w:p>
    <w:p w14:paraId="7186F221" w14:textId="77777777" w:rsidR="000A3715" w:rsidRDefault="000A3715">
      <w:pPr>
        <w:pStyle w:val="2"/>
        <w:tabs>
          <w:tab w:val="left" w:pos="4364"/>
          <w:tab w:val="right" w:pos="10204"/>
        </w:tabs>
        <w:rPr>
          <w:rFonts w:ascii="思源黑体 CN Light" w:eastAsia="思源黑体 CN Light" w:hAnsi="思源黑体 CN Light" w:cs="Times New Roman" w:hint="eastAsia"/>
          <w:color w:val="000000"/>
          <w:sz w:val="21"/>
          <w:szCs w:val="20"/>
          <w:shd w:val="clear" w:color="auto" w:fill="FFFFFF"/>
        </w:rPr>
      </w:pPr>
    </w:p>
    <w:p w14:paraId="6103C75C" w14:textId="77777777" w:rsidR="000A3715" w:rsidRDefault="00000000">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hint="eastAsia"/>
          <w:b/>
          <w:bCs/>
          <w:sz w:val="22"/>
          <w:szCs w:val="24"/>
        </w:rPr>
        <w:t>二、医药生物行业点评与展望</w:t>
      </w:r>
    </w:p>
    <w:p w14:paraId="24AAABC3" w14:textId="2C975C76" w:rsidR="000A3715" w:rsidRDefault="00000000">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bookmarkStart w:id="1" w:name="_Hlk140420797"/>
      <w:r>
        <w:rPr>
          <w:rFonts w:ascii="思源黑体 CN Light" w:eastAsia="思源黑体 CN Light" w:hAnsi="思源黑体 CN Light" w:cs="Times New Roman" w:hint="eastAsia"/>
          <w:color w:val="000000" w:themeColor="text1"/>
          <w:sz w:val="21"/>
          <w:szCs w:val="20"/>
        </w:rPr>
        <w:t>上周</w:t>
      </w:r>
      <w:proofErr w:type="gramStart"/>
      <w:r>
        <w:rPr>
          <w:rFonts w:ascii="思源黑体 CN Light" w:eastAsia="思源黑体 CN Light" w:hAnsi="思源黑体 CN Light" w:cs="Times New Roman" w:hint="eastAsia"/>
          <w:color w:val="000000" w:themeColor="text1"/>
          <w:sz w:val="21"/>
          <w:szCs w:val="20"/>
        </w:rPr>
        <w:t>申万行业</w:t>
      </w:r>
      <w:proofErr w:type="gramEnd"/>
      <w:r>
        <w:rPr>
          <w:rFonts w:ascii="思源黑体 CN Light" w:eastAsia="思源黑体 CN Light" w:hAnsi="思源黑体 CN Light" w:cs="Times New Roman" w:hint="eastAsia"/>
          <w:color w:val="000000" w:themeColor="text1"/>
          <w:sz w:val="21"/>
          <w:szCs w:val="20"/>
        </w:rPr>
        <w:t>一级医药生物指数上涨2.95%，相对于沪深300的超额收益为4.70%。上周两大医药巨头公布利好消息，某CXO龙头公司的业绩催化和某医药上市公司120亿美元的BD大单，带动医药板块的上涨。</w:t>
      </w:r>
    </w:p>
    <w:p w14:paraId="428C2A43" w14:textId="3A160223" w:rsidR="000A3715" w:rsidRDefault="00000000">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展望后市，全球大型CXO公司</w:t>
      </w:r>
      <w:r w:rsidR="00670082">
        <w:rPr>
          <w:rFonts w:ascii="思源黑体 CN Light" w:eastAsia="思源黑体 CN Light" w:hAnsi="思源黑体 CN Light" w:cs="Times New Roman" w:hint="eastAsia"/>
          <w:color w:val="000000" w:themeColor="text1"/>
          <w:sz w:val="21"/>
          <w:szCs w:val="20"/>
        </w:rPr>
        <w:t>纷纷</w:t>
      </w:r>
      <w:r>
        <w:rPr>
          <w:rFonts w:ascii="思源黑体 CN Light" w:eastAsia="思源黑体 CN Light" w:hAnsi="思源黑体 CN Light" w:cs="Times New Roman" w:hint="eastAsia"/>
          <w:color w:val="000000" w:themeColor="text1"/>
          <w:sz w:val="21"/>
          <w:szCs w:val="20"/>
        </w:rPr>
        <w:t>上调业绩指引</w:t>
      </w:r>
      <w:r w:rsidR="00167EAE">
        <w:rPr>
          <w:rFonts w:ascii="思源黑体 CN Light" w:eastAsia="思源黑体 CN Light" w:hAnsi="思源黑体 CN Light" w:cs="Times New Roman" w:hint="eastAsia"/>
          <w:color w:val="000000" w:themeColor="text1"/>
          <w:sz w:val="21"/>
          <w:szCs w:val="20"/>
        </w:rPr>
        <w:t>，</w:t>
      </w:r>
      <w:proofErr w:type="gramStart"/>
      <w:r>
        <w:rPr>
          <w:rFonts w:ascii="思源黑体 CN Light" w:eastAsia="思源黑体 CN Light" w:hAnsi="思源黑体 CN Light" w:cs="Times New Roman" w:hint="eastAsia"/>
          <w:color w:val="000000" w:themeColor="text1"/>
          <w:sz w:val="21"/>
          <w:szCs w:val="20"/>
        </w:rPr>
        <w:t>分板块</w:t>
      </w:r>
      <w:proofErr w:type="gramEnd"/>
      <w:r>
        <w:rPr>
          <w:rFonts w:ascii="思源黑体 CN Light" w:eastAsia="思源黑体 CN Light" w:hAnsi="思源黑体 CN Light" w:cs="Times New Roman" w:hint="eastAsia"/>
          <w:color w:val="000000" w:themeColor="text1"/>
          <w:sz w:val="21"/>
          <w:szCs w:val="20"/>
        </w:rPr>
        <w:t>来看，D端放量明显，R端触底反弹，全球CXO整体景气度不断上行。随着关税战的缓和以及CXO整体景气度的恢复，医药生物行业有望迎来新一轮的投资机会。</w:t>
      </w:r>
    </w:p>
    <w:p w14:paraId="7240F2F2" w14:textId="77777777" w:rsidR="000A3715" w:rsidRDefault="000A3715">
      <w:pPr>
        <w:tabs>
          <w:tab w:val="left" w:pos="5594"/>
        </w:tabs>
        <w:ind w:firstLineChars="200" w:firstLine="420"/>
        <w:rPr>
          <w:rFonts w:ascii="思源黑体 CN Light" w:eastAsia="思源黑体 CN Light" w:hAnsi="思源黑体 CN Light" w:cs="Times New Roman" w:hint="eastAsia"/>
          <w:color w:val="000000"/>
          <w:sz w:val="21"/>
          <w:szCs w:val="20"/>
          <w:shd w:val="clear" w:color="auto" w:fill="FFFFFF"/>
        </w:rPr>
      </w:pPr>
    </w:p>
    <w:bookmarkEnd w:id="1"/>
    <w:p w14:paraId="69C353F4" w14:textId="77777777" w:rsidR="000A3715" w:rsidRDefault="00000000">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b/>
          <w:bCs/>
          <w:sz w:val="22"/>
          <w:szCs w:val="24"/>
        </w:rPr>
        <w:t>三、本周展望</w:t>
      </w:r>
    </w:p>
    <w:p w14:paraId="2435AAE9" w14:textId="77777777" w:rsidR="000A3715" w:rsidRDefault="00000000">
      <w:pPr>
        <w:ind w:firstLineChars="200" w:firstLine="420"/>
        <w:rPr>
          <w:rFonts w:ascii="思源黑体 CN Light" w:eastAsia="思源黑体 CN Light" w:hAnsi="思源黑体 CN Light" w:cs="Times New Roman" w:hint="eastAsia"/>
          <w:color w:val="000000"/>
          <w:sz w:val="21"/>
          <w:szCs w:val="20"/>
          <w:shd w:val="clear" w:color="auto" w:fill="FFFFFF"/>
        </w:rPr>
      </w:pPr>
      <w:bookmarkStart w:id="2" w:name="OLE_LINK1"/>
      <w:r>
        <w:rPr>
          <w:rFonts w:ascii="思源黑体 CN Light" w:eastAsia="思源黑体 CN Light" w:hAnsi="思源黑体 CN Light" w:cs="Times New Roman" w:hint="eastAsia"/>
          <w:color w:val="000000"/>
          <w:sz w:val="21"/>
          <w:szCs w:val="20"/>
          <w:shd w:val="clear" w:color="auto" w:fill="FFFFFF"/>
        </w:rPr>
        <w:t>上周权益市场出现调整，主要源于7月底的政治局会议的政策表述以及对中美关税冲突升温的担忧。</w:t>
      </w:r>
    </w:p>
    <w:p w14:paraId="39EA7ADF" w14:textId="34C39E44" w:rsidR="000A3715" w:rsidRDefault="00000000">
      <w:pPr>
        <w:ind w:firstLineChars="200" w:firstLine="420"/>
        <w:rPr>
          <w:rFonts w:ascii="思源黑体 CN Light" w:eastAsia="思源黑体 CN Light" w:hAnsi="思源黑体 CN Light" w:cs="Times New Roman" w:hint="eastAsia"/>
          <w:color w:val="000000"/>
          <w:sz w:val="21"/>
          <w:szCs w:val="20"/>
          <w:shd w:val="clear" w:color="auto" w:fill="FFFFFF"/>
        </w:rPr>
      </w:pPr>
      <w:r>
        <w:rPr>
          <w:rFonts w:ascii="思源黑体 CN Light" w:eastAsia="思源黑体 CN Light" w:hAnsi="思源黑体 CN Light" w:cs="Times New Roman" w:hint="eastAsia"/>
          <w:color w:val="000000"/>
          <w:sz w:val="21"/>
          <w:szCs w:val="20"/>
          <w:shd w:val="clear" w:color="auto" w:fill="FFFFFF"/>
        </w:rPr>
        <w:t>7月政治局会议指出“我国经济运行稳中有进，高质量发展取得新成效，主要经济指标表现良好，新质生产</w:t>
      </w:r>
      <w:r>
        <w:rPr>
          <w:rFonts w:ascii="思源黑体 CN Light" w:eastAsia="思源黑体 CN Light" w:hAnsi="思源黑体 CN Light" w:cs="Times New Roman" w:hint="eastAsia"/>
          <w:color w:val="000000"/>
          <w:sz w:val="21"/>
          <w:szCs w:val="20"/>
          <w:shd w:val="clear" w:color="auto" w:fill="FFFFFF"/>
        </w:rPr>
        <w:lastRenderedPageBreak/>
        <w:t>力积极发展”，对当下宏观经济定调偏积极。同时会议提出“依法依规治理企业无序竞争，推进重点行业产能治理”，关于产能从“有序退出”变为“治理”，对“反内卷”措辞温和，低于市场乐观预期。我们认为政策支撑是本轮行情的核心动力，短期低于预期更多是市场情绪过于乐观。政策</w:t>
      </w:r>
      <w:proofErr w:type="gramStart"/>
      <w:r>
        <w:rPr>
          <w:rFonts w:ascii="思源黑体 CN Light" w:eastAsia="思源黑体 CN Light" w:hAnsi="思源黑体 CN Light" w:cs="Times New Roman" w:hint="eastAsia"/>
          <w:color w:val="000000"/>
          <w:sz w:val="21"/>
          <w:szCs w:val="20"/>
          <w:shd w:val="clear" w:color="auto" w:fill="FFFFFF"/>
        </w:rPr>
        <w:t>后续仍</w:t>
      </w:r>
      <w:proofErr w:type="gramEnd"/>
      <w:r>
        <w:rPr>
          <w:rFonts w:ascii="思源黑体 CN Light" w:eastAsia="思源黑体 CN Light" w:hAnsi="思源黑体 CN Light" w:cs="Times New Roman" w:hint="eastAsia"/>
          <w:color w:val="000000"/>
          <w:sz w:val="21"/>
          <w:szCs w:val="20"/>
          <w:shd w:val="clear" w:color="auto" w:fill="FFFFFF"/>
        </w:rPr>
        <w:t>有较大的发力空间，如上周证监会随即表态“全力巩固市场回稳向好态势”，四季度四中全会将审议“</w:t>
      </w:r>
      <w:proofErr w:type="gramStart"/>
      <w:r>
        <w:rPr>
          <w:rFonts w:ascii="思源黑体 CN Light" w:eastAsia="思源黑体 CN Light" w:hAnsi="思源黑体 CN Light" w:cs="Times New Roman" w:hint="eastAsia"/>
          <w:color w:val="000000"/>
          <w:sz w:val="21"/>
          <w:szCs w:val="20"/>
          <w:shd w:val="clear" w:color="auto" w:fill="FFFFFF"/>
        </w:rPr>
        <w:t>十五五</w:t>
      </w:r>
      <w:proofErr w:type="gramEnd"/>
      <w:r>
        <w:rPr>
          <w:rFonts w:ascii="思源黑体 CN Light" w:eastAsia="思源黑体 CN Light" w:hAnsi="思源黑体 CN Light" w:cs="Times New Roman" w:hint="eastAsia"/>
          <w:color w:val="000000"/>
          <w:sz w:val="21"/>
          <w:szCs w:val="20"/>
          <w:shd w:val="clear" w:color="auto" w:fill="FFFFFF"/>
        </w:rPr>
        <w:t>规划”，叠加国内已进入降息周期，政策工具箱仍较充足。</w:t>
      </w:r>
    </w:p>
    <w:p w14:paraId="737888C3" w14:textId="77777777" w:rsidR="000A3715" w:rsidRDefault="00000000">
      <w:pPr>
        <w:ind w:firstLineChars="200" w:firstLine="420"/>
        <w:rPr>
          <w:rFonts w:ascii="思源黑体 CN Light" w:eastAsia="思源黑体 CN Light" w:hAnsi="思源黑体 CN Light" w:cs="Times New Roman" w:hint="eastAsia"/>
          <w:color w:val="000000"/>
          <w:sz w:val="21"/>
          <w:szCs w:val="20"/>
          <w:shd w:val="clear" w:color="auto" w:fill="FFFFFF"/>
        </w:rPr>
      </w:pPr>
      <w:r>
        <w:rPr>
          <w:rFonts w:ascii="思源黑体 CN Light" w:eastAsia="思源黑体 CN Light" w:hAnsi="思源黑体 CN Light" w:cs="Times New Roman" w:hint="eastAsia"/>
          <w:color w:val="000000"/>
          <w:sz w:val="21"/>
          <w:szCs w:val="20"/>
          <w:shd w:val="clear" w:color="auto" w:fill="FFFFFF"/>
        </w:rPr>
        <w:t>外部环境上，上周国内对</w:t>
      </w:r>
      <w:proofErr w:type="gramStart"/>
      <w:r>
        <w:rPr>
          <w:rFonts w:ascii="思源黑体 CN Light" w:eastAsia="思源黑体 CN Light" w:hAnsi="思源黑体 CN Light" w:cs="Times New Roman" w:hint="eastAsia"/>
          <w:color w:val="000000"/>
          <w:sz w:val="21"/>
          <w:szCs w:val="20"/>
          <w:shd w:val="clear" w:color="auto" w:fill="FFFFFF"/>
        </w:rPr>
        <w:t>英伟达</w:t>
      </w:r>
      <w:proofErr w:type="gramEnd"/>
      <w:r>
        <w:rPr>
          <w:rFonts w:ascii="思源黑体 CN Light" w:eastAsia="思源黑体 CN Light" w:hAnsi="思源黑体 CN Light" w:cs="Times New Roman" w:hint="eastAsia"/>
          <w:color w:val="000000"/>
          <w:sz w:val="21"/>
          <w:szCs w:val="20"/>
          <w:shd w:val="clear" w:color="auto" w:fill="FFFFFF"/>
        </w:rPr>
        <w:t>芯片“后门”问题的调查，以及美国最新经济数据低于预期，带动全球风偏下行。但我们认为这些外因对A股影响偏小，周期偏短，无需过度担忧。</w:t>
      </w:r>
    </w:p>
    <w:p w14:paraId="602F14B0" w14:textId="4F5B3DF1" w:rsidR="000A3715" w:rsidRDefault="00000000">
      <w:pPr>
        <w:ind w:firstLineChars="200" w:firstLine="420"/>
        <w:rPr>
          <w:rFonts w:ascii="思源黑体 CN Light" w:eastAsia="思源黑体 CN Light" w:hAnsi="思源黑体 CN Light" w:cs="Times New Roman" w:hint="eastAsia"/>
          <w:color w:val="000000"/>
          <w:sz w:val="21"/>
          <w:szCs w:val="20"/>
          <w:shd w:val="clear" w:color="auto" w:fill="FFFFFF"/>
        </w:rPr>
      </w:pPr>
      <w:r>
        <w:rPr>
          <w:rFonts w:ascii="思源黑体 CN Light" w:eastAsia="思源黑体 CN Light" w:hAnsi="思源黑体 CN Light" w:cs="Times New Roman" w:hint="eastAsia"/>
          <w:color w:val="000000"/>
          <w:sz w:val="21"/>
          <w:szCs w:val="20"/>
          <w:shd w:val="clear" w:color="auto" w:fill="FFFFFF"/>
        </w:rPr>
        <w:t>短期内，</w:t>
      </w:r>
      <w:proofErr w:type="gramStart"/>
      <w:r>
        <w:rPr>
          <w:rFonts w:ascii="思源黑体 CN Light" w:eastAsia="思源黑体 CN Light" w:hAnsi="思源黑体 CN Light" w:cs="Times New Roman" w:hint="eastAsia"/>
          <w:color w:val="000000"/>
          <w:sz w:val="21"/>
          <w:szCs w:val="20"/>
          <w:shd w:val="clear" w:color="auto" w:fill="FFFFFF"/>
        </w:rPr>
        <w:t>主要宽基指数</w:t>
      </w:r>
      <w:proofErr w:type="gramEnd"/>
      <w:r>
        <w:rPr>
          <w:rFonts w:ascii="思源黑体 CN Light" w:eastAsia="思源黑体 CN Light" w:hAnsi="思源黑体 CN Light" w:cs="Times New Roman" w:hint="eastAsia"/>
          <w:color w:val="000000"/>
          <w:sz w:val="21"/>
          <w:szCs w:val="20"/>
          <w:shd w:val="clear" w:color="auto" w:fill="FFFFFF"/>
        </w:rPr>
        <w:t>在高位区间震荡的格局或将延续，但基于对政策方向的判断，我们对市场中期趋势依然乐观。</w:t>
      </w:r>
      <w:r>
        <w:rPr>
          <w:rFonts w:ascii="思源黑体 CN Light" w:eastAsia="思源黑体 CN Light" w:hAnsi="思源黑体 CN Light" w:cs="Times New Roman"/>
          <w:color w:val="000000"/>
          <w:sz w:val="21"/>
          <w:szCs w:val="20"/>
          <w:shd w:val="clear" w:color="auto" w:fill="FFFFFF"/>
        </w:rPr>
        <w:t>短期内高成长与“反内卷”板块可</w:t>
      </w:r>
      <w:r>
        <w:rPr>
          <w:rFonts w:ascii="思源黑体 CN Light" w:eastAsia="思源黑体 CN Light" w:hAnsi="思源黑体 CN Light" w:cs="Times New Roman" w:hint="eastAsia"/>
          <w:color w:val="000000"/>
          <w:sz w:val="21"/>
          <w:szCs w:val="20"/>
          <w:shd w:val="clear" w:color="auto" w:fill="FFFFFF"/>
        </w:rPr>
        <w:t>能会</w:t>
      </w:r>
      <w:r>
        <w:rPr>
          <w:rFonts w:ascii="思源黑体 CN Light" w:eastAsia="思源黑体 CN Light" w:hAnsi="思源黑体 CN Light" w:cs="Times New Roman"/>
          <w:color w:val="000000"/>
          <w:sz w:val="21"/>
          <w:szCs w:val="20"/>
          <w:shd w:val="clear" w:color="auto" w:fill="FFFFFF"/>
        </w:rPr>
        <w:t>适度轮换，</w:t>
      </w:r>
      <w:r>
        <w:rPr>
          <w:rFonts w:ascii="思源黑体 CN Light" w:eastAsia="思源黑体 CN Light" w:hAnsi="思源黑体 CN Light" w:cs="Times New Roman" w:hint="eastAsia"/>
          <w:color w:val="000000"/>
          <w:sz w:val="21"/>
          <w:szCs w:val="20"/>
          <w:shd w:val="clear" w:color="auto" w:fill="FFFFFF"/>
        </w:rPr>
        <w:t>行业重点关注：1、成长赛道，如AI应用、半导体、医药等板块；2、“反内卷”政策受益板块，如电新、钢铁、有色等。</w:t>
      </w:r>
    </w:p>
    <w:p w14:paraId="093999CE" w14:textId="77777777" w:rsidR="000A3715" w:rsidRDefault="000A3715">
      <w:pPr>
        <w:ind w:firstLineChars="200" w:firstLine="420"/>
        <w:rPr>
          <w:rFonts w:ascii="思源黑体 CN Light" w:eastAsia="思源黑体 CN Light" w:hAnsi="思源黑体 CN Light" w:cs="Times New Roman" w:hint="eastAsia"/>
          <w:color w:val="000000"/>
          <w:sz w:val="21"/>
          <w:szCs w:val="20"/>
          <w:shd w:val="clear" w:color="auto" w:fill="FFFFFF"/>
        </w:rPr>
      </w:pPr>
    </w:p>
    <w:bookmarkEnd w:id="2"/>
    <w:p w14:paraId="01CE1C9A" w14:textId="77777777" w:rsidR="000A3715" w:rsidRDefault="000A3715">
      <w:pPr>
        <w:rPr>
          <w:rFonts w:ascii="思源黑体 CN Light" w:eastAsia="思源黑体 CN Light" w:hAnsi="思源黑体 CN Light" w:cs="Times New Roman" w:hint="eastAsia"/>
          <w:color w:val="000000"/>
          <w:sz w:val="21"/>
          <w:szCs w:val="20"/>
          <w:shd w:val="clear" w:color="auto" w:fill="FFFFFF"/>
        </w:rPr>
      </w:pPr>
    </w:p>
    <w:p w14:paraId="5B2BEC3A" w14:textId="77777777" w:rsidR="000A3715" w:rsidRDefault="000A3715">
      <w:pPr>
        <w:pStyle w:val="af3"/>
        <w:ind w:firstLineChars="0" w:firstLine="0"/>
        <w:rPr>
          <w:rFonts w:ascii="思源黑体 CN Light" w:eastAsia="思源黑体 CN Light" w:hAnsi="思源黑体 CN Light" w:cs="Times New Roman" w:hint="eastAsia"/>
          <w:sz w:val="20"/>
          <w:szCs w:val="20"/>
        </w:rPr>
      </w:pPr>
    </w:p>
    <w:p w14:paraId="3F125453" w14:textId="77777777" w:rsidR="000A3715" w:rsidRDefault="00000000">
      <w:pPr>
        <w:ind w:firstLineChars="200" w:firstLine="360"/>
        <w:rPr>
          <w:rFonts w:hint="eastAsia"/>
        </w:rPr>
      </w:pPr>
      <w:r>
        <w:rPr>
          <w:rFonts w:ascii="思源黑体 CN Light" w:eastAsia="思源黑体 CN Light" w:hAnsi="思源黑体 CN Light" w:hint="eastAsia"/>
          <w:sz w:val="18"/>
          <w:szCs w:val="15"/>
        </w:rPr>
        <w:t>风险提示：</w:t>
      </w:r>
      <w:r>
        <w:rPr>
          <w:rFonts w:ascii="思源黑体 CN Light" w:eastAsia="思源黑体 CN Light" w:hAnsi="思源黑体 CN Light"/>
          <w:sz w:val="18"/>
          <w:szCs w:val="15"/>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w:t>
      </w:r>
      <w:proofErr w:type="gramStart"/>
      <w:r>
        <w:rPr>
          <w:rFonts w:ascii="思源黑体 CN Light" w:eastAsia="思源黑体 CN Light" w:hAnsi="思源黑体 CN Light"/>
          <w:sz w:val="18"/>
          <w:szCs w:val="15"/>
        </w:rPr>
        <w:t>作出</w:t>
      </w:r>
      <w:proofErr w:type="gramEnd"/>
      <w:r>
        <w:rPr>
          <w:rFonts w:ascii="思源黑体 CN Light" w:eastAsia="思源黑体 CN Light" w:hAnsi="思源黑体 CN Light"/>
          <w:sz w:val="18"/>
          <w:szCs w:val="15"/>
        </w:rPr>
        <w:t>调整。2、本材料中的资料、观点和预测等仅供参考，在任何时候均不构成对任何人的个人推荐。市场有风险，投资需谨慎。</w:t>
      </w:r>
      <w:bookmarkEnd w:id="0"/>
    </w:p>
    <w:p w14:paraId="2B3833C4" w14:textId="77777777" w:rsidR="000A3715" w:rsidRDefault="000A3715">
      <w:pPr>
        <w:rPr>
          <w:rFonts w:hint="eastAsia"/>
        </w:rPr>
      </w:pPr>
    </w:p>
    <w:sectPr w:rsidR="000A3715">
      <w:headerReference w:type="default" r:id="rId8"/>
      <w:footerReference w:type="default" r:id="rId9"/>
      <w:pgSz w:w="11906" w:h="16838"/>
      <w:pgMar w:top="1440" w:right="851" w:bottom="1134" w:left="851"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AF2CC" w14:textId="77777777" w:rsidR="00A641A0" w:rsidRDefault="00A641A0">
      <w:pPr>
        <w:spacing w:line="240" w:lineRule="auto"/>
        <w:rPr>
          <w:rFonts w:hint="eastAsia"/>
        </w:rPr>
      </w:pPr>
      <w:r>
        <w:separator/>
      </w:r>
    </w:p>
  </w:endnote>
  <w:endnote w:type="continuationSeparator" w:id="0">
    <w:p w14:paraId="3020F366" w14:textId="77777777" w:rsidR="00A641A0" w:rsidRDefault="00A641A0">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思源黑体 CN Bold">
    <w:altName w:val="黑体"/>
    <w:panose1 w:val="020B0800000000000000"/>
    <w:charset w:val="86"/>
    <w:family w:val="swiss"/>
    <w:notTrueType/>
    <w:pitch w:val="variable"/>
    <w:sig w:usb0="20000207" w:usb1="2ADF3C10" w:usb2="00000016" w:usb3="00000000" w:csb0="00060107" w:csb1="00000000"/>
  </w:font>
  <w:font w:name="思源黑体 CN Light">
    <w:altName w:val="黑体"/>
    <w:panose1 w:val="020B0300000000000000"/>
    <w:charset w:val="86"/>
    <w:family w:val="swiss"/>
    <w:notTrueType/>
    <w:pitch w:val="variable"/>
    <w:sig w:usb0="2000020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DA1DE" w14:textId="77777777" w:rsidR="000A3715" w:rsidRDefault="00000000">
    <w:pPr>
      <w:pStyle w:val="a4"/>
      <w:tabs>
        <w:tab w:val="center" w:pos="5102"/>
        <w:tab w:val="left" w:pos="6847"/>
      </w:tabs>
      <w:rPr>
        <w:rFonts w:hint="eastAsia"/>
      </w:rPr>
    </w:pPr>
    <w:r>
      <w:tab/>
    </w:r>
    <w:r>
      <w:tab/>
    </w:r>
    <w:sdt>
      <w:sdtPr>
        <w:id w:val="1107850672"/>
      </w:sdtPr>
      <w:sdtContent>
        <w:sdt>
          <w:sdtPr>
            <w:id w:val="1728636285"/>
          </w:sdtPr>
          <w:sdtContent>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sdtContent>
        </w:sdt>
      </w:sdtContent>
    </w:sdt>
    <w:r>
      <w:tab/>
    </w:r>
  </w:p>
  <w:p w14:paraId="18C781CB" w14:textId="77777777" w:rsidR="000A3715" w:rsidRDefault="000A3715">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35ADB" w14:textId="77777777" w:rsidR="00A641A0" w:rsidRDefault="00A641A0">
      <w:pPr>
        <w:rPr>
          <w:rFonts w:hint="eastAsia"/>
        </w:rPr>
      </w:pPr>
      <w:r>
        <w:separator/>
      </w:r>
    </w:p>
  </w:footnote>
  <w:footnote w:type="continuationSeparator" w:id="0">
    <w:p w14:paraId="56A6D11A" w14:textId="77777777" w:rsidR="00A641A0" w:rsidRDefault="00A641A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d"/>
      <w:tblpPr w:leftFromText="180" w:rightFromText="180" w:vertAnchor="text" w:tblpXSpec="right" w:tblpY="1"/>
      <w:tblOverlap w:val="never"/>
      <w:tblW w:w="6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2335"/>
    </w:tblGrid>
    <w:tr w:rsidR="000A3715" w14:paraId="7C61B0E6" w14:textId="77777777">
      <w:trPr>
        <w:trHeight w:val="424"/>
      </w:trPr>
      <w:tc>
        <w:tcPr>
          <w:tcW w:w="3652" w:type="dxa"/>
          <w:shd w:val="clear" w:color="auto" w:fill="F3F3F3"/>
          <w:vAlign w:val="center"/>
        </w:tcPr>
        <w:p w14:paraId="1B2184FD" w14:textId="77777777" w:rsidR="000A3715" w:rsidRDefault="00000000">
          <w:pPr>
            <w:pStyle w:val="a6"/>
            <w:pBdr>
              <w:bottom w:val="none" w:sz="0" w:space="0" w:color="auto"/>
            </w:pBdr>
            <w:jc w:val="right"/>
            <w:rPr>
              <w:rFonts w:ascii="Times New Roman" w:eastAsia="宋体" w:hAnsi="Times New Roman" w:cs="Times New Roman"/>
              <w:kern w:val="0"/>
            </w:rPr>
          </w:pPr>
          <w:r>
            <w:rPr>
              <w:rFonts w:ascii="Times New Roman" w:eastAsia="宋体" w:hAnsi="Times New Roman" w:cs="Times New Roman" w:hint="eastAsia"/>
              <w:kern w:val="0"/>
            </w:rPr>
            <w:t>证券研究报告</w:t>
          </w:r>
        </w:p>
      </w:tc>
      <w:tc>
        <w:tcPr>
          <w:tcW w:w="284" w:type="dxa"/>
          <w:shd w:val="clear" w:color="auto" w:fill="C3E2F4"/>
        </w:tcPr>
        <w:p w14:paraId="6FF7B0B4" w14:textId="77777777" w:rsidR="000A3715" w:rsidRDefault="000A3715">
          <w:pPr>
            <w:pStyle w:val="a6"/>
            <w:pBdr>
              <w:bottom w:val="none" w:sz="0" w:space="0" w:color="auto"/>
            </w:pBdr>
            <w:jc w:val="left"/>
            <w:rPr>
              <w:rFonts w:ascii="Times New Roman" w:eastAsia="宋体" w:hAnsi="Times New Roman" w:cs="Times New Roman"/>
              <w:kern w:val="0"/>
            </w:rPr>
          </w:pPr>
        </w:p>
      </w:tc>
      <w:tc>
        <w:tcPr>
          <w:tcW w:w="2335" w:type="dxa"/>
          <w:shd w:val="clear" w:color="auto" w:fill="013F98"/>
          <w:vAlign w:val="center"/>
        </w:tcPr>
        <w:p w14:paraId="0C42DE95" w14:textId="77777777" w:rsidR="000A3715" w:rsidRDefault="00000000">
          <w:pPr>
            <w:pStyle w:val="a6"/>
            <w:pBdr>
              <w:bottom w:val="none" w:sz="0" w:space="0" w:color="auto"/>
            </w:pBdr>
            <w:rPr>
              <w:rFonts w:ascii="Times New Roman" w:eastAsia="宋体" w:hAnsi="Times New Roman" w:cs="Times New Roman"/>
              <w:kern w:val="0"/>
            </w:rPr>
          </w:pPr>
          <w:r>
            <w:rPr>
              <w:rFonts w:ascii="Times New Roman" w:eastAsia="宋体" w:hAnsi="Times New Roman" w:cs="Times New Roman" w:hint="eastAsia"/>
              <w:kern w:val="0"/>
            </w:rPr>
            <w:t>权益周报</w:t>
          </w:r>
        </w:p>
      </w:tc>
    </w:tr>
  </w:tbl>
  <w:p w14:paraId="4ACC5F4A" w14:textId="77777777" w:rsidR="000A3715" w:rsidRDefault="00000000">
    <w:pPr>
      <w:pStyle w:val="a6"/>
      <w:pBdr>
        <w:bottom w:val="single" w:sz="6" w:space="0" w:color="auto"/>
      </w:pBdr>
      <w:tabs>
        <w:tab w:val="clear" w:pos="4153"/>
        <w:tab w:val="clear" w:pos="8306"/>
        <w:tab w:val="left" w:pos="4673"/>
        <w:tab w:val="left" w:pos="8341"/>
      </w:tabs>
      <w:ind w:leftChars="-337" w:left="-809" w:rightChars="-770" w:right="-1848" w:firstLineChars="300" w:firstLine="540"/>
      <w:jc w:val="left"/>
      <w:rPr>
        <w:rFonts w:hint="eastAsia"/>
      </w:rPr>
    </w:pPr>
    <w:r>
      <w:rPr>
        <w:noProof/>
      </w:rPr>
      <w:drawing>
        <wp:inline distT="0" distB="0" distL="0" distR="0">
          <wp:extent cx="883920" cy="285750"/>
          <wp:effectExtent l="0" t="0" r="0" b="0"/>
          <wp:docPr id="2" name="图片 2" descr="C:\Users\Administrator\Desktop\富荣基金SIRM-G1\{EE36CA8E-224C-471B-8096-7E812271A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富荣基金SIRM-G1\{EE36CA8E-224C-471B-8096-7E812271AC7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84041" cy="285750"/>
                  </a:xfrm>
                  <a:prstGeom prst="rect">
                    <a:avLst/>
                  </a:prstGeom>
                  <a:noFill/>
                  <a:ln>
                    <a:noFill/>
                  </a:ln>
                </pic:spPr>
              </pic:pic>
            </a:graphicData>
          </a:graphic>
        </wp:inline>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3F"/>
    <w:rsid w:val="00095685"/>
    <w:rsid w:val="000A3715"/>
    <w:rsid w:val="00134039"/>
    <w:rsid w:val="00167EAE"/>
    <w:rsid w:val="001E2886"/>
    <w:rsid w:val="002F63B0"/>
    <w:rsid w:val="002F68C1"/>
    <w:rsid w:val="005516FB"/>
    <w:rsid w:val="00670082"/>
    <w:rsid w:val="007F4990"/>
    <w:rsid w:val="00852735"/>
    <w:rsid w:val="00A641A0"/>
    <w:rsid w:val="00B14961"/>
    <w:rsid w:val="00B814C1"/>
    <w:rsid w:val="00ED493F"/>
    <w:rsid w:val="00F24BDA"/>
    <w:rsid w:val="00FE581B"/>
    <w:rsid w:val="394F1793"/>
    <w:rsid w:val="554A7A98"/>
    <w:rsid w:val="74DA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91BE1"/>
  <w15:docId w15:val="{87A7B497-2528-4C42-93FB-94A3CAD8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kern w:val="2"/>
      <w:sz w:val="24"/>
      <w:szCs w:val="22"/>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a9"/>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a">
    <w:name w:val="Normal (Web)"/>
    <w:basedOn w:val="a"/>
    <w:uiPriority w:val="99"/>
    <w:semiHidden/>
    <w:unhideWhenUsed/>
    <w:qFormat/>
    <w:rPr>
      <w:rFonts w:ascii="Times New Roman" w:hAnsi="Times New Roman" w:cs="Times New Roman"/>
      <w:szCs w:val="24"/>
    </w:rPr>
  </w:style>
  <w:style w:type="paragraph" w:styleId="ab">
    <w:name w:val="Title"/>
    <w:basedOn w:val="a"/>
    <w:next w:val="a"/>
    <w:link w:val="ac"/>
    <w:uiPriority w:val="10"/>
    <w:qFormat/>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table" w:styleId="ad">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rPr>
      <w:rFonts w:asciiTheme="majorHAnsi" w:eastAsiaTheme="majorEastAsia" w:hAnsiTheme="majorHAnsi" w:cstheme="majorBidi"/>
      <w:spacing w:val="-10"/>
      <w:kern w:val="28"/>
      <w:sz w:val="56"/>
      <w:szCs w:val="56"/>
    </w:rPr>
  </w:style>
  <w:style w:type="character" w:customStyle="1" w:styleId="a9">
    <w:name w:val="副标题 字符"/>
    <w:basedOn w:val="a0"/>
    <w:link w:val="a8"/>
    <w:uiPriority w:val="11"/>
    <w:qFormat/>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uiPriority w:val="29"/>
    <w:qFormat/>
    <w:pPr>
      <w:spacing w:before="160" w:after="160" w:line="278" w:lineRule="auto"/>
      <w:jc w:val="center"/>
    </w:pPr>
    <w:rPr>
      <w:i/>
      <w:iCs/>
      <w:color w:val="404040" w:themeColor="text1" w:themeTint="BF"/>
      <w:sz w:val="22"/>
      <w:szCs w:val="24"/>
      <w14:ligatures w14:val="standardContextual"/>
    </w:rPr>
  </w:style>
  <w:style w:type="character" w:customStyle="1" w:styleId="af">
    <w:name w:val="引用 字符"/>
    <w:basedOn w:val="a0"/>
    <w:link w:val="ae"/>
    <w:uiPriority w:val="29"/>
    <w:qFormat/>
    <w:rPr>
      <w:i/>
      <w:iCs/>
      <w:color w:val="404040" w:themeColor="text1" w:themeTint="BF"/>
    </w:rPr>
  </w:style>
  <w:style w:type="paragraph" w:styleId="af0">
    <w:name w:val="List Paragraph"/>
    <w:basedOn w:val="a"/>
    <w:uiPriority w:val="34"/>
    <w:qFormat/>
    <w:pPr>
      <w:spacing w:after="160" w:line="278" w:lineRule="auto"/>
      <w:ind w:left="720"/>
      <w:contextualSpacing/>
      <w:jc w:val="left"/>
    </w:pPr>
    <w:rPr>
      <w:sz w:val="22"/>
      <w:szCs w:val="24"/>
      <w14:ligatures w14:val="standardContextual"/>
    </w:rPr>
  </w:style>
  <w:style w:type="character" w:customStyle="1" w:styleId="11">
    <w:name w:val="明显强调1"/>
    <w:basedOn w:val="a0"/>
    <w:uiPriority w:val="21"/>
    <w:qFormat/>
    <w:rPr>
      <w:i/>
      <w:iCs/>
      <w:color w:val="0F4761" w:themeColor="accent1" w:themeShade="BF"/>
    </w:rPr>
  </w:style>
  <w:style w:type="paragraph" w:styleId="af1">
    <w:name w:val="Intense Quote"/>
    <w:basedOn w:val="a"/>
    <w:next w:val="a"/>
    <w:link w:val="af2"/>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f2">
    <w:name w:val="明显引用 字符"/>
    <w:basedOn w:val="a0"/>
    <w:link w:val="af1"/>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5">
    <w:name w:val="页脚 字符"/>
    <w:basedOn w:val="a0"/>
    <w:link w:val="a4"/>
    <w:uiPriority w:val="99"/>
    <w:qFormat/>
    <w:rPr>
      <w:sz w:val="18"/>
      <w:szCs w:val="18"/>
      <w14:ligatures w14:val="none"/>
    </w:rPr>
  </w:style>
  <w:style w:type="character" w:customStyle="1" w:styleId="a7">
    <w:name w:val="页眉 字符"/>
    <w:basedOn w:val="a0"/>
    <w:link w:val="a6"/>
    <w:uiPriority w:val="99"/>
    <w:qFormat/>
    <w:rPr>
      <w:sz w:val="18"/>
      <w:szCs w:val="18"/>
      <w14:ligatures w14:val="none"/>
    </w:rPr>
  </w:style>
  <w:style w:type="paragraph" w:styleId="af3">
    <w:name w:val="No Spacing"/>
    <w:basedOn w:val="aa"/>
    <w:link w:val="af4"/>
    <w:uiPriority w:val="1"/>
    <w:qFormat/>
    <w:pPr>
      <w:widowControl/>
      <w:shd w:val="clear" w:color="auto" w:fill="FFFFFF"/>
      <w:ind w:firstLineChars="200" w:firstLine="200"/>
      <w:jc w:val="left"/>
    </w:pPr>
    <w:rPr>
      <w:rFonts w:asciiTheme="minorHAnsi" w:hAnsiTheme="minorHAnsi" w:cstheme="minorBidi"/>
      <w:kern w:val="0"/>
      <w:szCs w:val="22"/>
    </w:rPr>
  </w:style>
  <w:style w:type="character" w:customStyle="1" w:styleId="af4">
    <w:name w:val="无间隔 字符"/>
    <w:basedOn w:val="a0"/>
    <w:link w:val="af3"/>
    <w:uiPriority w:val="1"/>
    <w:qFormat/>
    <w:rPr>
      <w:kern w:val="0"/>
      <w:sz w:val="24"/>
      <w:szCs w:val="22"/>
      <w:shd w:val="clear" w:color="auto" w:fill="FFFFFF"/>
      <w14:ligatures w14:val="none"/>
    </w:rPr>
  </w:style>
  <w:style w:type="character" w:styleId="af5">
    <w:name w:val="annotation reference"/>
    <w:basedOn w:val="a0"/>
    <w:uiPriority w:val="99"/>
    <w:semiHidden/>
    <w:unhideWhenUsed/>
    <w:rPr>
      <w:sz w:val="21"/>
      <w:szCs w:val="21"/>
    </w:rPr>
  </w:style>
  <w:style w:type="paragraph" w:styleId="af6">
    <w:name w:val="Revision"/>
    <w:hidden/>
    <w:uiPriority w:val="99"/>
    <w:unhideWhenUsed/>
    <w:rsid w:val="00670082"/>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680</Words>
  <Characters>782</Characters>
  <Application>Microsoft Office Word</Application>
  <DocSecurity>0</DocSecurity>
  <Lines>22</Lines>
  <Paragraphs>16</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叶蕊</dc:creator>
  <cp:lastModifiedBy>叶蕊</cp:lastModifiedBy>
  <cp:revision>2</cp:revision>
  <dcterms:created xsi:type="dcterms:W3CDTF">2025-08-04T01:29:00Z</dcterms:created>
  <dcterms:modified xsi:type="dcterms:W3CDTF">2025-08-04T06:25:00Z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eyJoZGlkIjoiYWEyZTA3M2M5N2Q0MmQwMWJkYjAxYzAyY2RhYmU3MjYiLCJ1c2VySWQiOiIxNTIwODY1NzQwIn0=</vt:lpwstr>
  </property>
  <property fmtid="{D5CDD505-2E9C-101B-9397-08002B2CF9AE}" pid="3" name="KSOProductBuildVer">
    <vt:lpwstr>2052-12.1.0.21915</vt:lpwstr>
  </property>
  <property fmtid="{D5CDD505-2E9C-101B-9397-08002B2CF9AE}" pid="4" name="ICV">
    <vt:lpwstr>6CF271E9E2E04BB88EB3274CA300444C_12</vt:lpwstr>
  </property>
</Properties>
</file>