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AFB9" w14:textId="77777777" w:rsidR="005E308D" w:rsidRDefault="005E308D">
      <w:pPr>
        <w:tabs>
          <w:tab w:val="left" w:pos="6660"/>
        </w:tabs>
        <w:spacing w:line="360" w:lineRule="auto"/>
        <w:jc w:val="center"/>
        <w:rPr>
          <w:rFonts w:asciiTheme="minorEastAsia" w:hAnsiTheme="minorEastAsia" w:cs="Times New Roman" w:hint="eastAsia"/>
          <w:bCs/>
          <w:sz w:val="48"/>
          <w:szCs w:val="48"/>
        </w:rPr>
      </w:pPr>
    </w:p>
    <w:p w14:paraId="3C4B205A" w14:textId="77777777" w:rsidR="005E308D" w:rsidRDefault="005E308D">
      <w:pPr>
        <w:spacing w:line="360" w:lineRule="auto"/>
        <w:jc w:val="center"/>
        <w:rPr>
          <w:rFonts w:asciiTheme="minorEastAsia" w:hAnsiTheme="minorEastAsia" w:cs="Times New Roman" w:hint="eastAsia"/>
          <w:b/>
          <w:sz w:val="48"/>
          <w:szCs w:val="48"/>
        </w:rPr>
      </w:pPr>
    </w:p>
    <w:p w14:paraId="2924F5DD" w14:textId="77777777" w:rsidR="005E308D" w:rsidRDefault="005E308D">
      <w:pPr>
        <w:adjustRightInd w:val="0"/>
        <w:snapToGrid w:val="0"/>
        <w:spacing w:line="360" w:lineRule="auto"/>
        <w:jc w:val="center"/>
        <w:rPr>
          <w:rFonts w:asciiTheme="minorEastAsia" w:hAnsiTheme="minorEastAsia" w:cs="Arial" w:hint="eastAsia"/>
          <w:sz w:val="48"/>
          <w:szCs w:val="48"/>
        </w:rPr>
      </w:pPr>
      <w:bookmarkStart w:id="0" w:name="_Toc123112227"/>
      <w:bookmarkStart w:id="1" w:name="_Toc139991729"/>
      <w:bookmarkStart w:id="2" w:name="_Toc123112266"/>
      <w:bookmarkStart w:id="3" w:name="_Toc123701386"/>
    </w:p>
    <w:p w14:paraId="09F8D89C" w14:textId="77777777" w:rsidR="005E308D" w:rsidRDefault="00945B44">
      <w:pPr>
        <w:adjustRightInd w:val="0"/>
        <w:snapToGrid w:val="0"/>
        <w:spacing w:line="360" w:lineRule="auto"/>
        <w:jc w:val="center"/>
        <w:rPr>
          <w:rFonts w:ascii="Arial" w:eastAsia="宋体" w:hAnsi="宋体" w:cs="Arial" w:hint="eastAsia"/>
          <w:b/>
          <w:sz w:val="48"/>
          <w:szCs w:val="48"/>
        </w:rPr>
      </w:pPr>
      <w:r>
        <w:rPr>
          <w:rFonts w:ascii="Arial" w:eastAsia="宋体" w:hAnsi="宋体" w:cs="Arial" w:hint="eastAsia"/>
          <w:b/>
          <w:sz w:val="48"/>
          <w:szCs w:val="48"/>
        </w:rPr>
        <w:t>富荣福耀混合型证券投资基金更新的</w:t>
      </w:r>
    </w:p>
    <w:p w14:paraId="2A9A8A6D" w14:textId="77777777" w:rsidR="005E308D" w:rsidRDefault="00945B44">
      <w:pPr>
        <w:adjustRightInd w:val="0"/>
        <w:snapToGrid w:val="0"/>
        <w:spacing w:line="360" w:lineRule="auto"/>
        <w:jc w:val="center"/>
        <w:rPr>
          <w:rFonts w:ascii="Arial" w:eastAsia="宋体" w:hAnsi="宋体" w:cs="Arial" w:hint="eastAsia"/>
          <w:b/>
          <w:sz w:val="48"/>
          <w:szCs w:val="48"/>
        </w:rPr>
      </w:pPr>
      <w:r>
        <w:rPr>
          <w:rFonts w:ascii="Arial" w:eastAsia="宋体" w:hAnsi="宋体" w:cs="Arial" w:hint="eastAsia"/>
          <w:b/>
          <w:sz w:val="48"/>
          <w:szCs w:val="48"/>
        </w:rPr>
        <w:t>招募说明书</w:t>
      </w:r>
    </w:p>
    <w:p w14:paraId="05BD4274" w14:textId="0B31150F" w:rsidR="005E308D" w:rsidRDefault="00945B44">
      <w:pPr>
        <w:adjustRightInd w:val="0"/>
        <w:snapToGrid w:val="0"/>
        <w:spacing w:line="360" w:lineRule="auto"/>
        <w:jc w:val="center"/>
        <w:rPr>
          <w:rFonts w:ascii="Arial" w:eastAsia="宋体" w:hAnsi="宋体" w:cs="Arial" w:hint="eastAsia"/>
          <w:b/>
          <w:sz w:val="48"/>
          <w:szCs w:val="48"/>
        </w:rPr>
      </w:pPr>
      <w:r>
        <w:rPr>
          <w:rFonts w:ascii="Arial" w:eastAsia="宋体" w:hAnsi="宋体" w:cs="Arial" w:hint="eastAsia"/>
          <w:b/>
          <w:sz w:val="48"/>
          <w:szCs w:val="48"/>
        </w:rPr>
        <w:t>（</w:t>
      </w:r>
      <w:r w:rsidR="00D66902">
        <w:rPr>
          <w:rFonts w:ascii="Arial" w:eastAsia="宋体" w:hAnsi="宋体" w:cs="Arial" w:hint="eastAsia"/>
          <w:b/>
          <w:sz w:val="48"/>
          <w:szCs w:val="48"/>
        </w:rPr>
        <w:t>2025</w:t>
      </w:r>
      <w:r w:rsidR="00D66902">
        <w:rPr>
          <w:rFonts w:ascii="Arial" w:eastAsia="宋体" w:hAnsi="宋体" w:cs="Arial" w:hint="eastAsia"/>
          <w:b/>
          <w:sz w:val="48"/>
          <w:szCs w:val="48"/>
        </w:rPr>
        <w:t>年第</w:t>
      </w:r>
      <w:r w:rsidR="00D66902">
        <w:rPr>
          <w:rFonts w:ascii="Arial" w:eastAsia="宋体" w:hAnsi="宋体" w:cs="Arial" w:hint="eastAsia"/>
          <w:b/>
          <w:sz w:val="48"/>
          <w:szCs w:val="48"/>
        </w:rPr>
        <w:t>2</w:t>
      </w:r>
      <w:r w:rsidR="00D66902">
        <w:rPr>
          <w:rFonts w:ascii="Arial" w:eastAsia="宋体" w:hAnsi="宋体" w:cs="Arial" w:hint="eastAsia"/>
          <w:b/>
          <w:sz w:val="48"/>
          <w:szCs w:val="48"/>
        </w:rPr>
        <w:t>号</w:t>
      </w:r>
      <w:r>
        <w:rPr>
          <w:rFonts w:ascii="Arial" w:eastAsia="宋体" w:hAnsi="宋体" w:cs="Arial" w:hint="eastAsia"/>
          <w:b/>
          <w:sz w:val="48"/>
          <w:szCs w:val="48"/>
        </w:rPr>
        <w:t>）</w:t>
      </w:r>
    </w:p>
    <w:p w14:paraId="48AB2139" w14:textId="77777777" w:rsidR="005E308D" w:rsidRDefault="005E308D">
      <w:pPr>
        <w:adjustRightInd w:val="0"/>
        <w:snapToGrid w:val="0"/>
        <w:spacing w:line="360" w:lineRule="auto"/>
        <w:jc w:val="center"/>
        <w:rPr>
          <w:rFonts w:asciiTheme="minorEastAsia" w:hAnsiTheme="minorEastAsia" w:cs="Arial" w:hint="eastAsia"/>
          <w:sz w:val="36"/>
          <w:szCs w:val="36"/>
        </w:rPr>
      </w:pPr>
    </w:p>
    <w:p w14:paraId="682673AD" w14:textId="77777777" w:rsidR="005E308D" w:rsidRDefault="005E308D">
      <w:pPr>
        <w:adjustRightInd w:val="0"/>
        <w:snapToGrid w:val="0"/>
        <w:spacing w:line="360" w:lineRule="auto"/>
        <w:jc w:val="center"/>
        <w:rPr>
          <w:rFonts w:asciiTheme="minorEastAsia" w:hAnsiTheme="minorEastAsia" w:cs="Arial" w:hint="eastAsia"/>
          <w:sz w:val="36"/>
          <w:szCs w:val="36"/>
        </w:rPr>
      </w:pPr>
    </w:p>
    <w:p w14:paraId="2630AA3C" w14:textId="77777777" w:rsidR="005E308D" w:rsidRPr="00A97B5D" w:rsidRDefault="005E308D">
      <w:pPr>
        <w:adjustRightInd w:val="0"/>
        <w:snapToGrid w:val="0"/>
        <w:spacing w:line="360" w:lineRule="auto"/>
        <w:jc w:val="center"/>
        <w:rPr>
          <w:rFonts w:asciiTheme="minorEastAsia" w:hAnsiTheme="minorEastAsia" w:cs="Arial" w:hint="eastAsia"/>
          <w:sz w:val="36"/>
          <w:szCs w:val="36"/>
        </w:rPr>
      </w:pPr>
    </w:p>
    <w:p w14:paraId="33FF9956" w14:textId="3ABF09B5" w:rsidR="005E308D" w:rsidRDefault="00D16AAB" w:rsidP="00D16AAB">
      <w:pPr>
        <w:tabs>
          <w:tab w:val="left" w:pos="5447"/>
        </w:tabs>
        <w:adjustRightInd w:val="0"/>
        <w:snapToGrid w:val="0"/>
        <w:spacing w:line="360" w:lineRule="auto"/>
        <w:jc w:val="left"/>
        <w:rPr>
          <w:rFonts w:asciiTheme="minorEastAsia" w:hAnsiTheme="minorEastAsia" w:cs="Arial" w:hint="eastAsia"/>
          <w:sz w:val="36"/>
          <w:szCs w:val="36"/>
        </w:rPr>
      </w:pPr>
      <w:r>
        <w:rPr>
          <w:rFonts w:asciiTheme="minorEastAsia" w:hAnsiTheme="minorEastAsia" w:cs="Arial" w:hint="eastAsia"/>
          <w:sz w:val="36"/>
          <w:szCs w:val="36"/>
        </w:rPr>
        <w:tab/>
      </w:r>
    </w:p>
    <w:p w14:paraId="6FAA5467" w14:textId="77777777" w:rsidR="005E308D" w:rsidRDefault="005E308D">
      <w:pPr>
        <w:adjustRightInd w:val="0"/>
        <w:snapToGrid w:val="0"/>
        <w:spacing w:line="360" w:lineRule="auto"/>
        <w:jc w:val="center"/>
        <w:rPr>
          <w:rFonts w:asciiTheme="minorEastAsia" w:hAnsiTheme="minorEastAsia" w:cs="Arial" w:hint="eastAsia"/>
          <w:sz w:val="36"/>
          <w:szCs w:val="36"/>
        </w:rPr>
      </w:pPr>
    </w:p>
    <w:p w14:paraId="7474DD4A" w14:textId="77777777" w:rsidR="005E308D" w:rsidRDefault="005E308D">
      <w:pPr>
        <w:adjustRightInd w:val="0"/>
        <w:snapToGrid w:val="0"/>
        <w:spacing w:line="360" w:lineRule="auto"/>
        <w:jc w:val="center"/>
        <w:rPr>
          <w:rFonts w:asciiTheme="minorEastAsia" w:hAnsiTheme="minorEastAsia" w:cs="Arial" w:hint="eastAsia"/>
          <w:sz w:val="36"/>
          <w:szCs w:val="36"/>
        </w:rPr>
      </w:pPr>
    </w:p>
    <w:p w14:paraId="6713D958" w14:textId="77777777" w:rsidR="00D66902" w:rsidRDefault="00D66902">
      <w:pPr>
        <w:adjustRightInd w:val="0"/>
        <w:snapToGrid w:val="0"/>
        <w:spacing w:line="360" w:lineRule="auto"/>
        <w:jc w:val="center"/>
        <w:rPr>
          <w:rFonts w:asciiTheme="minorEastAsia" w:hAnsiTheme="minorEastAsia" w:cs="Arial" w:hint="eastAsia"/>
          <w:sz w:val="36"/>
          <w:szCs w:val="36"/>
        </w:rPr>
      </w:pPr>
    </w:p>
    <w:p w14:paraId="425A530C" w14:textId="77777777" w:rsidR="005E308D" w:rsidRDefault="00945B44">
      <w:pPr>
        <w:snapToGrid w:val="0"/>
        <w:spacing w:line="360" w:lineRule="auto"/>
        <w:jc w:val="center"/>
        <w:rPr>
          <w:rFonts w:ascii="Arial" w:eastAsia="宋体" w:hAnsi="Arial" w:cs="Times New Roman"/>
          <w:b/>
          <w:sz w:val="36"/>
          <w:szCs w:val="36"/>
        </w:rPr>
      </w:pPr>
      <w:bookmarkStart w:id="4" w:name="_Toc123112263"/>
      <w:bookmarkStart w:id="5" w:name="_Toc123112224"/>
      <w:bookmarkStart w:id="6" w:name="_Toc123701383"/>
      <w:bookmarkStart w:id="7" w:name="_Toc139992301"/>
      <w:bookmarkStart w:id="8" w:name="_Toc139991726"/>
      <w:r>
        <w:rPr>
          <w:rFonts w:ascii="Arial" w:eastAsia="宋体" w:hAnsi="Arial" w:cs="Times New Roman" w:hint="eastAsia"/>
          <w:b/>
          <w:sz w:val="36"/>
          <w:szCs w:val="36"/>
        </w:rPr>
        <w:t>基金管理人：</w:t>
      </w:r>
      <w:bookmarkEnd w:id="4"/>
      <w:bookmarkEnd w:id="5"/>
      <w:bookmarkEnd w:id="6"/>
      <w:bookmarkEnd w:id="7"/>
      <w:bookmarkEnd w:id="8"/>
      <w:r>
        <w:rPr>
          <w:rFonts w:ascii="Arial" w:eastAsia="宋体" w:hAnsi="Arial" w:cs="Times New Roman" w:hint="eastAsia"/>
          <w:b/>
          <w:sz w:val="36"/>
          <w:szCs w:val="36"/>
        </w:rPr>
        <w:t>富荣基金管理有限公司</w:t>
      </w:r>
    </w:p>
    <w:p w14:paraId="1E30D43E" w14:textId="6BBF672E" w:rsidR="005E308D" w:rsidRDefault="00945B44">
      <w:pPr>
        <w:autoSpaceDE w:val="0"/>
        <w:autoSpaceDN w:val="0"/>
        <w:adjustRightInd w:val="0"/>
        <w:snapToGrid w:val="0"/>
        <w:spacing w:line="360" w:lineRule="auto"/>
        <w:jc w:val="center"/>
        <w:rPr>
          <w:rFonts w:ascii="Arial" w:eastAsia="宋体" w:hAnsi="Arial" w:cs="Arial"/>
          <w:b/>
          <w:bCs/>
          <w:sz w:val="36"/>
          <w:szCs w:val="36"/>
        </w:rPr>
      </w:pPr>
      <w:bookmarkStart w:id="9" w:name="_Toc123701384"/>
      <w:bookmarkStart w:id="10" w:name="_Toc139991727"/>
      <w:bookmarkStart w:id="11" w:name="_Toc139992302"/>
      <w:bookmarkStart w:id="12" w:name="_Toc123112225"/>
      <w:bookmarkStart w:id="13" w:name="_Toc123112264"/>
      <w:r>
        <w:rPr>
          <w:rFonts w:ascii="Arial" w:eastAsia="宋体" w:hAnsi="Arial" w:cs="Times New Roman" w:hint="eastAsia"/>
          <w:b/>
          <w:sz w:val="36"/>
          <w:szCs w:val="36"/>
        </w:rPr>
        <w:t>基金托管人：</w:t>
      </w:r>
      <w:bookmarkEnd w:id="9"/>
      <w:bookmarkEnd w:id="10"/>
      <w:bookmarkEnd w:id="11"/>
      <w:bookmarkEnd w:id="12"/>
      <w:bookmarkEnd w:id="13"/>
      <w:r w:rsidR="00F500C7">
        <w:rPr>
          <w:rFonts w:ascii="Arial" w:eastAsia="宋体" w:hAnsi="Arial" w:cs="Times New Roman" w:hint="eastAsia"/>
          <w:b/>
          <w:sz w:val="36"/>
          <w:szCs w:val="36"/>
        </w:rPr>
        <w:t>国泰海通证券股份有限公司</w:t>
      </w:r>
    </w:p>
    <w:p w14:paraId="524B230B" w14:textId="77777777" w:rsidR="005E308D" w:rsidRDefault="005E308D">
      <w:pPr>
        <w:autoSpaceDE w:val="0"/>
        <w:autoSpaceDN w:val="0"/>
        <w:adjustRightInd w:val="0"/>
        <w:snapToGrid w:val="0"/>
        <w:spacing w:line="360" w:lineRule="auto"/>
        <w:jc w:val="center"/>
        <w:rPr>
          <w:rFonts w:asciiTheme="minorEastAsia" w:hAnsiTheme="minorEastAsia" w:cs="Arial" w:hint="eastAsia"/>
          <w:b/>
          <w:bCs/>
          <w:sz w:val="28"/>
          <w:szCs w:val="28"/>
        </w:rPr>
      </w:pPr>
    </w:p>
    <w:p w14:paraId="278C32A4" w14:textId="77777777" w:rsidR="005E308D" w:rsidRDefault="005E308D">
      <w:pPr>
        <w:autoSpaceDE w:val="0"/>
        <w:autoSpaceDN w:val="0"/>
        <w:adjustRightInd w:val="0"/>
        <w:snapToGrid w:val="0"/>
        <w:spacing w:line="360" w:lineRule="auto"/>
        <w:jc w:val="center"/>
        <w:rPr>
          <w:rFonts w:asciiTheme="minorEastAsia" w:hAnsiTheme="minorEastAsia" w:cs="Arial" w:hint="eastAsia"/>
          <w:b/>
          <w:bCs/>
          <w:sz w:val="28"/>
          <w:szCs w:val="28"/>
        </w:rPr>
      </w:pPr>
    </w:p>
    <w:p w14:paraId="487F88A8" w14:textId="77777777" w:rsidR="005E308D" w:rsidRDefault="005E308D">
      <w:pPr>
        <w:widowControl/>
        <w:spacing w:line="360" w:lineRule="auto"/>
        <w:rPr>
          <w:rFonts w:ascii="Arial" w:eastAsia="宋体" w:hAnsi="Arial" w:cs="Arial"/>
          <w:b/>
          <w:bCs/>
          <w:kern w:val="0"/>
          <w:sz w:val="28"/>
          <w:szCs w:val="28"/>
        </w:rPr>
        <w:sectPr w:rsidR="005E308D" w:rsidSect="006C702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p>
    <w:p w14:paraId="5FAA6F05" w14:textId="77777777" w:rsidR="005E308D" w:rsidRDefault="00945B44">
      <w:pPr>
        <w:autoSpaceDE w:val="0"/>
        <w:autoSpaceDN w:val="0"/>
        <w:adjustRightInd w:val="0"/>
        <w:snapToGrid w:val="0"/>
        <w:spacing w:line="360" w:lineRule="auto"/>
        <w:jc w:val="center"/>
        <w:rPr>
          <w:rFonts w:ascii="Arial" w:eastAsia="宋体" w:hAnsi="Arial" w:cs="Arial"/>
          <w:b/>
          <w:bCs/>
          <w:sz w:val="30"/>
          <w:szCs w:val="30"/>
        </w:rPr>
      </w:pPr>
      <w:r>
        <w:rPr>
          <w:rFonts w:ascii="Arial" w:eastAsia="宋体" w:hAnsi="Arial" w:cs="Arial" w:hint="eastAsia"/>
          <w:b/>
          <w:bCs/>
          <w:sz w:val="30"/>
          <w:szCs w:val="30"/>
        </w:rPr>
        <w:lastRenderedPageBreak/>
        <w:t>【重要提示】</w:t>
      </w:r>
    </w:p>
    <w:p w14:paraId="2871F26D" w14:textId="77777777" w:rsidR="005E308D" w:rsidRDefault="005E308D">
      <w:pPr>
        <w:autoSpaceDE w:val="0"/>
        <w:autoSpaceDN w:val="0"/>
        <w:adjustRightInd w:val="0"/>
        <w:snapToGrid w:val="0"/>
        <w:spacing w:line="360" w:lineRule="auto"/>
        <w:rPr>
          <w:rFonts w:ascii="Arial" w:eastAsia="宋体" w:hAnsi="Arial" w:cs="Arial"/>
          <w:b/>
          <w:bCs/>
          <w:szCs w:val="21"/>
        </w:rPr>
      </w:pPr>
    </w:p>
    <w:p w14:paraId="366E10BF"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1、本基金根据</w:t>
      </w:r>
      <w:r>
        <w:rPr>
          <w:rFonts w:asciiTheme="minorEastAsia" w:hAnsiTheme="minorEastAsia" w:cs="Arial"/>
          <w:bCs/>
          <w:color w:val="000000"/>
          <w:sz w:val="24"/>
          <w:szCs w:val="24"/>
        </w:rPr>
        <w:t>2021</w:t>
      </w:r>
      <w:r>
        <w:rPr>
          <w:rFonts w:asciiTheme="minorEastAsia" w:hAnsiTheme="minorEastAsia" w:cs="Arial" w:hint="eastAsia"/>
          <w:bCs/>
          <w:color w:val="000000"/>
          <w:sz w:val="24"/>
          <w:szCs w:val="24"/>
        </w:rPr>
        <w:t>年</w:t>
      </w:r>
      <w:r>
        <w:rPr>
          <w:rFonts w:asciiTheme="minorEastAsia" w:hAnsiTheme="minorEastAsia" w:cs="Arial"/>
          <w:bCs/>
          <w:color w:val="000000"/>
          <w:sz w:val="24"/>
          <w:szCs w:val="24"/>
        </w:rPr>
        <w:t>6</w:t>
      </w:r>
      <w:r>
        <w:rPr>
          <w:rFonts w:asciiTheme="minorEastAsia" w:hAnsiTheme="minorEastAsia" w:cs="Arial" w:hint="eastAsia"/>
          <w:bCs/>
          <w:color w:val="000000"/>
          <w:sz w:val="24"/>
          <w:szCs w:val="24"/>
        </w:rPr>
        <w:t>月</w:t>
      </w:r>
      <w:r>
        <w:rPr>
          <w:rFonts w:asciiTheme="minorEastAsia" w:hAnsiTheme="minorEastAsia" w:cs="Arial"/>
          <w:bCs/>
          <w:color w:val="000000"/>
          <w:sz w:val="24"/>
          <w:szCs w:val="24"/>
        </w:rPr>
        <w:t>21</w:t>
      </w:r>
      <w:r>
        <w:rPr>
          <w:rFonts w:asciiTheme="minorEastAsia" w:hAnsiTheme="minorEastAsia" w:cs="Arial" w:hint="eastAsia"/>
          <w:bCs/>
          <w:color w:val="000000"/>
          <w:sz w:val="24"/>
          <w:szCs w:val="24"/>
        </w:rPr>
        <w:t>日</w:t>
      </w:r>
      <w:r>
        <w:rPr>
          <w:rFonts w:asciiTheme="minorEastAsia" w:hAnsiTheme="minorEastAsia" w:cs="Arial" w:hint="eastAsia"/>
          <w:kern w:val="0"/>
          <w:sz w:val="24"/>
          <w:szCs w:val="24"/>
        </w:rPr>
        <w:t>中国证券监督管理委员会（以下简称“中国证监会”）《关于准予富荣福耀混合型证券投资基金注册的批复》（</w:t>
      </w:r>
      <w:r>
        <w:rPr>
          <w:rFonts w:asciiTheme="minorEastAsia" w:hAnsiTheme="minorEastAsia" w:cs="Arial" w:hint="eastAsia"/>
          <w:bCs/>
          <w:color w:val="000000"/>
          <w:kern w:val="0"/>
          <w:sz w:val="24"/>
          <w:szCs w:val="24"/>
        </w:rPr>
        <w:t>证监许可</w:t>
      </w:r>
      <w:r>
        <w:rPr>
          <w:rFonts w:asciiTheme="minorEastAsia" w:hAnsiTheme="minorEastAsia" w:cs="Arial" w:hint="eastAsia"/>
          <w:bCs/>
          <w:color w:val="000000"/>
          <w:sz w:val="24"/>
          <w:szCs w:val="24"/>
        </w:rPr>
        <w:t>[</w:t>
      </w:r>
      <w:r>
        <w:rPr>
          <w:rFonts w:asciiTheme="minorEastAsia" w:hAnsiTheme="minorEastAsia" w:cs="Arial"/>
          <w:bCs/>
          <w:color w:val="000000"/>
          <w:sz w:val="24"/>
          <w:szCs w:val="24"/>
        </w:rPr>
        <w:t>2021</w:t>
      </w:r>
      <w:r>
        <w:rPr>
          <w:rFonts w:asciiTheme="minorEastAsia" w:hAnsiTheme="minorEastAsia" w:cs="Arial" w:hint="eastAsia"/>
          <w:bCs/>
          <w:color w:val="000000"/>
          <w:sz w:val="24"/>
          <w:szCs w:val="24"/>
        </w:rPr>
        <w:t>]</w:t>
      </w:r>
      <w:r>
        <w:rPr>
          <w:rFonts w:asciiTheme="minorEastAsia" w:hAnsiTheme="minorEastAsia" w:cs="Arial"/>
          <w:bCs/>
          <w:color w:val="000000"/>
          <w:sz w:val="24"/>
          <w:szCs w:val="24"/>
        </w:rPr>
        <w:t>2091</w:t>
      </w:r>
      <w:r>
        <w:rPr>
          <w:rFonts w:asciiTheme="minorEastAsia" w:hAnsiTheme="minorEastAsia" w:cs="Arial" w:hint="eastAsia"/>
          <w:bCs/>
          <w:color w:val="000000"/>
          <w:sz w:val="24"/>
          <w:szCs w:val="24"/>
        </w:rPr>
        <w:t>号</w:t>
      </w:r>
      <w:r>
        <w:rPr>
          <w:rFonts w:asciiTheme="minorEastAsia" w:hAnsiTheme="minorEastAsia" w:cs="Arial" w:hint="eastAsia"/>
          <w:bCs/>
          <w:color w:val="000000"/>
          <w:kern w:val="0"/>
          <w:sz w:val="24"/>
          <w:szCs w:val="24"/>
        </w:rPr>
        <w:t>）进行募集。</w:t>
      </w:r>
    </w:p>
    <w:p w14:paraId="37853E5D"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本基金管理人保证招募说明书的内容真实、准确、完整。本招募说明书经中国证监会注册，但中国证监会对本基金募集的注册，并不表明其对本基金的投资价值、市场前景和收益作出实质性判断或保证，也不表明投资于本基金没有风险。</w:t>
      </w:r>
    </w:p>
    <w:p w14:paraId="0DB63A7F"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本基金投资于证券市场，基金净值会因为证券市场波动等因素产生波动，投资者根据所持有的基金份额享受基金收益，同时承担相应的投资风险。本基金投资中的风险包括：市场风险、管理风险、职业道德风险、流动性风险、合规性风险、本基金特定投资策略带来的风险及其他风险等。本基金属于混合型基金，其预期的风险和收益高于货币市场基金、债券基金，低于股票型基金。</w:t>
      </w:r>
    </w:p>
    <w:p w14:paraId="22EEE345"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可投资资产支持证券，资产支持证券在国内市场尚处发展初期，具有低流动性、高收益的特征，并存在一定的投资风险。资产支持证券的投资与基金资产密切相关，因此会受到特定原始权益人破产风险及现金流预测风险等的影响；当本基金投资的资产支持证券信用评级发生变化时，本基金将需要面对临时调整持仓的风险；此外当资产支持证券相关的发行人、管理人、托管人等出现违规违约时，本基金将面临无法收取投资收益甚至损失本金的风险。</w:t>
      </w:r>
    </w:p>
    <w:p w14:paraId="41918C55"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本基金的投资范围包括存托凭证，若投资，可能面临存托凭证价格大幅波动甚至出现较大亏损的风险，以及与存托凭证发行机制相关的风险。</w:t>
      </w:r>
    </w:p>
    <w:p w14:paraId="07C1708C"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当本基金持有特定资产且存在或潜在大额赎回申请时，基金管理人履行相应程序后，可以启用侧袋机制，具体详见基金合同和本招募说明书“侧袋机制”等有关章节。侧袋机制实施期间，基金管理人将对基金简称进行特殊标识，并不办理侧袋账户的申购赎回。请基金份额持有人仔细阅读相关内容并关注本基金启用侧袋机制时的特定风险。</w:t>
      </w:r>
    </w:p>
    <w:p w14:paraId="23077245"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本基金的投资范围包括股指期货、国债期货、股票期权，可能面临市场风险、流动性风险、基差风险、保证金风险、信用风险和操作风险等。</w:t>
      </w:r>
    </w:p>
    <w:p w14:paraId="6FB77883"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4、本基金以</w:t>
      </w:r>
      <w:r>
        <w:rPr>
          <w:rFonts w:asciiTheme="minorEastAsia" w:hAnsiTheme="minorEastAsia" w:cs="Arial"/>
          <w:sz w:val="24"/>
          <w:szCs w:val="24"/>
        </w:rPr>
        <w:t>1.00</w:t>
      </w:r>
      <w:r>
        <w:rPr>
          <w:rFonts w:asciiTheme="minorEastAsia" w:hAnsiTheme="minorEastAsia" w:cs="Arial" w:hint="eastAsia"/>
          <w:sz w:val="24"/>
          <w:szCs w:val="24"/>
        </w:rPr>
        <w:t>元发售面值募集基金份额，在市场波动等因素的影响下，</w:t>
      </w:r>
      <w:r>
        <w:rPr>
          <w:rFonts w:asciiTheme="minorEastAsia" w:hAnsiTheme="minorEastAsia" w:cs="Arial" w:hint="eastAsia"/>
          <w:sz w:val="24"/>
          <w:szCs w:val="24"/>
        </w:rPr>
        <w:lastRenderedPageBreak/>
        <w:t>基金投资有可能出现亏损或基金份额净值低于初始面值。</w:t>
      </w:r>
    </w:p>
    <w:p w14:paraId="6C972350"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投资有风险，投资人认购（或申购）基金时应认真阅读基金合同、本招募说明书等信息披露文件，自主判断基金的投资价值，自主做出投资决策，自行承担投资风险。基金的过往业绩并不预示其未来表现。基金管理人管理的其他基金的业绩并不构成新基金业绩表现的保证。</w:t>
      </w:r>
    </w:p>
    <w:p w14:paraId="7D32994A"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基金管理人依照恪尽职守、诚实信用、谨慎勤勉的原则管理和运用基金财产，但不保证基金一定盈利，也不保证最低收益。基金管理人提醒投资者基金投资的</w:t>
      </w:r>
      <w:r>
        <w:rPr>
          <w:rFonts w:asciiTheme="minorEastAsia" w:hAnsiTheme="minorEastAsia" w:cs="Arial"/>
          <w:sz w:val="24"/>
          <w:szCs w:val="24"/>
        </w:rPr>
        <w:t>“</w:t>
      </w:r>
      <w:r>
        <w:rPr>
          <w:rFonts w:asciiTheme="minorEastAsia" w:hAnsiTheme="minorEastAsia" w:cs="Arial" w:hint="eastAsia"/>
          <w:sz w:val="24"/>
          <w:szCs w:val="24"/>
        </w:rPr>
        <w:t>买者自负</w:t>
      </w:r>
      <w:r>
        <w:rPr>
          <w:rFonts w:asciiTheme="minorEastAsia" w:hAnsiTheme="minorEastAsia" w:cs="Arial"/>
          <w:sz w:val="24"/>
          <w:szCs w:val="24"/>
        </w:rPr>
        <w:t>”</w:t>
      </w:r>
      <w:r>
        <w:rPr>
          <w:rFonts w:asciiTheme="minorEastAsia" w:hAnsiTheme="minorEastAsia" w:cs="Arial" w:hint="eastAsia"/>
          <w:sz w:val="24"/>
          <w:szCs w:val="24"/>
        </w:rPr>
        <w:t>原则，在作出投资决策后，基金运营状况与基金净值变化引致的投资风险，由投资者自行承担。</w:t>
      </w:r>
    </w:p>
    <w:p w14:paraId="192F9503" w14:textId="63084A69" w:rsidR="005E308D" w:rsidRDefault="00D66902" w:rsidP="00A97B5D">
      <w:pPr>
        <w:autoSpaceDE w:val="0"/>
        <w:autoSpaceDN w:val="0"/>
        <w:adjustRightInd w:val="0"/>
        <w:snapToGrid w:val="0"/>
        <w:spacing w:line="360" w:lineRule="auto"/>
        <w:ind w:firstLineChars="200" w:firstLine="482"/>
        <w:rPr>
          <w:rFonts w:asciiTheme="minorEastAsia" w:hAnsiTheme="minorEastAsia" w:cs="Arial" w:hint="eastAsia"/>
          <w:sz w:val="24"/>
          <w:szCs w:val="24"/>
        </w:rPr>
      </w:pPr>
      <w:r w:rsidRPr="007C0355">
        <w:rPr>
          <w:rFonts w:asciiTheme="minorEastAsia" w:hAnsiTheme="minorEastAsia" w:cs="Arial" w:hint="eastAsia"/>
          <w:b/>
          <w:bCs/>
          <w:sz w:val="24"/>
          <w:szCs w:val="24"/>
        </w:rPr>
        <w:t>本次招募说明书仅对“基金管理人”部分进行更新</w:t>
      </w:r>
      <w:r w:rsidR="00343DF0" w:rsidRPr="00A97B5D">
        <w:rPr>
          <w:rFonts w:asciiTheme="minorEastAsia" w:hAnsiTheme="minorEastAsia" w:cs="Arial" w:hint="eastAsia"/>
          <w:b/>
          <w:bCs/>
          <w:sz w:val="24"/>
          <w:szCs w:val="24"/>
        </w:rPr>
        <w:t>，</w:t>
      </w:r>
      <w:r w:rsidR="00945B44">
        <w:rPr>
          <w:rFonts w:asciiTheme="minorEastAsia" w:hAnsiTheme="minorEastAsia" w:cs="Arial" w:hint="eastAsia"/>
          <w:sz w:val="24"/>
          <w:szCs w:val="24"/>
        </w:rPr>
        <w:t>本招募说明书所载</w:t>
      </w:r>
      <w:r w:rsidR="009E01A4">
        <w:rPr>
          <w:rFonts w:asciiTheme="minorEastAsia" w:hAnsiTheme="minorEastAsia" w:cs="Arial" w:hint="eastAsia"/>
          <w:sz w:val="24"/>
          <w:szCs w:val="24"/>
        </w:rPr>
        <w:t>其他</w:t>
      </w:r>
      <w:r w:rsidR="00945B44">
        <w:rPr>
          <w:rFonts w:asciiTheme="minorEastAsia" w:hAnsiTheme="minorEastAsia" w:cs="Arial" w:hint="eastAsia"/>
          <w:sz w:val="24"/>
          <w:szCs w:val="24"/>
        </w:rPr>
        <w:t>内容截止日为2024年</w:t>
      </w:r>
      <w:r w:rsidR="00945B44">
        <w:rPr>
          <w:rFonts w:asciiTheme="minorEastAsia" w:hAnsiTheme="minorEastAsia" w:cs="Arial"/>
          <w:sz w:val="24"/>
          <w:szCs w:val="24"/>
        </w:rPr>
        <w:t>10</w:t>
      </w:r>
      <w:r w:rsidR="00945B44">
        <w:rPr>
          <w:rFonts w:asciiTheme="minorEastAsia" w:hAnsiTheme="minorEastAsia" w:cs="Arial" w:hint="eastAsia"/>
          <w:sz w:val="24"/>
          <w:szCs w:val="24"/>
        </w:rPr>
        <w:t>月</w:t>
      </w:r>
      <w:r w:rsidR="00945B44">
        <w:rPr>
          <w:rFonts w:asciiTheme="minorEastAsia" w:hAnsiTheme="minorEastAsia" w:cs="Arial"/>
          <w:sz w:val="24"/>
          <w:szCs w:val="24"/>
        </w:rPr>
        <w:t>9</w:t>
      </w:r>
      <w:r w:rsidR="00945B44">
        <w:rPr>
          <w:rFonts w:asciiTheme="minorEastAsia" w:hAnsiTheme="minorEastAsia" w:cs="Arial" w:hint="eastAsia"/>
          <w:sz w:val="24"/>
          <w:szCs w:val="24"/>
        </w:rPr>
        <w:t>日，有关财务数据截止日为2024年</w:t>
      </w:r>
      <w:r w:rsidR="00945B44">
        <w:rPr>
          <w:rFonts w:asciiTheme="minorEastAsia" w:hAnsiTheme="minorEastAsia" w:cs="Arial"/>
          <w:sz w:val="24"/>
          <w:szCs w:val="24"/>
        </w:rPr>
        <w:t>9</w:t>
      </w:r>
      <w:r w:rsidR="00945B44">
        <w:rPr>
          <w:rFonts w:asciiTheme="minorEastAsia" w:hAnsiTheme="minorEastAsia" w:cs="Arial" w:hint="eastAsia"/>
          <w:sz w:val="24"/>
          <w:szCs w:val="24"/>
        </w:rPr>
        <w:t>月30日，净值表现截止日为2024年</w:t>
      </w:r>
      <w:r w:rsidR="00945B44">
        <w:rPr>
          <w:rFonts w:asciiTheme="minorEastAsia" w:hAnsiTheme="minorEastAsia" w:cs="Arial"/>
          <w:sz w:val="24"/>
          <w:szCs w:val="24"/>
        </w:rPr>
        <w:t>9</w:t>
      </w:r>
      <w:r w:rsidR="00945B44">
        <w:rPr>
          <w:rFonts w:asciiTheme="minorEastAsia" w:hAnsiTheme="minorEastAsia" w:cs="Arial" w:hint="eastAsia"/>
          <w:sz w:val="24"/>
          <w:szCs w:val="24"/>
        </w:rPr>
        <w:t>月30日。（财务数据未经审计）。</w:t>
      </w:r>
    </w:p>
    <w:p w14:paraId="740461B1" w14:textId="77777777" w:rsidR="005E308D" w:rsidRDefault="00945B44">
      <w:pPr>
        <w:autoSpaceDE w:val="0"/>
        <w:autoSpaceDN w:val="0"/>
        <w:adjustRightInd w:val="0"/>
        <w:snapToGrid w:val="0"/>
        <w:spacing w:line="360" w:lineRule="auto"/>
        <w:jc w:val="center"/>
        <w:rPr>
          <w:rFonts w:ascii="Arial" w:eastAsia="宋体" w:hAnsi="Arial" w:cs="Arial"/>
          <w:b/>
          <w:bCs/>
          <w:sz w:val="28"/>
          <w:szCs w:val="28"/>
        </w:rPr>
      </w:pPr>
      <w:r>
        <w:rPr>
          <w:rFonts w:asciiTheme="minorEastAsia" w:hAnsiTheme="minorEastAsia" w:cs="Arial" w:hint="eastAsia"/>
          <w:sz w:val="24"/>
          <w:szCs w:val="24"/>
        </w:rPr>
        <w:t xml:space="preserve"> </w:t>
      </w:r>
      <w:r>
        <w:rPr>
          <w:rFonts w:asciiTheme="minorEastAsia" w:hAnsiTheme="minorEastAsia" w:cs="Arial"/>
          <w:sz w:val="24"/>
          <w:szCs w:val="24"/>
        </w:rPr>
        <w:t xml:space="preserve">   </w:t>
      </w:r>
    </w:p>
    <w:p w14:paraId="6724B377" w14:textId="77777777" w:rsidR="005E308D" w:rsidRDefault="005E308D">
      <w:pPr>
        <w:widowControl/>
        <w:spacing w:line="360" w:lineRule="auto"/>
        <w:jc w:val="left"/>
        <w:rPr>
          <w:rFonts w:ascii="Times New Roman" w:eastAsia="宋体" w:hAnsi="Times New Roman" w:cs="Times New Roman"/>
          <w:b/>
          <w:kern w:val="0"/>
          <w:sz w:val="30"/>
          <w:szCs w:val="30"/>
        </w:rPr>
        <w:sectPr w:rsidR="005E308D">
          <w:headerReference w:type="even" r:id="rId15"/>
          <w:headerReference w:type="default" r:id="rId16"/>
          <w:headerReference w:type="first" r:id="rId17"/>
          <w:pgSz w:w="11906" w:h="16838"/>
          <w:pgMar w:top="1440" w:right="1800" w:bottom="1440" w:left="1800" w:header="851" w:footer="992" w:gutter="0"/>
          <w:pgNumType w:start="1"/>
          <w:cols w:space="720"/>
          <w:docGrid w:type="lines" w:linePitch="312"/>
        </w:sectPr>
      </w:pPr>
      <w:bookmarkStart w:id="14" w:name="_Toc141703880"/>
      <w:bookmarkStart w:id="15" w:name="_Toc11660"/>
      <w:bookmarkStart w:id="16" w:name="_Toc32639"/>
      <w:bookmarkStart w:id="17" w:name="_Toc26897"/>
      <w:bookmarkStart w:id="18" w:name="_Toc123112268"/>
      <w:bookmarkStart w:id="19" w:name="_Toc123112229"/>
      <w:bookmarkStart w:id="20" w:name="_Toc4966"/>
      <w:bookmarkStart w:id="21" w:name="_Toc29629"/>
      <w:bookmarkStart w:id="22" w:name="_Toc6306"/>
      <w:bookmarkStart w:id="23" w:name="_Toc139991730"/>
      <w:bookmarkStart w:id="24" w:name="_Toc15517"/>
      <w:bookmarkStart w:id="25" w:name="_Toc8727"/>
      <w:bookmarkStart w:id="26" w:name="_Toc4867"/>
      <w:bookmarkStart w:id="27" w:name="_Toc123701389"/>
      <w:bookmarkStart w:id="28" w:name="_Toc23386"/>
      <w:bookmarkStart w:id="29" w:name="_Toc352229746"/>
      <w:bookmarkStart w:id="30" w:name="_Toc30935"/>
      <w:bookmarkStart w:id="31" w:name="_Toc233456271"/>
      <w:bookmarkEnd w:id="0"/>
      <w:bookmarkEnd w:id="1"/>
      <w:bookmarkEnd w:id="2"/>
      <w:bookmarkEnd w:id="3"/>
    </w:p>
    <w:p w14:paraId="0605D94A" w14:textId="77777777" w:rsidR="005E308D" w:rsidRDefault="00945B44">
      <w:pPr>
        <w:jc w:val="center"/>
        <w:rPr>
          <w:b/>
          <w:bCs/>
          <w:sz w:val="24"/>
        </w:rPr>
      </w:pPr>
      <w:r>
        <w:rPr>
          <w:b/>
          <w:bCs/>
          <w:sz w:val="24"/>
        </w:rPr>
        <w:lastRenderedPageBreak/>
        <w:t>目</w:t>
      </w:r>
      <w:r>
        <w:rPr>
          <w:b/>
          <w:bCs/>
          <w:sz w:val="24"/>
        </w:rPr>
        <w:t xml:space="preserve">    </w:t>
      </w:r>
      <w:r>
        <w:rPr>
          <w:b/>
          <w:bCs/>
          <w:sz w:val="24"/>
        </w:rPr>
        <w:t>录</w:t>
      </w:r>
    </w:p>
    <w:p w14:paraId="296DA56E" w14:textId="14D5492A" w:rsidR="005E308D" w:rsidRDefault="00945B44">
      <w:pPr>
        <w:pStyle w:val="TOC1"/>
        <w:rPr>
          <w:rFonts w:asciiTheme="minorHAnsi" w:eastAsiaTheme="minorEastAsia" w:hAnsiTheme="minorHAnsi" w:cstheme="minorBidi"/>
          <w:noProof/>
          <w:szCs w:val="22"/>
        </w:rPr>
      </w:pPr>
      <w:r>
        <w:rPr>
          <w:bCs/>
        </w:rPr>
        <w:fldChar w:fldCharType="begin"/>
      </w:r>
      <w:r>
        <w:rPr>
          <w:bCs/>
        </w:rPr>
        <w:instrText xml:space="preserve"> TOC \o "1-1" \h \z \u </w:instrText>
      </w:r>
      <w:r>
        <w:rPr>
          <w:bCs/>
        </w:rPr>
        <w:fldChar w:fldCharType="separate"/>
      </w:r>
      <w:hyperlink w:anchor="_Toc119568457" w:history="1">
        <w:r w:rsidR="005E308D">
          <w:rPr>
            <w:rStyle w:val="afc"/>
            <w:noProof/>
          </w:rPr>
          <w:t>第一部分</w:t>
        </w:r>
        <w:r w:rsidR="005E308D">
          <w:rPr>
            <w:rStyle w:val="afc"/>
            <w:noProof/>
          </w:rPr>
          <w:t xml:space="preserve">  </w:t>
        </w:r>
        <w:r w:rsidR="005E308D">
          <w:rPr>
            <w:rStyle w:val="afc"/>
            <w:noProof/>
          </w:rPr>
          <w:t>绪言</w:t>
        </w:r>
        <w:r w:rsidR="005E308D">
          <w:rPr>
            <w:noProof/>
          </w:rPr>
          <w:tab/>
        </w:r>
        <w:r w:rsidR="005E308D">
          <w:rPr>
            <w:noProof/>
          </w:rPr>
          <w:fldChar w:fldCharType="begin"/>
        </w:r>
        <w:r w:rsidR="005E308D">
          <w:rPr>
            <w:noProof/>
          </w:rPr>
          <w:instrText xml:space="preserve"> PAGEREF _Toc119568457 \h </w:instrText>
        </w:r>
        <w:r w:rsidR="005E308D">
          <w:rPr>
            <w:noProof/>
          </w:rPr>
        </w:r>
        <w:r w:rsidR="005E308D">
          <w:rPr>
            <w:noProof/>
          </w:rPr>
          <w:fldChar w:fldCharType="separate"/>
        </w:r>
        <w:r w:rsidR="00211709">
          <w:rPr>
            <w:noProof/>
          </w:rPr>
          <w:t>4</w:t>
        </w:r>
        <w:r w:rsidR="005E308D">
          <w:rPr>
            <w:noProof/>
          </w:rPr>
          <w:fldChar w:fldCharType="end"/>
        </w:r>
      </w:hyperlink>
    </w:p>
    <w:p w14:paraId="6E70339E" w14:textId="7E8C1FAB" w:rsidR="005E308D" w:rsidRDefault="005E308D">
      <w:pPr>
        <w:pStyle w:val="TOC1"/>
        <w:rPr>
          <w:rFonts w:asciiTheme="minorHAnsi" w:eastAsiaTheme="minorEastAsia" w:hAnsiTheme="minorHAnsi" w:cstheme="minorBidi"/>
          <w:noProof/>
          <w:szCs w:val="22"/>
        </w:rPr>
      </w:pPr>
      <w:hyperlink w:anchor="_Toc119568458" w:history="1">
        <w:r>
          <w:rPr>
            <w:rStyle w:val="afc"/>
            <w:noProof/>
          </w:rPr>
          <w:t>第二部分</w:t>
        </w:r>
        <w:r>
          <w:rPr>
            <w:rStyle w:val="afc"/>
            <w:noProof/>
          </w:rPr>
          <w:t xml:space="preserve">  </w:t>
        </w:r>
        <w:r>
          <w:rPr>
            <w:rStyle w:val="afc"/>
            <w:noProof/>
          </w:rPr>
          <w:t>释义</w:t>
        </w:r>
        <w:r>
          <w:rPr>
            <w:noProof/>
          </w:rPr>
          <w:tab/>
        </w:r>
        <w:r>
          <w:rPr>
            <w:noProof/>
          </w:rPr>
          <w:fldChar w:fldCharType="begin"/>
        </w:r>
        <w:r>
          <w:rPr>
            <w:noProof/>
          </w:rPr>
          <w:instrText xml:space="preserve"> PAGEREF _Toc119568458 \h </w:instrText>
        </w:r>
        <w:r>
          <w:rPr>
            <w:noProof/>
          </w:rPr>
        </w:r>
        <w:r>
          <w:rPr>
            <w:noProof/>
          </w:rPr>
          <w:fldChar w:fldCharType="separate"/>
        </w:r>
        <w:r w:rsidR="00211709">
          <w:rPr>
            <w:noProof/>
          </w:rPr>
          <w:t>5</w:t>
        </w:r>
        <w:r>
          <w:rPr>
            <w:noProof/>
          </w:rPr>
          <w:fldChar w:fldCharType="end"/>
        </w:r>
      </w:hyperlink>
    </w:p>
    <w:p w14:paraId="61791940" w14:textId="2BB3C742" w:rsidR="005E308D" w:rsidRDefault="005E308D">
      <w:pPr>
        <w:pStyle w:val="TOC1"/>
        <w:rPr>
          <w:rFonts w:asciiTheme="minorHAnsi" w:eastAsiaTheme="minorEastAsia" w:hAnsiTheme="minorHAnsi" w:cstheme="minorBidi"/>
          <w:noProof/>
          <w:szCs w:val="22"/>
        </w:rPr>
      </w:pPr>
      <w:hyperlink w:anchor="_Toc119568459" w:history="1">
        <w:r>
          <w:rPr>
            <w:rStyle w:val="afc"/>
            <w:noProof/>
          </w:rPr>
          <w:t>第三部分</w:t>
        </w:r>
        <w:r>
          <w:rPr>
            <w:rStyle w:val="afc"/>
            <w:noProof/>
          </w:rPr>
          <w:t xml:space="preserve">  </w:t>
        </w:r>
        <w:r>
          <w:rPr>
            <w:rStyle w:val="afc"/>
            <w:noProof/>
          </w:rPr>
          <w:t>基金管理人</w:t>
        </w:r>
        <w:r>
          <w:rPr>
            <w:noProof/>
          </w:rPr>
          <w:tab/>
        </w:r>
        <w:r>
          <w:rPr>
            <w:noProof/>
          </w:rPr>
          <w:fldChar w:fldCharType="begin"/>
        </w:r>
        <w:r>
          <w:rPr>
            <w:noProof/>
          </w:rPr>
          <w:instrText xml:space="preserve"> PAGEREF _Toc119568459 \h </w:instrText>
        </w:r>
        <w:r>
          <w:rPr>
            <w:noProof/>
          </w:rPr>
        </w:r>
        <w:r>
          <w:rPr>
            <w:noProof/>
          </w:rPr>
          <w:fldChar w:fldCharType="separate"/>
        </w:r>
        <w:r w:rsidR="00211709">
          <w:rPr>
            <w:noProof/>
          </w:rPr>
          <w:t>10</w:t>
        </w:r>
        <w:r>
          <w:rPr>
            <w:noProof/>
          </w:rPr>
          <w:fldChar w:fldCharType="end"/>
        </w:r>
      </w:hyperlink>
    </w:p>
    <w:p w14:paraId="7DCA98F8" w14:textId="6208F2D5" w:rsidR="005E308D" w:rsidRDefault="005E308D">
      <w:pPr>
        <w:pStyle w:val="TOC1"/>
        <w:rPr>
          <w:rFonts w:asciiTheme="minorHAnsi" w:eastAsiaTheme="minorEastAsia" w:hAnsiTheme="minorHAnsi" w:cstheme="minorBidi"/>
          <w:noProof/>
          <w:szCs w:val="22"/>
        </w:rPr>
      </w:pPr>
      <w:hyperlink w:anchor="_Toc119568460" w:history="1">
        <w:r>
          <w:rPr>
            <w:rStyle w:val="afc"/>
            <w:noProof/>
          </w:rPr>
          <w:t>第四部分</w:t>
        </w:r>
        <w:r>
          <w:rPr>
            <w:rStyle w:val="afc"/>
            <w:noProof/>
          </w:rPr>
          <w:t xml:space="preserve">  </w:t>
        </w:r>
        <w:r>
          <w:rPr>
            <w:rStyle w:val="afc"/>
            <w:noProof/>
          </w:rPr>
          <w:t>基金托管人</w:t>
        </w:r>
        <w:r>
          <w:rPr>
            <w:noProof/>
          </w:rPr>
          <w:tab/>
        </w:r>
        <w:r>
          <w:rPr>
            <w:noProof/>
          </w:rPr>
          <w:fldChar w:fldCharType="begin"/>
        </w:r>
        <w:r>
          <w:rPr>
            <w:noProof/>
          </w:rPr>
          <w:instrText xml:space="preserve"> PAGEREF _Toc119568460 \h </w:instrText>
        </w:r>
        <w:r>
          <w:rPr>
            <w:noProof/>
          </w:rPr>
        </w:r>
        <w:r>
          <w:rPr>
            <w:noProof/>
          </w:rPr>
          <w:fldChar w:fldCharType="separate"/>
        </w:r>
        <w:r w:rsidR="00211709">
          <w:rPr>
            <w:noProof/>
          </w:rPr>
          <w:t>22</w:t>
        </w:r>
        <w:r>
          <w:rPr>
            <w:noProof/>
          </w:rPr>
          <w:fldChar w:fldCharType="end"/>
        </w:r>
      </w:hyperlink>
    </w:p>
    <w:p w14:paraId="605B5170" w14:textId="33A463B2" w:rsidR="005E308D" w:rsidRDefault="005E308D">
      <w:pPr>
        <w:pStyle w:val="TOC1"/>
        <w:rPr>
          <w:rFonts w:asciiTheme="minorHAnsi" w:eastAsiaTheme="minorEastAsia" w:hAnsiTheme="minorHAnsi" w:cstheme="minorBidi"/>
          <w:noProof/>
          <w:szCs w:val="22"/>
        </w:rPr>
      </w:pPr>
      <w:hyperlink w:anchor="_Toc119568461" w:history="1">
        <w:r>
          <w:rPr>
            <w:rStyle w:val="afc"/>
            <w:noProof/>
          </w:rPr>
          <w:t>第五部分</w:t>
        </w:r>
        <w:r>
          <w:rPr>
            <w:rStyle w:val="afc"/>
            <w:noProof/>
          </w:rPr>
          <w:t xml:space="preserve">  </w:t>
        </w:r>
        <w:r>
          <w:rPr>
            <w:rStyle w:val="afc"/>
            <w:noProof/>
          </w:rPr>
          <w:t>相关服务机构</w:t>
        </w:r>
        <w:r>
          <w:rPr>
            <w:noProof/>
          </w:rPr>
          <w:tab/>
        </w:r>
        <w:r>
          <w:rPr>
            <w:noProof/>
          </w:rPr>
          <w:fldChar w:fldCharType="begin"/>
        </w:r>
        <w:r>
          <w:rPr>
            <w:noProof/>
          </w:rPr>
          <w:instrText xml:space="preserve"> PAGEREF _Toc119568461 \h </w:instrText>
        </w:r>
        <w:r>
          <w:rPr>
            <w:noProof/>
          </w:rPr>
        </w:r>
        <w:r>
          <w:rPr>
            <w:noProof/>
          </w:rPr>
          <w:fldChar w:fldCharType="separate"/>
        </w:r>
        <w:r w:rsidR="00211709">
          <w:rPr>
            <w:noProof/>
          </w:rPr>
          <w:t>26</w:t>
        </w:r>
        <w:r>
          <w:rPr>
            <w:noProof/>
          </w:rPr>
          <w:fldChar w:fldCharType="end"/>
        </w:r>
      </w:hyperlink>
    </w:p>
    <w:p w14:paraId="2A500C88" w14:textId="6F92694F" w:rsidR="005E308D" w:rsidRDefault="005E308D">
      <w:pPr>
        <w:pStyle w:val="TOC1"/>
        <w:rPr>
          <w:rFonts w:asciiTheme="minorHAnsi" w:eastAsiaTheme="minorEastAsia" w:hAnsiTheme="minorHAnsi" w:cstheme="minorBidi"/>
          <w:noProof/>
          <w:szCs w:val="22"/>
        </w:rPr>
      </w:pPr>
      <w:hyperlink w:anchor="_Toc119568462" w:history="1">
        <w:r>
          <w:rPr>
            <w:rStyle w:val="afc"/>
            <w:noProof/>
          </w:rPr>
          <w:t>第六部分</w:t>
        </w:r>
        <w:r>
          <w:rPr>
            <w:rStyle w:val="afc"/>
            <w:noProof/>
          </w:rPr>
          <w:t xml:space="preserve">  </w:t>
        </w:r>
        <w:r>
          <w:rPr>
            <w:rStyle w:val="afc"/>
            <w:rFonts w:asciiTheme="minorEastAsia" w:hAnsiTheme="minorEastAsia"/>
            <w:noProof/>
          </w:rPr>
          <w:t>基金的募集</w:t>
        </w:r>
        <w:r>
          <w:rPr>
            <w:noProof/>
          </w:rPr>
          <w:tab/>
        </w:r>
        <w:r>
          <w:rPr>
            <w:noProof/>
          </w:rPr>
          <w:fldChar w:fldCharType="begin"/>
        </w:r>
        <w:r>
          <w:rPr>
            <w:noProof/>
          </w:rPr>
          <w:instrText xml:space="preserve"> PAGEREF _Toc119568462 \h </w:instrText>
        </w:r>
        <w:r>
          <w:rPr>
            <w:noProof/>
          </w:rPr>
        </w:r>
        <w:r>
          <w:rPr>
            <w:noProof/>
          </w:rPr>
          <w:fldChar w:fldCharType="separate"/>
        </w:r>
        <w:r w:rsidR="00211709">
          <w:rPr>
            <w:noProof/>
          </w:rPr>
          <w:t>34</w:t>
        </w:r>
        <w:r>
          <w:rPr>
            <w:noProof/>
          </w:rPr>
          <w:fldChar w:fldCharType="end"/>
        </w:r>
      </w:hyperlink>
    </w:p>
    <w:p w14:paraId="5BFD84E3" w14:textId="20ACB663" w:rsidR="005E308D" w:rsidRDefault="005E308D">
      <w:pPr>
        <w:pStyle w:val="TOC1"/>
        <w:rPr>
          <w:rFonts w:asciiTheme="minorHAnsi" w:eastAsiaTheme="minorEastAsia" w:hAnsiTheme="minorHAnsi" w:cstheme="minorBidi"/>
          <w:noProof/>
          <w:szCs w:val="22"/>
        </w:rPr>
      </w:pPr>
      <w:hyperlink w:anchor="_Toc119568463" w:history="1">
        <w:r>
          <w:rPr>
            <w:rStyle w:val="afc"/>
            <w:noProof/>
          </w:rPr>
          <w:t>第七部分</w:t>
        </w:r>
        <w:r>
          <w:rPr>
            <w:rStyle w:val="afc"/>
            <w:noProof/>
          </w:rPr>
          <w:t xml:space="preserve">  </w:t>
        </w:r>
        <w:r>
          <w:rPr>
            <w:rStyle w:val="afc"/>
            <w:noProof/>
          </w:rPr>
          <w:t>基金合同的生效</w:t>
        </w:r>
        <w:r>
          <w:rPr>
            <w:noProof/>
          </w:rPr>
          <w:tab/>
        </w:r>
        <w:r>
          <w:rPr>
            <w:noProof/>
          </w:rPr>
          <w:fldChar w:fldCharType="begin"/>
        </w:r>
        <w:r>
          <w:rPr>
            <w:noProof/>
          </w:rPr>
          <w:instrText xml:space="preserve"> PAGEREF _Toc119568463 \h </w:instrText>
        </w:r>
        <w:r>
          <w:rPr>
            <w:noProof/>
          </w:rPr>
        </w:r>
        <w:r>
          <w:rPr>
            <w:noProof/>
          </w:rPr>
          <w:fldChar w:fldCharType="separate"/>
        </w:r>
        <w:r w:rsidR="00211709">
          <w:rPr>
            <w:noProof/>
          </w:rPr>
          <w:t>35</w:t>
        </w:r>
        <w:r>
          <w:rPr>
            <w:noProof/>
          </w:rPr>
          <w:fldChar w:fldCharType="end"/>
        </w:r>
      </w:hyperlink>
    </w:p>
    <w:p w14:paraId="27DFDD3F" w14:textId="39967570" w:rsidR="005E308D" w:rsidRDefault="005E308D">
      <w:pPr>
        <w:pStyle w:val="TOC1"/>
        <w:rPr>
          <w:rFonts w:asciiTheme="minorHAnsi" w:eastAsiaTheme="minorEastAsia" w:hAnsiTheme="minorHAnsi" w:cstheme="minorBidi"/>
          <w:noProof/>
          <w:szCs w:val="22"/>
        </w:rPr>
      </w:pPr>
      <w:hyperlink w:anchor="_Toc119568464" w:history="1">
        <w:r>
          <w:rPr>
            <w:rStyle w:val="afc"/>
            <w:noProof/>
          </w:rPr>
          <w:t>第八部分</w:t>
        </w:r>
        <w:r>
          <w:rPr>
            <w:rStyle w:val="afc"/>
            <w:noProof/>
          </w:rPr>
          <w:t xml:space="preserve">  </w:t>
        </w:r>
        <w:r>
          <w:rPr>
            <w:rStyle w:val="afc"/>
            <w:noProof/>
          </w:rPr>
          <w:t>基金份额的申购与赎回</w:t>
        </w:r>
        <w:r>
          <w:rPr>
            <w:noProof/>
          </w:rPr>
          <w:tab/>
        </w:r>
        <w:r>
          <w:rPr>
            <w:noProof/>
          </w:rPr>
          <w:fldChar w:fldCharType="begin"/>
        </w:r>
        <w:r>
          <w:rPr>
            <w:noProof/>
          </w:rPr>
          <w:instrText xml:space="preserve"> PAGEREF _Toc119568464 \h </w:instrText>
        </w:r>
        <w:r>
          <w:rPr>
            <w:noProof/>
          </w:rPr>
        </w:r>
        <w:r>
          <w:rPr>
            <w:noProof/>
          </w:rPr>
          <w:fldChar w:fldCharType="separate"/>
        </w:r>
        <w:r w:rsidR="00211709">
          <w:rPr>
            <w:noProof/>
          </w:rPr>
          <w:t>36</w:t>
        </w:r>
        <w:r>
          <w:rPr>
            <w:noProof/>
          </w:rPr>
          <w:fldChar w:fldCharType="end"/>
        </w:r>
      </w:hyperlink>
    </w:p>
    <w:p w14:paraId="52377920" w14:textId="101DEF03" w:rsidR="005E308D" w:rsidRDefault="005E308D">
      <w:pPr>
        <w:pStyle w:val="TOC1"/>
        <w:rPr>
          <w:rFonts w:asciiTheme="minorHAnsi" w:eastAsiaTheme="minorEastAsia" w:hAnsiTheme="minorHAnsi" w:cstheme="minorBidi"/>
          <w:noProof/>
          <w:szCs w:val="22"/>
        </w:rPr>
      </w:pPr>
      <w:hyperlink w:anchor="_Toc119568465" w:history="1">
        <w:r>
          <w:rPr>
            <w:rStyle w:val="afc"/>
            <w:noProof/>
          </w:rPr>
          <w:t>第九部分</w:t>
        </w:r>
        <w:r>
          <w:rPr>
            <w:rStyle w:val="afc"/>
            <w:noProof/>
          </w:rPr>
          <w:t xml:space="preserve">  </w:t>
        </w:r>
        <w:r>
          <w:rPr>
            <w:rStyle w:val="afc"/>
            <w:noProof/>
          </w:rPr>
          <w:t>基金的投资</w:t>
        </w:r>
        <w:r>
          <w:rPr>
            <w:noProof/>
          </w:rPr>
          <w:tab/>
        </w:r>
        <w:r>
          <w:rPr>
            <w:noProof/>
          </w:rPr>
          <w:fldChar w:fldCharType="begin"/>
        </w:r>
        <w:r>
          <w:rPr>
            <w:noProof/>
          </w:rPr>
          <w:instrText xml:space="preserve"> PAGEREF _Toc119568465 \h </w:instrText>
        </w:r>
        <w:r>
          <w:rPr>
            <w:noProof/>
          </w:rPr>
        </w:r>
        <w:r>
          <w:rPr>
            <w:noProof/>
          </w:rPr>
          <w:fldChar w:fldCharType="separate"/>
        </w:r>
        <w:r w:rsidR="00211709">
          <w:rPr>
            <w:noProof/>
          </w:rPr>
          <w:t>47</w:t>
        </w:r>
        <w:r>
          <w:rPr>
            <w:noProof/>
          </w:rPr>
          <w:fldChar w:fldCharType="end"/>
        </w:r>
      </w:hyperlink>
    </w:p>
    <w:p w14:paraId="352EA627" w14:textId="38424A4F" w:rsidR="005E308D" w:rsidRDefault="005E308D">
      <w:pPr>
        <w:pStyle w:val="TOC1"/>
        <w:rPr>
          <w:rFonts w:asciiTheme="minorHAnsi" w:eastAsiaTheme="minorEastAsia" w:hAnsiTheme="minorHAnsi" w:cstheme="minorBidi"/>
          <w:noProof/>
          <w:szCs w:val="22"/>
        </w:rPr>
      </w:pPr>
      <w:hyperlink w:anchor="_Toc119568466" w:history="1">
        <w:r>
          <w:rPr>
            <w:rStyle w:val="afc"/>
            <w:noProof/>
          </w:rPr>
          <w:t>第十部分</w:t>
        </w:r>
        <w:r>
          <w:rPr>
            <w:rStyle w:val="afc"/>
            <w:noProof/>
          </w:rPr>
          <w:t xml:space="preserve">  </w:t>
        </w:r>
        <w:r>
          <w:rPr>
            <w:rStyle w:val="afc"/>
            <w:noProof/>
          </w:rPr>
          <w:t>基金的财产</w:t>
        </w:r>
        <w:r>
          <w:rPr>
            <w:noProof/>
          </w:rPr>
          <w:tab/>
        </w:r>
        <w:r>
          <w:rPr>
            <w:noProof/>
          </w:rPr>
          <w:fldChar w:fldCharType="begin"/>
        </w:r>
        <w:r>
          <w:rPr>
            <w:noProof/>
          </w:rPr>
          <w:instrText xml:space="preserve"> PAGEREF _Toc119568466 \h </w:instrText>
        </w:r>
        <w:r>
          <w:rPr>
            <w:noProof/>
          </w:rPr>
        </w:r>
        <w:r>
          <w:rPr>
            <w:noProof/>
          </w:rPr>
          <w:fldChar w:fldCharType="separate"/>
        </w:r>
        <w:r w:rsidR="00211709">
          <w:rPr>
            <w:noProof/>
          </w:rPr>
          <w:t>62</w:t>
        </w:r>
        <w:r>
          <w:rPr>
            <w:noProof/>
          </w:rPr>
          <w:fldChar w:fldCharType="end"/>
        </w:r>
      </w:hyperlink>
    </w:p>
    <w:p w14:paraId="59A904BA" w14:textId="6C24FFC2" w:rsidR="005E308D" w:rsidRDefault="005E308D">
      <w:pPr>
        <w:pStyle w:val="TOC1"/>
        <w:rPr>
          <w:rFonts w:asciiTheme="minorHAnsi" w:eastAsiaTheme="minorEastAsia" w:hAnsiTheme="minorHAnsi" w:cstheme="minorBidi"/>
          <w:noProof/>
          <w:szCs w:val="22"/>
        </w:rPr>
      </w:pPr>
      <w:hyperlink w:anchor="_Toc119568467" w:history="1">
        <w:r>
          <w:rPr>
            <w:rStyle w:val="afc"/>
            <w:noProof/>
          </w:rPr>
          <w:t>第十一部分</w:t>
        </w:r>
        <w:r>
          <w:rPr>
            <w:rStyle w:val="afc"/>
            <w:noProof/>
          </w:rPr>
          <w:t xml:space="preserve">  </w:t>
        </w:r>
        <w:r>
          <w:rPr>
            <w:rStyle w:val="afc"/>
            <w:noProof/>
          </w:rPr>
          <w:t>基金资产的估值</w:t>
        </w:r>
        <w:r>
          <w:rPr>
            <w:noProof/>
          </w:rPr>
          <w:tab/>
        </w:r>
        <w:r>
          <w:rPr>
            <w:noProof/>
          </w:rPr>
          <w:fldChar w:fldCharType="begin"/>
        </w:r>
        <w:r>
          <w:rPr>
            <w:noProof/>
          </w:rPr>
          <w:instrText xml:space="preserve"> PAGEREF _Toc119568467 \h </w:instrText>
        </w:r>
        <w:r>
          <w:rPr>
            <w:noProof/>
          </w:rPr>
        </w:r>
        <w:r>
          <w:rPr>
            <w:noProof/>
          </w:rPr>
          <w:fldChar w:fldCharType="separate"/>
        </w:r>
        <w:r w:rsidR="00211709">
          <w:rPr>
            <w:noProof/>
          </w:rPr>
          <w:t>63</w:t>
        </w:r>
        <w:r>
          <w:rPr>
            <w:noProof/>
          </w:rPr>
          <w:fldChar w:fldCharType="end"/>
        </w:r>
      </w:hyperlink>
    </w:p>
    <w:p w14:paraId="44273640" w14:textId="7684C031" w:rsidR="005E308D" w:rsidRDefault="005E308D">
      <w:pPr>
        <w:pStyle w:val="TOC1"/>
        <w:rPr>
          <w:rFonts w:asciiTheme="minorHAnsi" w:eastAsiaTheme="minorEastAsia" w:hAnsiTheme="minorHAnsi" w:cstheme="minorBidi"/>
          <w:noProof/>
          <w:szCs w:val="22"/>
        </w:rPr>
      </w:pPr>
      <w:hyperlink w:anchor="_Toc119568468" w:history="1">
        <w:r>
          <w:rPr>
            <w:rStyle w:val="afc"/>
            <w:noProof/>
          </w:rPr>
          <w:t>第十二部分</w:t>
        </w:r>
        <w:r>
          <w:rPr>
            <w:rStyle w:val="afc"/>
            <w:noProof/>
          </w:rPr>
          <w:t xml:space="preserve">  </w:t>
        </w:r>
        <w:r>
          <w:rPr>
            <w:rStyle w:val="afc"/>
            <w:noProof/>
          </w:rPr>
          <w:t>基金的收益分配</w:t>
        </w:r>
        <w:r>
          <w:rPr>
            <w:noProof/>
          </w:rPr>
          <w:tab/>
        </w:r>
        <w:r>
          <w:rPr>
            <w:noProof/>
          </w:rPr>
          <w:fldChar w:fldCharType="begin"/>
        </w:r>
        <w:r>
          <w:rPr>
            <w:noProof/>
          </w:rPr>
          <w:instrText xml:space="preserve"> PAGEREF _Toc119568468 \h </w:instrText>
        </w:r>
        <w:r>
          <w:rPr>
            <w:noProof/>
          </w:rPr>
        </w:r>
        <w:r>
          <w:rPr>
            <w:noProof/>
          </w:rPr>
          <w:fldChar w:fldCharType="separate"/>
        </w:r>
        <w:r w:rsidR="00211709">
          <w:rPr>
            <w:noProof/>
          </w:rPr>
          <w:t>69</w:t>
        </w:r>
        <w:r>
          <w:rPr>
            <w:noProof/>
          </w:rPr>
          <w:fldChar w:fldCharType="end"/>
        </w:r>
      </w:hyperlink>
    </w:p>
    <w:p w14:paraId="2F59178F" w14:textId="237D41CA" w:rsidR="005E308D" w:rsidRDefault="005E308D">
      <w:pPr>
        <w:pStyle w:val="TOC1"/>
        <w:rPr>
          <w:rFonts w:asciiTheme="minorHAnsi" w:eastAsiaTheme="minorEastAsia" w:hAnsiTheme="minorHAnsi" w:cstheme="minorBidi"/>
          <w:noProof/>
          <w:szCs w:val="22"/>
        </w:rPr>
      </w:pPr>
      <w:hyperlink w:anchor="_Toc119568469" w:history="1">
        <w:r>
          <w:rPr>
            <w:rStyle w:val="afc"/>
            <w:noProof/>
          </w:rPr>
          <w:t>第十三部分</w:t>
        </w:r>
        <w:r>
          <w:rPr>
            <w:rStyle w:val="afc"/>
            <w:noProof/>
          </w:rPr>
          <w:t xml:space="preserve">  </w:t>
        </w:r>
        <w:r>
          <w:rPr>
            <w:rStyle w:val="afc"/>
            <w:noProof/>
          </w:rPr>
          <w:t>基金费用与税收</w:t>
        </w:r>
        <w:r>
          <w:rPr>
            <w:noProof/>
          </w:rPr>
          <w:tab/>
        </w:r>
        <w:r>
          <w:rPr>
            <w:noProof/>
          </w:rPr>
          <w:fldChar w:fldCharType="begin"/>
        </w:r>
        <w:r>
          <w:rPr>
            <w:noProof/>
          </w:rPr>
          <w:instrText xml:space="preserve"> PAGEREF _Toc119568469 \h </w:instrText>
        </w:r>
        <w:r>
          <w:rPr>
            <w:noProof/>
          </w:rPr>
        </w:r>
        <w:r>
          <w:rPr>
            <w:noProof/>
          </w:rPr>
          <w:fldChar w:fldCharType="separate"/>
        </w:r>
        <w:r w:rsidR="00211709">
          <w:rPr>
            <w:noProof/>
          </w:rPr>
          <w:t>71</w:t>
        </w:r>
        <w:r>
          <w:rPr>
            <w:noProof/>
          </w:rPr>
          <w:fldChar w:fldCharType="end"/>
        </w:r>
      </w:hyperlink>
    </w:p>
    <w:p w14:paraId="07E9886B" w14:textId="5B619853" w:rsidR="005E308D" w:rsidRDefault="005E308D">
      <w:pPr>
        <w:pStyle w:val="TOC1"/>
        <w:rPr>
          <w:rFonts w:asciiTheme="minorHAnsi" w:eastAsiaTheme="minorEastAsia" w:hAnsiTheme="minorHAnsi" w:cstheme="minorBidi"/>
          <w:noProof/>
          <w:szCs w:val="22"/>
        </w:rPr>
      </w:pPr>
      <w:hyperlink w:anchor="_Toc119568470" w:history="1">
        <w:r>
          <w:rPr>
            <w:rStyle w:val="afc"/>
            <w:noProof/>
          </w:rPr>
          <w:t>第十四部分</w:t>
        </w:r>
        <w:r>
          <w:rPr>
            <w:rStyle w:val="afc"/>
            <w:noProof/>
          </w:rPr>
          <w:t xml:space="preserve">  </w:t>
        </w:r>
        <w:r>
          <w:rPr>
            <w:rStyle w:val="afc"/>
            <w:noProof/>
          </w:rPr>
          <w:t>基金的会计与审计</w:t>
        </w:r>
        <w:r>
          <w:rPr>
            <w:noProof/>
          </w:rPr>
          <w:tab/>
        </w:r>
        <w:r>
          <w:rPr>
            <w:noProof/>
          </w:rPr>
          <w:fldChar w:fldCharType="begin"/>
        </w:r>
        <w:r>
          <w:rPr>
            <w:noProof/>
          </w:rPr>
          <w:instrText xml:space="preserve"> PAGEREF _Toc119568470 \h </w:instrText>
        </w:r>
        <w:r>
          <w:rPr>
            <w:noProof/>
          </w:rPr>
        </w:r>
        <w:r>
          <w:rPr>
            <w:noProof/>
          </w:rPr>
          <w:fldChar w:fldCharType="separate"/>
        </w:r>
        <w:r w:rsidR="00211709">
          <w:rPr>
            <w:noProof/>
          </w:rPr>
          <w:t>74</w:t>
        </w:r>
        <w:r>
          <w:rPr>
            <w:noProof/>
          </w:rPr>
          <w:fldChar w:fldCharType="end"/>
        </w:r>
      </w:hyperlink>
    </w:p>
    <w:p w14:paraId="25231E94" w14:textId="0D5E0F8A" w:rsidR="005E308D" w:rsidRDefault="005E308D">
      <w:pPr>
        <w:pStyle w:val="TOC1"/>
        <w:rPr>
          <w:rFonts w:asciiTheme="minorHAnsi" w:eastAsiaTheme="minorEastAsia" w:hAnsiTheme="minorHAnsi" w:cstheme="minorBidi"/>
          <w:noProof/>
          <w:szCs w:val="22"/>
        </w:rPr>
      </w:pPr>
      <w:hyperlink w:anchor="_Toc119568471" w:history="1">
        <w:r>
          <w:rPr>
            <w:rStyle w:val="afc"/>
            <w:noProof/>
          </w:rPr>
          <w:t>第十五部分</w:t>
        </w:r>
        <w:r>
          <w:rPr>
            <w:rStyle w:val="afc"/>
            <w:noProof/>
          </w:rPr>
          <w:t xml:space="preserve">  </w:t>
        </w:r>
        <w:r>
          <w:rPr>
            <w:rStyle w:val="afc"/>
            <w:noProof/>
          </w:rPr>
          <w:t>基金的信息披露</w:t>
        </w:r>
        <w:r>
          <w:rPr>
            <w:noProof/>
          </w:rPr>
          <w:tab/>
        </w:r>
        <w:r>
          <w:rPr>
            <w:noProof/>
          </w:rPr>
          <w:fldChar w:fldCharType="begin"/>
        </w:r>
        <w:r>
          <w:rPr>
            <w:noProof/>
          </w:rPr>
          <w:instrText xml:space="preserve"> PAGEREF _Toc119568471 \h </w:instrText>
        </w:r>
        <w:r>
          <w:rPr>
            <w:noProof/>
          </w:rPr>
        </w:r>
        <w:r>
          <w:rPr>
            <w:noProof/>
          </w:rPr>
          <w:fldChar w:fldCharType="separate"/>
        </w:r>
        <w:r w:rsidR="00211709">
          <w:rPr>
            <w:noProof/>
          </w:rPr>
          <w:t>75</w:t>
        </w:r>
        <w:r>
          <w:rPr>
            <w:noProof/>
          </w:rPr>
          <w:fldChar w:fldCharType="end"/>
        </w:r>
      </w:hyperlink>
    </w:p>
    <w:p w14:paraId="4F58E5F6" w14:textId="6B781C44" w:rsidR="005E308D" w:rsidRDefault="005E308D">
      <w:pPr>
        <w:pStyle w:val="TOC1"/>
        <w:rPr>
          <w:rFonts w:asciiTheme="minorHAnsi" w:eastAsiaTheme="minorEastAsia" w:hAnsiTheme="minorHAnsi" w:cstheme="minorBidi"/>
          <w:noProof/>
          <w:szCs w:val="22"/>
        </w:rPr>
      </w:pPr>
      <w:hyperlink w:anchor="_Toc119568472" w:history="1">
        <w:r>
          <w:rPr>
            <w:rStyle w:val="afc"/>
            <w:rFonts w:cs="Arial"/>
            <w:noProof/>
          </w:rPr>
          <w:t>第十六部分</w:t>
        </w:r>
        <w:r>
          <w:rPr>
            <w:rStyle w:val="afc"/>
            <w:rFonts w:cs="Arial"/>
            <w:noProof/>
          </w:rPr>
          <w:t xml:space="preserve"> </w:t>
        </w:r>
        <w:r>
          <w:rPr>
            <w:rStyle w:val="afc"/>
            <w:rFonts w:cs="Arial"/>
            <w:noProof/>
          </w:rPr>
          <w:t>侧袋机制</w:t>
        </w:r>
        <w:r>
          <w:rPr>
            <w:noProof/>
          </w:rPr>
          <w:tab/>
        </w:r>
        <w:r>
          <w:rPr>
            <w:noProof/>
          </w:rPr>
          <w:fldChar w:fldCharType="begin"/>
        </w:r>
        <w:r>
          <w:rPr>
            <w:noProof/>
          </w:rPr>
          <w:instrText xml:space="preserve"> PAGEREF _Toc119568472 \h </w:instrText>
        </w:r>
        <w:r>
          <w:rPr>
            <w:noProof/>
          </w:rPr>
        </w:r>
        <w:r>
          <w:rPr>
            <w:noProof/>
          </w:rPr>
          <w:fldChar w:fldCharType="separate"/>
        </w:r>
        <w:r w:rsidR="00211709">
          <w:rPr>
            <w:noProof/>
          </w:rPr>
          <w:t>82</w:t>
        </w:r>
        <w:r>
          <w:rPr>
            <w:noProof/>
          </w:rPr>
          <w:fldChar w:fldCharType="end"/>
        </w:r>
      </w:hyperlink>
    </w:p>
    <w:p w14:paraId="207AF22D" w14:textId="062E943D" w:rsidR="005E308D" w:rsidRDefault="005E308D">
      <w:pPr>
        <w:pStyle w:val="TOC1"/>
        <w:rPr>
          <w:rFonts w:asciiTheme="minorHAnsi" w:eastAsiaTheme="minorEastAsia" w:hAnsiTheme="minorHAnsi" w:cstheme="minorBidi"/>
          <w:noProof/>
          <w:szCs w:val="22"/>
        </w:rPr>
      </w:pPr>
      <w:hyperlink w:anchor="_Toc119568473" w:history="1">
        <w:r>
          <w:rPr>
            <w:rStyle w:val="afc"/>
            <w:noProof/>
          </w:rPr>
          <w:t>第十七部分</w:t>
        </w:r>
        <w:r>
          <w:rPr>
            <w:rStyle w:val="afc"/>
            <w:noProof/>
          </w:rPr>
          <w:t xml:space="preserve">  </w:t>
        </w:r>
        <w:r>
          <w:rPr>
            <w:rStyle w:val="afc"/>
            <w:noProof/>
          </w:rPr>
          <w:t>风险揭示</w:t>
        </w:r>
        <w:r>
          <w:rPr>
            <w:noProof/>
          </w:rPr>
          <w:tab/>
        </w:r>
        <w:r>
          <w:rPr>
            <w:noProof/>
          </w:rPr>
          <w:fldChar w:fldCharType="begin"/>
        </w:r>
        <w:r>
          <w:rPr>
            <w:noProof/>
          </w:rPr>
          <w:instrText xml:space="preserve"> PAGEREF _Toc119568473 \h </w:instrText>
        </w:r>
        <w:r>
          <w:rPr>
            <w:noProof/>
          </w:rPr>
        </w:r>
        <w:r>
          <w:rPr>
            <w:noProof/>
          </w:rPr>
          <w:fldChar w:fldCharType="separate"/>
        </w:r>
        <w:r w:rsidR="00211709">
          <w:rPr>
            <w:noProof/>
          </w:rPr>
          <w:t>85</w:t>
        </w:r>
        <w:r>
          <w:rPr>
            <w:noProof/>
          </w:rPr>
          <w:fldChar w:fldCharType="end"/>
        </w:r>
      </w:hyperlink>
    </w:p>
    <w:p w14:paraId="27A959BA" w14:textId="18694644" w:rsidR="005E308D" w:rsidRDefault="005E308D">
      <w:pPr>
        <w:pStyle w:val="TOC1"/>
        <w:rPr>
          <w:rFonts w:asciiTheme="minorHAnsi" w:eastAsiaTheme="minorEastAsia" w:hAnsiTheme="minorHAnsi" w:cstheme="minorBidi"/>
          <w:noProof/>
          <w:szCs w:val="22"/>
        </w:rPr>
      </w:pPr>
      <w:hyperlink w:anchor="_Toc119568474" w:history="1">
        <w:r>
          <w:rPr>
            <w:rStyle w:val="afc"/>
            <w:noProof/>
          </w:rPr>
          <w:t>第十八部分</w:t>
        </w:r>
        <w:r>
          <w:rPr>
            <w:rStyle w:val="afc"/>
            <w:noProof/>
          </w:rPr>
          <w:t xml:space="preserve">  </w:t>
        </w:r>
        <w:r>
          <w:rPr>
            <w:rStyle w:val="afc"/>
            <w:noProof/>
          </w:rPr>
          <w:t>基金合同的变更、终止与基金财产的清算</w:t>
        </w:r>
        <w:r>
          <w:rPr>
            <w:noProof/>
          </w:rPr>
          <w:tab/>
        </w:r>
        <w:r>
          <w:rPr>
            <w:noProof/>
          </w:rPr>
          <w:fldChar w:fldCharType="begin"/>
        </w:r>
        <w:r>
          <w:rPr>
            <w:noProof/>
          </w:rPr>
          <w:instrText xml:space="preserve"> PAGEREF _Toc119568474 \h </w:instrText>
        </w:r>
        <w:r>
          <w:rPr>
            <w:noProof/>
          </w:rPr>
        </w:r>
        <w:r>
          <w:rPr>
            <w:noProof/>
          </w:rPr>
          <w:fldChar w:fldCharType="separate"/>
        </w:r>
        <w:r w:rsidR="00211709">
          <w:rPr>
            <w:noProof/>
          </w:rPr>
          <w:t>90</w:t>
        </w:r>
        <w:r>
          <w:rPr>
            <w:noProof/>
          </w:rPr>
          <w:fldChar w:fldCharType="end"/>
        </w:r>
      </w:hyperlink>
    </w:p>
    <w:p w14:paraId="26E402F2" w14:textId="5DD6E3C5" w:rsidR="005E308D" w:rsidRDefault="005E308D">
      <w:pPr>
        <w:pStyle w:val="TOC1"/>
        <w:rPr>
          <w:rFonts w:asciiTheme="minorHAnsi" w:eastAsiaTheme="minorEastAsia" w:hAnsiTheme="minorHAnsi" w:cstheme="minorBidi"/>
          <w:noProof/>
          <w:szCs w:val="22"/>
        </w:rPr>
      </w:pPr>
      <w:hyperlink w:anchor="_Toc119568475" w:history="1">
        <w:r>
          <w:rPr>
            <w:rStyle w:val="afc"/>
            <w:noProof/>
          </w:rPr>
          <w:t>第十九部分</w:t>
        </w:r>
        <w:r>
          <w:rPr>
            <w:rStyle w:val="afc"/>
            <w:noProof/>
          </w:rPr>
          <w:t xml:space="preserve">  </w:t>
        </w:r>
        <w:r>
          <w:rPr>
            <w:rStyle w:val="afc"/>
            <w:noProof/>
          </w:rPr>
          <w:t>基金合同的内容摘要</w:t>
        </w:r>
        <w:r>
          <w:rPr>
            <w:noProof/>
          </w:rPr>
          <w:tab/>
        </w:r>
        <w:r>
          <w:rPr>
            <w:noProof/>
          </w:rPr>
          <w:fldChar w:fldCharType="begin"/>
        </w:r>
        <w:r>
          <w:rPr>
            <w:noProof/>
          </w:rPr>
          <w:instrText xml:space="preserve"> PAGEREF _Toc119568475 \h </w:instrText>
        </w:r>
        <w:r>
          <w:rPr>
            <w:noProof/>
          </w:rPr>
        </w:r>
        <w:r>
          <w:rPr>
            <w:noProof/>
          </w:rPr>
          <w:fldChar w:fldCharType="separate"/>
        </w:r>
        <w:r w:rsidR="00211709">
          <w:rPr>
            <w:noProof/>
          </w:rPr>
          <w:t>92</w:t>
        </w:r>
        <w:r>
          <w:rPr>
            <w:noProof/>
          </w:rPr>
          <w:fldChar w:fldCharType="end"/>
        </w:r>
      </w:hyperlink>
    </w:p>
    <w:p w14:paraId="1451D79B" w14:textId="5AF239A0" w:rsidR="005E308D" w:rsidRDefault="005E308D">
      <w:pPr>
        <w:pStyle w:val="TOC1"/>
        <w:rPr>
          <w:rFonts w:asciiTheme="minorHAnsi" w:eastAsiaTheme="minorEastAsia" w:hAnsiTheme="minorHAnsi" w:cstheme="minorBidi"/>
          <w:noProof/>
          <w:szCs w:val="22"/>
        </w:rPr>
      </w:pPr>
      <w:hyperlink w:anchor="_Toc119568476" w:history="1">
        <w:r>
          <w:rPr>
            <w:rStyle w:val="afc"/>
            <w:noProof/>
          </w:rPr>
          <w:t>第二十部分</w:t>
        </w:r>
        <w:r>
          <w:rPr>
            <w:rStyle w:val="afc"/>
            <w:noProof/>
          </w:rPr>
          <w:t xml:space="preserve">  </w:t>
        </w:r>
        <w:r>
          <w:rPr>
            <w:rStyle w:val="afc"/>
            <w:noProof/>
          </w:rPr>
          <w:t>基金托管协议的内容摘要</w:t>
        </w:r>
        <w:r>
          <w:rPr>
            <w:noProof/>
          </w:rPr>
          <w:tab/>
        </w:r>
        <w:r>
          <w:rPr>
            <w:noProof/>
          </w:rPr>
          <w:fldChar w:fldCharType="begin"/>
        </w:r>
        <w:r>
          <w:rPr>
            <w:noProof/>
          </w:rPr>
          <w:instrText xml:space="preserve"> PAGEREF _Toc119568476 \h </w:instrText>
        </w:r>
        <w:r>
          <w:rPr>
            <w:noProof/>
          </w:rPr>
        </w:r>
        <w:r>
          <w:rPr>
            <w:noProof/>
          </w:rPr>
          <w:fldChar w:fldCharType="separate"/>
        </w:r>
        <w:r w:rsidR="00211709">
          <w:rPr>
            <w:noProof/>
          </w:rPr>
          <w:t>110</w:t>
        </w:r>
        <w:r>
          <w:rPr>
            <w:noProof/>
          </w:rPr>
          <w:fldChar w:fldCharType="end"/>
        </w:r>
      </w:hyperlink>
    </w:p>
    <w:p w14:paraId="22C9190C" w14:textId="3D769039" w:rsidR="005E308D" w:rsidRDefault="005E308D">
      <w:pPr>
        <w:pStyle w:val="TOC1"/>
        <w:rPr>
          <w:rFonts w:asciiTheme="minorHAnsi" w:eastAsiaTheme="minorEastAsia" w:hAnsiTheme="minorHAnsi" w:cstheme="minorBidi"/>
          <w:noProof/>
          <w:szCs w:val="22"/>
        </w:rPr>
      </w:pPr>
      <w:hyperlink w:anchor="_Toc119568477" w:history="1">
        <w:r>
          <w:rPr>
            <w:rStyle w:val="afc"/>
            <w:noProof/>
          </w:rPr>
          <w:t>第二十一部分</w:t>
        </w:r>
        <w:r>
          <w:rPr>
            <w:rStyle w:val="afc"/>
            <w:noProof/>
          </w:rPr>
          <w:t xml:space="preserve">  </w:t>
        </w:r>
        <w:r>
          <w:rPr>
            <w:rStyle w:val="afc"/>
            <w:noProof/>
          </w:rPr>
          <w:t>对基金份额持有人的服务</w:t>
        </w:r>
        <w:r>
          <w:rPr>
            <w:noProof/>
          </w:rPr>
          <w:tab/>
        </w:r>
        <w:r>
          <w:rPr>
            <w:noProof/>
          </w:rPr>
          <w:fldChar w:fldCharType="begin"/>
        </w:r>
        <w:r>
          <w:rPr>
            <w:noProof/>
          </w:rPr>
          <w:instrText xml:space="preserve"> PAGEREF _Toc119568477 \h </w:instrText>
        </w:r>
        <w:r>
          <w:rPr>
            <w:noProof/>
          </w:rPr>
        </w:r>
        <w:r>
          <w:rPr>
            <w:noProof/>
          </w:rPr>
          <w:fldChar w:fldCharType="separate"/>
        </w:r>
        <w:r w:rsidR="00211709">
          <w:rPr>
            <w:noProof/>
          </w:rPr>
          <w:t>133</w:t>
        </w:r>
        <w:r>
          <w:rPr>
            <w:noProof/>
          </w:rPr>
          <w:fldChar w:fldCharType="end"/>
        </w:r>
      </w:hyperlink>
    </w:p>
    <w:p w14:paraId="17D29CA1" w14:textId="143CF5BF" w:rsidR="005E308D" w:rsidRDefault="005E308D">
      <w:pPr>
        <w:pStyle w:val="TOC1"/>
        <w:rPr>
          <w:rFonts w:asciiTheme="minorHAnsi" w:eastAsiaTheme="minorEastAsia" w:hAnsiTheme="minorHAnsi" w:cstheme="minorBidi"/>
          <w:noProof/>
          <w:szCs w:val="22"/>
        </w:rPr>
      </w:pPr>
      <w:hyperlink w:anchor="_Toc119568478" w:history="1">
        <w:r>
          <w:rPr>
            <w:rStyle w:val="afc"/>
            <w:rFonts w:asciiTheme="minorEastAsia" w:hAnsiTheme="minorEastAsia"/>
            <w:noProof/>
          </w:rPr>
          <w:t>第二十二部分  其他应披露事项</w:t>
        </w:r>
        <w:r>
          <w:rPr>
            <w:noProof/>
          </w:rPr>
          <w:tab/>
        </w:r>
        <w:r>
          <w:rPr>
            <w:noProof/>
          </w:rPr>
          <w:fldChar w:fldCharType="begin"/>
        </w:r>
        <w:r>
          <w:rPr>
            <w:noProof/>
          </w:rPr>
          <w:instrText xml:space="preserve"> PAGEREF _Toc119568478 \h </w:instrText>
        </w:r>
        <w:r>
          <w:rPr>
            <w:noProof/>
          </w:rPr>
        </w:r>
        <w:r>
          <w:rPr>
            <w:noProof/>
          </w:rPr>
          <w:fldChar w:fldCharType="separate"/>
        </w:r>
        <w:r w:rsidR="00211709">
          <w:rPr>
            <w:noProof/>
          </w:rPr>
          <w:t>135</w:t>
        </w:r>
        <w:r>
          <w:rPr>
            <w:noProof/>
          </w:rPr>
          <w:fldChar w:fldCharType="end"/>
        </w:r>
      </w:hyperlink>
    </w:p>
    <w:p w14:paraId="05CF99F8" w14:textId="4B7359F0" w:rsidR="005E308D" w:rsidRDefault="005E308D">
      <w:pPr>
        <w:pStyle w:val="TOC1"/>
        <w:rPr>
          <w:rFonts w:asciiTheme="minorHAnsi" w:eastAsiaTheme="minorEastAsia" w:hAnsiTheme="minorHAnsi" w:cstheme="minorBidi"/>
          <w:noProof/>
          <w:szCs w:val="22"/>
        </w:rPr>
      </w:pPr>
      <w:hyperlink w:anchor="_Toc119568479" w:history="1">
        <w:r>
          <w:rPr>
            <w:rStyle w:val="afc"/>
            <w:noProof/>
          </w:rPr>
          <w:t>第二十三部分</w:t>
        </w:r>
        <w:r>
          <w:rPr>
            <w:rStyle w:val="afc"/>
            <w:noProof/>
          </w:rPr>
          <w:t xml:space="preserve">  </w:t>
        </w:r>
        <w:r>
          <w:rPr>
            <w:rStyle w:val="afc"/>
            <w:noProof/>
          </w:rPr>
          <w:t>招募说明书存放及查阅方式</w:t>
        </w:r>
        <w:r>
          <w:rPr>
            <w:noProof/>
          </w:rPr>
          <w:tab/>
        </w:r>
        <w:r>
          <w:rPr>
            <w:noProof/>
          </w:rPr>
          <w:fldChar w:fldCharType="begin"/>
        </w:r>
        <w:r>
          <w:rPr>
            <w:noProof/>
          </w:rPr>
          <w:instrText xml:space="preserve"> PAGEREF _Toc119568479 \h </w:instrText>
        </w:r>
        <w:r>
          <w:rPr>
            <w:noProof/>
          </w:rPr>
        </w:r>
        <w:r>
          <w:rPr>
            <w:noProof/>
          </w:rPr>
          <w:fldChar w:fldCharType="separate"/>
        </w:r>
        <w:r w:rsidR="00211709">
          <w:rPr>
            <w:noProof/>
          </w:rPr>
          <w:t>137</w:t>
        </w:r>
        <w:r>
          <w:rPr>
            <w:noProof/>
          </w:rPr>
          <w:fldChar w:fldCharType="end"/>
        </w:r>
      </w:hyperlink>
    </w:p>
    <w:p w14:paraId="08526B88" w14:textId="3B76790E" w:rsidR="005E308D" w:rsidRDefault="005E308D">
      <w:pPr>
        <w:pStyle w:val="TOC1"/>
        <w:rPr>
          <w:rFonts w:asciiTheme="minorHAnsi" w:eastAsiaTheme="minorEastAsia" w:hAnsiTheme="minorHAnsi" w:cstheme="minorBidi"/>
          <w:noProof/>
          <w:szCs w:val="22"/>
        </w:rPr>
      </w:pPr>
      <w:hyperlink w:anchor="_Toc119568480" w:history="1">
        <w:r>
          <w:rPr>
            <w:rStyle w:val="afc"/>
            <w:noProof/>
          </w:rPr>
          <w:t>第二十四部分</w:t>
        </w:r>
        <w:r>
          <w:rPr>
            <w:rStyle w:val="afc"/>
            <w:noProof/>
          </w:rPr>
          <w:t xml:space="preserve">  </w:t>
        </w:r>
        <w:r>
          <w:rPr>
            <w:rStyle w:val="afc"/>
            <w:noProof/>
          </w:rPr>
          <w:t>备查文件</w:t>
        </w:r>
        <w:r>
          <w:rPr>
            <w:noProof/>
          </w:rPr>
          <w:tab/>
        </w:r>
        <w:r>
          <w:rPr>
            <w:noProof/>
          </w:rPr>
          <w:fldChar w:fldCharType="begin"/>
        </w:r>
        <w:r>
          <w:rPr>
            <w:noProof/>
          </w:rPr>
          <w:instrText xml:space="preserve"> PAGEREF _Toc119568480 \h </w:instrText>
        </w:r>
        <w:r>
          <w:rPr>
            <w:noProof/>
          </w:rPr>
        </w:r>
        <w:r>
          <w:rPr>
            <w:noProof/>
          </w:rPr>
          <w:fldChar w:fldCharType="separate"/>
        </w:r>
        <w:r w:rsidR="00211709">
          <w:rPr>
            <w:noProof/>
          </w:rPr>
          <w:t>138</w:t>
        </w:r>
        <w:r>
          <w:rPr>
            <w:noProof/>
          </w:rPr>
          <w:fldChar w:fldCharType="end"/>
        </w:r>
      </w:hyperlink>
    </w:p>
    <w:p w14:paraId="5CF3E8DE" w14:textId="77777777" w:rsidR="005E308D" w:rsidRDefault="00945B44">
      <w:pPr>
        <w:sectPr w:rsidR="005E308D">
          <w:headerReference w:type="even" r:id="rId18"/>
          <w:headerReference w:type="first" r:id="rId19"/>
          <w:pgSz w:w="11906" w:h="16838"/>
          <w:pgMar w:top="1440" w:right="1800" w:bottom="1440" w:left="1800" w:header="851" w:footer="992" w:gutter="0"/>
          <w:pgNumType w:chapStyle="1"/>
          <w:cols w:space="720"/>
          <w:docGrid w:type="lines" w:linePitch="312"/>
        </w:sectPr>
      </w:pPr>
      <w:r>
        <w:fldChar w:fldCharType="end"/>
      </w:r>
      <w:bookmarkStart w:id="32" w:name="_Toc263092309"/>
      <w:bookmarkStart w:id="33" w:name="_Toc416264537"/>
      <w:bookmarkStart w:id="34" w:name="_Toc24860"/>
      <w:bookmarkStart w:id="35" w:name="_Toc819"/>
      <w:bookmarkStart w:id="36" w:name="_Toc258829399"/>
      <w:bookmarkStart w:id="37" w:name="_Toc2465"/>
      <w:bookmarkStart w:id="38" w:name="_Toc13020"/>
      <w:bookmarkStart w:id="39" w:name="_Toc15067"/>
      <w:bookmarkStart w:id="40" w:name="_Toc3224"/>
      <w:bookmarkStart w:id="41" w:name="_Toc21301"/>
      <w:bookmarkStart w:id="42" w:name="_Toc22864"/>
      <w:bookmarkStart w:id="43" w:name="_Toc19592"/>
      <w:bookmarkStart w:id="44" w:name="_Toc31551"/>
      <w:bookmarkStart w:id="45" w:name="_Toc352229747"/>
      <w:bookmarkStart w:id="46" w:name="_Toc661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43969CA" w14:textId="77777777" w:rsidR="005E308D" w:rsidRDefault="00945B44">
      <w:pPr>
        <w:pStyle w:val="1"/>
        <w:jc w:val="center"/>
        <w:rPr>
          <w:sz w:val="30"/>
          <w:szCs w:val="30"/>
        </w:rPr>
      </w:pPr>
      <w:bookmarkStart w:id="47" w:name="_Toc68266288"/>
      <w:bookmarkStart w:id="48" w:name="_Toc119568457"/>
      <w:r>
        <w:rPr>
          <w:rFonts w:hint="eastAsia"/>
          <w:sz w:val="30"/>
          <w:szCs w:val="30"/>
        </w:rPr>
        <w:lastRenderedPageBreak/>
        <w:t>第一部分</w:t>
      </w:r>
      <w:r>
        <w:rPr>
          <w:sz w:val="30"/>
          <w:szCs w:val="30"/>
        </w:rPr>
        <w:t xml:space="preserve">  </w:t>
      </w:r>
      <w:r>
        <w:rPr>
          <w:rFonts w:hint="eastAsia"/>
          <w:sz w:val="30"/>
          <w:szCs w:val="30"/>
        </w:rPr>
        <w:t>绪言</w:t>
      </w:r>
      <w:bookmarkEnd w:id="32"/>
      <w:bookmarkEnd w:id="33"/>
      <w:bookmarkEnd w:id="47"/>
      <w:bookmarkEnd w:id="48"/>
    </w:p>
    <w:p w14:paraId="799C1563"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福耀混合型证券投资基金招募说明书》（以下简称“招募说明书”或“本招募说明书”）依照《中华人民共和国证券投资基金法》（以下简称“《基金法》”）、《公开募集证券投资基金运作管理办法》（以下简称“《运作办法》”）、《公开募集证券投资基金销售机构监督管理办法》（以下简称“《销售办法》”）、《</w:t>
      </w:r>
      <w:r>
        <w:rPr>
          <w:rFonts w:hint="eastAsia"/>
          <w:bCs/>
          <w:kern w:val="0"/>
          <w:sz w:val="24"/>
        </w:rPr>
        <w:t>公开募集证券投资基金信息披露管理办法</w:t>
      </w:r>
      <w:r>
        <w:rPr>
          <w:rFonts w:asciiTheme="minorEastAsia" w:hAnsiTheme="minorEastAsia" w:cs="Arial" w:hint="eastAsia"/>
          <w:sz w:val="24"/>
          <w:szCs w:val="24"/>
        </w:rPr>
        <w:t>》（以下简称“《信息披露办法》”）、《公开募集开放式证券投资基金流动性风险管理规定》（以下简称“《管理规定》”）以及《富荣福耀混合型证券投资基金基金合同》（以下简称“基金合同”）编写。</w:t>
      </w:r>
    </w:p>
    <w:p w14:paraId="73ED8134"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基金管理人承诺本招募说明书不存在任何虚假记载、误导性陈述或重大遗漏，并对其真实性、准确性、完整性承担法律责任。</w:t>
      </w:r>
    </w:p>
    <w:p w14:paraId="7982AD09"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福耀混合型证券投资基金（以下简称“基金”或“本基金”）是根据本招募说明书所载明的资料申请募集的。本基金管理人没有委托或授权任何其他人提供未在本招募说明书中载明的信息，或对本招募说明书作任何解释或者说明。</w:t>
      </w:r>
    </w:p>
    <w:p w14:paraId="253529EF"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招募说明书根据本基金的基金合同编写，并经中国证券监督管理委员会（以下简称“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3966C73" w14:textId="77777777" w:rsidR="005E308D" w:rsidRDefault="005E308D">
      <w:pPr>
        <w:keepNext/>
        <w:keepLines/>
        <w:autoSpaceDE w:val="0"/>
        <w:autoSpaceDN w:val="0"/>
        <w:adjustRightInd w:val="0"/>
        <w:snapToGrid w:val="0"/>
        <w:spacing w:line="360" w:lineRule="auto"/>
        <w:ind w:firstLineChars="150" w:firstLine="422"/>
        <w:jc w:val="center"/>
        <w:textAlignment w:val="baseline"/>
        <w:outlineLvl w:val="0"/>
        <w:rPr>
          <w:rFonts w:ascii="Arial" w:eastAsia="宋体" w:hAnsi="Arial" w:cs="Arial"/>
          <w:b/>
          <w:bCs/>
          <w:kern w:val="0"/>
          <w:sz w:val="28"/>
          <w:szCs w:val="28"/>
        </w:rPr>
        <w:sectPr w:rsidR="005E308D">
          <w:headerReference w:type="even" r:id="rId20"/>
          <w:footerReference w:type="default" r:id="rId21"/>
          <w:headerReference w:type="first" r:id="rId22"/>
          <w:pgSz w:w="11906" w:h="16838"/>
          <w:pgMar w:top="1440" w:right="1800" w:bottom="1440" w:left="1800" w:header="851" w:footer="992" w:gutter="0"/>
          <w:pgNumType w:chapStyle="1"/>
          <w:cols w:space="720"/>
          <w:docGrid w:type="lines" w:linePitch="312"/>
        </w:sectPr>
      </w:pPr>
      <w:bookmarkStart w:id="49" w:name="_Toc20318"/>
      <w:bookmarkStart w:id="50" w:name="_Toc18631"/>
      <w:bookmarkStart w:id="51" w:name="_Toc20627"/>
      <w:bookmarkStart w:id="52" w:name="_Toc24571"/>
      <w:bookmarkStart w:id="53" w:name="_Toc5246"/>
      <w:bookmarkStart w:id="54" w:name="_Toc22708"/>
      <w:bookmarkStart w:id="55" w:name="_Toc6149"/>
      <w:bookmarkStart w:id="56" w:name="_Toc13288"/>
      <w:bookmarkStart w:id="57" w:name="_Toc6683"/>
      <w:bookmarkStart w:id="58" w:name="_Toc545"/>
      <w:bookmarkStart w:id="59" w:name="_Toc352229748"/>
      <w:bookmarkStart w:id="60" w:name="_Toc733"/>
      <w:bookmarkStart w:id="61" w:name="_Toc258829400"/>
      <w:bookmarkStart w:id="62" w:name="_Toc233456272"/>
      <w:bookmarkEnd w:id="31"/>
      <w:bookmarkEnd w:id="34"/>
      <w:bookmarkEnd w:id="35"/>
      <w:bookmarkEnd w:id="36"/>
      <w:bookmarkEnd w:id="37"/>
      <w:bookmarkEnd w:id="38"/>
      <w:bookmarkEnd w:id="39"/>
      <w:bookmarkEnd w:id="40"/>
      <w:bookmarkEnd w:id="41"/>
      <w:bookmarkEnd w:id="42"/>
      <w:bookmarkEnd w:id="43"/>
      <w:bookmarkEnd w:id="44"/>
      <w:bookmarkEnd w:id="45"/>
      <w:bookmarkEnd w:id="46"/>
    </w:p>
    <w:p w14:paraId="3CCB3B37" w14:textId="77777777" w:rsidR="005E308D" w:rsidRDefault="00945B44">
      <w:pPr>
        <w:pStyle w:val="1"/>
        <w:jc w:val="center"/>
        <w:rPr>
          <w:sz w:val="30"/>
          <w:szCs w:val="30"/>
        </w:rPr>
      </w:pPr>
      <w:bookmarkStart w:id="63" w:name="_Toc119568458"/>
      <w:bookmarkStart w:id="64" w:name="_Toc68266289"/>
      <w:r>
        <w:rPr>
          <w:rFonts w:hint="eastAsia"/>
          <w:sz w:val="30"/>
          <w:szCs w:val="30"/>
        </w:rPr>
        <w:lastRenderedPageBreak/>
        <w:t>第二部分</w:t>
      </w:r>
      <w:r>
        <w:rPr>
          <w:sz w:val="30"/>
          <w:szCs w:val="30"/>
        </w:rPr>
        <w:t xml:space="preserve">  </w:t>
      </w:r>
      <w:r>
        <w:rPr>
          <w:rFonts w:hint="eastAsia"/>
          <w:sz w:val="30"/>
          <w:szCs w:val="30"/>
        </w:rPr>
        <w:t>释义</w:t>
      </w:r>
      <w:bookmarkEnd w:id="63"/>
      <w:bookmarkEnd w:id="64"/>
    </w:p>
    <w:p w14:paraId="5BAB72BD"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在本招募说明书中，除非文意另有所指，下列词语或简称具有如下含义：</w:t>
      </w:r>
    </w:p>
    <w:p w14:paraId="5B5D9A9E"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、基金或本基金：指富荣福耀混合型证券投资基金</w:t>
      </w:r>
    </w:p>
    <w:p w14:paraId="3101970F"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、基金管理人：指富荣基金管理有限公司</w:t>
      </w:r>
    </w:p>
    <w:p w14:paraId="250CF75D" w14:textId="66B21ADA"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、基金托管人：指</w:t>
      </w:r>
      <w:r w:rsidR="00F500C7">
        <w:rPr>
          <w:rFonts w:asciiTheme="minorEastAsia" w:hAnsiTheme="minorEastAsia" w:cs="Times New Roman" w:hint="eastAsia"/>
          <w:sz w:val="24"/>
          <w:szCs w:val="24"/>
        </w:rPr>
        <w:t>国泰海通证券股份有限公司</w:t>
      </w:r>
    </w:p>
    <w:p w14:paraId="7D7A6740"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w:t>
      </w:r>
      <w:r>
        <w:rPr>
          <w:rFonts w:asciiTheme="minorEastAsia" w:hAnsiTheme="minorEastAsia" w:cs="Times New Roman" w:hint="eastAsia"/>
          <w:sz w:val="24"/>
          <w:szCs w:val="24"/>
        </w:rPr>
        <w:t>、基金合同：指《富荣福耀混合型证券投资基金基金合同》及对基金合同的任何有效修订和补充</w:t>
      </w:r>
    </w:p>
    <w:p w14:paraId="5BD7F27E"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w:t>
      </w:r>
      <w:r>
        <w:rPr>
          <w:rFonts w:asciiTheme="minorEastAsia" w:hAnsiTheme="minorEastAsia" w:cs="Times New Roman" w:hint="eastAsia"/>
          <w:sz w:val="24"/>
          <w:szCs w:val="24"/>
        </w:rPr>
        <w:t>、托管协议：指基金管理人与基金托管人就本基金签订之《富荣福耀混合型证券投资基金托管协议》及对该托管协议的任何有效修订和补充</w:t>
      </w:r>
    </w:p>
    <w:p w14:paraId="067EA983"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w:t>
      </w:r>
      <w:r>
        <w:rPr>
          <w:rFonts w:asciiTheme="minorEastAsia" w:hAnsiTheme="minorEastAsia" w:cs="Times New Roman" w:hint="eastAsia"/>
          <w:sz w:val="24"/>
          <w:szCs w:val="24"/>
        </w:rPr>
        <w:t>、招募说明书或本招募说明书：指《富荣福耀混合型证券投资基金招募说明书》及其更新</w:t>
      </w:r>
    </w:p>
    <w:p w14:paraId="4439C2FB"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7</w:t>
      </w:r>
      <w:r>
        <w:rPr>
          <w:rFonts w:asciiTheme="minorEastAsia" w:hAnsiTheme="minorEastAsia" w:cs="Times New Roman" w:hint="eastAsia"/>
          <w:sz w:val="24"/>
          <w:szCs w:val="24"/>
        </w:rPr>
        <w:t>、基金份额发售公告：指《富荣福耀混合型证券投资基金基金份额发售公告》</w:t>
      </w:r>
    </w:p>
    <w:p w14:paraId="76FA007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8</w:t>
      </w:r>
      <w:r>
        <w:rPr>
          <w:rFonts w:asciiTheme="minorEastAsia" w:hAnsiTheme="minorEastAsia" w:cs="Times New Roman" w:hint="eastAsia"/>
          <w:sz w:val="24"/>
          <w:szCs w:val="24"/>
        </w:rPr>
        <w:t>、法律法规：指中国现行有效并公布实施的法律、行政法规、规范性文件、司法解释、行政规章以及其他对基金合同当事人有约束力的决定、决议、通知等</w:t>
      </w:r>
    </w:p>
    <w:p w14:paraId="6FF06A35"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9</w:t>
      </w:r>
      <w:r>
        <w:rPr>
          <w:rFonts w:asciiTheme="minorEastAsia" w:hAnsiTheme="minorEastAsia" w:cs="Times New Roman" w:hint="eastAsia"/>
          <w:sz w:val="24"/>
          <w:szCs w:val="24"/>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75276E0F"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10</w:t>
      </w:r>
      <w:r>
        <w:rPr>
          <w:rFonts w:asciiTheme="minorEastAsia" w:hAnsiTheme="minorEastAsia" w:cs="Times New Roman" w:hint="eastAsia"/>
          <w:sz w:val="24"/>
          <w:szCs w:val="24"/>
        </w:rPr>
        <w:t>、《销售办法》： 指中国证监会2020年8月28日颁布、同年10月1日实施的《公开募集证券投资基金销售机构监督管理办法》及颁布机关对其不时做出的修订</w:t>
      </w:r>
    </w:p>
    <w:p w14:paraId="04B62A91"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11</w:t>
      </w:r>
      <w:r>
        <w:rPr>
          <w:rFonts w:asciiTheme="minorEastAsia" w:hAnsiTheme="minorEastAsia" w:cs="Times New Roman" w:hint="eastAsia"/>
          <w:sz w:val="24"/>
          <w:szCs w:val="24"/>
        </w:rPr>
        <w:t>、《信息披露办法》：</w:t>
      </w:r>
      <w:r>
        <w:rPr>
          <w:rFonts w:hint="eastAsia"/>
          <w:bCs/>
          <w:kern w:val="0"/>
          <w:sz w:val="24"/>
        </w:rPr>
        <w:t>指中国证监会</w:t>
      </w:r>
      <w:r>
        <w:rPr>
          <w:bCs/>
          <w:kern w:val="0"/>
          <w:sz w:val="24"/>
        </w:rPr>
        <w:t>2019</w:t>
      </w:r>
      <w:r>
        <w:rPr>
          <w:rFonts w:hint="eastAsia"/>
          <w:bCs/>
          <w:kern w:val="0"/>
          <w:sz w:val="24"/>
        </w:rPr>
        <w:t>年</w:t>
      </w:r>
      <w:r>
        <w:rPr>
          <w:bCs/>
          <w:kern w:val="0"/>
          <w:sz w:val="24"/>
        </w:rPr>
        <w:t>7</w:t>
      </w:r>
      <w:r>
        <w:rPr>
          <w:rFonts w:hint="eastAsia"/>
          <w:bCs/>
          <w:kern w:val="0"/>
          <w:sz w:val="24"/>
        </w:rPr>
        <w:t>月</w:t>
      </w:r>
      <w:r>
        <w:rPr>
          <w:bCs/>
          <w:kern w:val="0"/>
          <w:sz w:val="24"/>
        </w:rPr>
        <w:t>26</w:t>
      </w:r>
      <w:r>
        <w:rPr>
          <w:rFonts w:hint="eastAsia"/>
          <w:bCs/>
          <w:kern w:val="0"/>
          <w:sz w:val="24"/>
        </w:rPr>
        <w:t>日颁布、同年</w:t>
      </w:r>
      <w:r>
        <w:rPr>
          <w:bCs/>
          <w:kern w:val="0"/>
          <w:sz w:val="24"/>
        </w:rPr>
        <w:t>9</w:t>
      </w:r>
      <w:r>
        <w:rPr>
          <w:rFonts w:hint="eastAsia"/>
          <w:bCs/>
          <w:kern w:val="0"/>
          <w:sz w:val="24"/>
        </w:rPr>
        <w:t>月</w:t>
      </w:r>
      <w:r>
        <w:rPr>
          <w:bCs/>
          <w:kern w:val="0"/>
          <w:sz w:val="24"/>
        </w:rPr>
        <w:t>1</w:t>
      </w:r>
      <w:r>
        <w:rPr>
          <w:rFonts w:hint="eastAsia"/>
          <w:bCs/>
          <w:kern w:val="0"/>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rFonts w:hint="eastAsia"/>
          <w:bCs/>
          <w:kern w:val="0"/>
          <w:sz w:val="24"/>
        </w:rPr>
        <w:t>《公开募集证券投资基金信息披露管理办法》</w:t>
      </w:r>
      <w:r>
        <w:rPr>
          <w:rFonts w:asciiTheme="minorEastAsia" w:hAnsiTheme="minorEastAsia" w:cs="Times New Roman" w:hint="eastAsia"/>
          <w:sz w:val="24"/>
          <w:szCs w:val="24"/>
        </w:rPr>
        <w:t>及颁布机关对其不时做出的修订</w:t>
      </w:r>
    </w:p>
    <w:p w14:paraId="5B8BAC8E"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12</w:t>
      </w:r>
      <w:r>
        <w:rPr>
          <w:rFonts w:asciiTheme="minorEastAsia" w:hAnsiTheme="minorEastAsia" w:cs="Times New Roman" w:hint="eastAsia"/>
          <w:sz w:val="24"/>
          <w:szCs w:val="24"/>
        </w:rPr>
        <w:t>、《运作办法》：指中国证监会</w:t>
      </w:r>
      <w:r>
        <w:rPr>
          <w:rFonts w:asciiTheme="minorEastAsia" w:hAnsiTheme="minorEastAsia" w:cs="Times New Roman"/>
          <w:sz w:val="24"/>
          <w:szCs w:val="24"/>
        </w:rPr>
        <w:t>2014</w:t>
      </w:r>
      <w:r>
        <w:rPr>
          <w:rFonts w:asciiTheme="minorEastAsia" w:hAnsiTheme="minorEastAsia" w:cs="Times New Roman" w:hint="eastAsia"/>
          <w:sz w:val="24"/>
          <w:szCs w:val="24"/>
        </w:rPr>
        <w:t>年</w:t>
      </w:r>
      <w:r>
        <w:rPr>
          <w:rFonts w:asciiTheme="minorEastAsia" w:hAnsiTheme="minorEastAsia" w:cs="Times New Roman"/>
          <w:sz w:val="24"/>
          <w:szCs w:val="24"/>
        </w:rPr>
        <w:t>7</w:t>
      </w:r>
      <w:r>
        <w:rPr>
          <w:rFonts w:asciiTheme="minorEastAsia" w:hAnsiTheme="minorEastAsia" w:cs="Times New Roman" w:hint="eastAsia"/>
          <w:sz w:val="24"/>
          <w:szCs w:val="24"/>
        </w:rPr>
        <w:t>月</w:t>
      </w:r>
      <w:r>
        <w:rPr>
          <w:rFonts w:asciiTheme="minorEastAsia" w:hAnsiTheme="minorEastAsia" w:cs="Times New Roman"/>
          <w:sz w:val="24"/>
          <w:szCs w:val="24"/>
        </w:rPr>
        <w:t>7</w:t>
      </w:r>
      <w:r>
        <w:rPr>
          <w:rFonts w:asciiTheme="minorEastAsia" w:hAnsiTheme="minorEastAsia" w:cs="Times New Roman" w:hint="eastAsia"/>
          <w:sz w:val="24"/>
          <w:szCs w:val="24"/>
        </w:rPr>
        <w:t>日颁布、同年</w:t>
      </w:r>
      <w:r>
        <w:rPr>
          <w:rFonts w:asciiTheme="minorEastAsia" w:hAnsiTheme="minorEastAsia" w:cs="Times New Roman"/>
          <w:sz w:val="24"/>
          <w:szCs w:val="24"/>
        </w:rPr>
        <w:t>8</w:t>
      </w:r>
      <w:r>
        <w:rPr>
          <w:rFonts w:asciiTheme="minorEastAsia" w:hAnsiTheme="minorEastAsia" w:cs="Times New Roman" w:hint="eastAsia"/>
          <w:sz w:val="24"/>
          <w:szCs w:val="24"/>
        </w:rPr>
        <w:t>月</w:t>
      </w:r>
      <w:r>
        <w:rPr>
          <w:rFonts w:asciiTheme="minorEastAsia" w:hAnsiTheme="minorEastAsia" w:cs="Times New Roman"/>
          <w:sz w:val="24"/>
          <w:szCs w:val="24"/>
        </w:rPr>
        <w:t>8</w:t>
      </w:r>
      <w:r>
        <w:rPr>
          <w:rFonts w:asciiTheme="minorEastAsia" w:hAnsiTheme="minorEastAsia" w:cs="Times New Roman" w:hint="eastAsia"/>
          <w:sz w:val="24"/>
          <w:szCs w:val="24"/>
        </w:rPr>
        <w:t>日实施</w:t>
      </w:r>
      <w:r>
        <w:rPr>
          <w:rFonts w:asciiTheme="minorEastAsia" w:hAnsiTheme="minorEastAsia" w:cs="Times New Roman" w:hint="eastAsia"/>
          <w:sz w:val="24"/>
          <w:szCs w:val="24"/>
        </w:rPr>
        <w:lastRenderedPageBreak/>
        <w:t>的《公开募集证券投资基金运作管理办法》及颁布机关对其不时做出的修订</w:t>
      </w:r>
    </w:p>
    <w:p w14:paraId="1867A00D"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13</w:t>
      </w:r>
      <w:r>
        <w:rPr>
          <w:rFonts w:asciiTheme="minorEastAsia" w:hAnsiTheme="minorEastAsia" w:cs="Times New Roman" w:hint="eastAsia"/>
          <w:sz w:val="24"/>
          <w:szCs w:val="24"/>
        </w:rPr>
        <w:t>、《流动性风险管理规定》：指中国证监会2017年8月31日颁布、同年10月1日实施的《公开募集开放式证券投资基金流动性风险管理规定》及颁布机关对其不时做出的修订</w:t>
      </w:r>
    </w:p>
    <w:p w14:paraId="5A73CBBE"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14</w:t>
      </w:r>
      <w:r>
        <w:rPr>
          <w:rFonts w:asciiTheme="minorEastAsia" w:hAnsiTheme="minorEastAsia" w:cs="Times New Roman" w:hint="eastAsia"/>
          <w:sz w:val="24"/>
          <w:szCs w:val="24"/>
        </w:rPr>
        <w:t>、中国证监会：指中国证券监督管理委员会</w:t>
      </w:r>
    </w:p>
    <w:p w14:paraId="275C1AA2"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15</w:t>
      </w:r>
      <w:r>
        <w:rPr>
          <w:rFonts w:asciiTheme="minorEastAsia" w:hAnsiTheme="minorEastAsia" w:cs="Times New Roman" w:hint="eastAsia"/>
          <w:sz w:val="24"/>
          <w:szCs w:val="24"/>
        </w:rPr>
        <w:t>、基金合同当事人：指受基金合同约束，根据基金合同享有权利并承担义务的法律主体，包括基金管理人、基金托管人和基金份额持有人</w:t>
      </w:r>
    </w:p>
    <w:p w14:paraId="13766DD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16</w:t>
      </w:r>
      <w:r>
        <w:rPr>
          <w:rFonts w:asciiTheme="minorEastAsia" w:hAnsiTheme="minorEastAsia" w:cs="Times New Roman" w:hint="eastAsia"/>
          <w:sz w:val="24"/>
          <w:szCs w:val="24"/>
        </w:rPr>
        <w:t>、个人投资者：指依据有关法律法规规定可投资于证券投资基金的自然人</w:t>
      </w:r>
    </w:p>
    <w:p w14:paraId="4160219A"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17</w:t>
      </w:r>
      <w:r>
        <w:rPr>
          <w:rFonts w:asciiTheme="minorEastAsia" w:hAnsiTheme="minorEastAsia" w:cs="Times New Roman" w:hint="eastAsia"/>
          <w:sz w:val="24"/>
          <w:szCs w:val="24"/>
        </w:rPr>
        <w:t>、机构投资者：指依法可以投资证券投资基金的、在中华人民共和国境内合法登记并存续或经有关政府部门批准设立并存续的企业法人、事业法人、社会团体或其他组织</w:t>
      </w:r>
    </w:p>
    <w:p w14:paraId="1FF5E4A4" w14:textId="77777777" w:rsidR="005E308D" w:rsidRDefault="00945B44">
      <w:pPr>
        <w:spacing w:line="360" w:lineRule="auto"/>
        <w:ind w:firstLineChars="200" w:firstLine="480"/>
        <w:rPr>
          <w:bCs/>
          <w:sz w:val="24"/>
        </w:rPr>
      </w:pPr>
      <w:r>
        <w:rPr>
          <w:rFonts w:asciiTheme="minorEastAsia" w:hAnsiTheme="minorEastAsia" w:cs="Times New Roman"/>
          <w:sz w:val="24"/>
          <w:szCs w:val="24"/>
        </w:rPr>
        <w:t>18</w:t>
      </w:r>
      <w:r>
        <w:rPr>
          <w:rFonts w:asciiTheme="minorEastAsia" w:hAnsiTheme="minorEastAsia" w:cs="Times New Roman" w:hint="eastAsia"/>
          <w:sz w:val="24"/>
          <w:szCs w:val="24"/>
        </w:rPr>
        <w:t>、</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r>
        <w:rPr>
          <w:bCs/>
          <w:sz w:val="24"/>
        </w:rPr>
        <w:t xml:space="preserve"> </w:t>
      </w:r>
    </w:p>
    <w:p w14:paraId="37513D4C"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19</w:t>
      </w:r>
      <w:r>
        <w:rPr>
          <w:rFonts w:asciiTheme="minorEastAsia" w:hAnsiTheme="minorEastAsia" w:cs="Times New Roman" w:hint="eastAsia"/>
          <w:sz w:val="24"/>
          <w:szCs w:val="24"/>
        </w:rPr>
        <w:t>、投资人、投资者：指个人投资者、机构投资者、合格境外投资者以及法律法规或中国证监会允许购买证券投资基金的其他投资人的合称</w:t>
      </w:r>
    </w:p>
    <w:p w14:paraId="42A95EA8"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20</w:t>
      </w:r>
      <w:r>
        <w:rPr>
          <w:rFonts w:asciiTheme="minorEastAsia" w:hAnsiTheme="minorEastAsia" w:cs="Times New Roman" w:hint="eastAsia"/>
          <w:sz w:val="24"/>
          <w:szCs w:val="24"/>
        </w:rPr>
        <w:t>、基金份额持有人：指依基金合同和招募说明书合法取得基金份额的投资人</w:t>
      </w:r>
    </w:p>
    <w:p w14:paraId="76A128E5"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21</w:t>
      </w:r>
      <w:r>
        <w:rPr>
          <w:rFonts w:asciiTheme="minorEastAsia" w:hAnsiTheme="minorEastAsia" w:cs="Times New Roman" w:hint="eastAsia"/>
          <w:sz w:val="24"/>
          <w:szCs w:val="24"/>
        </w:rPr>
        <w:t>、基金销售业务：指基金管理人或销售机构宣传推介基金，发售基金份额，办理基金份额的申购、赎回、转换、转托管及定期定额投资等业务</w:t>
      </w:r>
    </w:p>
    <w:p w14:paraId="1FAADF8A"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22</w:t>
      </w:r>
      <w:r>
        <w:rPr>
          <w:rFonts w:asciiTheme="minorEastAsia" w:hAnsiTheme="minorEastAsia" w:cs="Times New Roman" w:hint="eastAsia"/>
          <w:sz w:val="24"/>
          <w:szCs w:val="24"/>
        </w:rPr>
        <w:t>、销售机构：指富荣基金管理有限公司以及符合《销售办法》和中国证监会规定的其他条件，取得基金销售业务资格并与基金管理人签订了基金销售服务协议，办理基金销售业务的机构</w:t>
      </w:r>
    </w:p>
    <w:p w14:paraId="794E7ED5"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23</w:t>
      </w:r>
      <w:r>
        <w:rPr>
          <w:rFonts w:asciiTheme="minorEastAsia" w:hAnsiTheme="minorEastAsia" w:cs="Times New Roman" w:hint="eastAsia"/>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364991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w:t>
      </w:r>
      <w:r>
        <w:rPr>
          <w:rFonts w:asciiTheme="minorEastAsia" w:hAnsiTheme="minorEastAsia" w:cs="Times New Roman" w:hint="eastAsia"/>
          <w:sz w:val="24"/>
          <w:szCs w:val="24"/>
        </w:rPr>
        <w:t>、登记机构：指办理登记业务的机构。基金登记机构为富荣基金管理有限公司或接受富荣基金管理有限公司委托代为办理登记业务的机构</w:t>
      </w:r>
    </w:p>
    <w:p w14:paraId="55517D17"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w:t>
      </w:r>
      <w:r>
        <w:rPr>
          <w:rFonts w:asciiTheme="minorEastAsia" w:hAnsiTheme="minorEastAsia" w:cs="Times New Roman" w:hint="eastAsia"/>
          <w:sz w:val="24"/>
          <w:szCs w:val="24"/>
        </w:rPr>
        <w:t>、基金账户：指登记机构为投资人开立的、记录其持有的、基金管理人所</w:t>
      </w:r>
      <w:r>
        <w:rPr>
          <w:rFonts w:asciiTheme="minorEastAsia" w:hAnsiTheme="minorEastAsia" w:cs="Times New Roman" w:hint="eastAsia"/>
          <w:sz w:val="24"/>
          <w:szCs w:val="24"/>
        </w:rPr>
        <w:lastRenderedPageBreak/>
        <w:t>管理的基金份额余额及其变动情况的账户</w:t>
      </w:r>
    </w:p>
    <w:p w14:paraId="3238B99E"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w:t>
      </w:r>
      <w:r>
        <w:rPr>
          <w:rFonts w:asciiTheme="minorEastAsia" w:hAnsiTheme="minorEastAsia" w:cs="Times New Roman" w:hint="eastAsia"/>
          <w:sz w:val="24"/>
          <w:szCs w:val="24"/>
        </w:rPr>
        <w:t>、基金交易账户：指销售机构为投资人开立的、记录投资人通过该销售机构办理认购、申购、赎回、转换、转托管及定期定额投资等业务而引起基金份额变动及结余情况的账户</w:t>
      </w:r>
    </w:p>
    <w:p w14:paraId="4535A935"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27</w:t>
      </w:r>
      <w:r>
        <w:rPr>
          <w:rFonts w:asciiTheme="minorEastAsia" w:hAnsiTheme="minorEastAsia" w:cs="Times New Roman" w:hint="eastAsia"/>
          <w:sz w:val="24"/>
          <w:szCs w:val="24"/>
        </w:rPr>
        <w:t>、基金合同生效日：指基金募集达到法律法规规定及基金合同规定的条件，基金管理人向中国证监会办理基金备案手续完毕，并获得中国证监会书面确认的日期</w:t>
      </w:r>
    </w:p>
    <w:p w14:paraId="36A922AF"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28</w:t>
      </w:r>
      <w:r>
        <w:rPr>
          <w:rFonts w:asciiTheme="minorEastAsia" w:hAnsiTheme="minorEastAsia" w:cs="Times New Roman" w:hint="eastAsia"/>
          <w:sz w:val="24"/>
          <w:szCs w:val="24"/>
        </w:rPr>
        <w:t>、基金合同终止日：指基金合同规定的基金合同终止事由出现后，基金财产清算完毕，清算结果报中国证监会备案并予以公告的日期</w:t>
      </w:r>
    </w:p>
    <w:p w14:paraId="11A4518B"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29</w:t>
      </w:r>
      <w:r>
        <w:rPr>
          <w:rFonts w:asciiTheme="minorEastAsia" w:hAnsiTheme="minorEastAsia" w:cs="Times New Roman" w:hint="eastAsia"/>
          <w:sz w:val="24"/>
          <w:szCs w:val="24"/>
        </w:rPr>
        <w:t>、基金募集期：指自基金份额发售之日起至发售结束之日止的期间，最长不得超过</w:t>
      </w:r>
      <w:r>
        <w:rPr>
          <w:rFonts w:asciiTheme="minorEastAsia" w:hAnsiTheme="minorEastAsia" w:cs="Times New Roman"/>
          <w:sz w:val="24"/>
          <w:szCs w:val="24"/>
        </w:rPr>
        <w:t>3</w:t>
      </w:r>
      <w:r>
        <w:rPr>
          <w:rFonts w:asciiTheme="minorEastAsia" w:hAnsiTheme="minorEastAsia" w:cs="Times New Roman" w:hint="eastAsia"/>
          <w:sz w:val="24"/>
          <w:szCs w:val="24"/>
        </w:rPr>
        <w:t>个月</w:t>
      </w:r>
    </w:p>
    <w:p w14:paraId="67D8FD49"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30</w:t>
      </w:r>
      <w:r>
        <w:rPr>
          <w:rFonts w:asciiTheme="minorEastAsia" w:hAnsiTheme="minorEastAsia" w:cs="Times New Roman" w:hint="eastAsia"/>
          <w:sz w:val="24"/>
          <w:szCs w:val="24"/>
        </w:rPr>
        <w:t>、存续期：指基金合同生效至终止之间的不定期期限</w:t>
      </w:r>
    </w:p>
    <w:p w14:paraId="0A79D7C7"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31</w:t>
      </w:r>
      <w:r>
        <w:rPr>
          <w:rFonts w:asciiTheme="minorEastAsia" w:hAnsiTheme="minorEastAsia" w:cs="Times New Roman" w:hint="eastAsia"/>
          <w:sz w:val="24"/>
          <w:szCs w:val="24"/>
        </w:rPr>
        <w:t>、工作日：指上海证券交易所、深圳证券交易所的正常交易日</w:t>
      </w:r>
    </w:p>
    <w:p w14:paraId="7F57A33D"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32</w:t>
      </w:r>
      <w:r>
        <w:rPr>
          <w:rFonts w:asciiTheme="minorEastAsia" w:hAnsiTheme="minorEastAsia" w:cs="Times New Roman" w:hint="eastAsia"/>
          <w:sz w:val="24"/>
          <w:szCs w:val="24"/>
        </w:rPr>
        <w:t>、</w:t>
      </w:r>
      <w:r>
        <w:rPr>
          <w:rFonts w:asciiTheme="minorEastAsia" w:hAnsiTheme="minorEastAsia" w:cs="Times New Roman"/>
          <w:sz w:val="24"/>
          <w:szCs w:val="24"/>
        </w:rPr>
        <w:t>T</w:t>
      </w:r>
      <w:r>
        <w:rPr>
          <w:rFonts w:asciiTheme="minorEastAsia" w:hAnsiTheme="minorEastAsia" w:cs="Times New Roman" w:hint="eastAsia"/>
          <w:sz w:val="24"/>
          <w:szCs w:val="24"/>
        </w:rPr>
        <w:t>日：指销售机构在规定时间受理投资人申购、赎回或其他业务申请的开放日</w:t>
      </w:r>
    </w:p>
    <w:p w14:paraId="601E52F8"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33</w:t>
      </w:r>
      <w:r>
        <w:rPr>
          <w:rFonts w:asciiTheme="minorEastAsia" w:hAnsiTheme="minorEastAsia" w:cs="Times New Roman" w:hint="eastAsia"/>
          <w:sz w:val="24"/>
          <w:szCs w:val="24"/>
        </w:rPr>
        <w:t>、</w:t>
      </w:r>
      <w:proofErr w:type="spellStart"/>
      <w:r>
        <w:rPr>
          <w:rFonts w:asciiTheme="minorEastAsia" w:hAnsiTheme="minorEastAsia" w:cs="Times New Roman"/>
          <w:sz w:val="24"/>
          <w:szCs w:val="24"/>
        </w:rPr>
        <w:t>T+n</w:t>
      </w:r>
      <w:proofErr w:type="spellEnd"/>
      <w:r>
        <w:rPr>
          <w:rFonts w:asciiTheme="minorEastAsia" w:hAnsiTheme="minorEastAsia" w:cs="Times New Roman" w:hint="eastAsia"/>
          <w:sz w:val="24"/>
          <w:szCs w:val="24"/>
        </w:rPr>
        <w:t>日：指自</w:t>
      </w:r>
      <w:r>
        <w:rPr>
          <w:rFonts w:asciiTheme="minorEastAsia" w:hAnsiTheme="minorEastAsia" w:cs="Times New Roman"/>
          <w:sz w:val="24"/>
          <w:szCs w:val="24"/>
        </w:rPr>
        <w:t>T</w:t>
      </w:r>
      <w:r>
        <w:rPr>
          <w:rFonts w:asciiTheme="minorEastAsia" w:hAnsiTheme="minorEastAsia" w:cs="Times New Roman" w:hint="eastAsia"/>
          <w:sz w:val="24"/>
          <w:szCs w:val="24"/>
        </w:rPr>
        <w:t>日起第</w:t>
      </w:r>
      <w:r>
        <w:rPr>
          <w:rFonts w:asciiTheme="minorEastAsia" w:hAnsiTheme="minorEastAsia" w:cs="Times New Roman"/>
          <w:sz w:val="24"/>
          <w:szCs w:val="24"/>
        </w:rPr>
        <w:t>n</w:t>
      </w:r>
      <w:r>
        <w:rPr>
          <w:rFonts w:asciiTheme="minorEastAsia" w:hAnsiTheme="minorEastAsia" w:cs="Times New Roman" w:hint="eastAsia"/>
          <w:sz w:val="24"/>
          <w:szCs w:val="24"/>
        </w:rPr>
        <w:t>个工作日（不包含</w:t>
      </w:r>
      <w:r>
        <w:rPr>
          <w:rFonts w:asciiTheme="minorEastAsia" w:hAnsiTheme="minorEastAsia" w:cs="Times New Roman"/>
          <w:sz w:val="24"/>
          <w:szCs w:val="24"/>
        </w:rPr>
        <w:t>T</w:t>
      </w:r>
      <w:r>
        <w:rPr>
          <w:rFonts w:asciiTheme="minorEastAsia" w:hAnsiTheme="minorEastAsia" w:cs="Times New Roman" w:hint="eastAsia"/>
          <w:sz w:val="24"/>
          <w:szCs w:val="24"/>
        </w:rPr>
        <w:t>日），n为自然数</w:t>
      </w:r>
    </w:p>
    <w:p w14:paraId="0661DF05"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34</w:t>
      </w:r>
      <w:r>
        <w:rPr>
          <w:rFonts w:asciiTheme="minorEastAsia" w:hAnsiTheme="minorEastAsia" w:cs="Times New Roman" w:hint="eastAsia"/>
          <w:sz w:val="24"/>
          <w:szCs w:val="24"/>
        </w:rPr>
        <w:t>、开放日：指为投资人办理基金份额申购、赎回或其他业务的工作日</w:t>
      </w:r>
    </w:p>
    <w:p w14:paraId="73B57E02"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35</w:t>
      </w:r>
      <w:r>
        <w:rPr>
          <w:rFonts w:asciiTheme="minorEastAsia" w:hAnsiTheme="minorEastAsia" w:cs="Times New Roman" w:hint="eastAsia"/>
          <w:sz w:val="24"/>
          <w:szCs w:val="24"/>
        </w:rPr>
        <w:t>、开放时间：指开放日基金接受申购、赎回或其他交易的时间段</w:t>
      </w:r>
    </w:p>
    <w:p w14:paraId="14AFFF9A"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36</w:t>
      </w:r>
      <w:r>
        <w:rPr>
          <w:rFonts w:asciiTheme="minorEastAsia" w:hAnsiTheme="minorEastAsia" w:cs="Times New Roman" w:hint="eastAsia"/>
          <w:sz w:val="24"/>
          <w:szCs w:val="24"/>
        </w:rPr>
        <w:t>、《业务规则》：指《富荣基金管理有限公司开放式基金业务规则》，是规范基金管理人所管理的开放式证券投资基金登记方面的业务规则，由基金管理人和投资人共同遵守</w:t>
      </w:r>
    </w:p>
    <w:p w14:paraId="3EED6793"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37</w:t>
      </w:r>
      <w:r>
        <w:rPr>
          <w:rFonts w:asciiTheme="minorEastAsia" w:hAnsiTheme="minorEastAsia" w:cs="Times New Roman" w:hint="eastAsia"/>
          <w:sz w:val="24"/>
          <w:szCs w:val="24"/>
        </w:rPr>
        <w:t>、认购：指在基金募集期内，投资人根据基金合同和招募说明书的规定申请购买基金份额的行为</w:t>
      </w:r>
    </w:p>
    <w:p w14:paraId="34AB47D2"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38</w:t>
      </w:r>
      <w:r>
        <w:rPr>
          <w:rFonts w:asciiTheme="minorEastAsia" w:hAnsiTheme="minorEastAsia" w:cs="Times New Roman" w:hint="eastAsia"/>
          <w:sz w:val="24"/>
          <w:szCs w:val="24"/>
        </w:rPr>
        <w:t>、申购：指基金合同生效后，投资人根据基金合同和招募说明书的规定申请购买基金份额的行为</w:t>
      </w:r>
    </w:p>
    <w:p w14:paraId="29EF1FD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39</w:t>
      </w:r>
      <w:r>
        <w:rPr>
          <w:rFonts w:asciiTheme="minorEastAsia" w:hAnsiTheme="minorEastAsia" w:cs="Times New Roman" w:hint="eastAsia"/>
          <w:sz w:val="24"/>
          <w:szCs w:val="24"/>
        </w:rPr>
        <w:t>、赎回：指基金合同生效后，基金份额持有人按基金合同和招募说明书规定的条件要求将基金份额兑换为现金的行为</w:t>
      </w:r>
    </w:p>
    <w:p w14:paraId="55A4C801"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40</w:t>
      </w:r>
      <w:r>
        <w:rPr>
          <w:rFonts w:asciiTheme="minorEastAsia" w:hAnsiTheme="minorEastAsia" w:cs="Times New Roman" w:hint="eastAsia"/>
          <w:sz w:val="24"/>
          <w:szCs w:val="24"/>
        </w:rPr>
        <w:t>、基金转换：指基金份额持有人按照基金合同和基金管理人届时有效公告规定的条件，申请将其持有基金管理人管理的、某一基金的基金份额转换为基金管理人管理的其他基金基金份额的行为</w:t>
      </w:r>
    </w:p>
    <w:p w14:paraId="2D99ACD9"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lastRenderedPageBreak/>
        <w:t>41</w:t>
      </w:r>
      <w:r>
        <w:rPr>
          <w:rFonts w:asciiTheme="minorEastAsia" w:hAnsiTheme="minorEastAsia" w:cs="Times New Roman" w:hint="eastAsia"/>
          <w:sz w:val="24"/>
          <w:szCs w:val="24"/>
        </w:rPr>
        <w:t>、转托管：指基金份额持有人在本基金的不同销售机构之间实施的变更所持基金份额销售机构的操作</w:t>
      </w:r>
    </w:p>
    <w:p w14:paraId="7B88DC8A"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42</w:t>
      </w:r>
      <w:r>
        <w:rPr>
          <w:rFonts w:asciiTheme="minorEastAsia" w:hAnsiTheme="minorEastAsia" w:cs="Times New Roman" w:hint="eastAsia"/>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C81A6EC"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43</w:t>
      </w:r>
      <w:r>
        <w:rPr>
          <w:rFonts w:asciiTheme="minorEastAsia" w:hAnsiTheme="minorEastAsia" w:cs="Times New Roman" w:hint="eastAsia"/>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heme="minorEastAsia" w:hAnsiTheme="minorEastAsia" w:cs="Times New Roman"/>
          <w:sz w:val="24"/>
          <w:szCs w:val="24"/>
        </w:rPr>
        <w:t>10%</w:t>
      </w:r>
    </w:p>
    <w:p w14:paraId="24ED914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44</w:t>
      </w:r>
      <w:r>
        <w:rPr>
          <w:rFonts w:asciiTheme="minorEastAsia" w:hAnsiTheme="minorEastAsia" w:cs="Times New Roman" w:hint="eastAsia"/>
          <w:sz w:val="24"/>
          <w:szCs w:val="24"/>
        </w:rPr>
        <w:t>、元：指人民币元</w:t>
      </w:r>
    </w:p>
    <w:p w14:paraId="48EA95E6"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45</w:t>
      </w:r>
      <w:r>
        <w:rPr>
          <w:rFonts w:asciiTheme="minorEastAsia" w:hAnsiTheme="minorEastAsia" w:cs="Times New Roman" w:hint="eastAsia"/>
          <w:sz w:val="24"/>
          <w:szCs w:val="24"/>
        </w:rPr>
        <w:t>、基金收益：指基金投资所得红利、股息、债券利息、买卖证券价差、银行存款利息、已实现的其他合法收入及因运用基金财产带来的成本和费用的节约</w:t>
      </w:r>
    </w:p>
    <w:p w14:paraId="6A857B3C"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46</w:t>
      </w:r>
      <w:r>
        <w:rPr>
          <w:rFonts w:asciiTheme="minorEastAsia" w:hAnsiTheme="minorEastAsia" w:cs="Times New Roman" w:hint="eastAsia"/>
          <w:sz w:val="24"/>
          <w:szCs w:val="24"/>
        </w:rPr>
        <w:t>、基金资产总值：指基金拥有的各类有价证券、银行存款本息、基金应收款项及其他资产的价值总和</w:t>
      </w:r>
    </w:p>
    <w:p w14:paraId="1DD58F1B"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47</w:t>
      </w:r>
      <w:r>
        <w:rPr>
          <w:rFonts w:asciiTheme="minorEastAsia" w:hAnsiTheme="minorEastAsia" w:cs="Times New Roman" w:hint="eastAsia"/>
          <w:sz w:val="24"/>
          <w:szCs w:val="24"/>
        </w:rPr>
        <w:t>、基金资产净值：指基金资产总值减去基金负债后的价值</w:t>
      </w:r>
    </w:p>
    <w:p w14:paraId="24DFBE46"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48</w:t>
      </w:r>
      <w:r>
        <w:rPr>
          <w:rFonts w:asciiTheme="minorEastAsia" w:hAnsiTheme="minorEastAsia" w:cs="Times New Roman" w:hint="eastAsia"/>
          <w:sz w:val="24"/>
          <w:szCs w:val="24"/>
        </w:rPr>
        <w:t>、基金份额净值：指计算日基金资产净值除以计算日基金份额总数</w:t>
      </w:r>
    </w:p>
    <w:p w14:paraId="36935780"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49</w:t>
      </w:r>
      <w:r>
        <w:rPr>
          <w:rFonts w:asciiTheme="minorEastAsia" w:hAnsiTheme="minorEastAsia" w:cs="Times New Roman" w:hint="eastAsia"/>
          <w:sz w:val="24"/>
          <w:szCs w:val="24"/>
        </w:rPr>
        <w:t>、基金资产估值：指计算评估基金资产和负债的价值，以确定基金资产净值和基金份额净值的过程</w:t>
      </w:r>
    </w:p>
    <w:p w14:paraId="4D909BB2"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50、规定媒介：指符合中国证监会规定条件的用以进行信息披露的全国性报刊（以下简称“规定报刊”）及《信息披露办法》规定的互联网网站（以下简称“规定网站”，包括基金管理人网站、基金托管人网站、中国证监会基金电子披露网站）等媒介</w:t>
      </w:r>
    </w:p>
    <w:p w14:paraId="3FB1DF78"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51、不可抗力：指基金合同当事人不能预见、不能避免且不能克服的客观事件</w:t>
      </w:r>
    </w:p>
    <w:p w14:paraId="25D6D656"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3DE96F9E"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53、摆动定价机制：指当开放式基金遭遇大额申购赎回时，通过调整基金份额净值的方式，将基金调整投资组合的市场冲击成本分配给实际申购、赎回的投</w:t>
      </w:r>
      <w:r>
        <w:rPr>
          <w:rFonts w:asciiTheme="minorEastAsia" w:hAnsiTheme="minorEastAsia" w:cs="Times New Roman" w:hint="eastAsia"/>
          <w:sz w:val="24"/>
          <w:szCs w:val="24"/>
        </w:rPr>
        <w:lastRenderedPageBreak/>
        <w:t>资者，从而减少对存量基金份额持有人利益的不利影响，确保投资者的合法权益不受损害并得到公平对待</w:t>
      </w:r>
    </w:p>
    <w:p w14:paraId="3F6BDA17"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54、基金份额类别：指根据认购/申购费用、赎回费用、销售服务费用收取方式的不同将本基金基金份额分为不同的类别，各基金份额类别分别设置代码，并分别计算和公告基金份额净值</w:t>
      </w:r>
    </w:p>
    <w:p w14:paraId="279A6818"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55、A类基金份额：指在投资人认购/申购时收取认购/申购费用但不从本类别基金资产中计提销售服务费、赎回时根据持有期限收取赎回费用的基金份额类别</w:t>
      </w:r>
    </w:p>
    <w:p w14:paraId="69981BFC"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56、C类基金份额：指从本类别基金资产中计提销售服务费而不收取认购/申购费用、赎回时根据持有期限收取赎回费用的基金份额类别</w:t>
      </w:r>
    </w:p>
    <w:p w14:paraId="0B76866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57、销售服务费：指从基金资产中计提的，用于本基金市场推广、销售以及基金份额持有人服务的费用</w:t>
      </w:r>
    </w:p>
    <w:p w14:paraId="5D0E56C2"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58、基金产品资料概要：指《富荣福耀混合型证券投资基金基金产品资料概要》及其更新</w:t>
      </w:r>
    </w:p>
    <w:p w14:paraId="0A2345AB"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63467E6"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3828D91" w14:textId="77777777" w:rsidR="005E308D" w:rsidRDefault="00945B44">
      <w:pPr>
        <w:spacing w:line="360" w:lineRule="auto"/>
        <w:ind w:firstLineChars="200" w:firstLine="480"/>
        <w:rPr>
          <w:b/>
          <w:bCs/>
        </w:rPr>
        <w:sectPr w:rsidR="005E308D">
          <w:headerReference w:type="even" r:id="rId23"/>
          <w:footerReference w:type="default" r:id="rId24"/>
          <w:headerReference w:type="first" r:id="rId25"/>
          <w:pgSz w:w="11906" w:h="16838"/>
          <w:pgMar w:top="1440" w:right="1800" w:bottom="1440" w:left="1800" w:header="851" w:footer="992" w:gutter="0"/>
          <w:pgNumType w:start="5" w:chapStyle="1"/>
          <w:cols w:space="720"/>
          <w:docGrid w:type="lines" w:linePitch="312"/>
        </w:sectPr>
      </w:pPr>
      <w:r>
        <w:rPr>
          <w:rFonts w:asciiTheme="minorEastAsia" w:hAnsiTheme="minorEastAsia" w:cs="Times New Roman" w:hint="eastAsia"/>
          <w:sz w:val="24"/>
          <w:szCs w:val="24"/>
        </w:rPr>
        <w:t>以上释义中涉及法律法规、业务规则的内容，法律法规、业务规则修订后，如适用本基金，相关内容以修订后法律法规、业务规则为准。</w:t>
      </w:r>
    </w:p>
    <w:p w14:paraId="627DB131" w14:textId="77777777" w:rsidR="005E308D" w:rsidRDefault="00945B44">
      <w:pPr>
        <w:pStyle w:val="1"/>
        <w:jc w:val="center"/>
        <w:rPr>
          <w:sz w:val="30"/>
          <w:szCs w:val="30"/>
        </w:rPr>
      </w:pPr>
      <w:bookmarkStart w:id="65" w:name="_Toc119568459"/>
      <w:bookmarkStart w:id="66" w:name="_Toc68266290"/>
      <w:bookmarkStart w:id="67" w:name="_Toc263092311"/>
      <w:bookmarkStart w:id="68" w:name="_Toc416264539"/>
      <w:bookmarkStart w:id="69" w:name="_Toc24682"/>
      <w:bookmarkStart w:id="70" w:name="_Toc410197817"/>
      <w:bookmarkStart w:id="71" w:name="_Toc352229749"/>
      <w:bookmarkStart w:id="72" w:name="_Toc27226"/>
      <w:bookmarkStart w:id="73" w:name="_Toc7151"/>
      <w:bookmarkStart w:id="74" w:name="_Toc90742688"/>
      <w:bookmarkStart w:id="75" w:name="_Toc16265"/>
      <w:bookmarkStart w:id="76" w:name="_Toc29784"/>
      <w:bookmarkStart w:id="77" w:name="_Toc22074"/>
      <w:bookmarkStart w:id="78" w:name="_Toc90742390"/>
      <w:bookmarkStart w:id="79" w:name="_Toc29948"/>
      <w:bookmarkStart w:id="80" w:name="_Toc3266"/>
      <w:bookmarkStart w:id="81" w:name="_Toc15203"/>
      <w:bookmarkStart w:id="82" w:name="_Toc6714"/>
      <w:bookmarkStart w:id="83" w:name="_Toc90742321"/>
      <w:bookmarkStart w:id="84" w:name="_Toc27189"/>
      <w:bookmarkEnd w:id="49"/>
      <w:bookmarkEnd w:id="50"/>
      <w:bookmarkEnd w:id="51"/>
      <w:bookmarkEnd w:id="52"/>
      <w:bookmarkEnd w:id="53"/>
      <w:bookmarkEnd w:id="54"/>
      <w:bookmarkEnd w:id="55"/>
      <w:bookmarkEnd w:id="56"/>
      <w:bookmarkEnd w:id="57"/>
      <w:bookmarkEnd w:id="58"/>
      <w:bookmarkEnd w:id="59"/>
      <w:bookmarkEnd w:id="60"/>
      <w:r>
        <w:rPr>
          <w:rFonts w:hint="eastAsia"/>
          <w:sz w:val="30"/>
          <w:szCs w:val="30"/>
        </w:rPr>
        <w:lastRenderedPageBreak/>
        <w:t>第三部分</w:t>
      </w:r>
      <w:r>
        <w:rPr>
          <w:sz w:val="30"/>
          <w:szCs w:val="30"/>
        </w:rPr>
        <w:t xml:space="preserve">  </w:t>
      </w:r>
      <w:r>
        <w:rPr>
          <w:rFonts w:hint="eastAsia"/>
          <w:sz w:val="30"/>
          <w:szCs w:val="30"/>
        </w:rPr>
        <w:t>基金管理人</w:t>
      </w:r>
      <w:bookmarkEnd w:id="65"/>
      <w:bookmarkEnd w:id="66"/>
      <w:bookmarkEnd w:id="67"/>
      <w:bookmarkEnd w:id="68"/>
    </w:p>
    <w:p w14:paraId="0B038384" w14:textId="77777777" w:rsidR="005E308D" w:rsidRDefault="00945B44">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一、基金管理人概况</w:t>
      </w:r>
    </w:p>
    <w:p w14:paraId="20D902D9"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名称：富荣基金管理有限公司</w:t>
      </w:r>
    </w:p>
    <w:p w14:paraId="404EF288"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住所：</w:t>
      </w:r>
      <w:r>
        <w:rPr>
          <w:rFonts w:asciiTheme="minorEastAsia" w:hAnsiTheme="minorEastAsia" w:hint="eastAsia"/>
          <w:kern w:val="0"/>
          <w:sz w:val="24"/>
        </w:rPr>
        <w:t>广东省广州市南沙区横沥镇汇通二街2号3110房</w:t>
      </w:r>
    </w:p>
    <w:p w14:paraId="2FBB31FC"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办公地址：深圳市福田区八卦四路</w:t>
      </w:r>
      <w:r>
        <w:rPr>
          <w:rFonts w:asciiTheme="minorEastAsia" w:hAnsiTheme="minorEastAsia" w:cs="Times New Roman"/>
          <w:kern w:val="0"/>
          <w:sz w:val="24"/>
          <w:szCs w:val="24"/>
        </w:rPr>
        <w:t>52</w:t>
      </w:r>
      <w:r>
        <w:rPr>
          <w:rFonts w:asciiTheme="minorEastAsia" w:hAnsiTheme="minorEastAsia" w:cs="Times New Roman" w:hint="eastAsia"/>
          <w:kern w:val="0"/>
          <w:sz w:val="24"/>
          <w:szCs w:val="24"/>
        </w:rPr>
        <w:t>号安吉尔大厦</w:t>
      </w:r>
      <w:r>
        <w:rPr>
          <w:rFonts w:asciiTheme="minorEastAsia" w:hAnsiTheme="minorEastAsia" w:cs="Times New Roman"/>
          <w:kern w:val="0"/>
          <w:sz w:val="24"/>
          <w:szCs w:val="24"/>
        </w:rPr>
        <w:t>24</w:t>
      </w:r>
      <w:r>
        <w:rPr>
          <w:rFonts w:asciiTheme="minorEastAsia" w:hAnsiTheme="minorEastAsia" w:cs="Times New Roman" w:hint="eastAsia"/>
          <w:kern w:val="0"/>
          <w:sz w:val="24"/>
          <w:szCs w:val="24"/>
        </w:rPr>
        <w:t>层</w:t>
      </w:r>
    </w:p>
    <w:p w14:paraId="3B795D93"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法定代表人：</w:t>
      </w:r>
      <w:r>
        <w:rPr>
          <w:rFonts w:ascii="Arial Unicode MS" w:hAnsi="Arial Unicode MS" w:cs="Arial" w:hint="eastAsia"/>
          <w:kern w:val="0"/>
          <w:sz w:val="24"/>
        </w:rPr>
        <w:t>王亦伟</w:t>
      </w:r>
    </w:p>
    <w:p w14:paraId="3A079FC1"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成立时间：2016年1月25日</w:t>
      </w:r>
    </w:p>
    <w:p w14:paraId="5188704D"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注册资本：2亿元人民币</w:t>
      </w:r>
    </w:p>
    <w:p w14:paraId="7A4914DC"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存续期间：持续经营</w:t>
      </w:r>
    </w:p>
    <w:p w14:paraId="60B2226C"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联系人：罗艳</w:t>
      </w:r>
    </w:p>
    <w:p w14:paraId="2CDF75A8"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联系电话：（0755）</w:t>
      </w:r>
      <w:r>
        <w:rPr>
          <w:rFonts w:asciiTheme="minorEastAsia" w:hAnsiTheme="minorEastAsia" w:cs="Times New Roman"/>
          <w:kern w:val="0"/>
          <w:sz w:val="24"/>
          <w:szCs w:val="24"/>
        </w:rPr>
        <w:t>8435</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663</w:t>
      </w:r>
      <w:r>
        <w:rPr>
          <w:rFonts w:asciiTheme="minorEastAsia" w:hAnsiTheme="minorEastAsia" w:cs="Times New Roman" w:hint="eastAsia"/>
          <w:kern w:val="0"/>
          <w:sz w:val="24"/>
          <w:szCs w:val="24"/>
        </w:rPr>
        <w:t>7</w:t>
      </w:r>
    </w:p>
    <w:p w14:paraId="13B18181" w14:textId="77777777" w:rsidR="005E308D" w:rsidRDefault="00945B44">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股权结构： </w:t>
      </w:r>
    </w:p>
    <w:tbl>
      <w:tblPr>
        <w:tblW w:w="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5E308D" w14:paraId="434179B8"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1BC1F2AE"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股东名称</w:t>
            </w:r>
          </w:p>
        </w:tc>
        <w:tc>
          <w:tcPr>
            <w:tcW w:w="1275" w:type="dxa"/>
            <w:tcBorders>
              <w:top w:val="single" w:sz="4" w:space="0" w:color="auto"/>
              <w:left w:val="single" w:sz="4" w:space="0" w:color="auto"/>
              <w:bottom w:val="single" w:sz="4" w:space="0" w:color="auto"/>
              <w:right w:val="single" w:sz="4" w:space="0" w:color="auto"/>
            </w:tcBorders>
            <w:vAlign w:val="center"/>
          </w:tcPr>
          <w:p w14:paraId="7A87B541"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出资比例</w:t>
            </w:r>
          </w:p>
        </w:tc>
      </w:tr>
      <w:tr w:rsidR="005E308D" w14:paraId="31CC19C9"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41E77278"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广州科技金融创新投资控股有限公司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671F2B46"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50%</w:t>
            </w:r>
          </w:p>
        </w:tc>
      </w:tr>
      <w:tr w:rsidR="005E308D" w14:paraId="79BA7321"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7E06096F"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深圳嘉年实业股份有限公司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48A4EA39"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45.1%</w:t>
            </w:r>
          </w:p>
        </w:tc>
      </w:tr>
      <w:tr w:rsidR="005E308D" w14:paraId="166CFE25"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00DFC4CF"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湖南省典勤投资开发有限公司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238DEA94"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4.9%</w:t>
            </w:r>
          </w:p>
        </w:tc>
      </w:tr>
    </w:tbl>
    <w:p w14:paraId="6E5E9044" w14:textId="77777777" w:rsidR="005E308D" w:rsidRDefault="005E308D">
      <w:pPr>
        <w:adjustRightInd w:val="0"/>
        <w:snapToGrid w:val="0"/>
        <w:spacing w:line="360" w:lineRule="auto"/>
        <w:ind w:firstLineChars="200" w:firstLine="480"/>
        <w:rPr>
          <w:rFonts w:asciiTheme="minorEastAsia" w:hAnsiTheme="minorEastAsia" w:cs="Arial" w:hint="eastAsia"/>
          <w:kern w:val="0"/>
          <w:sz w:val="24"/>
          <w:szCs w:val="24"/>
        </w:rPr>
      </w:pPr>
    </w:p>
    <w:p w14:paraId="3CD17973" w14:textId="77777777" w:rsidR="005E308D" w:rsidRDefault="00945B44">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二、主要成员情况</w:t>
      </w:r>
    </w:p>
    <w:p w14:paraId="4B2D12DC"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1、董事会成员</w:t>
      </w:r>
    </w:p>
    <w:p w14:paraId="1B3952D9" w14:textId="2D11178E" w:rsidR="005E308D" w:rsidRDefault="00945B44">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王亦伟先生，董事长，中山大学管理学院经济学学士。历任广州大学城投资经营管理有限公司财务部部长，平安信托有限责任公司财富管理事业部区域管理中心总监，广州市城市建设投资集团有限公司计划发展部部长、投资发展部部长，广州市城投投资有限公司总经理、党支部书记、董事、董事长，广州新中轴建设有限公司财务总监、董事长、法人代表</w:t>
      </w:r>
      <w:r w:rsidR="006D49EC">
        <w:rPr>
          <w:rFonts w:asciiTheme="minorEastAsia" w:hAnsiTheme="minorEastAsia" w:cs="Arial" w:hint="eastAsia"/>
          <w:kern w:val="0"/>
          <w:sz w:val="24"/>
        </w:rPr>
        <w:t>，</w:t>
      </w:r>
      <w:r w:rsidR="006D49EC" w:rsidRPr="006D49EC">
        <w:rPr>
          <w:rFonts w:asciiTheme="minorEastAsia" w:hAnsiTheme="minorEastAsia" w:cs="Arial" w:hint="eastAsia"/>
          <w:kern w:val="0"/>
          <w:sz w:val="24"/>
        </w:rPr>
        <w:t>广州城恒城市更新投资有限公司董事长、法定代表人</w:t>
      </w:r>
      <w:r>
        <w:rPr>
          <w:rFonts w:asciiTheme="minorEastAsia" w:hAnsiTheme="minorEastAsia" w:cs="Arial" w:hint="eastAsia"/>
          <w:kern w:val="0"/>
          <w:sz w:val="24"/>
        </w:rPr>
        <w:t>。现任广州产业投资基金管理有限公司党委书记、董事长、法定代表人，广州市城投投资有限公司董事，</w:t>
      </w:r>
      <w:r w:rsidR="006D49EC" w:rsidRPr="006D49EC">
        <w:rPr>
          <w:rFonts w:asciiTheme="minorEastAsia" w:hAnsiTheme="minorEastAsia" w:cs="Arial" w:hint="eastAsia"/>
          <w:kern w:val="0"/>
          <w:sz w:val="24"/>
        </w:rPr>
        <w:t>广州汽车集团股份有限公司董事</w:t>
      </w:r>
      <w:r w:rsidR="006D49EC">
        <w:rPr>
          <w:rFonts w:asciiTheme="minorEastAsia" w:hAnsiTheme="minorEastAsia" w:cs="Arial" w:hint="eastAsia"/>
          <w:kern w:val="0"/>
          <w:sz w:val="24"/>
        </w:rPr>
        <w:t>，</w:t>
      </w:r>
      <w:r>
        <w:rPr>
          <w:rFonts w:asciiTheme="minorEastAsia" w:hAnsiTheme="minorEastAsia" w:cs="Arial" w:hint="eastAsia"/>
          <w:kern w:val="0"/>
          <w:sz w:val="24"/>
        </w:rPr>
        <w:t>富荣基金管理有限公司董事长、法定代表人。</w:t>
      </w:r>
    </w:p>
    <w:p w14:paraId="012C08E8"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杨小舟先生，董事，大连理工大学硕士研究生。历任交通银行沈阳分行国际部国际结算员、信贷科科长、中信银行沈阳皇姑支行副行长、广发银行南湖支行</w:t>
      </w:r>
      <w:r>
        <w:rPr>
          <w:rFonts w:asciiTheme="minorEastAsia" w:hAnsiTheme="minorEastAsia" w:cs="Arial" w:hint="eastAsia"/>
          <w:kern w:val="0"/>
          <w:sz w:val="24"/>
          <w:szCs w:val="24"/>
        </w:rPr>
        <w:lastRenderedPageBreak/>
        <w:t>行长、广发银行沈阳直属支行行长助理、副行长、行长兼党委书记、广发银行沈阳分行行长兼党委书记、广发银行深圳分行行长兼党委书记、富荣基金管理有限公司董事长</w:t>
      </w:r>
      <w:r>
        <w:rPr>
          <w:rFonts w:ascii="宋体" w:eastAsia="宋体" w:hAnsi="宋体" w:cs="Arial" w:hint="eastAsia"/>
          <w:sz w:val="24"/>
          <w:szCs w:val="24"/>
          <w:lang w:bidi="ar"/>
        </w:rPr>
        <w:t>。现任富荣基金管理有限公司总经理</w:t>
      </w:r>
      <w:r>
        <w:rPr>
          <w:rFonts w:asciiTheme="minorEastAsia" w:hAnsiTheme="minorEastAsia" w:cs="Arial" w:hint="eastAsia"/>
          <w:kern w:val="0"/>
          <w:sz w:val="24"/>
          <w:szCs w:val="24"/>
        </w:rPr>
        <w:t>。</w:t>
      </w:r>
    </w:p>
    <w:p w14:paraId="115E56FE" w14:textId="29C76AAC" w:rsidR="005E308D" w:rsidRDefault="00945B44">
      <w:pPr>
        <w:adjustRightInd w:val="0"/>
        <w:snapToGrid w:val="0"/>
        <w:spacing w:line="360" w:lineRule="auto"/>
        <w:ind w:firstLine="420"/>
        <w:rPr>
          <w:rFonts w:asciiTheme="minorEastAsia" w:hAnsiTheme="minorEastAsia" w:cs="Arial" w:hint="eastAsia"/>
          <w:kern w:val="0"/>
          <w:sz w:val="24"/>
        </w:rPr>
      </w:pPr>
      <w:r>
        <w:rPr>
          <w:rFonts w:asciiTheme="minorEastAsia" w:hAnsiTheme="minorEastAsia" w:cs="Arial" w:hint="eastAsia"/>
          <w:kern w:val="0"/>
          <w:sz w:val="24"/>
          <w:szCs w:val="24"/>
        </w:rPr>
        <w:t>赵宏伟先生，董事，对外经济贸易大学硕士研究生。曾任北京大成律师事务所律师、当代北方（北京）投资有限公司总裁、黑龙江北美工业大麻科技有限公司总裁</w:t>
      </w:r>
      <w:r>
        <w:rPr>
          <w:rFonts w:ascii="宋体" w:eastAsia="宋体" w:hAnsi="宋体" w:cs="Arial" w:hint="eastAsia"/>
          <w:sz w:val="24"/>
          <w:szCs w:val="24"/>
          <w:lang w:bidi="ar"/>
        </w:rPr>
        <w:t>，广州产业投资基金管理有限公司风险管理部总经理、法务风控部总经理，</w:t>
      </w:r>
      <w:r w:rsidR="006D49EC">
        <w:rPr>
          <w:rFonts w:ascii="宋体" w:eastAsia="宋体" w:hAnsi="宋体" w:cs="Arial" w:hint="eastAsia"/>
          <w:sz w:val="24"/>
          <w:szCs w:val="24"/>
          <w:lang w:bidi="ar"/>
        </w:rPr>
        <w:t>广州产业投资基金管理有限公司投资管理部总经理</w:t>
      </w:r>
      <w:r w:rsidR="006D49EC">
        <w:rPr>
          <w:rFonts w:asciiTheme="minorEastAsia" w:hAnsiTheme="minorEastAsia" w:cs="Arial" w:hint="eastAsia"/>
          <w:kern w:val="0"/>
          <w:sz w:val="24"/>
          <w:szCs w:val="24"/>
        </w:rPr>
        <w:t>，</w:t>
      </w:r>
      <w:r w:rsidR="006D49EC">
        <w:rPr>
          <w:rFonts w:ascii="宋体" w:eastAsia="宋体" w:hAnsi="宋体" w:cs="Arial" w:hint="eastAsia"/>
          <w:sz w:val="24"/>
          <w:szCs w:val="24"/>
          <w:lang w:bidi="ar"/>
        </w:rPr>
        <w:t>广州基金国际股权投资基金管理有限公司党支部副书记、总经理，</w:t>
      </w:r>
      <w:r>
        <w:rPr>
          <w:rFonts w:ascii="宋体" w:eastAsia="宋体" w:hAnsi="宋体" w:cs="Arial" w:hint="eastAsia"/>
          <w:sz w:val="24"/>
          <w:szCs w:val="24"/>
          <w:lang w:bidi="ar"/>
        </w:rPr>
        <w:t>现任</w:t>
      </w:r>
      <w:r w:rsidR="006D49EC" w:rsidRPr="006D49EC">
        <w:rPr>
          <w:rFonts w:ascii="宋体" w:eastAsia="宋体" w:hAnsi="宋体" w:cs="Arial" w:hint="eastAsia"/>
          <w:sz w:val="24"/>
          <w:szCs w:val="24"/>
          <w:lang w:bidi="ar"/>
        </w:rPr>
        <w:t>穗甬控股有限公司常务副总经理</w:t>
      </w:r>
      <w:r>
        <w:rPr>
          <w:rFonts w:ascii="宋体" w:eastAsia="宋体" w:hAnsi="宋体" w:cs="Arial" w:hint="eastAsia"/>
          <w:sz w:val="24"/>
          <w:szCs w:val="24"/>
          <w:lang w:bidi="ar"/>
        </w:rPr>
        <w:t>，富荣基金管理有限公司董事。</w:t>
      </w:r>
    </w:p>
    <w:p w14:paraId="6B3C1647" w14:textId="0394F218"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rPr>
        <w:t>郭涛先生，董事，</w:t>
      </w:r>
      <w:r>
        <w:rPr>
          <w:rFonts w:ascii="宋体" w:eastAsia="宋体" w:hAnsi="宋体" w:cs="Arial" w:hint="eastAsia"/>
          <w:sz w:val="24"/>
          <w:szCs w:val="24"/>
          <w:lang w:bidi="ar"/>
        </w:rPr>
        <w:t>上海交通大学高级管理人员工商管理专业硕士。现任</w:t>
      </w:r>
      <w:r w:rsidR="006D49EC" w:rsidRPr="006D49EC">
        <w:rPr>
          <w:rFonts w:ascii="宋体" w:eastAsia="宋体" w:hAnsi="宋体" w:cs="Arial" w:hint="eastAsia"/>
          <w:sz w:val="24"/>
          <w:szCs w:val="24"/>
          <w:lang w:bidi="ar"/>
        </w:rPr>
        <w:t>深圳市亿尔德投资有限公司总经理、执行董事；微愿数智（深圳）健康科技有限公司总经理、执行董事；深圳市盈投荣达科技有限公司董事长、总经理；深圳市嘉年印务有限公司董事；深圳市盈实发展有限公司董事长；深圳市盈致未来文创管理有限公司董事长；深圳市益德置业有限公司总经理、董事；盈投科技控股集团有限公司总经理、董事；深圳市铭嘉达信息咨询有限公司董事；深圳市理得文化发展有限公司董事；乐百氏（广东）饮用水有限公司董事；深圳安吉尔饮水产业集团有限公司董事；昊华化工科技集团股份有限公司董事；深圳嘉年实业股份有限公司董事；深圳市盈投发展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久猪电子有限公司监事。</w:t>
      </w:r>
      <w:r>
        <w:rPr>
          <w:rFonts w:asciiTheme="minorEastAsia" w:hAnsiTheme="minorEastAsia" w:cs="Arial" w:hint="eastAsia"/>
          <w:kern w:val="0"/>
          <w:sz w:val="24"/>
        </w:rPr>
        <w:t>富荣基金管理有限公司董事。</w:t>
      </w:r>
    </w:p>
    <w:p w14:paraId="7B2F9C7C"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余关健先生，独立董事，西南财经大学工业经济硕士研究生。曾任中国银行深圳分行信贷处处长、中国银行深圳分行风险管理处处长、深圳赛格、深圳特发集团董事、邦信资产管理公司董事总经理、对外贸易集团股份有限公司董事长、东方资产管理公司办事处总经理。现任</w:t>
      </w:r>
      <w:r>
        <w:rPr>
          <w:rFonts w:ascii="宋体" w:eastAsia="宋体" w:hAnsi="宋体" w:cs="Arial" w:hint="eastAsia"/>
          <w:sz w:val="24"/>
          <w:szCs w:val="24"/>
          <w:lang w:bidi="ar"/>
        </w:rPr>
        <w:t>东银实业（深圳）有限公司董事、深圳金田股份有限公司独立董事、</w:t>
      </w:r>
      <w:r>
        <w:rPr>
          <w:rFonts w:asciiTheme="minorEastAsia" w:hAnsiTheme="minorEastAsia" w:cs="Arial" w:hint="eastAsia"/>
          <w:kern w:val="0"/>
          <w:sz w:val="24"/>
        </w:rPr>
        <w:t>富荣基金管理有限公司独立董事。</w:t>
      </w:r>
    </w:p>
    <w:p w14:paraId="6C933ED9" w14:textId="2093F00B" w:rsidR="005E308D" w:rsidRDefault="00945B44">
      <w:pPr>
        <w:adjustRightInd w:val="0"/>
        <w:snapToGrid w:val="0"/>
        <w:spacing w:line="360" w:lineRule="auto"/>
        <w:ind w:firstLineChars="200" w:firstLine="480"/>
        <w:rPr>
          <w:rFonts w:ascii="宋体" w:eastAsia="宋体" w:hAnsi="宋体" w:cs="Arial" w:hint="eastAsia"/>
          <w:kern w:val="0"/>
          <w:sz w:val="24"/>
          <w:szCs w:val="24"/>
        </w:rPr>
      </w:pPr>
      <w:r>
        <w:rPr>
          <w:rFonts w:ascii="宋体" w:eastAsia="宋体" w:hAnsi="宋体" w:cs="Arial" w:hint="eastAsia"/>
          <w:kern w:val="0"/>
          <w:sz w:val="24"/>
          <w:szCs w:val="24"/>
          <w:lang w:bidi="ar"/>
        </w:rPr>
        <w:lastRenderedPageBreak/>
        <w:t>刘宝瑞先生，独立董事，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w:t>
      </w:r>
      <w:r w:rsidR="006D49EC">
        <w:rPr>
          <w:rFonts w:ascii="宋体" w:eastAsia="宋体" w:hAnsi="宋体" w:cs="Arial" w:hint="eastAsia"/>
          <w:kern w:val="0"/>
          <w:sz w:val="24"/>
          <w:szCs w:val="24"/>
          <w:lang w:bidi="ar"/>
        </w:rPr>
        <w:t>、</w:t>
      </w:r>
      <w:r w:rsidR="006D49EC" w:rsidRPr="006D49EC">
        <w:rPr>
          <w:rFonts w:ascii="宋体" w:eastAsia="宋体" w:hAnsi="宋体" w:cs="Arial" w:hint="eastAsia"/>
          <w:kern w:val="0"/>
          <w:sz w:val="24"/>
          <w:szCs w:val="24"/>
          <w:lang w:bidi="ar"/>
        </w:rPr>
        <w:t>深圳第一金融服务有限公司董事长</w:t>
      </w:r>
      <w:r w:rsidR="006D49EC">
        <w:rPr>
          <w:rFonts w:ascii="宋体" w:eastAsia="宋体" w:hAnsi="宋体" w:cs="Arial" w:hint="eastAsia"/>
          <w:kern w:val="0"/>
          <w:sz w:val="24"/>
          <w:szCs w:val="24"/>
          <w:lang w:bidi="ar"/>
        </w:rPr>
        <w:t>、</w:t>
      </w:r>
      <w:r w:rsidR="006D49EC" w:rsidRPr="006D49EC">
        <w:rPr>
          <w:rFonts w:ascii="宋体" w:eastAsia="宋体" w:hAnsi="宋体" w:cs="Arial" w:hint="eastAsia"/>
          <w:kern w:val="0"/>
          <w:sz w:val="24"/>
          <w:szCs w:val="24"/>
          <w:lang w:bidi="ar"/>
        </w:rPr>
        <w:t>湖南银行独立董事</w:t>
      </w:r>
      <w:r w:rsidR="006D49EC">
        <w:rPr>
          <w:rFonts w:ascii="宋体" w:eastAsia="宋体" w:hAnsi="宋体" w:cs="Arial" w:hint="eastAsia"/>
          <w:kern w:val="0"/>
          <w:sz w:val="24"/>
          <w:szCs w:val="24"/>
          <w:lang w:bidi="ar"/>
        </w:rPr>
        <w:t>、</w:t>
      </w:r>
      <w:r w:rsidR="006D49EC" w:rsidRPr="006D49EC">
        <w:rPr>
          <w:rFonts w:ascii="宋体" w:eastAsia="宋体" w:hAnsi="宋体" w:cs="Arial" w:hint="eastAsia"/>
          <w:kern w:val="0"/>
          <w:sz w:val="24"/>
          <w:szCs w:val="24"/>
          <w:lang w:bidi="ar"/>
        </w:rPr>
        <w:t>深圳青石资本管理有限公司法定代表人、执行董事、总经理</w:t>
      </w:r>
      <w:r>
        <w:rPr>
          <w:rFonts w:ascii="宋体" w:eastAsia="宋体" w:hAnsi="宋体" w:cs="Arial" w:hint="eastAsia"/>
          <w:kern w:val="0"/>
          <w:sz w:val="24"/>
          <w:szCs w:val="24"/>
          <w:lang w:bidi="ar"/>
        </w:rPr>
        <w:t>。</w:t>
      </w:r>
      <w:r w:rsidR="006D49EC" w:rsidRPr="006D49EC">
        <w:rPr>
          <w:rFonts w:ascii="宋体" w:eastAsia="宋体" w:hAnsi="宋体" w:cs="Arial" w:hint="eastAsia"/>
          <w:kern w:val="0"/>
          <w:sz w:val="24"/>
          <w:szCs w:val="24"/>
          <w:lang w:bidi="ar"/>
        </w:rPr>
        <w:t>深圳冠领融科服务有限公司董事</w:t>
      </w:r>
      <w:r w:rsidR="006D49EC">
        <w:rPr>
          <w:rFonts w:ascii="宋体" w:eastAsia="宋体" w:hAnsi="宋体" w:cs="Arial" w:hint="eastAsia"/>
          <w:kern w:val="0"/>
          <w:sz w:val="24"/>
          <w:szCs w:val="24"/>
          <w:lang w:bidi="ar"/>
        </w:rPr>
        <w:t>、</w:t>
      </w:r>
      <w:r>
        <w:rPr>
          <w:rFonts w:ascii="宋体" w:eastAsia="宋体" w:hAnsi="宋体" w:cs="Arial" w:hint="eastAsia"/>
          <w:kern w:val="0"/>
          <w:sz w:val="24"/>
          <w:szCs w:val="24"/>
          <w:lang w:bidi="ar"/>
        </w:rPr>
        <w:t>天津银行监事、深圳和石资本管理有限责任公司法定代表人、董事、经理；北京雍和瑞泰管理顾问有限公司法定代表人、执行董事、经理、财务负责人；深圳雍和瑞银投资管理有限公司法定代表人、董事、经理；深圳泰和瑞银金融配套服务合伙企业（有限合伙）执行事务合伙人、富荣基金管理有限公司独立董事。</w:t>
      </w:r>
    </w:p>
    <w:p w14:paraId="67DF0A22"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lang w:bidi="ar"/>
        </w:rPr>
        <w:t>张刚先生，独立董事，内蒙古大学民商法学硕士研究生。曾任内蒙古大学教师、北京王玉梅律师事务所律师、北京建元律师事务所合伙人、宁夏中银绒业股份有限公司独立董事。现任北京大成律师事务所高级合伙人、富荣基金管理有限公司独立董事。</w:t>
      </w:r>
    </w:p>
    <w:p w14:paraId="7294AB91"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2、监事会成员</w:t>
      </w:r>
    </w:p>
    <w:p w14:paraId="4C86C51F"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基金管理人不设监事会，设监事两名，其中一名为职工监事。</w:t>
      </w:r>
    </w:p>
    <w:p w14:paraId="69452262" w14:textId="6062FBC1"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冯晓霖女士，监事，硕士。曾任深圳市嘉霖置业集团有限公司法务，现任盈投科技控股集团有限公司法务主管、富荣基金管理有限公司监事。</w:t>
      </w:r>
    </w:p>
    <w:p w14:paraId="1C44E790"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魏丽红女士，职工监事，大专。现任富荣基金管理有限公司职工监事。</w:t>
      </w:r>
    </w:p>
    <w:p w14:paraId="1A74509D"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3、高级管理人员</w:t>
      </w:r>
    </w:p>
    <w:p w14:paraId="7B454D94" w14:textId="666C8B0B"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总经理、兼任首席信息官，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w:t>
      </w:r>
      <w:r>
        <w:rPr>
          <w:rFonts w:ascii="宋体" w:eastAsia="宋体" w:hAnsi="宋体" w:cs="Arial" w:hint="eastAsia"/>
          <w:sz w:val="24"/>
          <w:szCs w:val="24"/>
          <w:lang w:bidi="ar"/>
        </w:rPr>
        <w:t>现任富荣基金管理有限公司总经理。</w:t>
      </w:r>
    </w:p>
    <w:p w14:paraId="2CBE2FF6" w14:textId="7D1C7951" w:rsidR="005E308D" w:rsidRDefault="00945B44">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史克新先生，副总经理，EMBA硕士。历任珠海会计师事务所注册会计师，君安证券有限公司审计师，北大方正投资有限公司副总经理，兴安证券东莞营业部总经理，深圳丽晶生物技术有限公司董事长，金元证券股份有限公司副监事长、审计部总经理，金元顺安基金管理有限公司董事，金元证券股份有限公司经纪管理总部总经理，金元证券股份有限公司深圳分公司总经理，金元证券股份有限公</w:t>
      </w:r>
      <w:r>
        <w:rPr>
          <w:rFonts w:asciiTheme="minorEastAsia" w:hAnsiTheme="minorEastAsia" w:cs="Arial" w:hint="eastAsia"/>
          <w:kern w:val="0"/>
          <w:sz w:val="24"/>
        </w:rPr>
        <w:lastRenderedPageBreak/>
        <w:t>司互联网创新专项办公室总经理等。现任富荣基金管理有限公司副总经理</w:t>
      </w:r>
      <w:r w:rsidR="006D49EC">
        <w:rPr>
          <w:rFonts w:asciiTheme="minorEastAsia" w:hAnsiTheme="minorEastAsia" w:cs="Arial" w:hint="eastAsia"/>
          <w:kern w:val="0"/>
          <w:sz w:val="24"/>
        </w:rPr>
        <w:t>，兼任深圳分公司总经理</w:t>
      </w:r>
      <w:r>
        <w:rPr>
          <w:rFonts w:asciiTheme="minorEastAsia" w:hAnsiTheme="minorEastAsia" w:cs="Arial" w:hint="eastAsia"/>
          <w:kern w:val="0"/>
          <w:sz w:val="24"/>
        </w:rPr>
        <w:t>。</w:t>
      </w:r>
    </w:p>
    <w:p w14:paraId="7219A42A" w14:textId="6DD924CF" w:rsidR="006D49EC" w:rsidRDefault="006D49EC">
      <w:pPr>
        <w:adjustRightInd w:val="0"/>
        <w:snapToGrid w:val="0"/>
        <w:spacing w:line="360" w:lineRule="auto"/>
        <w:ind w:firstLineChars="200" w:firstLine="480"/>
        <w:rPr>
          <w:rFonts w:asciiTheme="minorEastAsia" w:hAnsiTheme="minorEastAsia" w:cs="Arial" w:hint="eastAsia"/>
          <w:kern w:val="0"/>
          <w:sz w:val="24"/>
        </w:rPr>
      </w:pPr>
      <w:r w:rsidRPr="006D49EC">
        <w:rPr>
          <w:rFonts w:asciiTheme="minorEastAsia" w:hAnsiTheme="minorEastAsia" w:cs="Arial" w:hint="eastAsia"/>
          <w:kern w:val="0"/>
          <w:sz w:val="24"/>
        </w:rPr>
        <w:t>邱张斌先生，督察长，西安交通大学工商管理硕士。历任深圳中天会计师事务所审计员，安永会计师事务所审计经理，银华基金管理有限公司监察稽核主管，大成基金管理有限公司监察稽核部执行总监，大成创新资本管理有限公司副总经理兼监察稽核与风险管理部总监，前海联合基金管理有限公司督察长，中天国富证券有限公司总裁助理兼法律合规部总经理。现任富荣基金管理有限公司督察长。</w:t>
      </w:r>
    </w:p>
    <w:p w14:paraId="2B9B699E" w14:textId="4EC3A17B" w:rsidR="006D49EC" w:rsidRDefault="006D49EC">
      <w:pPr>
        <w:adjustRightInd w:val="0"/>
        <w:snapToGrid w:val="0"/>
        <w:spacing w:line="360" w:lineRule="auto"/>
        <w:ind w:firstLineChars="200" w:firstLine="480"/>
        <w:rPr>
          <w:rFonts w:asciiTheme="minorEastAsia" w:hAnsiTheme="minorEastAsia" w:cs="Arial" w:hint="eastAsia"/>
          <w:kern w:val="0"/>
          <w:sz w:val="24"/>
        </w:rPr>
      </w:pPr>
      <w:r w:rsidRPr="006D49EC">
        <w:rPr>
          <w:rFonts w:asciiTheme="minorEastAsia" w:hAnsiTheme="minorEastAsia" w:cs="Arial" w:hint="eastAsia"/>
          <w:kern w:val="0"/>
          <w:sz w:val="24"/>
        </w:rPr>
        <w:t>郑宇光先生，总经理助理，上海交通大学MBA硕士。历任平安资产管理有限责任公司交易部/投资管理部经理，太平资产管理有限责任公司固定收益部投资经理，上投摩根基金管理有限公司专户管理部投资经理，中信保诚基金管理有限公司固定收益部投资经理、总监助理，长江证券资产管理有限责任公司投资经理，上海勤远投资管理中心（有限合伙）量化研究总监基金经理，泰信基金管理有限公司专户投资部副总监，固收投资部基金经理、总监。现任富荣基金管理有限公司总经理助理。</w:t>
      </w:r>
    </w:p>
    <w:p w14:paraId="3E661967" w14:textId="16F07294" w:rsidR="006D49EC" w:rsidRDefault="006D49EC">
      <w:pPr>
        <w:adjustRightInd w:val="0"/>
        <w:snapToGrid w:val="0"/>
        <w:spacing w:line="360" w:lineRule="auto"/>
        <w:ind w:firstLineChars="200" w:firstLine="480"/>
        <w:rPr>
          <w:rFonts w:asciiTheme="minorEastAsia" w:hAnsiTheme="minorEastAsia" w:cs="Arial" w:hint="eastAsia"/>
          <w:kern w:val="0"/>
          <w:sz w:val="24"/>
        </w:rPr>
      </w:pPr>
      <w:r w:rsidRPr="006D49EC">
        <w:rPr>
          <w:rFonts w:asciiTheme="minorEastAsia" w:hAnsiTheme="minorEastAsia" w:cs="Arial" w:hint="eastAsia"/>
          <w:kern w:val="0"/>
          <w:sz w:val="24"/>
        </w:rPr>
        <w:t>赵睿杨女士，总经理助理，对外经济贸易大学会计学硕士研究生。历任合生创展集团有限公司集团财务与投资中心上市核算管理师、投资分析副经理，慧富恒泰（北京）基金管理有限公司投融资一部总经理，北信瑞丰基金管理有限公司市场部高级经理、市场部总监助理、渠道部副总监、渠道部总监、专户机构部总监、市场总监、公司总经理助理。现任富荣基金管理有限公司总经理助理，兼任北京分公司总经理。</w:t>
      </w:r>
    </w:p>
    <w:p w14:paraId="75F2C057"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4、本基金基金经理</w:t>
      </w:r>
    </w:p>
    <w:p w14:paraId="7CC9C0AA" w14:textId="5C988195"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李黄海先生，美国南加州大学博士，CFA（特许金融分析师），深圳市地方级领军人才。曾任摩根士丹利华鑫基金数量化投资部投资经理、平安基金量化投资部总监、富荣基金管理有限公司专户部投资经理等职。现任富荣基金管理有限公司投资决策委员会委员、富荣医药健康混合型发起式证券投资基金基金经理（自2022年06月28日</w:t>
      </w:r>
      <w:r w:rsidR="00FF336E">
        <w:rPr>
          <w:rFonts w:asciiTheme="minorEastAsia" w:hAnsiTheme="minorEastAsia" w:cs="Arial" w:hint="eastAsia"/>
          <w:kern w:val="0"/>
          <w:sz w:val="24"/>
          <w:szCs w:val="24"/>
        </w:rPr>
        <w:t>至2025年06月28日</w:t>
      </w:r>
      <w:r>
        <w:rPr>
          <w:rFonts w:asciiTheme="minorEastAsia" w:hAnsiTheme="minorEastAsia" w:cs="Arial" w:hint="eastAsia"/>
          <w:kern w:val="0"/>
          <w:sz w:val="24"/>
          <w:szCs w:val="24"/>
        </w:rPr>
        <w:t>）、富荣价值精选灵活配置混合型发起式证券投资基金基金经理（自2023年07月31日起任职）、富荣富乾债券型证券投资基金基金经理（自2023年12月12日起任职）、富荣福耀混合型证券投资基金基金经理（自2023年12月12日起任职）、富荣量化精选混合型发起式证券投资基金基金经理（自2024年01月08日</w:t>
      </w:r>
      <w:r w:rsidR="00FF336E">
        <w:rPr>
          <w:rFonts w:asciiTheme="minorEastAsia" w:hAnsiTheme="minorEastAsia" w:cs="Arial" w:hint="eastAsia"/>
          <w:kern w:val="0"/>
          <w:sz w:val="24"/>
          <w:szCs w:val="24"/>
        </w:rPr>
        <w:t>至2025年05月06日</w:t>
      </w:r>
      <w:r>
        <w:rPr>
          <w:rFonts w:asciiTheme="minorEastAsia" w:hAnsiTheme="minorEastAsia" w:cs="Arial" w:hint="eastAsia"/>
          <w:kern w:val="0"/>
          <w:sz w:val="24"/>
          <w:szCs w:val="24"/>
        </w:rPr>
        <w:t>）。</w:t>
      </w:r>
    </w:p>
    <w:p w14:paraId="1110D4B7" w14:textId="61B0075F" w:rsidR="00F1033E" w:rsidRPr="00F1033E" w:rsidRDefault="00F1033E">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lastRenderedPageBreak/>
        <w:t>李响先生，计算机科学与技术系硕士研究生。曾任博时基金管理有限公司高级程序员</w:t>
      </w:r>
      <w:r w:rsidR="00C700DF">
        <w:rPr>
          <w:rFonts w:asciiTheme="minorEastAsia" w:hAnsiTheme="minorEastAsia" w:cs="Arial" w:hint="eastAsia"/>
          <w:kern w:val="0"/>
          <w:sz w:val="24"/>
          <w:szCs w:val="24"/>
        </w:rPr>
        <w:t>、</w:t>
      </w:r>
      <w:r>
        <w:rPr>
          <w:rFonts w:asciiTheme="minorEastAsia" w:hAnsiTheme="minorEastAsia" w:cs="Arial" w:hint="eastAsia"/>
          <w:kern w:val="0"/>
          <w:sz w:val="24"/>
          <w:szCs w:val="24"/>
        </w:rPr>
        <w:t>交银施罗德基金管理有限公司量化投资部研究员。</w:t>
      </w:r>
      <w:r w:rsidR="00C700DF">
        <w:rPr>
          <w:rFonts w:asciiTheme="minorEastAsia" w:hAnsiTheme="minorEastAsia" w:cs="Arial" w:hint="eastAsia"/>
          <w:kern w:val="0"/>
          <w:sz w:val="24"/>
          <w:szCs w:val="24"/>
        </w:rPr>
        <w:t>曾就职于</w:t>
      </w:r>
      <w:r>
        <w:rPr>
          <w:rFonts w:asciiTheme="minorEastAsia" w:hAnsiTheme="minorEastAsia" w:cs="Arial" w:hint="eastAsia"/>
          <w:kern w:val="0"/>
          <w:sz w:val="24"/>
          <w:szCs w:val="24"/>
        </w:rPr>
        <w:t>南方基金管理有限</w:t>
      </w:r>
      <w:r w:rsidR="003E3430">
        <w:rPr>
          <w:rFonts w:asciiTheme="minorEastAsia" w:hAnsiTheme="minorEastAsia" w:cs="Arial" w:hint="eastAsia"/>
          <w:kern w:val="0"/>
          <w:sz w:val="24"/>
          <w:szCs w:val="24"/>
        </w:rPr>
        <w:t>公司信息技术部。</w:t>
      </w:r>
      <w:r w:rsidR="00C700DF">
        <w:rPr>
          <w:rFonts w:asciiTheme="minorEastAsia" w:hAnsiTheme="minorEastAsia" w:cs="Arial" w:hint="eastAsia"/>
          <w:kern w:val="0"/>
          <w:sz w:val="24"/>
          <w:szCs w:val="24"/>
        </w:rPr>
        <w:t>曾任</w:t>
      </w:r>
      <w:r w:rsidR="003E3430">
        <w:rPr>
          <w:rFonts w:asciiTheme="minorEastAsia" w:hAnsiTheme="minorEastAsia" w:cs="Arial" w:hint="eastAsia"/>
          <w:kern w:val="0"/>
          <w:sz w:val="24"/>
          <w:szCs w:val="24"/>
        </w:rPr>
        <w:t>九泰基金管理有限公司绝对收益部投资经理、基金经理、天元量化投资部基金经理、权益投资部副总监、基金经理。现任富荣基金管理有限公司富荣福耀混合型证券投资基金基金经理（自2025年08月06日起任职）</w:t>
      </w:r>
      <w:r>
        <w:rPr>
          <w:rFonts w:asciiTheme="minorEastAsia" w:hAnsiTheme="minorEastAsia" w:cs="Arial" w:hint="eastAsia"/>
          <w:kern w:val="0"/>
          <w:sz w:val="24"/>
          <w:szCs w:val="24"/>
        </w:rPr>
        <w:t>。</w:t>
      </w:r>
    </w:p>
    <w:p w14:paraId="62F12BB9"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历任基金经理：黄祥斌（自2021年12月29日至2023年7月31日）、邓宇翔（自2021年12月27日至2024年4月18日）</w:t>
      </w:r>
    </w:p>
    <w:p w14:paraId="59273CAF"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5、投资决策委员会成员的姓名、</w:t>
      </w:r>
      <w:r>
        <w:rPr>
          <w:rFonts w:asciiTheme="minorEastAsia" w:hAnsiTheme="minorEastAsia" w:cs="Arial" w:hint="eastAsia"/>
          <w:kern w:val="0"/>
          <w:sz w:val="24"/>
          <w:szCs w:val="24"/>
        </w:rPr>
        <w:t>职务</w:t>
      </w:r>
    </w:p>
    <w:p w14:paraId="514FF5AB" w14:textId="3917A3F9" w:rsidR="005E308D" w:rsidRDefault="00945B44">
      <w:pPr>
        <w:spacing w:line="360" w:lineRule="auto"/>
        <w:ind w:firstLineChars="200" w:firstLine="480"/>
        <w:rPr>
          <w:rFonts w:asciiTheme="minorEastAsia" w:hAnsiTheme="minorEastAsia" w:hint="eastAsia"/>
          <w:sz w:val="24"/>
        </w:rPr>
      </w:pPr>
      <w:r>
        <w:rPr>
          <w:rFonts w:asciiTheme="minorEastAsia" w:hAnsiTheme="minorEastAsia" w:hint="eastAsia"/>
          <w:sz w:val="24"/>
        </w:rPr>
        <w:t>杨小舟先生，投资决策委员会主任委员、公司总经理、兼任首席信息官。</w:t>
      </w:r>
    </w:p>
    <w:p w14:paraId="039070C6" w14:textId="534828B6" w:rsidR="005E308D" w:rsidRDefault="00CB264F">
      <w:pPr>
        <w:spacing w:line="360" w:lineRule="auto"/>
        <w:ind w:firstLineChars="200" w:firstLine="480"/>
        <w:rPr>
          <w:rFonts w:asciiTheme="minorEastAsia" w:hAnsiTheme="minorEastAsia" w:hint="eastAsia"/>
          <w:sz w:val="24"/>
        </w:rPr>
      </w:pPr>
      <w:r>
        <w:rPr>
          <w:rFonts w:asciiTheme="minorEastAsia" w:hAnsiTheme="minorEastAsia" w:hint="eastAsia"/>
          <w:sz w:val="24"/>
        </w:rPr>
        <w:t>郑宇光</w:t>
      </w:r>
      <w:r w:rsidR="00945B44">
        <w:rPr>
          <w:rFonts w:asciiTheme="minorEastAsia" w:hAnsiTheme="minorEastAsia" w:hint="eastAsia"/>
          <w:sz w:val="24"/>
        </w:rPr>
        <w:t>先生，投资决策委员会委员、公司总经理</w:t>
      </w:r>
      <w:r>
        <w:rPr>
          <w:rFonts w:asciiTheme="minorEastAsia" w:hAnsiTheme="minorEastAsia" w:hint="eastAsia"/>
          <w:sz w:val="24"/>
        </w:rPr>
        <w:t>助理</w:t>
      </w:r>
      <w:r w:rsidR="00945B44">
        <w:rPr>
          <w:rFonts w:asciiTheme="minorEastAsia" w:hAnsiTheme="minorEastAsia" w:hint="eastAsia"/>
          <w:sz w:val="24"/>
        </w:rPr>
        <w:t>。</w:t>
      </w:r>
    </w:p>
    <w:p w14:paraId="432E74E4" w14:textId="12113C38" w:rsidR="005E308D" w:rsidRDefault="00945B44">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郎骋成先生，投资决策委员会委员、研究部总经理、</w:t>
      </w:r>
      <w:r>
        <w:rPr>
          <w:rFonts w:asciiTheme="minorEastAsia" w:hAnsiTheme="minorEastAsia" w:cs="Arial" w:hint="eastAsia"/>
          <w:kern w:val="0"/>
          <w:sz w:val="24"/>
          <w:szCs w:val="24"/>
        </w:rPr>
        <w:t>权益投资部总经理、专户投资经理、</w:t>
      </w:r>
      <w:r>
        <w:rPr>
          <w:rFonts w:asciiTheme="minorEastAsia" w:hAnsiTheme="minorEastAsia" w:hint="eastAsia"/>
          <w:color w:val="000000"/>
          <w:kern w:val="0"/>
          <w:sz w:val="24"/>
          <w:szCs w:val="24"/>
        </w:rPr>
        <w:t>基金经理。</w:t>
      </w:r>
    </w:p>
    <w:p w14:paraId="7C2C90D4" w14:textId="75053E07" w:rsidR="00CB264F" w:rsidRDefault="00CB264F">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color w:val="000000"/>
          <w:kern w:val="0"/>
          <w:sz w:val="24"/>
          <w:szCs w:val="24"/>
        </w:rPr>
        <w:t>吴敏先生，</w:t>
      </w:r>
      <w:r w:rsidRPr="00CB264F">
        <w:rPr>
          <w:rFonts w:asciiTheme="minorEastAsia" w:hAnsiTheme="minorEastAsia" w:hint="eastAsia"/>
          <w:color w:val="000000"/>
          <w:kern w:val="0"/>
          <w:sz w:val="24"/>
          <w:szCs w:val="24"/>
        </w:rPr>
        <w:t>投资决策委员会委员</w:t>
      </w:r>
      <w:r>
        <w:rPr>
          <w:rFonts w:asciiTheme="minorEastAsia" w:hAnsiTheme="minorEastAsia" w:hint="eastAsia"/>
          <w:color w:val="000000"/>
          <w:kern w:val="0"/>
          <w:sz w:val="24"/>
          <w:szCs w:val="24"/>
        </w:rPr>
        <w:t>、固定收益部总经理。</w:t>
      </w:r>
    </w:p>
    <w:p w14:paraId="652990DF" w14:textId="1ECDCE9F" w:rsidR="00CB264F" w:rsidRDefault="00CB264F">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color w:val="000000"/>
          <w:kern w:val="0"/>
          <w:sz w:val="24"/>
          <w:szCs w:val="24"/>
        </w:rPr>
        <w:t>孟亚强先生，</w:t>
      </w:r>
      <w:r w:rsidRPr="00CB264F">
        <w:rPr>
          <w:rFonts w:asciiTheme="minorEastAsia" w:hAnsiTheme="minorEastAsia" w:hint="eastAsia"/>
          <w:color w:val="000000"/>
          <w:kern w:val="0"/>
          <w:sz w:val="24"/>
          <w:szCs w:val="24"/>
        </w:rPr>
        <w:t>投资决策委员会委员、</w:t>
      </w:r>
      <w:r w:rsidR="000933A4" w:rsidRPr="000933A4">
        <w:rPr>
          <w:rFonts w:asciiTheme="minorEastAsia" w:hAnsiTheme="minorEastAsia" w:hint="eastAsia"/>
          <w:color w:val="000000"/>
          <w:kern w:val="0"/>
          <w:sz w:val="24"/>
          <w:szCs w:val="24"/>
        </w:rPr>
        <w:t>量化投资部总经理</w:t>
      </w:r>
      <w:r w:rsidR="000933A4">
        <w:rPr>
          <w:rFonts w:asciiTheme="minorEastAsia" w:hAnsiTheme="minorEastAsia" w:hint="eastAsia"/>
          <w:color w:val="000000"/>
          <w:kern w:val="0"/>
          <w:sz w:val="24"/>
          <w:szCs w:val="24"/>
        </w:rPr>
        <w:t>、</w:t>
      </w:r>
      <w:r>
        <w:rPr>
          <w:rFonts w:asciiTheme="minorEastAsia" w:hAnsiTheme="minorEastAsia" w:hint="eastAsia"/>
          <w:color w:val="000000"/>
          <w:kern w:val="0"/>
          <w:sz w:val="24"/>
          <w:szCs w:val="24"/>
        </w:rPr>
        <w:t>基金</w:t>
      </w:r>
      <w:r w:rsidRPr="00CB264F">
        <w:rPr>
          <w:rFonts w:asciiTheme="minorEastAsia" w:hAnsiTheme="minorEastAsia" w:hint="eastAsia"/>
          <w:color w:val="000000"/>
          <w:kern w:val="0"/>
          <w:sz w:val="24"/>
          <w:szCs w:val="24"/>
        </w:rPr>
        <w:t>经理。</w:t>
      </w:r>
    </w:p>
    <w:p w14:paraId="3B68500B" w14:textId="77777777" w:rsidR="005E308D" w:rsidRDefault="00945B44">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李延峥先生，投资决策委员会委员、投资决策委员会秘书、</w:t>
      </w:r>
      <w:r>
        <w:rPr>
          <w:rFonts w:ascii="宋体" w:eastAsia="宋体" w:hAnsi="宋体" w:cs="Arial" w:hint="eastAsia"/>
          <w:sz w:val="24"/>
          <w:szCs w:val="24"/>
          <w:lang w:bidi="ar"/>
        </w:rPr>
        <w:t>研究部总经理助理、</w:t>
      </w:r>
      <w:r>
        <w:rPr>
          <w:rFonts w:asciiTheme="minorEastAsia" w:hAnsiTheme="minorEastAsia" w:hint="eastAsia"/>
          <w:color w:val="000000"/>
          <w:kern w:val="0"/>
          <w:sz w:val="24"/>
          <w:szCs w:val="24"/>
        </w:rPr>
        <w:t>基金经理。</w:t>
      </w:r>
    </w:p>
    <w:p w14:paraId="2BD394A2" w14:textId="77777777" w:rsidR="005E308D" w:rsidRDefault="00945B44">
      <w:pPr>
        <w:adjustRightInd w:val="0"/>
        <w:snapToGrid w:val="0"/>
        <w:spacing w:line="360" w:lineRule="auto"/>
        <w:ind w:firstLineChars="200" w:firstLine="480"/>
        <w:rPr>
          <w:rFonts w:asciiTheme="minorEastAsia" w:hAnsiTheme="minorEastAsia" w:cs="Arial" w:hint="eastAsia"/>
          <w:color w:val="FF0000"/>
          <w:sz w:val="24"/>
          <w:szCs w:val="24"/>
        </w:rPr>
      </w:pPr>
      <w:r>
        <w:rPr>
          <w:rFonts w:asciiTheme="minorEastAsia" w:hAnsiTheme="minorEastAsia" w:cs="Arial"/>
          <w:kern w:val="0"/>
          <w:sz w:val="24"/>
          <w:szCs w:val="24"/>
        </w:rPr>
        <w:t>6、上述人员之间不存在近亲属关系。</w:t>
      </w:r>
    </w:p>
    <w:p w14:paraId="6EF9CE22" w14:textId="77777777" w:rsidR="005E308D" w:rsidRDefault="00945B44">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三、基金管理人的职责</w:t>
      </w:r>
    </w:p>
    <w:p w14:paraId="0065F2E7"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1、依法募集资金，办理或者委托经中国证监会认定的其他机构代为办理基金份额的发售、申购、赎回和登记事宜；</w:t>
      </w:r>
    </w:p>
    <w:p w14:paraId="622447D4"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2、办理基金备案手续；</w:t>
      </w:r>
    </w:p>
    <w:p w14:paraId="24E48DE6"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3、自《基金合同》生效之日起，以诚实信用、谨慎勤勉的原则管理和运用基金财产；</w:t>
      </w:r>
    </w:p>
    <w:p w14:paraId="6F247869"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4、配备足够的具有专业资格的人员进行基金投资分析、决策，以专业化的经营方式管理和运作基金财产；</w:t>
      </w:r>
    </w:p>
    <w:p w14:paraId="652C3566"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5、建立健全内部风险控制、监察与稽核、财务管理及人事管理等制度，保证所管理的基金财产和基金管理人的财产相互独立，对所管理的不同基金分别管理，分别记账，进行证券投资；</w:t>
      </w:r>
    </w:p>
    <w:p w14:paraId="6C098190"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6、除依据《基金法》、《基金合同》及其他有关规定外，不得利用基金财产</w:t>
      </w:r>
      <w:r>
        <w:rPr>
          <w:rFonts w:asciiTheme="minorEastAsia" w:hAnsiTheme="minorEastAsia" w:cs="Times New Roman" w:hint="eastAsia"/>
          <w:sz w:val="24"/>
          <w:szCs w:val="24"/>
        </w:rPr>
        <w:lastRenderedPageBreak/>
        <w:t>为自己及任何第三人谋取利益，不得委托第三人运作基金财产；</w:t>
      </w:r>
    </w:p>
    <w:p w14:paraId="43BC66A6"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7、依法接受基金托管人的监督；</w:t>
      </w:r>
    </w:p>
    <w:p w14:paraId="2DBAD987"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8、采取适当合理的措施使计算基金份额认购、申购、赎回和注销价格的方法符合《基金合同》等法律文件的规定，按有关规定计算并公告基金净值信息，确定基金份额申购、赎回的价格；</w:t>
      </w:r>
    </w:p>
    <w:p w14:paraId="7437E71B"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9、进行基金会计核算并编制基金财务会计报告；</w:t>
      </w:r>
    </w:p>
    <w:p w14:paraId="1FA9F990"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10、编制季度报告、中期报告和年度报告；</w:t>
      </w:r>
    </w:p>
    <w:p w14:paraId="56D7BB70"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11、严格按照《基金法》、《基金合同》及其他有关规定，履行信息披露及报告义务；</w:t>
      </w:r>
    </w:p>
    <w:p w14:paraId="2D3EA562"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575B7771"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13、按《基金合同》的约定确定基金收益分配方案，及时向基金份额持有人分配基金收益；</w:t>
      </w:r>
    </w:p>
    <w:p w14:paraId="6B0217E5"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14、按规定受理申购与赎回申请，及时、足额支付赎回款项；</w:t>
      </w:r>
    </w:p>
    <w:p w14:paraId="4A5B90F8"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15、依据《基金法》、《基金合同》及其他有关规定召集基金份额持有人大会或配合基金托管人、基金份额持有人依法召集基金份额持有人大会；</w:t>
      </w:r>
    </w:p>
    <w:p w14:paraId="35D55FC6"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16、按规定保存基金财产管理业务活动的会计账册、报表、记录和其他相关资料，保存期限不低于法律法规规定的最低期限；</w:t>
      </w:r>
    </w:p>
    <w:p w14:paraId="55C7F510"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3114140"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18、组织并参加基金财产清算小组，参与基金财产的保管、清理、估价、变现和分配；</w:t>
      </w:r>
    </w:p>
    <w:p w14:paraId="7801174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19、面临解散、依法被撤销或者被依法宣告破产时，及时报告中国证监会并通知基金托管人；</w:t>
      </w:r>
    </w:p>
    <w:p w14:paraId="5CE7EA45"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20、因违反《基金合同》导致基金财产的损失或损害基金份额持有人合法权益时，应当承担赔偿责任，其赔偿责任不因其退任而免除；</w:t>
      </w:r>
    </w:p>
    <w:p w14:paraId="4813384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21、监督基金托管人按法律法规和《基金合同》规定履行自己的义务，基金托管人违反《基金合同》造成基金财产损失时，基金管理人应为基金份额持有人利益向基金托管人追偿；</w:t>
      </w:r>
    </w:p>
    <w:p w14:paraId="2463B6A5"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22、当基金管理人将其义务委托第三方处理时，应当对第三方处理有关基金事务的行为承担责任；</w:t>
      </w:r>
    </w:p>
    <w:p w14:paraId="20629529"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23、以基金管理人名义，代表基金份额持有人利益行使诉讼权利或实施其他法律行为；</w:t>
      </w:r>
    </w:p>
    <w:p w14:paraId="010108BC"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24、基金管理人在募集期间未能达到基金的备案条件，《基金合同》不能生效，基金管理人承担全部募集费用，将已募集资金并加计银行同期存款利息在基金募集期结束后30日内退还基金认购人；</w:t>
      </w:r>
    </w:p>
    <w:p w14:paraId="1FB8C8A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25、执行生效的基金份额持有人大会的决议；</w:t>
      </w:r>
    </w:p>
    <w:p w14:paraId="0EF7470E"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26、建立并保存基金份额持有人名册；</w:t>
      </w:r>
    </w:p>
    <w:p w14:paraId="3F6D9786"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27、法律法规及中国证监会规定的和《基金合同》约定的其他义务。</w:t>
      </w:r>
    </w:p>
    <w:p w14:paraId="6A5AD10C" w14:textId="77777777" w:rsidR="005E308D" w:rsidRDefault="00945B44">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四、基金管理人的承诺</w:t>
      </w:r>
    </w:p>
    <w:p w14:paraId="3912A7F4"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1、基金管理人承诺不从事违反《中华人民共和国证券法》的行为，并承诺建立健全内部控制制度，采取有效措施，防止违反《中华人民共和国证券法》行为的发生； </w:t>
      </w:r>
    </w:p>
    <w:p w14:paraId="1BC21961"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2、基金管理人承诺不从事违反《基金法》的行为，并承诺建立健全内部风险控制制度，采取有效措施，防止下列行为的发生：</w:t>
      </w:r>
    </w:p>
    <w:p w14:paraId="00545AA2"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（1）将基金管理人固有财产或者他人财产混同于基金财产从事证券投资；</w:t>
      </w:r>
    </w:p>
    <w:p w14:paraId="3F25BBC3"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（2）不公平地对待管理的不同基金财产；</w:t>
      </w:r>
    </w:p>
    <w:p w14:paraId="25A1098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（3）利用基金财产或者职务之便为基金份额持有人以外的第三人牟取利益；</w:t>
      </w:r>
    </w:p>
    <w:p w14:paraId="2DF822B1"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（4）向基金份额持有人违规承诺收益或者承担损失；</w:t>
      </w:r>
    </w:p>
    <w:p w14:paraId="2357AA2F"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（5）侵占、挪用基金财产；</w:t>
      </w:r>
    </w:p>
    <w:p w14:paraId="7528844B"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（6）泄露因职务便利获取的未公开信息、利用该信息从事或者明示、暗示他人从事相关的交易活动；</w:t>
      </w:r>
    </w:p>
    <w:p w14:paraId="2E682C6E"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（7）玩忽职守，不按照规定履行职责；</w:t>
      </w:r>
    </w:p>
    <w:p w14:paraId="6D7D431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（8）法律、行政法规和中国证监会规定禁止的其他行为。 </w:t>
      </w:r>
    </w:p>
    <w:p w14:paraId="7984907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3、基金管理人承诺严格遵守基金合同，并承诺建立健全内部控制制度，采</w:t>
      </w:r>
      <w:r>
        <w:rPr>
          <w:rFonts w:asciiTheme="minorEastAsia" w:hAnsiTheme="minorEastAsia" w:cs="Times New Roman" w:hint="eastAsia"/>
          <w:sz w:val="24"/>
          <w:szCs w:val="24"/>
        </w:rPr>
        <w:lastRenderedPageBreak/>
        <w:t xml:space="preserve">取有效措施，防止违反基金合同行为的发生； </w:t>
      </w:r>
    </w:p>
    <w:p w14:paraId="6DA80D69"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4、基金管理人承诺加强人员管理，强化职业操守，督促和约束员工遵守国家有关法律法规及行业规范，诚实信用、勤勉尽责；</w:t>
      </w:r>
    </w:p>
    <w:p w14:paraId="631754A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5、基金管理人承诺不从事其他法规规定禁止从事的行为。 </w:t>
      </w:r>
    </w:p>
    <w:p w14:paraId="11186178" w14:textId="77777777" w:rsidR="005E308D" w:rsidRDefault="00945B44">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sz w:val="24"/>
          <w:szCs w:val="24"/>
        </w:rPr>
      </w:pPr>
      <w:r>
        <w:rPr>
          <w:rFonts w:asciiTheme="minorEastAsia" w:hAnsiTheme="minorEastAsia" w:cs="Arial" w:hint="eastAsia"/>
          <w:b/>
          <w:sz w:val="24"/>
          <w:szCs w:val="24"/>
        </w:rPr>
        <w:t>五、基金经理承诺</w:t>
      </w:r>
    </w:p>
    <w:p w14:paraId="6F5FEC4B"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1、依照有关法律法规和基金合同的规定，本着谨慎的原则为基金份额持有人谋取最大利益；</w:t>
      </w:r>
    </w:p>
    <w:p w14:paraId="4DF8DFD3"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2、不利用职务之便为自己、受雇人或任何第三者牟取利益； </w:t>
      </w:r>
    </w:p>
    <w:p w14:paraId="5FAF6EC0"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3、不泄露在任职期间知悉的有关证券、基金的商业秘密，尚未依法公开的基金投资内容、基金投资计划等信息，或利用该信息从事或者明示、暗示他人从事相关的交易活动；</w:t>
      </w:r>
    </w:p>
    <w:p w14:paraId="6838B86E"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4、不以任何形式为其他组织或个人进行证券交易。</w:t>
      </w:r>
    </w:p>
    <w:p w14:paraId="63083764" w14:textId="77777777" w:rsidR="005E308D" w:rsidRDefault="00945B44">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六、基金管理人的内部控制制度</w:t>
      </w:r>
    </w:p>
    <w:p w14:paraId="4D41D297"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bookmarkStart w:id="85" w:name="_Toc416264540"/>
      <w:bookmarkStart w:id="86" w:name="_Toc263092312"/>
      <w:bookmarkStart w:id="87" w:name="_Toc352229750"/>
      <w:bookmarkStart w:id="88" w:name="_Toc410197818"/>
      <w:bookmarkEnd w:id="69"/>
      <w:bookmarkEnd w:id="70"/>
      <w:bookmarkEnd w:id="71"/>
      <w:r>
        <w:rPr>
          <w:rFonts w:asciiTheme="minorEastAsia" w:hAnsiTheme="minorEastAsia" w:cs="Arial" w:hint="eastAsia"/>
          <w:sz w:val="24"/>
          <w:szCs w:val="24"/>
        </w:rPr>
        <w:t>1、风险控制目标</w:t>
      </w:r>
    </w:p>
    <w:p w14:paraId="7138CDD5"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（1）在有效控制风险的前提下，实现基金份额持有人利益最大化；</w:t>
      </w:r>
    </w:p>
    <w:p w14:paraId="2B3D628F"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（2）确保国家有关法律法规、行业规章和公司各项规章制度的贯彻执行；</w:t>
      </w:r>
    </w:p>
    <w:p w14:paraId="6CFADD4A"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（3）建立符合现代企业制度要求的法人治理结构，形成科学合理的决策机制、执行机制和监督机制；</w:t>
      </w:r>
    </w:p>
    <w:p w14:paraId="6F085BD0"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（4）将各种风险控制在合理的范围内，保障公司发展战略和经营目标的全面实施，维护基金份额持有人、公司及公司股东的合法权益；</w:t>
      </w:r>
    </w:p>
    <w:p w14:paraId="2EB72530"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（5）建立行之有效的风险控制系统，保障业务稳健运行，减轻或规避各种风险对公司发展战略和经营目标的干扰。</w:t>
      </w:r>
    </w:p>
    <w:p w14:paraId="431A6832"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2、建立风险控制制度应遵循的原则</w:t>
      </w:r>
    </w:p>
    <w:p w14:paraId="671C241F"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（1）全面性原则：风险控制制度应覆盖公司的各项业务、各个部门和各级人员，并渗透到决策、执行、监督、反馈等各个经营环节；</w:t>
      </w:r>
    </w:p>
    <w:p w14:paraId="3DA2B0EC"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（2）审慎性原则：内部风险控制的核心是有效防范各种风险，公司组织体系的构成、内部管理制度的建立都要以防范风险、审慎经营为出发点；</w:t>
      </w:r>
    </w:p>
    <w:p w14:paraId="256A2AA6"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3）独立性原则：公司风险控制的检查、评价部门应当独立于风险控制的建立和执行部门；风险控制委员会、督察长和监察稽核部应保持高度的独立性和权威性，负责对公司各部门风险控制工作进行评价和检查；</w:t>
      </w:r>
    </w:p>
    <w:p w14:paraId="74F2DEC5"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 xml:space="preserve"> （4）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24591BD0"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（5）适时性原则：内部风险控制应随着公司经营战略、经营方针、经营理念等内部环境的变化和国家法律、法规、政策制度等外部环境的改变及时进行相应的修改和完善；</w:t>
      </w:r>
    </w:p>
    <w:p w14:paraId="098CB1F0"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3、风险控制体系</w:t>
      </w:r>
    </w:p>
    <w:p w14:paraId="75930094"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（1）风险控制制度体系</w:t>
      </w:r>
    </w:p>
    <w:p w14:paraId="238A170B"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公司风险控制制度体系由三个不同层次的制度构成：第一个层次是公司章程、内部控制大纲；第二个层次是基本管理制度；第三个层次是部门管理制度及各项业务规则。</w:t>
      </w:r>
    </w:p>
    <w:p w14:paraId="03A2BC6B"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（2）风险控制组织体系</w:t>
      </w:r>
    </w:p>
    <w:p w14:paraId="152309EC"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风险控制组织体系包括两个层次：</w:t>
      </w:r>
    </w:p>
    <w:p w14:paraId="7C406D49"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第一层次：公司董事会层面对公司经营管理过程中的各类风险进行预防和控制的组织，主要是通过董事会下设的风险控制委员会和督察长来实现的。</w:t>
      </w:r>
    </w:p>
    <w:p w14:paraId="4EAD7F75"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70FF81BE"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督察长履行的职责包括对基金运作、内部管理、制度执行及遵规守法情况进行内部监察、稽核；就以上监察、稽核中发现的问题向公司经营管理层通报并提出整改和处理意见；定期向风险管理委员会提交工作报告；发现公司的违规行为，应立即向董事长和中国证监会报告。</w:t>
      </w:r>
    </w:p>
    <w:p w14:paraId="152158DA"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第二层次：公司经营管理层包括风险控制委员会、监察稽核部及各职能部门对经营风险的预防和控制。</w:t>
      </w:r>
    </w:p>
    <w:p w14:paraId="3B5A5C5E" w14:textId="77777777" w:rsidR="005E308D" w:rsidRDefault="00945B44">
      <w:pPr>
        <w:tabs>
          <w:tab w:val="left" w:pos="3675"/>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规风险、市场风险和操作风险等重大风险，确保公司各</w:t>
      </w:r>
      <w:r>
        <w:rPr>
          <w:rFonts w:asciiTheme="minorEastAsia" w:hAnsiTheme="minorEastAsia" w:cs="Arial" w:hint="eastAsia"/>
          <w:sz w:val="24"/>
          <w:szCs w:val="24"/>
        </w:rPr>
        <w:lastRenderedPageBreak/>
        <w:t>项业务符合法律法规、监管要求、公司制度及受托资产合同的规定；审批基金投资的关联方证券名单和关联交易；风险管理委员会认为其他需关注的事项。</w:t>
      </w:r>
    </w:p>
    <w:p w14:paraId="14964C55"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监察稽核部的主要职责是在督察长的领导下，组织和协调公司内部控制制度的编写、修订工作，确保公司内部控制制度合规、完善；检查公司内部控制制度和业务流程的执行情况，出具监察稽核报告；负责信息披露事务的管理；调查基金及其他类型产品的异常投资和交易以及对违规行为的调查；负责公司的法律事务、合规咨询、合规培训、离任审查等工作。</w:t>
      </w:r>
    </w:p>
    <w:p w14:paraId="64FB059C"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0D131C60"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4、关于授权、研究、投资、交易等方面的控制点</w:t>
      </w:r>
    </w:p>
    <w:p w14:paraId="3134352A"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（1）授权制度</w:t>
      </w:r>
    </w:p>
    <w:p w14:paraId="3AE85F21"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7F964AC7"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（2）研究业务</w:t>
      </w:r>
    </w:p>
    <w:p w14:paraId="43BFB3AC"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2C5C9F3C"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（3）基金投资业务</w:t>
      </w:r>
    </w:p>
    <w:p w14:paraId="78557ACA"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一定的风</w:t>
      </w:r>
      <w:r>
        <w:rPr>
          <w:rFonts w:asciiTheme="minorEastAsia" w:hAnsiTheme="minorEastAsia" w:cs="Arial" w:hint="eastAsia"/>
          <w:sz w:val="24"/>
          <w:szCs w:val="24"/>
        </w:rPr>
        <w:lastRenderedPageBreak/>
        <w:t>险权限额度内；对于投资结果建立科学的投资管理业绩评价体系。</w:t>
      </w:r>
    </w:p>
    <w:p w14:paraId="025487DB"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（4）交易业务</w:t>
      </w:r>
    </w:p>
    <w:p w14:paraId="7FEC8265"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实行集中交易制度，投资指令通过交易部完成；建立交易监测系统、预警系统和交易反馈系统，完善相关的安全设施；交易部应对交易指令进行审核，建立公平的交易分配制度，确保各基金利益的公平；交易记录应完善，并及时进行反馈、核对和存档保管；建立科学的投资交易绩效评价体系。</w:t>
      </w:r>
    </w:p>
    <w:p w14:paraId="2F53527B"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（5）基金会计核算</w:t>
      </w:r>
    </w:p>
    <w:p w14:paraId="2A9017EB"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根据法律法规及业务的要求建立会计制度，并根据风险控制点建立严密的会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74F2670A"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（6）信息披露</w:t>
      </w:r>
    </w:p>
    <w:p w14:paraId="1267CE37"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335ED6E4"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（7）监察稽核</w:t>
      </w:r>
    </w:p>
    <w:p w14:paraId="5866CA89"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督察长。督察长由董事会聘任或解聘，报中国证监会或其指定的机构备案，并向董事会负责。督察长依据法律法规和公司章程的规定履行职责，可以列席公司任何相关会议，调阅公司任何相关制度、文件；要求被督察部门对所提出的问题提供有关材料和做出口头或书面说明；行使中国证监会赋予的其他报告权和监督权。</w:t>
      </w:r>
    </w:p>
    <w:p w14:paraId="7A74BE36"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6BB212A7"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5、风险管理和内部控制的措施</w:t>
      </w:r>
    </w:p>
    <w:p w14:paraId="29828662"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（1）建立内控结构，完善内控制度：公司建立、健全了内控结构，高管人</w:t>
      </w:r>
      <w:r>
        <w:rPr>
          <w:rFonts w:asciiTheme="minorEastAsia" w:hAnsiTheme="minorEastAsia" w:cs="Arial" w:hint="eastAsia"/>
          <w:sz w:val="24"/>
          <w:szCs w:val="24"/>
        </w:rPr>
        <w:lastRenderedPageBreak/>
        <w:t>员具有明确的内控分工，确保各项业务活动有恰当的组织和授权，确保监察活动的独立进行，并得到高管人员的支持。</w:t>
      </w:r>
    </w:p>
    <w:p w14:paraId="0F6A1EDE"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（2）建立相互分离、相互制衡的内控机制：建立、健全了各项制度，做到基金经理、投资经理分开，研究、决策分开，基金交易集中，形成不同部门、不同岗位之间的制衡机制，从制度上减少和防范风险。</w:t>
      </w:r>
    </w:p>
    <w:p w14:paraId="752EE623"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（3）建立、健全岗位责任制：建立、健全了岗位责任制，使每个员工都明确自己的任务、职责，并及时将各自工作领域中的风险隐患上报，以防范和减少风险。</w:t>
      </w:r>
    </w:p>
    <w:p w14:paraId="233FD576"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62ECD65F"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（5）建立有效的内部监控系统：建立了足够、有效的内部监控系统，如计算机预警系统、投资监控系统，能对可能出现的各种风险进行全面和实时的监控。</w:t>
      </w:r>
    </w:p>
    <w:p w14:paraId="32E8F7CB"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（6）使用数量化的风险管理手段：采取数量化、技术化的风险控制手段，建立数量化的风险管理模型，用以提示市场风险，以便公司及时采取有效的措施，对风险进行分散、控制和规避，尽可能地减少损失。</w:t>
      </w:r>
    </w:p>
    <w:p w14:paraId="2E76F533"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（7）提供足够的培训：制定了完整的培训计划，为所有员工提供足够和适当的培训，使员工明确其职责所在，控制风险。</w:t>
      </w:r>
    </w:p>
    <w:p w14:paraId="24A95FD3" w14:textId="77777777" w:rsidR="005E308D" w:rsidRDefault="00945B44">
      <w:pPr>
        <w:widowControl/>
        <w:adjustRightInd w:val="0"/>
        <w:snapToGrid w:val="0"/>
        <w:spacing w:line="360" w:lineRule="auto"/>
        <w:ind w:firstLineChars="200" w:firstLine="480"/>
        <w:rPr>
          <w:rFonts w:asciiTheme="minorEastAsia" w:hAnsiTheme="minorEastAsia" w:cs="Arial" w:hint="eastAsia"/>
          <w:b/>
          <w:bCs/>
          <w:sz w:val="24"/>
          <w:szCs w:val="24"/>
        </w:rPr>
      </w:pPr>
      <w:r>
        <w:rPr>
          <w:rFonts w:asciiTheme="minorEastAsia" w:hAnsiTheme="minorEastAsia" w:cs="Arial" w:hint="eastAsia"/>
          <w:sz w:val="24"/>
          <w:szCs w:val="24"/>
        </w:rPr>
        <w:t>6、基金管理人承诺上述关于内部控制的披露真实、准确，并承诺将根据市场环境的变化及公司的发展不断完善合规控制。</w:t>
      </w:r>
      <w:bookmarkStart w:id="89" w:name="_Toc238013745"/>
      <w:bookmarkStart w:id="90" w:name="_Toc238027832"/>
      <w:bookmarkEnd w:id="89"/>
      <w:bookmarkEnd w:id="90"/>
    </w:p>
    <w:p w14:paraId="10CDE145" w14:textId="77777777" w:rsidR="005E308D" w:rsidRDefault="005E308D">
      <w:pPr>
        <w:keepNext/>
        <w:keepLines/>
        <w:tabs>
          <w:tab w:val="center" w:pos="4364"/>
        </w:tabs>
        <w:autoSpaceDE w:val="0"/>
        <w:autoSpaceDN w:val="0"/>
        <w:adjustRightInd w:val="0"/>
        <w:snapToGrid w:val="0"/>
        <w:spacing w:line="360" w:lineRule="auto"/>
        <w:ind w:firstLineChars="150" w:firstLine="422"/>
        <w:textAlignment w:val="baseline"/>
        <w:outlineLvl w:val="0"/>
        <w:rPr>
          <w:rFonts w:ascii="Arial" w:eastAsia="宋体" w:hAnsi="Arial" w:cs="Arial"/>
          <w:b/>
          <w:bCs/>
          <w:kern w:val="0"/>
          <w:sz w:val="28"/>
          <w:szCs w:val="28"/>
        </w:rPr>
        <w:sectPr w:rsidR="005E308D">
          <w:headerReference w:type="even" r:id="rId26"/>
          <w:headerReference w:type="default" r:id="rId27"/>
          <w:footerReference w:type="default" r:id="rId28"/>
          <w:headerReference w:type="first" r:id="rId29"/>
          <w:pgSz w:w="11906" w:h="16838"/>
          <w:pgMar w:top="1440" w:right="1800" w:bottom="1440" w:left="1800" w:header="851" w:footer="992" w:gutter="0"/>
          <w:pgNumType w:chapStyle="1"/>
          <w:cols w:space="720"/>
          <w:docGrid w:type="lines" w:linePitch="312"/>
        </w:sectPr>
      </w:pPr>
    </w:p>
    <w:p w14:paraId="4547CFB6" w14:textId="77777777" w:rsidR="005E308D" w:rsidRDefault="00945B44">
      <w:pPr>
        <w:pStyle w:val="1"/>
        <w:jc w:val="center"/>
        <w:rPr>
          <w:sz w:val="30"/>
          <w:szCs w:val="30"/>
        </w:rPr>
      </w:pPr>
      <w:bookmarkStart w:id="91" w:name="_Toc68266291"/>
      <w:bookmarkStart w:id="92" w:name="_Toc119568460"/>
      <w:r>
        <w:rPr>
          <w:rFonts w:hint="eastAsia"/>
          <w:sz w:val="30"/>
          <w:szCs w:val="30"/>
        </w:rPr>
        <w:lastRenderedPageBreak/>
        <w:t>第四部分</w:t>
      </w:r>
      <w:r>
        <w:rPr>
          <w:sz w:val="30"/>
          <w:szCs w:val="30"/>
        </w:rPr>
        <w:t xml:space="preserve">  </w:t>
      </w:r>
      <w:r>
        <w:rPr>
          <w:rFonts w:hint="eastAsia"/>
          <w:sz w:val="30"/>
          <w:szCs w:val="30"/>
        </w:rPr>
        <w:t>基金托管人</w:t>
      </w:r>
      <w:bookmarkEnd w:id="91"/>
      <w:bookmarkEnd w:id="92"/>
    </w:p>
    <w:p w14:paraId="6EF84312" w14:textId="77777777" w:rsidR="005E308D" w:rsidRDefault="00945B44">
      <w:pPr>
        <w:spacing w:line="360" w:lineRule="auto"/>
        <w:ind w:firstLineChars="200" w:firstLine="480"/>
        <w:rPr>
          <w:sz w:val="24"/>
          <w:szCs w:val="24"/>
        </w:rPr>
      </w:pPr>
      <w:r>
        <w:rPr>
          <w:rFonts w:hint="eastAsia"/>
          <w:sz w:val="24"/>
          <w:szCs w:val="24"/>
        </w:rPr>
        <w:t>（一）基金托管人情况</w:t>
      </w:r>
    </w:p>
    <w:p w14:paraId="4531EE18" w14:textId="77777777" w:rsidR="005E308D" w:rsidRDefault="00945B44">
      <w:pPr>
        <w:spacing w:line="360" w:lineRule="auto"/>
        <w:ind w:firstLineChars="200" w:firstLine="480"/>
        <w:rPr>
          <w:sz w:val="24"/>
          <w:szCs w:val="24"/>
        </w:rPr>
      </w:pPr>
      <w:r>
        <w:rPr>
          <w:rFonts w:hint="eastAsia"/>
          <w:sz w:val="24"/>
          <w:szCs w:val="24"/>
        </w:rPr>
        <w:t>1</w:t>
      </w:r>
      <w:r>
        <w:rPr>
          <w:rFonts w:hint="eastAsia"/>
          <w:sz w:val="24"/>
          <w:szCs w:val="24"/>
        </w:rPr>
        <w:t>、基本情况</w:t>
      </w:r>
    </w:p>
    <w:p w14:paraId="74E36960"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名称：国泰海通证券股份有限公司（简称“国泰海通证券”）</w:t>
      </w:r>
    </w:p>
    <w:p w14:paraId="534E8933"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住所：中国（上海）自由贸易试验区商城路</w:t>
      </w:r>
      <w:r w:rsidRPr="00E06875">
        <w:rPr>
          <w:rFonts w:hint="eastAsia"/>
          <w:sz w:val="24"/>
          <w:szCs w:val="24"/>
        </w:rPr>
        <w:t>618</w:t>
      </w:r>
      <w:r w:rsidRPr="00E06875">
        <w:rPr>
          <w:rFonts w:hint="eastAsia"/>
          <w:sz w:val="24"/>
          <w:szCs w:val="24"/>
        </w:rPr>
        <w:t>号</w:t>
      </w:r>
    </w:p>
    <w:p w14:paraId="06F25727"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法定代表人：朱健</w:t>
      </w:r>
    </w:p>
    <w:p w14:paraId="1A061CAE"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成立时间：</w:t>
      </w:r>
      <w:r w:rsidRPr="00E06875">
        <w:rPr>
          <w:rFonts w:hint="eastAsia"/>
          <w:sz w:val="24"/>
          <w:szCs w:val="24"/>
        </w:rPr>
        <w:t>1999</w:t>
      </w:r>
      <w:r w:rsidRPr="00E06875">
        <w:rPr>
          <w:rFonts w:hint="eastAsia"/>
          <w:sz w:val="24"/>
          <w:szCs w:val="24"/>
        </w:rPr>
        <w:t>年</w:t>
      </w:r>
      <w:r w:rsidRPr="00E06875">
        <w:rPr>
          <w:rFonts w:hint="eastAsia"/>
          <w:sz w:val="24"/>
          <w:szCs w:val="24"/>
        </w:rPr>
        <w:t>8</w:t>
      </w:r>
      <w:r w:rsidRPr="00E06875">
        <w:rPr>
          <w:rFonts w:hint="eastAsia"/>
          <w:sz w:val="24"/>
          <w:szCs w:val="24"/>
        </w:rPr>
        <w:t>月</w:t>
      </w:r>
      <w:r w:rsidRPr="00E06875">
        <w:rPr>
          <w:rFonts w:hint="eastAsia"/>
          <w:sz w:val="24"/>
          <w:szCs w:val="24"/>
        </w:rPr>
        <w:t>18</w:t>
      </w:r>
      <w:r w:rsidRPr="00E06875">
        <w:rPr>
          <w:rFonts w:hint="eastAsia"/>
          <w:sz w:val="24"/>
          <w:szCs w:val="24"/>
        </w:rPr>
        <w:t>日</w:t>
      </w:r>
    </w:p>
    <w:p w14:paraId="77870ACF"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批准设立机关：中国证监会</w:t>
      </w:r>
    </w:p>
    <w:p w14:paraId="12B6B1F8"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批准设立文号：证监机构字</w:t>
      </w:r>
      <w:r w:rsidRPr="00E06875">
        <w:rPr>
          <w:rFonts w:hint="eastAsia"/>
          <w:sz w:val="24"/>
          <w:szCs w:val="24"/>
        </w:rPr>
        <w:t>[1999]77</w:t>
      </w:r>
      <w:r w:rsidRPr="00E06875">
        <w:rPr>
          <w:rFonts w:hint="eastAsia"/>
          <w:sz w:val="24"/>
          <w:szCs w:val="24"/>
        </w:rPr>
        <w:t>号</w:t>
      </w:r>
    </w:p>
    <w:p w14:paraId="05D639DC"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组织形式：其他股份有限公司（上市）</w:t>
      </w:r>
    </w:p>
    <w:p w14:paraId="06765A55"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注册资本：人民币</w:t>
      </w:r>
      <w:r w:rsidRPr="00E06875">
        <w:rPr>
          <w:rFonts w:hint="eastAsia"/>
          <w:sz w:val="24"/>
          <w:szCs w:val="24"/>
        </w:rPr>
        <w:t xml:space="preserve"> 17,629,708,696 </w:t>
      </w:r>
      <w:r w:rsidRPr="00E06875">
        <w:rPr>
          <w:rFonts w:hint="eastAsia"/>
          <w:sz w:val="24"/>
          <w:szCs w:val="24"/>
        </w:rPr>
        <w:t>元整</w:t>
      </w:r>
    </w:p>
    <w:p w14:paraId="05742535"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存续期间：持续经营</w:t>
      </w:r>
    </w:p>
    <w:p w14:paraId="53C409D1"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基金托管资格批文及文号：证监许可</w:t>
      </w:r>
      <w:r w:rsidRPr="00E06875">
        <w:rPr>
          <w:rFonts w:hint="eastAsia"/>
          <w:sz w:val="24"/>
          <w:szCs w:val="24"/>
        </w:rPr>
        <w:t>[2014]511</w:t>
      </w:r>
      <w:r w:rsidRPr="00E06875">
        <w:rPr>
          <w:rFonts w:hint="eastAsia"/>
          <w:sz w:val="24"/>
          <w:szCs w:val="24"/>
        </w:rPr>
        <w:t>号</w:t>
      </w:r>
    </w:p>
    <w:p w14:paraId="22B96D2C"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联系人：丛艳</w:t>
      </w:r>
    </w:p>
    <w:p w14:paraId="3E9DE715"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通讯地址：上海市静安区新闸路</w:t>
      </w:r>
      <w:r w:rsidRPr="00E06875">
        <w:rPr>
          <w:rFonts w:hint="eastAsia"/>
          <w:sz w:val="24"/>
          <w:szCs w:val="24"/>
        </w:rPr>
        <w:t>669</w:t>
      </w:r>
      <w:r w:rsidRPr="00E06875">
        <w:rPr>
          <w:rFonts w:hint="eastAsia"/>
          <w:sz w:val="24"/>
          <w:szCs w:val="24"/>
        </w:rPr>
        <w:t>号博华广场</w:t>
      </w:r>
      <w:r w:rsidRPr="00E06875">
        <w:rPr>
          <w:rFonts w:hint="eastAsia"/>
          <w:sz w:val="24"/>
          <w:szCs w:val="24"/>
        </w:rPr>
        <w:t>19</w:t>
      </w:r>
      <w:r w:rsidRPr="00E06875">
        <w:rPr>
          <w:rFonts w:hint="eastAsia"/>
          <w:sz w:val="24"/>
          <w:szCs w:val="24"/>
        </w:rPr>
        <w:t>楼</w:t>
      </w:r>
    </w:p>
    <w:p w14:paraId="35589394" w14:textId="6B7A18C6" w:rsidR="00E06875" w:rsidRDefault="00E06875" w:rsidP="00E06875">
      <w:pPr>
        <w:spacing w:line="360" w:lineRule="auto"/>
        <w:ind w:firstLineChars="200" w:firstLine="480"/>
        <w:rPr>
          <w:sz w:val="24"/>
          <w:szCs w:val="24"/>
        </w:rPr>
      </w:pPr>
      <w:r w:rsidRPr="00E06875">
        <w:rPr>
          <w:rFonts w:hint="eastAsia"/>
          <w:sz w:val="24"/>
          <w:szCs w:val="24"/>
        </w:rPr>
        <w:t>联系电话：</w:t>
      </w:r>
      <w:r w:rsidRPr="00E06875">
        <w:rPr>
          <w:rFonts w:hint="eastAsia"/>
          <w:sz w:val="24"/>
          <w:szCs w:val="24"/>
        </w:rPr>
        <w:t>021-38677336</w:t>
      </w:r>
    </w:p>
    <w:p w14:paraId="155DB0F4" w14:textId="13AB6461" w:rsidR="00E06875" w:rsidRDefault="00E06875">
      <w:pPr>
        <w:spacing w:line="360" w:lineRule="auto"/>
        <w:ind w:firstLineChars="200" w:firstLine="480"/>
        <w:rPr>
          <w:sz w:val="24"/>
          <w:szCs w:val="24"/>
        </w:rPr>
      </w:pPr>
      <w:r w:rsidRPr="00E06875">
        <w:rPr>
          <w:rFonts w:hint="eastAsia"/>
          <w:sz w:val="24"/>
          <w:szCs w:val="24"/>
        </w:rPr>
        <w:t>本集团是中国证券行业长期、持续、全面领先的综合金融服务商。本集团跨越了中国资本市场发展的全部历程和多个周期，历经风雨，锐意进取，始终屹立在资本市场的最前列，资本规模、盈利水平、业务实力和风险管理能力一直位居行业领先水平。截至</w:t>
      </w:r>
      <w:r w:rsidRPr="00E06875">
        <w:rPr>
          <w:rFonts w:hint="eastAsia"/>
          <w:sz w:val="24"/>
          <w:szCs w:val="24"/>
        </w:rPr>
        <w:t>2024</w:t>
      </w:r>
      <w:r w:rsidRPr="00E06875">
        <w:rPr>
          <w:rFonts w:hint="eastAsia"/>
          <w:sz w:val="24"/>
          <w:szCs w:val="24"/>
        </w:rPr>
        <w:t>年</w:t>
      </w:r>
      <w:r w:rsidRPr="00E06875">
        <w:rPr>
          <w:rFonts w:hint="eastAsia"/>
          <w:sz w:val="24"/>
          <w:szCs w:val="24"/>
        </w:rPr>
        <w:t>12</w:t>
      </w:r>
      <w:r w:rsidRPr="00E06875">
        <w:rPr>
          <w:rFonts w:hint="eastAsia"/>
          <w:sz w:val="24"/>
          <w:szCs w:val="24"/>
        </w:rPr>
        <w:t>月</w:t>
      </w:r>
      <w:r w:rsidRPr="00E06875">
        <w:rPr>
          <w:rFonts w:hint="eastAsia"/>
          <w:sz w:val="24"/>
          <w:szCs w:val="24"/>
        </w:rPr>
        <w:t>31</w:t>
      </w:r>
      <w:r w:rsidRPr="00E06875">
        <w:rPr>
          <w:rFonts w:hint="eastAsia"/>
          <w:sz w:val="24"/>
          <w:szCs w:val="24"/>
        </w:rPr>
        <w:t>日，公司直接拥有</w:t>
      </w:r>
      <w:r w:rsidRPr="00E06875">
        <w:rPr>
          <w:rFonts w:hint="eastAsia"/>
          <w:sz w:val="24"/>
          <w:szCs w:val="24"/>
        </w:rPr>
        <w:t>6</w:t>
      </w:r>
      <w:r w:rsidRPr="00E06875">
        <w:rPr>
          <w:rFonts w:hint="eastAsia"/>
          <w:sz w:val="24"/>
          <w:szCs w:val="24"/>
        </w:rPr>
        <w:t>家境内子公司和</w:t>
      </w:r>
      <w:r w:rsidRPr="00E06875">
        <w:rPr>
          <w:rFonts w:hint="eastAsia"/>
          <w:sz w:val="24"/>
          <w:szCs w:val="24"/>
        </w:rPr>
        <w:t>1</w:t>
      </w:r>
      <w:r w:rsidRPr="00E06875">
        <w:rPr>
          <w:rFonts w:hint="eastAsia"/>
          <w:sz w:val="24"/>
          <w:szCs w:val="24"/>
        </w:rPr>
        <w:t>家境外子公司，并在境内设有</w:t>
      </w:r>
      <w:r w:rsidRPr="00E06875">
        <w:rPr>
          <w:rFonts w:hint="eastAsia"/>
          <w:sz w:val="24"/>
          <w:szCs w:val="24"/>
        </w:rPr>
        <w:t>37</w:t>
      </w:r>
      <w:r w:rsidRPr="00E06875">
        <w:rPr>
          <w:rFonts w:hint="eastAsia"/>
          <w:sz w:val="24"/>
          <w:szCs w:val="24"/>
        </w:rPr>
        <w:t>家证券分公司和</w:t>
      </w:r>
      <w:r w:rsidRPr="00E06875">
        <w:rPr>
          <w:rFonts w:hint="eastAsia"/>
          <w:sz w:val="24"/>
          <w:szCs w:val="24"/>
        </w:rPr>
        <w:t>346</w:t>
      </w:r>
      <w:r w:rsidRPr="00E06875">
        <w:rPr>
          <w:rFonts w:hint="eastAsia"/>
          <w:sz w:val="24"/>
          <w:szCs w:val="24"/>
        </w:rPr>
        <w:t>家证券营业部。</w:t>
      </w:r>
    </w:p>
    <w:p w14:paraId="668038A5" w14:textId="77777777" w:rsidR="005E308D" w:rsidRDefault="00945B44">
      <w:pPr>
        <w:spacing w:line="360" w:lineRule="auto"/>
        <w:ind w:firstLineChars="200" w:firstLine="480"/>
        <w:rPr>
          <w:sz w:val="24"/>
          <w:szCs w:val="24"/>
        </w:rPr>
      </w:pPr>
      <w:r>
        <w:rPr>
          <w:rFonts w:hint="eastAsia"/>
          <w:sz w:val="24"/>
          <w:szCs w:val="24"/>
        </w:rPr>
        <w:t>2</w:t>
      </w:r>
      <w:r>
        <w:rPr>
          <w:rFonts w:hint="eastAsia"/>
          <w:sz w:val="24"/>
          <w:szCs w:val="24"/>
        </w:rPr>
        <w:t>、主要人员情况</w:t>
      </w:r>
    </w:p>
    <w:p w14:paraId="105C876A" w14:textId="41778478" w:rsidR="00E06875" w:rsidRDefault="00E06875">
      <w:pPr>
        <w:spacing w:line="360" w:lineRule="auto"/>
        <w:ind w:firstLineChars="200" w:firstLine="480"/>
        <w:rPr>
          <w:sz w:val="24"/>
          <w:szCs w:val="24"/>
        </w:rPr>
      </w:pPr>
      <w:r w:rsidRPr="00E06875">
        <w:rPr>
          <w:rFonts w:hint="eastAsia"/>
          <w:sz w:val="24"/>
          <w:szCs w:val="24"/>
        </w:rPr>
        <w:t>国泰海通证券设资产托管部，下设市场管理组、产品管理组、投资绩效分析组、托管中心、非公募运营服务中心、公募运营服务中心、国际运营组、客户服务组、数据运行组、系统运行组、合规风控组、规划管理组、人力资源组</w:t>
      </w:r>
      <w:r w:rsidRPr="00E06875">
        <w:rPr>
          <w:rFonts w:hint="eastAsia"/>
          <w:sz w:val="24"/>
          <w:szCs w:val="24"/>
        </w:rPr>
        <w:t>13</w:t>
      </w:r>
      <w:r w:rsidRPr="00E06875">
        <w:rPr>
          <w:rFonts w:hint="eastAsia"/>
          <w:sz w:val="24"/>
          <w:szCs w:val="24"/>
        </w:rPr>
        <w:t>个职能组及大湾区业务部，在北京、上海、深圳设有办公场所，共有员工</w:t>
      </w:r>
      <w:r w:rsidRPr="00E06875">
        <w:rPr>
          <w:rFonts w:hint="eastAsia"/>
          <w:sz w:val="24"/>
          <w:szCs w:val="24"/>
        </w:rPr>
        <w:t>200</w:t>
      </w:r>
      <w:r w:rsidRPr="00E06875">
        <w:rPr>
          <w:rFonts w:hint="eastAsia"/>
          <w:sz w:val="24"/>
          <w:szCs w:val="24"/>
        </w:rPr>
        <w:t>余人。部门团队人员平均从业年限</w:t>
      </w:r>
      <w:r w:rsidRPr="00E06875">
        <w:rPr>
          <w:rFonts w:hint="eastAsia"/>
          <w:sz w:val="24"/>
          <w:szCs w:val="24"/>
        </w:rPr>
        <w:t>5</w:t>
      </w:r>
      <w:r w:rsidRPr="00E06875">
        <w:rPr>
          <w:rFonts w:hint="eastAsia"/>
          <w:sz w:val="24"/>
          <w:szCs w:val="24"/>
        </w:rPr>
        <w:t>年以上，估值、风控等核心岗位人员具备</w:t>
      </w:r>
      <w:r w:rsidRPr="00E06875">
        <w:rPr>
          <w:rFonts w:hint="eastAsia"/>
          <w:sz w:val="24"/>
          <w:szCs w:val="24"/>
        </w:rPr>
        <w:t>10</w:t>
      </w:r>
      <w:r w:rsidRPr="00E06875">
        <w:rPr>
          <w:rFonts w:hint="eastAsia"/>
          <w:sz w:val="24"/>
          <w:szCs w:val="24"/>
        </w:rPr>
        <w:t>年以上大型托管行、基金公司相关工作经验。</w:t>
      </w:r>
    </w:p>
    <w:p w14:paraId="211C1721" w14:textId="77777777" w:rsidR="005E308D" w:rsidRDefault="00945B44">
      <w:pPr>
        <w:spacing w:line="360" w:lineRule="auto"/>
        <w:ind w:firstLineChars="200" w:firstLine="480"/>
        <w:rPr>
          <w:sz w:val="24"/>
          <w:szCs w:val="24"/>
        </w:rPr>
      </w:pPr>
      <w:r>
        <w:rPr>
          <w:rFonts w:hint="eastAsia"/>
          <w:sz w:val="24"/>
          <w:szCs w:val="24"/>
        </w:rPr>
        <w:lastRenderedPageBreak/>
        <w:t>3</w:t>
      </w:r>
      <w:r>
        <w:rPr>
          <w:rFonts w:hint="eastAsia"/>
          <w:sz w:val="24"/>
          <w:szCs w:val="24"/>
        </w:rPr>
        <w:t>、基金托管业务经营情况</w:t>
      </w:r>
    </w:p>
    <w:p w14:paraId="22A6CCB3" w14:textId="5E2F146F" w:rsidR="00E06875" w:rsidRDefault="00E06875">
      <w:pPr>
        <w:spacing w:line="360" w:lineRule="auto"/>
        <w:ind w:firstLineChars="200" w:firstLine="480"/>
        <w:rPr>
          <w:sz w:val="24"/>
          <w:szCs w:val="24"/>
        </w:rPr>
      </w:pPr>
      <w:r w:rsidRPr="00E06875">
        <w:rPr>
          <w:rFonts w:hint="eastAsia"/>
          <w:sz w:val="24"/>
          <w:szCs w:val="24"/>
        </w:rPr>
        <w:t>国泰海通证券已取得证券投资基金托管资格，可为各类公开募集基金、非公开募集基金提供托管服务。国泰海通证券坚守“诚信专业、质量为本”的服务宗旨，通过组建经验丰富的专业团队、搭建安全高效的业务系统，为基金份额持有人提供值得信赖的托管服务。国泰海通证券获得证券投资基金托管资格以来，广泛开展了公募基金、基金专户、券商资管计划、私募基金等基金托管业务，与易方达、华泰柏瑞、嘉实、华夏、建信、天弘、富国、华安等多家基金公司及其子公司建立了托管合作关系。截至</w:t>
      </w:r>
      <w:r w:rsidRPr="00E06875">
        <w:rPr>
          <w:rFonts w:hint="eastAsia"/>
          <w:sz w:val="24"/>
          <w:szCs w:val="24"/>
        </w:rPr>
        <w:t>2024</w:t>
      </w:r>
      <w:r w:rsidRPr="00E06875">
        <w:rPr>
          <w:rFonts w:hint="eastAsia"/>
          <w:sz w:val="24"/>
          <w:szCs w:val="24"/>
        </w:rPr>
        <w:t>年</w:t>
      </w:r>
      <w:r w:rsidRPr="00E06875">
        <w:rPr>
          <w:rFonts w:hint="eastAsia"/>
          <w:sz w:val="24"/>
          <w:szCs w:val="24"/>
        </w:rPr>
        <w:t>12</w:t>
      </w:r>
      <w:r w:rsidRPr="00E06875">
        <w:rPr>
          <w:rFonts w:hint="eastAsia"/>
          <w:sz w:val="24"/>
          <w:szCs w:val="24"/>
        </w:rPr>
        <w:t>月</w:t>
      </w:r>
      <w:r w:rsidRPr="00E06875">
        <w:rPr>
          <w:rFonts w:hint="eastAsia"/>
          <w:sz w:val="24"/>
          <w:szCs w:val="24"/>
        </w:rPr>
        <w:t>31</w:t>
      </w:r>
      <w:r w:rsidRPr="00E06875">
        <w:rPr>
          <w:rFonts w:hint="eastAsia"/>
          <w:sz w:val="24"/>
          <w:szCs w:val="24"/>
        </w:rPr>
        <w:t>日，托管与基金服务业务规模逾</w:t>
      </w:r>
      <w:r w:rsidRPr="00E06875">
        <w:rPr>
          <w:rFonts w:hint="eastAsia"/>
          <w:sz w:val="24"/>
          <w:szCs w:val="24"/>
        </w:rPr>
        <w:t>30,000</w:t>
      </w:r>
      <w:r w:rsidRPr="00E06875">
        <w:rPr>
          <w:rFonts w:hint="eastAsia"/>
          <w:sz w:val="24"/>
          <w:szCs w:val="24"/>
        </w:rPr>
        <w:t>亿元，其中，托管公募基金规模逾</w:t>
      </w:r>
      <w:r w:rsidRPr="00E06875">
        <w:rPr>
          <w:rFonts w:hint="eastAsia"/>
          <w:sz w:val="24"/>
          <w:szCs w:val="24"/>
        </w:rPr>
        <w:t>2,000</w:t>
      </w:r>
      <w:r w:rsidRPr="00E06875">
        <w:rPr>
          <w:rFonts w:hint="eastAsia"/>
          <w:sz w:val="24"/>
          <w:szCs w:val="24"/>
        </w:rPr>
        <w:t>亿元，继续排名证券行业第</w:t>
      </w:r>
      <w:r w:rsidRPr="00E06875">
        <w:rPr>
          <w:rFonts w:hint="eastAsia"/>
          <w:sz w:val="24"/>
          <w:szCs w:val="24"/>
        </w:rPr>
        <w:t>1</w:t>
      </w:r>
      <w:r w:rsidRPr="00E06875">
        <w:rPr>
          <w:rFonts w:hint="eastAsia"/>
          <w:sz w:val="24"/>
          <w:szCs w:val="24"/>
        </w:rPr>
        <w:t>位</w:t>
      </w:r>
      <w:r w:rsidRPr="00E06875">
        <w:rPr>
          <w:rFonts w:hint="eastAsia"/>
          <w:sz w:val="24"/>
          <w:szCs w:val="24"/>
        </w:rPr>
        <w:t>,</w:t>
      </w:r>
      <w:r w:rsidRPr="00E06875">
        <w:rPr>
          <w:rFonts w:hint="eastAsia"/>
          <w:sz w:val="24"/>
          <w:szCs w:val="24"/>
        </w:rPr>
        <w:t>托管公募基金逾</w:t>
      </w:r>
      <w:r w:rsidRPr="00E06875">
        <w:rPr>
          <w:rFonts w:hint="eastAsia"/>
          <w:sz w:val="24"/>
          <w:szCs w:val="24"/>
        </w:rPr>
        <w:t>70</w:t>
      </w:r>
      <w:r w:rsidRPr="00E06875">
        <w:rPr>
          <w:rFonts w:hint="eastAsia"/>
          <w:sz w:val="24"/>
          <w:szCs w:val="24"/>
        </w:rPr>
        <w:t>只，产品类型涉及货币市场基金、债券型证券投资基金、指数型证券投资基金、混合型证券投资基金等，专业的服务和可靠的运营获得了管理人的一致认可。</w:t>
      </w:r>
    </w:p>
    <w:p w14:paraId="73E0A8F8" w14:textId="77777777" w:rsidR="005E308D" w:rsidRDefault="00945B44">
      <w:pPr>
        <w:spacing w:line="360" w:lineRule="auto"/>
        <w:ind w:firstLineChars="200" w:firstLine="480"/>
        <w:rPr>
          <w:sz w:val="24"/>
          <w:szCs w:val="24"/>
        </w:rPr>
      </w:pPr>
      <w:r>
        <w:rPr>
          <w:rFonts w:hint="eastAsia"/>
          <w:sz w:val="24"/>
          <w:szCs w:val="24"/>
        </w:rPr>
        <w:t>（二）基金托管人的内部控制制度</w:t>
      </w:r>
    </w:p>
    <w:p w14:paraId="1EE2A6DC"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1</w:t>
      </w:r>
      <w:r w:rsidRPr="00E06875">
        <w:rPr>
          <w:rFonts w:hint="eastAsia"/>
          <w:sz w:val="24"/>
          <w:szCs w:val="24"/>
        </w:rPr>
        <w:t>、内部控制目标</w:t>
      </w:r>
    </w:p>
    <w:p w14:paraId="78281A83"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严格遵守国家法律法规相关规定，保障业务合法合规、资产托管部规章制度健全与有效执行。通过对托管业务风险进行识别、评估与管理，确保托管业务稳健运行，保护基金份额持有人及相关当事人合法权益。</w:t>
      </w:r>
    </w:p>
    <w:p w14:paraId="358E1691"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2</w:t>
      </w:r>
      <w:r w:rsidRPr="00E06875">
        <w:rPr>
          <w:rFonts w:hint="eastAsia"/>
          <w:sz w:val="24"/>
          <w:szCs w:val="24"/>
        </w:rPr>
        <w:t>、内部控制组织结构</w:t>
      </w:r>
    </w:p>
    <w:p w14:paraId="27047FA2"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w:t>
      </w:r>
      <w:r w:rsidRPr="00E06875">
        <w:rPr>
          <w:rFonts w:hint="eastAsia"/>
          <w:sz w:val="24"/>
          <w:szCs w:val="24"/>
        </w:rPr>
        <w:t>1</w:t>
      </w:r>
      <w:r w:rsidRPr="00E06875">
        <w:rPr>
          <w:rFonts w:hint="eastAsia"/>
          <w:sz w:val="24"/>
          <w:szCs w:val="24"/>
        </w:rPr>
        <w:t>）公司董事会是公司风险管理的最高决策机构，对公司全面风险管理负有最终责任。公司董事会下设风险控制委员会，负责审议风险管理的总体目标、基本政策，评估重大决策的风险和重大风险的解决方案。</w:t>
      </w:r>
    </w:p>
    <w:p w14:paraId="72A14436"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w:t>
      </w:r>
      <w:r w:rsidRPr="00E06875">
        <w:rPr>
          <w:rFonts w:hint="eastAsia"/>
          <w:sz w:val="24"/>
          <w:szCs w:val="24"/>
        </w:rPr>
        <w:t>2</w:t>
      </w:r>
      <w:r w:rsidRPr="00E06875">
        <w:rPr>
          <w:rFonts w:hint="eastAsia"/>
          <w:sz w:val="24"/>
          <w:szCs w:val="24"/>
        </w:rPr>
        <w:t>）公司经营管理层对公司全面风险管理承担主要责任。公司经营层设立合规与风险管理委员会，对公司经营风险实行统筹管理，对风险管理重大事项进行审议与决策。</w:t>
      </w:r>
    </w:p>
    <w:p w14:paraId="2FC2CE12"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w:t>
      </w:r>
      <w:r w:rsidRPr="00E06875">
        <w:rPr>
          <w:rFonts w:hint="eastAsia"/>
          <w:sz w:val="24"/>
          <w:szCs w:val="24"/>
        </w:rPr>
        <w:t>3</w:t>
      </w:r>
      <w:r w:rsidRPr="00E06875">
        <w:rPr>
          <w:rFonts w:hint="eastAsia"/>
          <w:sz w:val="24"/>
          <w:szCs w:val="24"/>
        </w:rPr>
        <w:t>）履行风险管理职责的部门包括风险管理部、法律合规部、集团稽核审计中心等专职履行风险管理职责的部门，以及计划财务部、信息技术部、营运中心等其他履行风险管理职责的部门。</w:t>
      </w:r>
    </w:p>
    <w:p w14:paraId="5F684528"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w:t>
      </w:r>
      <w:r w:rsidRPr="00E06875">
        <w:rPr>
          <w:rFonts w:hint="eastAsia"/>
          <w:sz w:val="24"/>
          <w:szCs w:val="24"/>
        </w:rPr>
        <w:t>4</w:t>
      </w:r>
      <w:r w:rsidRPr="00E06875">
        <w:rPr>
          <w:rFonts w:hint="eastAsia"/>
          <w:sz w:val="24"/>
          <w:szCs w:val="24"/>
        </w:rPr>
        <w:t>）资产托管部设置合规风控组，负责牵头制定本部门风险管理规章制度，分析报告部门整体风险管理状况，评估检查风险管理执行情况并提出改进建议，</w:t>
      </w:r>
      <w:r w:rsidRPr="00E06875">
        <w:rPr>
          <w:rFonts w:hint="eastAsia"/>
          <w:sz w:val="24"/>
          <w:szCs w:val="24"/>
        </w:rPr>
        <w:lastRenderedPageBreak/>
        <w:t>抓住关键风险，协助业务运营岗位进行专项化解，监督风险薄弱环节的整改情况。同时部门设置风险评估及处置小组，由资产托管部负责人及各小组负责人组成，负责对重大风险事项进行评估、确定风险事件的处理意见、突发事件应急管理等事项。</w:t>
      </w:r>
    </w:p>
    <w:p w14:paraId="3E31E759"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3</w:t>
      </w:r>
      <w:r w:rsidRPr="00E06875">
        <w:rPr>
          <w:rFonts w:hint="eastAsia"/>
          <w:sz w:val="24"/>
          <w:szCs w:val="24"/>
        </w:rPr>
        <w:t>、内部控制制度及措施</w:t>
      </w:r>
    </w:p>
    <w:p w14:paraId="1B8516AE"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根据《中华人民共和国证券投资基金法》、《公开募集证券投资基金运作管理办法》、《证券投资基金托管业务管理办法》等法律法规，基金托管人制定了一整套严密、高效的证券投资基金托管规章制度，确保基金托管业务运行的规范、安全、高效，包括《国泰海通证券股份有限公司资产托管业务管理办法》、《国泰海通证券资产托管部内部控制与风险管理办法》、《国泰海通证券资产托管部稽核监控管理办法》、《国泰海通证券资产托管部突发事件与危机处理规程》、《国泰海通证券资产托管部保密管理办法》、《国泰海通证券资产托管部资产保管规程》、《国泰海通证券资产托管部档案管理办法》等，并根据监管要求和基金托管业务的发展不断加以完善。</w:t>
      </w:r>
    </w:p>
    <w:p w14:paraId="2B9677FE" w14:textId="32BA3212" w:rsidR="00E06875" w:rsidRDefault="00E06875" w:rsidP="00E06875">
      <w:pPr>
        <w:spacing w:line="360" w:lineRule="auto"/>
        <w:ind w:firstLineChars="200" w:firstLine="480"/>
        <w:rPr>
          <w:sz w:val="24"/>
          <w:szCs w:val="24"/>
        </w:rPr>
      </w:pPr>
      <w:r w:rsidRPr="00E06875">
        <w:rPr>
          <w:rFonts w:hint="eastAsia"/>
          <w:sz w:val="24"/>
          <w:szCs w:val="24"/>
        </w:rPr>
        <w:t>基金托管人通过基金托管业务各环节风险的事前提示、事中控制和事后稽核的动态管理过程来实施内部风险控制；安全保管基金财产，确保基金财产完整与独立；实行办公场所多重门禁管理，并配备录音和录像监控系统；配备独立的托管业务技术系统并进行防火墙设置；岗位设置权责分明，通过岗位设置和适当授权等措施有效实施相互制衡；关键业务环节设置经办复核机制，建立严格有效的操作制约体系；深入进行职业道德教育，树立风险管理是首要核心竞争力的理念，培养部门全体员工的风险防范和保密意识；配备专门的稽核监控岗对基金托管业务运行进行检查、评价，以保障基金托管业务内部控制的有效性。</w:t>
      </w:r>
    </w:p>
    <w:p w14:paraId="005F2DE1" w14:textId="77777777" w:rsidR="005E308D" w:rsidRDefault="00945B44">
      <w:pPr>
        <w:spacing w:line="360" w:lineRule="auto"/>
        <w:ind w:firstLineChars="200" w:firstLine="480"/>
        <w:rPr>
          <w:sz w:val="24"/>
          <w:szCs w:val="24"/>
        </w:rPr>
      </w:pPr>
      <w:r>
        <w:rPr>
          <w:rFonts w:hint="eastAsia"/>
          <w:sz w:val="24"/>
          <w:szCs w:val="24"/>
        </w:rPr>
        <w:t>（三）基金托管人对基金管理人运作基金进行监督的方法和程序</w:t>
      </w:r>
    </w:p>
    <w:p w14:paraId="2EE7617D"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1</w:t>
      </w:r>
      <w:r w:rsidRPr="00E06875">
        <w:rPr>
          <w:rFonts w:hint="eastAsia"/>
          <w:sz w:val="24"/>
          <w:szCs w:val="24"/>
        </w:rPr>
        <w:t>、监督方法</w:t>
      </w:r>
    </w:p>
    <w:p w14:paraId="7D93B1E0"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基金托管人根据法律法规的规定及基金合同、托管协议的约定，对投资范围、投资比例、投资限制等进行严格监督，及时提示管理人违规风险，并按要求向证监会报告。在日常为基金投资运作所提供的基金清算和核算服务环节中，对基金管理人发送的投资指令、基金管理人对基金资产的核算、基金资产净值的计算、对各基金费用的提取与开支情况、基金的申购资金的到账与赎回资金的划付、基</w:t>
      </w:r>
      <w:r w:rsidRPr="00E06875">
        <w:rPr>
          <w:rFonts w:hint="eastAsia"/>
          <w:sz w:val="24"/>
          <w:szCs w:val="24"/>
        </w:rPr>
        <w:lastRenderedPageBreak/>
        <w:t>金收益分配等行为的合法性、合规性进行监督和核查。</w:t>
      </w:r>
    </w:p>
    <w:p w14:paraId="261BEACB"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2</w:t>
      </w:r>
      <w:r w:rsidRPr="00E06875">
        <w:rPr>
          <w:rFonts w:hint="eastAsia"/>
          <w:sz w:val="24"/>
          <w:szCs w:val="24"/>
        </w:rPr>
        <w:t>、监督程序</w:t>
      </w:r>
    </w:p>
    <w:p w14:paraId="1DF3E52C" w14:textId="092BBA5F" w:rsidR="005E308D" w:rsidRDefault="00E06875">
      <w:pPr>
        <w:spacing w:line="360" w:lineRule="auto"/>
        <w:ind w:firstLineChars="200" w:firstLine="480"/>
        <w:rPr>
          <w:sz w:val="24"/>
          <w:szCs w:val="24"/>
        </w:rPr>
      </w:pPr>
      <w:r w:rsidRPr="00E06875">
        <w:rPr>
          <w:rFonts w:hint="eastAsia"/>
          <w:sz w:val="24"/>
          <w:szCs w:val="24"/>
        </w:rPr>
        <w:t>基金托管人发现基金管理人有违反法律法规规定及基金合同、托管协议约定的，应当及时通知基金管理人予以纠正，基金管理人收到通知后及时核对确认并进行调整。基金托管人有权随时对通知事项进行复查，督促基金管理人改正。基金管理人对基金托管人通知的违规事项未能在限期内纠正的，基金托管人应根据要求及时报告中国证监会。</w:t>
      </w:r>
    </w:p>
    <w:p w14:paraId="30AB8035" w14:textId="77777777" w:rsidR="005E308D" w:rsidRDefault="005E308D">
      <w:pPr>
        <w:spacing w:line="360" w:lineRule="auto"/>
        <w:ind w:firstLineChars="200" w:firstLine="480"/>
        <w:rPr>
          <w:sz w:val="24"/>
          <w:szCs w:val="24"/>
        </w:rPr>
      </w:pPr>
    </w:p>
    <w:p w14:paraId="3E624613" w14:textId="77777777" w:rsidR="005E308D" w:rsidRDefault="005E308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p>
    <w:p w14:paraId="5B27120E" w14:textId="77777777" w:rsidR="005E308D" w:rsidRDefault="005E308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p>
    <w:p w14:paraId="04EC840C" w14:textId="77777777" w:rsidR="005E308D" w:rsidRDefault="005E308D">
      <w:pPr>
        <w:tabs>
          <w:tab w:val="left" w:pos="1110"/>
        </w:tabs>
        <w:adjustRightInd w:val="0"/>
        <w:snapToGrid w:val="0"/>
        <w:spacing w:line="360" w:lineRule="auto"/>
        <w:ind w:firstLineChars="200" w:firstLine="480"/>
        <w:rPr>
          <w:rFonts w:asciiTheme="minorEastAsia" w:hAnsiTheme="minorEastAsia" w:cs="Arial" w:hint="eastAsia"/>
          <w:bCs/>
          <w:sz w:val="24"/>
          <w:szCs w:val="24"/>
        </w:rPr>
      </w:pPr>
    </w:p>
    <w:p w14:paraId="0092757D" w14:textId="77777777" w:rsidR="005E308D" w:rsidRDefault="00945B44">
      <w:pPr>
        <w:widowControl/>
        <w:jc w:val="left"/>
        <w:rPr>
          <w:rFonts w:asciiTheme="minorEastAsia" w:hAnsiTheme="minorEastAsia" w:cs="Arial" w:hint="eastAsia"/>
          <w:bCs/>
          <w:sz w:val="24"/>
          <w:szCs w:val="24"/>
        </w:rPr>
      </w:pPr>
      <w:r>
        <w:rPr>
          <w:rFonts w:asciiTheme="minorEastAsia" w:hAnsiTheme="minorEastAsia" w:cs="Arial"/>
          <w:bCs/>
          <w:sz w:val="24"/>
          <w:szCs w:val="24"/>
        </w:rPr>
        <w:br w:type="page"/>
      </w:r>
    </w:p>
    <w:p w14:paraId="0DB1E792" w14:textId="77777777" w:rsidR="005E308D" w:rsidRDefault="00945B44">
      <w:pPr>
        <w:pStyle w:val="1"/>
        <w:jc w:val="center"/>
        <w:rPr>
          <w:sz w:val="30"/>
          <w:szCs w:val="30"/>
        </w:rPr>
      </w:pPr>
      <w:bookmarkStart w:id="93" w:name="_Toc263092313"/>
      <w:bookmarkStart w:id="94" w:name="_Toc416264541"/>
      <w:bookmarkStart w:id="95" w:name="_Toc119568461"/>
      <w:bookmarkStart w:id="96" w:name="_Toc68266292"/>
      <w:bookmarkStart w:id="97" w:name="_Toc214873594"/>
      <w:bookmarkStart w:id="98" w:name="_Toc23261"/>
      <w:bookmarkStart w:id="99" w:name="_Toc20733"/>
      <w:bookmarkStart w:id="100" w:name="_Toc7920"/>
      <w:bookmarkStart w:id="101" w:name="_Toc17244"/>
      <w:bookmarkStart w:id="102" w:name="_Toc98560352"/>
      <w:bookmarkStart w:id="103" w:name="_Toc123102453"/>
      <w:bookmarkStart w:id="104" w:name="_Toc79392606"/>
      <w:bookmarkStart w:id="105" w:name="_Toc352229751"/>
      <w:bookmarkStart w:id="106" w:name="_Toc123051452"/>
      <w:bookmarkStart w:id="107" w:name="_Toc1427"/>
      <w:bookmarkStart w:id="108" w:name="_Toc4003"/>
      <w:bookmarkStart w:id="109" w:name="_Toc123112234"/>
      <w:bookmarkStart w:id="110" w:name="_Toc610"/>
      <w:bookmarkStart w:id="111" w:name="_Toc11081"/>
      <w:bookmarkStart w:id="112" w:name="_Toc48649707"/>
      <w:bookmarkStart w:id="113" w:name="_Toc1270"/>
      <w:bookmarkStart w:id="114" w:name="_Toc139991736"/>
      <w:bookmarkStart w:id="115" w:name="_Toc141703886"/>
      <w:bookmarkStart w:id="116" w:name="_Toc352229752"/>
      <w:bookmarkStart w:id="117" w:name="_Toc10463"/>
      <w:bookmarkStart w:id="118" w:name="_Toc2382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hint="eastAsia"/>
          <w:sz w:val="30"/>
          <w:szCs w:val="30"/>
        </w:rPr>
        <w:lastRenderedPageBreak/>
        <w:t>第五部分</w:t>
      </w:r>
      <w:r>
        <w:rPr>
          <w:sz w:val="30"/>
          <w:szCs w:val="30"/>
        </w:rPr>
        <w:t xml:space="preserve">  </w:t>
      </w:r>
      <w:r>
        <w:rPr>
          <w:rFonts w:hint="eastAsia"/>
          <w:sz w:val="30"/>
          <w:szCs w:val="30"/>
        </w:rPr>
        <w:t>相关服务机构</w:t>
      </w:r>
      <w:bookmarkEnd w:id="93"/>
      <w:bookmarkEnd w:id="94"/>
      <w:bookmarkEnd w:id="95"/>
      <w:bookmarkEnd w:id="96"/>
      <w:bookmarkEnd w:id="97"/>
    </w:p>
    <w:p w14:paraId="7D0D977D" w14:textId="77777777" w:rsidR="005E308D" w:rsidRDefault="00945B44">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一、基金份额发售机构</w:t>
      </w:r>
    </w:p>
    <w:p w14:paraId="0D799EBF"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1、直销机构：富荣基金管理有限公司直销中心</w:t>
      </w:r>
    </w:p>
    <w:p w14:paraId="0DCBB8B7"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注册地址：</w:t>
      </w:r>
      <w:r>
        <w:rPr>
          <w:rFonts w:asciiTheme="minorEastAsia" w:hAnsiTheme="minorEastAsia" w:hint="eastAsia"/>
          <w:kern w:val="0"/>
          <w:sz w:val="24"/>
        </w:rPr>
        <w:t>广东省广州市南沙区横沥镇汇通二街2号3110房</w:t>
      </w:r>
    </w:p>
    <w:p w14:paraId="5B7A0837"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办公地址：</w:t>
      </w:r>
      <w:r>
        <w:rPr>
          <w:rFonts w:asciiTheme="minorEastAsia" w:hAnsiTheme="minorEastAsia" w:cs="Times New Roman" w:hint="eastAsia"/>
          <w:kern w:val="0"/>
          <w:sz w:val="24"/>
          <w:szCs w:val="24"/>
        </w:rPr>
        <w:t>深圳市福田区八卦四路52号安吉尔大厦24层</w:t>
      </w:r>
    </w:p>
    <w:p w14:paraId="739A079C"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法定代表人：王亦伟</w:t>
      </w:r>
    </w:p>
    <w:p w14:paraId="7722DF82"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电话：0755-84356629</w:t>
      </w:r>
    </w:p>
    <w:p w14:paraId="0FE5778A"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传真：0755-</w:t>
      </w:r>
      <w:r>
        <w:rPr>
          <w:rFonts w:asciiTheme="minorEastAsia" w:hAnsiTheme="minorEastAsia" w:cs="Arial" w:hint="eastAsia"/>
          <w:kern w:val="0"/>
          <w:sz w:val="24"/>
          <w:szCs w:val="24"/>
        </w:rPr>
        <w:t>83230902</w:t>
      </w:r>
    </w:p>
    <w:p w14:paraId="71279F9A"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客服电话：4006855600</w:t>
      </w:r>
    </w:p>
    <w:p w14:paraId="1822D92C"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网址：www.furamc.com.cn</w:t>
      </w:r>
    </w:p>
    <w:p w14:paraId="0BF23B23"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2、其他销售机构：</w:t>
      </w:r>
    </w:p>
    <w:tbl>
      <w:tblPr>
        <w:tblStyle w:val="afa"/>
        <w:tblW w:w="8505" w:type="dxa"/>
        <w:tblInd w:w="250" w:type="dxa"/>
        <w:tblLook w:val="04A0" w:firstRow="1" w:lastRow="0" w:firstColumn="1" w:lastColumn="0" w:noHBand="0" w:noVBand="1"/>
      </w:tblPr>
      <w:tblGrid>
        <w:gridCol w:w="709"/>
        <w:gridCol w:w="2693"/>
        <w:gridCol w:w="5103"/>
      </w:tblGrid>
      <w:tr w:rsidR="005E308D" w14:paraId="7FABE757" w14:textId="77777777">
        <w:trPr>
          <w:trHeight w:val="14"/>
        </w:trPr>
        <w:tc>
          <w:tcPr>
            <w:tcW w:w="709" w:type="dxa"/>
          </w:tcPr>
          <w:p w14:paraId="33BF4A7C" w14:textId="77777777" w:rsidR="005E308D" w:rsidRDefault="00945B44" w:rsidP="00686A68">
            <w:pPr>
              <w:tabs>
                <w:tab w:val="left" w:pos="540"/>
              </w:tabs>
              <w:adjustRightInd w:val="0"/>
              <w:snapToGrid w:val="0"/>
              <w:rPr>
                <w:rFonts w:asciiTheme="minorEastAsia" w:hAnsiTheme="minorEastAsia" w:cs="Arial" w:hint="eastAsia"/>
                <w:sz w:val="24"/>
                <w:szCs w:val="24"/>
              </w:rPr>
            </w:pPr>
            <w:r>
              <w:rPr>
                <w:rFonts w:asciiTheme="minorEastAsia" w:hAnsiTheme="minorEastAsia" w:cs="Arial" w:hint="eastAsia"/>
                <w:sz w:val="24"/>
                <w:szCs w:val="24"/>
              </w:rPr>
              <w:t>序号</w:t>
            </w:r>
          </w:p>
        </w:tc>
        <w:tc>
          <w:tcPr>
            <w:tcW w:w="2693" w:type="dxa"/>
          </w:tcPr>
          <w:p w14:paraId="4C993A1B" w14:textId="77777777" w:rsidR="005E308D" w:rsidRDefault="00945B44" w:rsidP="00686A68">
            <w:pPr>
              <w:tabs>
                <w:tab w:val="left" w:pos="540"/>
              </w:tabs>
              <w:adjustRightInd w:val="0"/>
              <w:snapToGrid w:val="0"/>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代销机构名称</w:t>
            </w:r>
          </w:p>
        </w:tc>
        <w:tc>
          <w:tcPr>
            <w:tcW w:w="5103" w:type="dxa"/>
          </w:tcPr>
          <w:p w14:paraId="2D570D74" w14:textId="77777777" w:rsidR="005E308D" w:rsidRDefault="00945B44" w:rsidP="00686A68">
            <w:pPr>
              <w:tabs>
                <w:tab w:val="left" w:pos="540"/>
              </w:tabs>
              <w:adjustRightInd w:val="0"/>
              <w:snapToGrid w:val="0"/>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代销机构信息</w:t>
            </w:r>
          </w:p>
        </w:tc>
      </w:tr>
      <w:tr w:rsidR="005E308D" w14:paraId="0C65A8ED" w14:textId="77777777" w:rsidTr="00686A68">
        <w:trPr>
          <w:trHeight w:val="14"/>
        </w:trPr>
        <w:tc>
          <w:tcPr>
            <w:tcW w:w="709" w:type="dxa"/>
          </w:tcPr>
          <w:p w14:paraId="00D6EA66" w14:textId="77777777" w:rsidR="005E308D" w:rsidRDefault="00945B44" w:rsidP="00686A68">
            <w:pPr>
              <w:tabs>
                <w:tab w:val="left" w:pos="540"/>
              </w:tabs>
              <w:adjustRightInd w:val="0"/>
              <w:snapToGrid w:val="0"/>
              <w:jc w:val="center"/>
              <w:rPr>
                <w:rFonts w:asciiTheme="minorEastAsia" w:hAnsiTheme="minorEastAsia" w:cs="Arial" w:hint="eastAsia"/>
                <w:sz w:val="24"/>
                <w:szCs w:val="24"/>
              </w:rPr>
            </w:pPr>
            <w:r>
              <w:rPr>
                <w:rFonts w:ascii="宋体" w:hAnsi="宋体" w:cs="Calibri"/>
                <w:color w:val="000000"/>
                <w:szCs w:val="21"/>
              </w:rPr>
              <w:t>1</w:t>
            </w:r>
          </w:p>
        </w:tc>
        <w:tc>
          <w:tcPr>
            <w:tcW w:w="2693" w:type="dxa"/>
          </w:tcPr>
          <w:p w14:paraId="4FEAECD9" w14:textId="77777777" w:rsidR="005E308D" w:rsidRDefault="00945B44" w:rsidP="00686A68">
            <w:pPr>
              <w:tabs>
                <w:tab w:val="left" w:pos="540"/>
              </w:tabs>
              <w:adjustRightInd w:val="0"/>
              <w:snapToGrid w:val="0"/>
              <w:ind w:firstLineChars="200" w:firstLine="420"/>
              <w:rPr>
                <w:rFonts w:asciiTheme="minorEastAsia" w:hAnsiTheme="minorEastAsia" w:cs="Arial" w:hint="eastAsia"/>
                <w:sz w:val="24"/>
                <w:szCs w:val="24"/>
              </w:rPr>
            </w:pPr>
            <w:r>
              <w:rPr>
                <w:rFonts w:ascii="宋体" w:hAnsi="宋体" w:cs="Calibri" w:hint="eastAsia"/>
                <w:color w:val="000000"/>
                <w:szCs w:val="21"/>
              </w:rPr>
              <w:t>东方财富证券股份有限公司</w:t>
            </w:r>
          </w:p>
        </w:tc>
        <w:tc>
          <w:tcPr>
            <w:tcW w:w="5103" w:type="dxa"/>
          </w:tcPr>
          <w:p w14:paraId="028D179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 xml:space="preserve">注册(办公)地址：西藏自治区拉萨市柳梧新区国际总部城10栋楼 </w:t>
            </w:r>
          </w:p>
          <w:p w14:paraId="79CF3AE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客户服务电话：95357</w:t>
            </w:r>
          </w:p>
          <w:p w14:paraId="1E14509F" w14:textId="77777777" w:rsidR="005E308D" w:rsidRPr="00686A68" w:rsidRDefault="00945B44" w:rsidP="00686A68">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w:t>
            </w:r>
            <w:r>
              <w:rPr>
                <w:rFonts w:ascii="宋体" w:hAnsi="宋体" w:cs="Calibri" w:hint="eastAsia"/>
                <w:color w:val="000000"/>
                <w:szCs w:val="21"/>
              </w:rPr>
              <w:t>18.cn</w:t>
            </w:r>
          </w:p>
        </w:tc>
      </w:tr>
      <w:tr w:rsidR="005E308D" w14:paraId="3C2E1C19" w14:textId="77777777" w:rsidTr="00686A68">
        <w:trPr>
          <w:trHeight w:val="14"/>
        </w:trPr>
        <w:tc>
          <w:tcPr>
            <w:tcW w:w="709" w:type="dxa"/>
          </w:tcPr>
          <w:p w14:paraId="330E3250" w14:textId="77777777" w:rsidR="005E308D" w:rsidRDefault="00945B44" w:rsidP="00686A68">
            <w:pPr>
              <w:tabs>
                <w:tab w:val="left" w:pos="540"/>
              </w:tabs>
              <w:adjustRightInd w:val="0"/>
              <w:snapToGrid w:val="0"/>
              <w:jc w:val="center"/>
              <w:rPr>
                <w:rFonts w:ascii="宋体" w:hAnsi="宋体" w:cs="Calibri" w:hint="eastAsia"/>
                <w:color w:val="000000"/>
                <w:szCs w:val="21"/>
              </w:rPr>
            </w:pPr>
            <w:r>
              <w:rPr>
                <w:rFonts w:ascii="宋体" w:hAnsi="宋体" w:cs="Calibri" w:hint="eastAsia"/>
                <w:color w:val="000000"/>
                <w:szCs w:val="21"/>
              </w:rPr>
              <w:t>2</w:t>
            </w:r>
          </w:p>
        </w:tc>
        <w:tc>
          <w:tcPr>
            <w:tcW w:w="2693" w:type="dxa"/>
          </w:tcPr>
          <w:p w14:paraId="42ACF2F7" w14:textId="77777777" w:rsidR="005E308D" w:rsidRDefault="00945B44" w:rsidP="00686A68">
            <w:pPr>
              <w:tabs>
                <w:tab w:val="left" w:pos="540"/>
              </w:tabs>
              <w:adjustRightInd w:val="0"/>
              <w:snapToGrid w:val="0"/>
              <w:ind w:firstLineChars="200" w:firstLine="420"/>
              <w:rPr>
                <w:rFonts w:ascii="宋体" w:hAnsi="宋体" w:cs="Calibri" w:hint="eastAsia"/>
                <w:color w:val="000000"/>
                <w:szCs w:val="21"/>
              </w:rPr>
            </w:pPr>
            <w:r>
              <w:rPr>
                <w:rFonts w:ascii="宋体" w:hAnsi="宋体" w:cs="Calibri" w:hint="eastAsia"/>
                <w:color w:val="000000"/>
                <w:szCs w:val="21"/>
              </w:rPr>
              <w:t>上海基煜基金销售有限公司</w:t>
            </w:r>
          </w:p>
        </w:tc>
        <w:tc>
          <w:tcPr>
            <w:tcW w:w="5103" w:type="dxa"/>
          </w:tcPr>
          <w:p w14:paraId="7FF1C7A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注册(办公)地址：上海市浦东新区银城中路488号</w:t>
            </w:r>
          </w:p>
          <w:p w14:paraId="7984DD9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1503室</w:t>
            </w:r>
          </w:p>
          <w:p w14:paraId="79357278"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客服电话：021-6537-0077</w:t>
            </w:r>
          </w:p>
          <w:p w14:paraId="1275619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公司网址：</w:t>
            </w:r>
            <w:hyperlink r:id="rId30" w:tgtFrame="_blank" w:history="1">
              <w:r w:rsidR="005E308D">
                <w:rPr>
                  <w:rFonts w:ascii="宋体" w:hAnsi="宋体" w:cs="Calibri"/>
                  <w:color w:val="000000"/>
                  <w:szCs w:val="21"/>
                </w:rPr>
                <w:t>www.jiyufund.com.cn</w:t>
              </w:r>
            </w:hyperlink>
          </w:p>
        </w:tc>
      </w:tr>
      <w:tr w:rsidR="005E308D" w14:paraId="39A2679A" w14:textId="77777777" w:rsidTr="00686A68">
        <w:trPr>
          <w:trHeight w:val="14"/>
        </w:trPr>
        <w:tc>
          <w:tcPr>
            <w:tcW w:w="709" w:type="dxa"/>
          </w:tcPr>
          <w:p w14:paraId="4FF8CC0A" w14:textId="77777777" w:rsidR="005E308D" w:rsidRDefault="00945B44" w:rsidP="00686A68">
            <w:pPr>
              <w:tabs>
                <w:tab w:val="left" w:pos="540"/>
              </w:tabs>
              <w:adjustRightInd w:val="0"/>
              <w:snapToGrid w:val="0"/>
              <w:jc w:val="center"/>
              <w:rPr>
                <w:rFonts w:ascii="宋体" w:hAnsi="宋体" w:cs="Calibri" w:hint="eastAsia"/>
                <w:color w:val="000000"/>
                <w:szCs w:val="21"/>
              </w:rPr>
            </w:pPr>
            <w:r>
              <w:rPr>
                <w:rFonts w:ascii="宋体" w:hAnsi="宋体" w:cs="Calibri" w:hint="eastAsia"/>
                <w:color w:val="000000"/>
                <w:szCs w:val="21"/>
              </w:rPr>
              <w:t>3</w:t>
            </w:r>
          </w:p>
        </w:tc>
        <w:tc>
          <w:tcPr>
            <w:tcW w:w="2693" w:type="dxa"/>
          </w:tcPr>
          <w:p w14:paraId="16B87720" w14:textId="77777777" w:rsidR="005E308D" w:rsidRDefault="00945B44" w:rsidP="00686A68">
            <w:pPr>
              <w:tabs>
                <w:tab w:val="left" w:pos="540"/>
              </w:tabs>
              <w:adjustRightInd w:val="0"/>
              <w:snapToGrid w:val="0"/>
              <w:ind w:firstLineChars="200" w:firstLine="420"/>
              <w:rPr>
                <w:rFonts w:ascii="宋体" w:hAnsi="宋体" w:cs="Calibri" w:hint="eastAsia"/>
                <w:color w:val="000000"/>
                <w:szCs w:val="21"/>
              </w:rPr>
            </w:pPr>
            <w:r>
              <w:rPr>
                <w:rFonts w:ascii="宋体" w:hAnsi="宋体" w:cs="Calibri" w:hint="eastAsia"/>
                <w:color w:val="000000"/>
                <w:szCs w:val="21"/>
              </w:rPr>
              <w:t>奕丰金融销售有限公司</w:t>
            </w:r>
          </w:p>
        </w:tc>
        <w:tc>
          <w:tcPr>
            <w:tcW w:w="5103" w:type="dxa"/>
          </w:tcPr>
          <w:p w14:paraId="3DBEB1C9"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w:t>
            </w:r>
            <w:r>
              <w:rPr>
                <w:rFonts w:ascii="宋体" w:hAnsi="宋体" w:cs="Calibri"/>
                <w:color w:val="000000"/>
                <w:szCs w:val="21"/>
              </w:rPr>
              <w:t xml:space="preserve">地址: </w:t>
            </w:r>
            <w:r>
              <w:rPr>
                <w:rFonts w:ascii="宋体" w:hAnsi="宋体" w:cs="Calibri" w:hint="eastAsia"/>
                <w:color w:val="000000"/>
                <w:szCs w:val="21"/>
              </w:rPr>
              <w:t>深圳市南山区海德三道航天科技广场A座17楼1704室</w:t>
            </w:r>
          </w:p>
          <w:p w14:paraId="57B73779"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400-684-0500</w:t>
            </w:r>
          </w:p>
          <w:p w14:paraId="2AD7F36D"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www.ifastps.com.cn</w:t>
            </w:r>
          </w:p>
        </w:tc>
      </w:tr>
      <w:tr w:rsidR="005E308D" w14:paraId="630EFA99" w14:textId="77777777">
        <w:trPr>
          <w:trHeight w:val="20"/>
        </w:trPr>
        <w:tc>
          <w:tcPr>
            <w:tcW w:w="709" w:type="dxa"/>
          </w:tcPr>
          <w:p w14:paraId="266D51F8"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w:t>
            </w:r>
          </w:p>
        </w:tc>
        <w:tc>
          <w:tcPr>
            <w:tcW w:w="2693" w:type="dxa"/>
          </w:tcPr>
          <w:p w14:paraId="4AEE5476"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上海好买基金销售有限公司</w:t>
            </w:r>
          </w:p>
        </w:tc>
        <w:tc>
          <w:tcPr>
            <w:tcW w:w="5103" w:type="dxa"/>
          </w:tcPr>
          <w:p w14:paraId="342B03A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注册(办公)地址：上海市浦东新区张杨路500号华润时代广场10、11、12、14层</w:t>
            </w:r>
          </w:p>
          <w:p w14:paraId="71377D12"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客服电话：400-700-9665</w:t>
            </w:r>
          </w:p>
          <w:p w14:paraId="78C61B3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公司网址：www.ehowbuy.com</w:t>
            </w:r>
          </w:p>
        </w:tc>
      </w:tr>
      <w:tr w:rsidR="005E308D" w14:paraId="6CB89E6F" w14:textId="77777777">
        <w:trPr>
          <w:trHeight w:val="20"/>
        </w:trPr>
        <w:tc>
          <w:tcPr>
            <w:tcW w:w="709" w:type="dxa"/>
          </w:tcPr>
          <w:p w14:paraId="50B0B5E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5</w:t>
            </w:r>
          </w:p>
        </w:tc>
        <w:tc>
          <w:tcPr>
            <w:tcW w:w="2693" w:type="dxa"/>
          </w:tcPr>
          <w:p w14:paraId="263EE4C4"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京东肯特瑞基金销售有限公司</w:t>
            </w:r>
          </w:p>
        </w:tc>
        <w:tc>
          <w:tcPr>
            <w:tcW w:w="5103" w:type="dxa"/>
          </w:tcPr>
          <w:p w14:paraId="55DAED1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注册(办公)地址：北京市经济技术开发区科创十一街京东总部2号</w:t>
            </w:r>
          </w:p>
          <w:p w14:paraId="4AC7A7C3"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客服电话：95118</w:t>
            </w:r>
          </w:p>
          <w:p w14:paraId="687BB416"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https://kenterui.jd.com/</w:t>
            </w:r>
          </w:p>
        </w:tc>
      </w:tr>
      <w:tr w:rsidR="005E308D" w14:paraId="377F192A" w14:textId="77777777">
        <w:trPr>
          <w:trHeight w:val="20"/>
        </w:trPr>
        <w:tc>
          <w:tcPr>
            <w:tcW w:w="709" w:type="dxa"/>
          </w:tcPr>
          <w:p w14:paraId="01A2FE7E"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6</w:t>
            </w:r>
          </w:p>
        </w:tc>
        <w:tc>
          <w:tcPr>
            <w:tcW w:w="2693" w:type="dxa"/>
          </w:tcPr>
          <w:p w14:paraId="6509C61E"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北京虹点基金销售有限公司</w:t>
            </w:r>
          </w:p>
        </w:tc>
        <w:tc>
          <w:tcPr>
            <w:tcW w:w="5103" w:type="dxa"/>
          </w:tcPr>
          <w:p w14:paraId="43025C65"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注册(办公)地址：北京市朝阳区东三环北路17号10层1015室</w:t>
            </w:r>
          </w:p>
          <w:p w14:paraId="4C9F586C"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400-618-0707</w:t>
            </w:r>
          </w:p>
          <w:p w14:paraId="180FF6E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www.hongdianfund.com</w:t>
            </w:r>
          </w:p>
        </w:tc>
      </w:tr>
      <w:tr w:rsidR="005E308D" w14:paraId="77C1437F" w14:textId="77777777">
        <w:trPr>
          <w:trHeight w:val="20"/>
        </w:trPr>
        <w:tc>
          <w:tcPr>
            <w:tcW w:w="709" w:type="dxa"/>
          </w:tcPr>
          <w:p w14:paraId="21F52AAA"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7</w:t>
            </w:r>
          </w:p>
        </w:tc>
        <w:tc>
          <w:tcPr>
            <w:tcW w:w="2693" w:type="dxa"/>
          </w:tcPr>
          <w:p w14:paraId="55727D65"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浙江同花顺基金销售有限公司</w:t>
            </w:r>
          </w:p>
        </w:tc>
        <w:tc>
          <w:tcPr>
            <w:tcW w:w="5103" w:type="dxa"/>
          </w:tcPr>
          <w:p w14:paraId="24416A0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注册(办公)地址：杭州市西湖区文二西路1号元茂大厦903室</w:t>
            </w:r>
          </w:p>
          <w:p w14:paraId="7C8D5C51"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952555</w:t>
            </w:r>
          </w:p>
          <w:p w14:paraId="561B7E1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hyperlink r:id="rId31" w:history="1">
              <w:r w:rsidR="005E308D">
                <w:rPr>
                  <w:rFonts w:ascii="宋体" w:hAnsi="宋体" w:cs="Calibri" w:hint="eastAsia"/>
                  <w:color w:val="000000"/>
                  <w:szCs w:val="21"/>
                </w:rPr>
                <w:t>www.5ifund.com</w:t>
              </w:r>
            </w:hyperlink>
          </w:p>
        </w:tc>
      </w:tr>
      <w:tr w:rsidR="005E308D" w14:paraId="63C654C2" w14:textId="77777777">
        <w:trPr>
          <w:trHeight w:val="20"/>
        </w:trPr>
        <w:tc>
          <w:tcPr>
            <w:tcW w:w="709" w:type="dxa"/>
          </w:tcPr>
          <w:p w14:paraId="4C4744BD"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8</w:t>
            </w:r>
          </w:p>
        </w:tc>
        <w:tc>
          <w:tcPr>
            <w:tcW w:w="2693" w:type="dxa"/>
          </w:tcPr>
          <w:p w14:paraId="6524EC30"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上海陆金所基金销售有限</w:t>
            </w:r>
            <w:r>
              <w:rPr>
                <w:rFonts w:ascii="宋体" w:hAnsi="宋体" w:cs="Calibri" w:hint="eastAsia"/>
                <w:color w:val="000000"/>
                <w:szCs w:val="21"/>
              </w:rPr>
              <w:lastRenderedPageBreak/>
              <w:t>公司</w:t>
            </w:r>
          </w:p>
        </w:tc>
        <w:tc>
          <w:tcPr>
            <w:tcW w:w="5103" w:type="dxa"/>
          </w:tcPr>
          <w:p w14:paraId="5485CBF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lastRenderedPageBreak/>
              <w:t>注册(办公)地址：中国（上海）自由贸易试验区源深</w:t>
            </w:r>
            <w:r>
              <w:rPr>
                <w:rFonts w:ascii="宋体" w:hAnsi="宋体" w:cs="Calibri" w:hint="eastAsia"/>
                <w:color w:val="000000"/>
                <w:szCs w:val="21"/>
              </w:rPr>
              <w:lastRenderedPageBreak/>
              <w:t>路1</w:t>
            </w:r>
            <w:r>
              <w:rPr>
                <w:rFonts w:ascii="宋体" w:hAnsi="宋体" w:cs="Calibri"/>
                <w:color w:val="000000"/>
                <w:szCs w:val="21"/>
              </w:rPr>
              <w:t>088</w:t>
            </w:r>
            <w:r>
              <w:rPr>
                <w:rFonts w:ascii="宋体" w:hAnsi="宋体" w:cs="Calibri" w:hint="eastAsia"/>
                <w:color w:val="000000"/>
                <w:szCs w:val="21"/>
              </w:rPr>
              <w:t>号7层</w:t>
            </w:r>
          </w:p>
          <w:p w14:paraId="2BEFD852"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4008219031</w:t>
            </w:r>
          </w:p>
          <w:p w14:paraId="2B4A7DB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www.lufunds.com</w:t>
            </w:r>
          </w:p>
        </w:tc>
      </w:tr>
      <w:tr w:rsidR="005E308D" w14:paraId="09271C4C" w14:textId="77777777">
        <w:trPr>
          <w:trHeight w:val="20"/>
        </w:trPr>
        <w:tc>
          <w:tcPr>
            <w:tcW w:w="709" w:type="dxa"/>
          </w:tcPr>
          <w:p w14:paraId="4AAE90E9"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lastRenderedPageBreak/>
              <w:t>9</w:t>
            </w:r>
          </w:p>
        </w:tc>
        <w:tc>
          <w:tcPr>
            <w:tcW w:w="2693" w:type="dxa"/>
          </w:tcPr>
          <w:p w14:paraId="25FA0CD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上海联泰资产管理有限公司</w:t>
            </w:r>
          </w:p>
        </w:tc>
        <w:tc>
          <w:tcPr>
            <w:tcW w:w="5103" w:type="dxa"/>
          </w:tcPr>
          <w:p w14:paraId="04CB77E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注册(办公)地址：上海市虹口区北外滩临潼路188号</w:t>
            </w:r>
          </w:p>
          <w:p w14:paraId="0CC3FD6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400-118-1188</w:t>
            </w:r>
          </w:p>
          <w:p w14:paraId="55DC8D5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 xml:space="preserve"> https://www.66liantai.com/</w:t>
            </w:r>
          </w:p>
        </w:tc>
      </w:tr>
      <w:tr w:rsidR="005E308D" w14:paraId="5D5EC2D9" w14:textId="77777777">
        <w:trPr>
          <w:trHeight w:val="20"/>
        </w:trPr>
        <w:tc>
          <w:tcPr>
            <w:tcW w:w="709" w:type="dxa"/>
          </w:tcPr>
          <w:p w14:paraId="3C755358"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10</w:t>
            </w:r>
          </w:p>
        </w:tc>
        <w:tc>
          <w:tcPr>
            <w:tcW w:w="2693" w:type="dxa"/>
          </w:tcPr>
          <w:p w14:paraId="7C0B3899"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深圳市金斧子基金销售有限公司</w:t>
            </w:r>
          </w:p>
        </w:tc>
        <w:tc>
          <w:tcPr>
            <w:tcW w:w="5103" w:type="dxa"/>
          </w:tcPr>
          <w:p w14:paraId="5587396C"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注册(办公)地址：深圳市南山区粤海街道科技园社区科苑路15号科兴科学园B栋B3-1801</w:t>
            </w:r>
          </w:p>
          <w:p w14:paraId="3FB2B72E"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400-8224-888</w:t>
            </w:r>
          </w:p>
          <w:p w14:paraId="462A3C79"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公司网址：www.jfzinv.com</w:t>
            </w:r>
          </w:p>
        </w:tc>
      </w:tr>
      <w:tr w:rsidR="005E308D" w14:paraId="6E0CC0F9" w14:textId="77777777">
        <w:trPr>
          <w:trHeight w:val="20"/>
        </w:trPr>
        <w:tc>
          <w:tcPr>
            <w:tcW w:w="709" w:type="dxa"/>
          </w:tcPr>
          <w:p w14:paraId="1765F752"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11</w:t>
            </w:r>
          </w:p>
        </w:tc>
        <w:tc>
          <w:tcPr>
            <w:tcW w:w="2693" w:type="dxa"/>
          </w:tcPr>
          <w:p w14:paraId="3DCDBB4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上海天天基金销售有限公司</w:t>
            </w:r>
          </w:p>
        </w:tc>
        <w:tc>
          <w:tcPr>
            <w:tcW w:w="5103" w:type="dxa"/>
          </w:tcPr>
          <w:p w14:paraId="1895D53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注册(办公)地址：上海市徐汇区宛平南路88号东方财富大厦</w:t>
            </w:r>
          </w:p>
          <w:p w14:paraId="4720F9E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95021</w:t>
            </w:r>
          </w:p>
          <w:p w14:paraId="571F7D0A"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fund.eastmoney.com</w:t>
            </w:r>
          </w:p>
        </w:tc>
      </w:tr>
      <w:tr w:rsidR="005E308D" w14:paraId="32998E1A" w14:textId="77777777">
        <w:trPr>
          <w:trHeight w:val="20"/>
        </w:trPr>
        <w:tc>
          <w:tcPr>
            <w:tcW w:w="709" w:type="dxa"/>
          </w:tcPr>
          <w:p w14:paraId="7A53F036"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12</w:t>
            </w:r>
          </w:p>
        </w:tc>
        <w:tc>
          <w:tcPr>
            <w:tcW w:w="2693" w:type="dxa"/>
          </w:tcPr>
          <w:p w14:paraId="01334D3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珠海盈米基金销售有限公司</w:t>
            </w:r>
          </w:p>
        </w:tc>
        <w:tc>
          <w:tcPr>
            <w:tcW w:w="5103" w:type="dxa"/>
          </w:tcPr>
          <w:p w14:paraId="28260BB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注册(办公)地址：广州市海珠区阅江中路688号保利国际广场北塔33楼、8楼</w:t>
            </w:r>
          </w:p>
          <w:p w14:paraId="569CA2C1"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020-89629066</w:t>
            </w:r>
          </w:p>
          <w:p w14:paraId="521CB6B1"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www.yingmi.cn</w:t>
            </w:r>
          </w:p>
        </w:tc>
      </w:tr>
      <w:tr w:rsidR="005E308D" w14:paraId="628BE48D" w14:textId="77777777">
        <w:trPr>
          <w:trHeight w:val="20"/>
        </w:trPr>
        <w:tc>
          <w:tcPr>
            <w:tcW w:w="709" w:type="dxa"/>
          </w:tcPr>
          <w:p w14:paraId="47ED4134"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13</w:t>
            </w:r>
          </w:p>
        </w:tc>
        <w:tc>
          <w:tcPr>
            <w:tcW w:w="2693" w:type="dxa"/>
          </w:tcPr>
          <w:p w14:paraId="73EB45D9"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上海长量基金销售有限公司</w:t>
            </w:r>
          </w:p>
        </w:tc>
        <w:tc>
          <w:tcPr>
            <w:tcW w:w="5103" w:type="dxa"/>
          </w:tcPr>
          <w:p w14:paraId="23E38D7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注册(办公)地址：上海市浦东新区东方路1267号陆家嘴金融服务广场二期11层</w:t>
            </w:r>
          </w:p>
          <w:p w14:paraId="6BB7F7C2"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客服电话：400-820-2899</w:t>
            </w:r>
          </w:p>
          <w:p w14:paraId="0BA8B74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公司网站：www.erichfund.com</w:t>
            </w:r>
          </w:p>
        </w:tc>
      </w:tr>
      <w:tr w:rsidR="005E308D" w14:paraId="6FF2C6AB" w14:textId="77777777">
        <w:trPr>
          <w:trHeight w:val="20"/>
        </w:trPr>
        <w:tc>
          <w:tcPr>
            <w:tcW w:w="709" w:type="dxa"/>
          </w:tcPr>
          <w:p w14:paraId="2BCBD32F"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14</w:t>
            </w:r>
          </w:p>
        </w:tc>
        <w:tc>
          <w:tcPr>
            <w:tcW w:w="2693" w:type="dxa"/>
          </w:tcPr>
          <w:p w14:paraId="4571835F"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北京汇成基金销售有限公司</w:t>
            </w:r>
          </w:p>
        </w:tc>
        <w:tc>
          <w:tcPr>
            <w:tcW w:w="5103" w:type="dxa"/>
          </w:tcPr>
          <w:p w14:paraId="2EC9B06D"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北京市西城区宣武门外大街甲1号环球财讯中心D座4层</w:t>
            </w:r>
          </w:p>
          <w:p w14:paraId="0A820212"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400-055-5728</w:t>
            </w:r>
          </w:p>
          <w:p w14:paraId="3896100E"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www.hcjijin.com</w:t>
            </w:r>
          </w:p>
        </w:tc>
      </w:tr>
      <w:tr w:rsidR="005E308D" w14:paraId="0417291E" w14:textId="77777777">
        <w:trPr>
          <w:trHeight w:val="20"/>
        </w:trPr>
        <w:tc>
          <w:tcPr>
            <w:tcW w:w="709" w:type="dxa"/>
          </w:tcPr>
          <w:p w14:paraId="4FBC894D"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15</w:t>
            </w:r>
          </w:p>
        </w:tc>
        <w:tc>
          <w:tcPr>
            <w:tcW w:w="2693" w:type="dxa"/>
          </w:tcPr>
          <w:p w14:paraId="0EEC407E"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深圳市新兰德证券投资咨询有限公司</w:t>
            </w:r>
          </w:p>
        </w:tc>
        <w:tc>
          <w:tcPr>
            <w:tcW w:w="5103" w:type="dxa"/>
          </w:tcPr>
          <w:p w14:paraId="1872DC5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注册(办公)地址：深圳市福田区梅林街道梅都社区中康路136号深圳新一代产业园2栋3401</w:t>
            </w:r>
          </w:p>
          <w:p w14:paraId="097CDDA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010</w:t>
            </w:r>
            <w:r>
              <w:rPr>
                <w:rFonts w:ascii="宋体" w:hAnsi="宋体" w:cs="Calibri" w:hint="eastAsia"/>
                <w:color w:val="000000"/>
                <w:szCs w:val="21"/>
              </w:rPr>
              <w:t>-</w:t>
            </w:r>
            <w:r>
              <w:rPr>
                <w:rFonts w:ascii="宋体" w:hAnsi="宋体" w:cs="Calibri"/>
                <w:color w:val="000000"/>
                <w:szCs w:val="21"/>
              </w:rPr>
              <w:t>83275199</w:t>
            </w:r>
            <w:r>
              <w:rPr>
                <w:rFonts w:ascii="宋体" w:hAnsi="宋体" w:cs="Calibri"/>
                <w:color w:val="000000"/>
                <w:szCs w:val="21"/>
              </w:rPr>
              <w:tab/>
            </w:r>
          </w:p>
          <w:p w14:paraId="164F87BD"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http://www.new-rand.cn/</w:t>
            </w:r>
          </w:p>
        </w:tc>
      </w:tr>
      <w:tr w:rsidR="005E308D" w14:paraId="751F5616" w14:textId="77777777">
        <w:trPr>
          <w:trHeight w:val="20"/>
        </w:trPr>
        <w:tc>
          <w:tcPr>
            <w:tcW w:w="709" w:type="dxa"/>
          </w:tcPr>
          <w:p w14:paraId="07911402"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16</w:t>
            </w:r>
          </w:p>
        </w:tc>
        <w:tc>
          <w:tcPr>
            <w:tcW w:w="2693" w:type="dxa"/>
          </w:tcPr>
          <w:p w14:paraId="63B9355D"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济安财富（北京）基金销售有限公司</w:t>
            </w:r>
          </w:p>
        </w:tc>
        <w:tc>
          <w:tcPr>
            <w:tcW w:w="5103" w:type="dxa"/>
          </w:tcPr>
          <w:p w14:paraId="53412A2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注册(办公)地址：北京市朝阳区太阳宫中路16号院1号楼冠捷大厦3层307单元</w:t>
            </w:r>
          </w:p>
          <w:p w14:paraId="05FB975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400-673-7010</w:t>
            </w:r>
          </w:p>
          <w:p w14:paraId="1FEA287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t>http://www.jianfortune.com/</w:t>
            </w:r>
          </w:p>
        </w:tc>
      </w:tr>
      <w:tr w:rsidR="005E308D" w14:paraId="7886C8F2" w14:textId="77777777">
        <w:trPr>
          <w:trHeight w:val="20"/>
        </w:trPr>
        <w:tc>
          <w:tcPr>
            <w:tcW w:w="709" w:type="dxa"/>
          </w:tcPr>
          <w:p w14:paraId="4E3689AB"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17</w:t>
            </w:r>
          </w:p>
        </w:tc>
        <w:tc>
          <w:tcPr>
            <w:tcW w:w="2693" w:type="dxa"/>
          </w:tcPr>
          <w:p w14:paraId="1D4C52BE" w14:textId="77777777" w:rsidR="005E308D" w:rsidRDefault="00945B44">
            <w:pPr>
              <w:snapToGrid w:val="0"/>
              <w:rPr>
                <w:rFonts w:ascii="宋体" w:hAnsi="宋体" w:cs="Calibri" w:hint="eastAsia"/>
                <w:color w:val="000000"/>
                <w:szCs w:val="21"/>
              </w:rPr>
            </w:pPr>
            <w:r>
              <w:rPr>
                <w:rFonts w:hint="eastAsia"/>
              </w:rPr>
              <w:t>民商基金销售（上海）有限公司</w:t>
            </w:r>
          </w:p>
        </w:tc>
        <w:tc>
          <w:tcPr>
            <w:tcW w:w="5103" w:type="dxa"/>
          </w:tcPr>
          <w:p w14:paraId="140F12E6" w14:textId="77777777" w:rsidR="005E308D" w:rsidRDefault="00945B44" w:rsidP="00686A68">
            <w:pPr>
              <w:widowControl/>
              <w:snapToGrid w:val="0"/>
              <w:rPr>
                <w:rFonts w:ascii="宋体" w:hAnsi="宋体" w:cs="Calibri" w:hint="eastAsia"/>
                <w:color w:val="000000"/>
                <w:szCs w:val="21"/>
              </w:rPr>
            </w:pPr>
            <w:r>
              <w:rPr>
                <w:rFonts w:ascii="宋体" w:hAnsi="宋体" w:cs="Calibri" w:hint="eastAsia"/>
                <w:color w:val="000000"/>
                <w:szCs w:val="21"/>
              </w:rPr>
              <w:t>注册</w:t>
            </w:r>
            <w:r>
              <w:rPr>
                <w:rFonts w:ascii="宋体" w:hAnsi="宋体" w:cs="Calibri"/>
                <w:color w:val="000000"/>
                <w:szCs w:val="21"/>
              </w:rPr>
              <w:t>(</w:t>
            </w:r>
            <w:r>
              <w:rPr>
                <w:rFonts w:ascii="宋体" w:hAnsi="宋体" w:cs="Calibri" w:hint="eastAsia"/>
                <w:color w:val="000000"/>
                <w:szCs w:val="21"/>
              </w:rPr>
              <w:t>办公</w:t>
            </w:r>
            <w:r>
              <w:rPr>
                <w:rFonts w:ascii="宋体" w:hAnsi="宋体" w:cs="Calibri"/>
                <w:color w:val="000000"/>
                <w:szCs w:val="21"/>
              </w:rPr>
              <w:t>)</w:t>
            </w:r>
            <w:r>
              <w:rPr>
                <w:rFonts w:ascii="宋体" w:hAnsi="宋体" w:cs="Calibri" w:hint="eastAsia"/>
                <w:color w:val="000000"/>
                <w:szCs w:val="21"/>
              </w:rPr>
              <w:t>地址：上海市浦东新区张扬路707号生命人寿大厦32楼</w:t>
            </w:r>
          </w:p>
          <w:p w14:paraId="2154CD29" w14:textId="77777777" w:rsidR="005E308D" w:rsidRDefault="00945B44" w:rsidP="00686A68">
            <w:pPr>
              <w:widowControl/>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021-50206003</w:t>
            </w:r>
          </w:p>
          <w:p w14:paraId="4D4F5BE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www.msftec.com/</w:t>
            </w:r>
            <w:r>
              <w:rPr>
                <w:rFonts w:ascii="宋体" w:hAnsi="宋体" w:cs="Calibri" w:hint="eastAsia"/>
                <w:color w:val="000000"/>
                <w:szCs w:val="21"/>
              </w:rPr>
              <w:t xml:space="preserve"> </w:t>
            </w:r>
          </w:p>
        </w:tc>
      </w:tr>
      <w:tr w:rsidR="005E308D" w14:paraId="76F21817" w14:textId="77777777">
        <w:trPr>
          <w:trHeight w:val="20"/>
        </w:trPr>
        <w:tc>
          <w:tcPr>
            <w:tcW w:w="709" w:type="dxa"/>
          </w:tcPr>
          <w:p w14:paraId="65D7E60C"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18</w:t>
            </w:r>
          </w:p>
        </w:tc>
        <w:tc>
          <w:tcPr>
            <w:tcW w:w="2693" w:type="dxa"/>
          </w:tcPr>
          <w:p w14:paraId="26A1373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大连网金基金销售有限公司</w:t>
            </w:r>
          </w:p>
        </w:tc>
        <w:tc>
          <w:tcPr>
            <w:tcW w:w="5103" w:type="dxa"/>
          </w:tcPr>
          <w:p w14:paraId="11CF550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注册(办公)地址：辽宁省大连市沙河口区体坛路22号诺德大厦2层202室</w:t>
            </w:r>
          </w:p>
          <w:p w14:paraId="59FDBB8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客户服务电话：0411－39027807</w:t>
            </w:r>
          </w:p>
          <w:p w14:paraId="7610A0B4"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 xml:space="preserve"> http://www.yibaijin.com/</w:t>
            </w:r>
          </w:p>
        </w:tc>
      </w:tr>
      <w:tr w:rsidR="005E308D" w14:paraId="5BF3AF79" w14:textId="77777777">
        <w:trPr>
          <w:trHeight w:val="20"/>
        </w:trPr>
        <w:tc>
          <w:tcPr>
            <w:tcW w:w="709" w:type="dxa"/>
          </w:tcPr>
          <w:p w14:paraId="4093308D"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19</w:t>
            </w:r>
          </w:p>
        </w:tc>
        <w:tc>
          <w:tcPr>
            <w:tcW w:w="2693" w:type="dxa"/>
          </w:tcPr>
          <w:p w14:paraId="69BA7759"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深圳众禄基金销售股份有限公司</w:t>
            </w:r>
          </w:p>
        </w:tc>
        <w:tc>
          <w:tcPr>
            <w:tcW w:w="5103" w:type="dxa"/>
          </w:tcPr>
          <w:p w14:paraId="3181814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注册（办公）地址：深圳市罗湖区梨园路Halo广场4楼</w:t>
            </w:r>
          </w:p>
          <w:p w14:paraId="50494281"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4006-788-887</w:t>
            </w:r>
          </w:p>
          <w:p w14:paraId="2589342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网址：众禄基金网</w:t>
            </w:r>
            <w:r>
              <w:rPr>
                <w:rFonts w:ascii="宋体" w:hAnsi="宋体" w:cs="Calibri"/>
                <w:color w:val="000000"/>
                <w:szCs w:val="21"/>
              </w:rPr>
              <w:t xml:space="preserve"> </w:t>
            </w:r>
            <w:hyperlink r:id="rId32" w:history="1">
              <w:r w:rsidR="005E308D">
                <w:rPr>
                  <w:rFonts w:ascii="宋体" w:hAnsi="宋体" w:cs="Calibri"/>
                  <w:color w:val="000000"/>
                  <w:szCs w:val="21"/>
                </w:rPr>
                <w:t>www.zlfund.cn</w:t>
              </w:r>
            </w:hyperlink>
          </w:p>
          <w:p w14:paraId="1BA31F4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基金买卖网</w:t>
            </w:r>
            <w:r>
              <w:rPr>
                <w:rFonts w:ascii="宋体" w:hAnsi="宋体" w:cs="Calibri"/>
                <w:color w:val="000000"/>
                <w:szCs w:val="21"/>
              </w:rPr>
              <w:t xml:space="preserve"> </w:t>
            </w:r>
            <w:hyperlink r:id="rId33" w:history="1">
              <w:r w:rsidR="005E308D">
                <w:rPr>
                  <w:rFonts w:ascii="宋体" w:hAnsi="宋体" w:cs="Calibri"/>
                  <w:color w:val="000000"/>
                  <w:szCs w:val="21"/>
                </w:rPr>
                <w:t>www.jjmmw.com</w:t>
              </w:r>
            </w:hyperlink>
          </w:p>
        </w:tc>
      </w:tr>
      <w:tr w:rsidR="005E308D" w14:paraId="45C45483" w14:textId="77777777">
        <w:trPr>
          <w:trHeight w:val="20"/>
        </w:trPr>
        <w:tc>
          <w:tcPr>
            <w:tcW w:w="709" w:type="dxa"/>
          </w:tcPr>
          <w:p w14:paraId="2E9F9624"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20</w:t>
            </w:r>
          </w:p>
        </w:tc>
        <w:tc>
          <w:tcPr>
            <w:tcW w:w="2693" w:type="dxa"/>
          </w:tcPr>
          <w:p w14:paraId="3B4FAD1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北京雪球基金销售有限公司</w:t>
            </w:r>
            <w:r>
              <w:rPr>
                <w:rFonts w:ascii="宋体" w:hAnsi="宋体" w:cs="Calibri" w:hint="eastAsia"/>
                <w:color w:val="000000"/>
                <w:szCs w:val="21"/>
              </w:rPr>
              <w:tab/>
            </w:r>
          </w:p>
        </w:tc>
        <w:tc>
          <w:tcPr>
            <w:tcW w:w="5103" w:type="dxa"/>
          </w:tcPr>
          <w:p w14:paraId="7AB0D054" w14:textId="77777777" w:rsidR="005E308D" w:rsidRDefault="00945B44">
            <w:pPr>
              <w:widowControl/>
              <w:snapToGrid w:val="0"/>
              <w:rPr>
                <w:rFonts w:ascii="宋体" w:hAnsi="宋体" w:cs="Calibri" w:hint="eastAsia"/>
                <w:color w:val="000000"/>
                <w:szCs w:val="21"/>
              </w:rPr>
            </w:pPr>
            <w:r>
              <w:rPr>
                <w:rFonts w:ascii="宋体" w:hAnsi="宋体" w:cs="Calibri" w:hint="eastAsia"/>
                <w:color w:val="000000"/>
                <w:szCs w:val="21"/>
              </w:rPr>
              <w:t>注册（办公）地址：北京市朝阳区创远路34号院6号楼15层1501室</w:t>
            </w:r>
          </w:p>
          <w:p w14:paraId="6C351974" w14:textId="77777777" w:rsidR="005E308D" w:rsidRDefault="00945B44">
            <w:pPr>
              <w:widowControl/>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400-159-9288</w:t>
            </w:r>
          </w:p>
          <w:p w14:paraId="4C1E698E"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lastRenderedPageBreak/>
              <w:t>网址：</w:t>
            </w:r>
            <w:hyperlink r:id="rId34" w:history="1">
              <w:r w:rsidR="005E308D">
                <w:rPr>
                  <w:rFonts w:ascii="宋体" w:hAnsi="宋体" w:cs="Calibri"/>
                  <w:color w:val="000000"/>
                  <w:szCs w:val="21"/>
                </w:rPr>
                <w:t>http://danjuanapp.com/</w:t>
              </w:r>
            </w:hyperlink>
          </w:p>
        </w:tc>
      </w:tr>
      <w:tr w:rsidR="005E308D" w14:paraId="4B1495ED" w14:textId="77777777">
        <w:trPr>
          <w:trHeight w:val="20"/>
        </w:trPr>
        <w:tc>
          <w:tcPr>
            <w:tcW w:w="709" w:type="dxa"/>
          </w:tcPr>
          <w:p w14:paraId="17EAFCF6"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lastRenderedPageBreak/>
              <w:t>21</w:t>
            </w:r>
          </w:p>
        </w:tc>
        <w:tc>
          <w:tcPr>
            <w:tcW w:w="2693" w:type="dxa"/>
          </w:tcPr>
          <w:p w14:paraId="2CF714E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上海挖财基金销售有限公司</w:t>
            </w:r>
          </w:p>
        </w:tc>
        <w:tc>
          <w:tcPr>
            <w:tcW w:w="5103" w:type="dxa"/>
          </w:tcPr>
          <w:p w14:paraId="1DE9A9D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注册(办公)地址：上海市浦东新区杨高南路759号2号楼18层03单元</w:t>
            </w:r>
          </w:p>
          <w:p w14:paraId="2825D20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021-50810673</w:t>
            </w:r>
          </w:p>
          <w:p w14:paraId="4DF8565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hyperlink r:id="rId35" w:history="1">
              <w:r w:rsidR="005E308D">
                <w:rPr>
                  <w:rStyle w:val="afc"/>
                  <w:rFonts w:ascii="宋体" w:hAnsi="宋体" w:cs="Calibri"/>
                  <w:szCs w:val="21"/>
                </w:rPr>
                <w:t>www.wacaijijin.com</w:t>
              </w:r>
            </w:hyperlink>
          </w:p>
        </w:tc>
      </w:tr>
      <w:tr w:rsidR="005E308D" w14:paraId="1CEF06E0" w14:textId="77777777">
        <w:trPr>
          <w:trHeight w:val="20"/>
        </w:trPr>
        <w:tc>
          <w:tcPr>
            <w:tcW w:w="709" w:type="dxa"/>
          </w:tcPr>
          <w:p w14:paraId="6FC894E3"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22</w:t>
            </w:r>
          </w:p>
        </w:tc>
        <w:tc>
          <w:tcPr>
            <w:tcW w:w="2693" w:type="dxa"/>
          </w:tcPr>
          <w:p w14:paraId="7D04C8F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诺亚正行基金销售有限公司</w:t>
            </w:r>
          </w:p>
        </w:tc>
        <w:tc>
          <w:tcPr>
            <w:tcW w:w="5103" w:type="dxa"/>
          </w:tcPr>
          <w:p w14:paraId="3B9E995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注册(办公)地址：上海市闵行区申滨南路1226号诺亚财富中心</w:t>
            </w:r>
          </w:p>
          <w:p w14:paraId="4E6DE1A5"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400-821-5399</w:t>
            </w:r>
          </w:p>
          <w:p w14:paraId="6876498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网址：www.noah-fund.com</w:t>
            </w:r>
          </w:p>
        </w:tc>
      </w:tr>
      <w:tr w:rsidR="005E308D" w14:paraId="69A20045" w14:textId="77777777">
        <w:trPr>
          <w:trHeight w:val="20"/>
        </w:trPr>
        <w:tc>
          <w:tcPr>
            <w:tcW w:w="709" w:type="dxa"/>
          </w:tcPr>
          <w:p w14:paraId="18E78283"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23</w:t>
            </w:r>
          </w:p>
        </w:tc>
        <w:tc>
          <w:tcPr>
            <w:tcW w:w="2693" w:type="dxa"/>
          </w:tcPr>
          <w:p w14:paraId="0486ABD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上海凯石财富基金销售有限公司</w:t>
            </w:r>
          </w:p>
        </w:tc>
        <w:tc>
          <w:tcPr>
            <w:tcW w:w="5103" w:type="dxa"/>
          </w:tcPr>
          <w:p w14:paraId="3D7B1F30"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注册（办公）地址：上海市黄浦区延安东路1号凯石大厦</w:t>
            </w:r>
          </w:p>
          <w:p w14:paraId="3768443D"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w:t>
            </w:r>
            <w:r>
              <w:rPr>
                <w:rFonts w:ascii="宋体" w:hAnsi="宋体" w:cs="Calibri" w:hint="eastAsia"/>
                <w:color w:val="000000"/>
                <w:szCs w:val="21"/>
              </w:rPr>
              <w:t>6433389</w:t>
            </w:r>
          </w:p>
          <w:p w14:paraId="360E9CC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hyperlink r:id="rId36" w:history="1">
              <w:r w:rsidR="005E308D">
                <w:rPr>
                  <w:rFonts w:ascii="宋体" w:hAnsi="宋体" w:cs="Calibri" w:hint="eastAsia"/>
                  <w:color w:val="000000"/>
                </w:rPr>
                <w:t>www.vstonewealth.com</w:t>
              </w:r>
            </w:hyperlink>
          </w:p>
        </w:tc>
      </w:tr>
      <w:tr w:rsidR="005E308D" w14:paraId="57BE9E2B" w14:textId="77777777">
        <w:trPr>
          <w:trHeight w:val="20"/>
        </w:trPr>
        <w:tc>
          <w:tcPr>
            <w:tcW w:w="709" w:type="dxa"/>
          </w:tcPr>
          <w:p w14:paraId="06F13FD2"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24</w:t>
            </w:r>
          </w:p>
        </w:tc>
        <w:tc>
          <w:tcPr>
            <w:tcW w:w="2693" w:type="dxa"/>
          </w:tcPr>
          <w:p w14:paraId="702A0C37" w14:textId="77777777" w:rsidR="005E308D" w:rsidRDefault="00945B44">
            <w:pPr>
              <w:snapToGrid w:val="0"/>
              <w:rPr>
                <w:rFonts w:ascii="宋体" w:hAnsi="宋体" w:cs="Calibri" w:hint="eastAsia"/>
                <w:color w:val="000000"/>
                <w:szCs w:val="21"/>
              </w:rPr>
            </w:pPr>
            <w:r>
              <w:rPr>
                <w:rFonts w:hint="eastAsia"/>
              </w:rPr>
              <w:t>泰信财富基金销售有限公司</w:t>
            </w:r>
          </w:p>
        </w:tc>
        <w:tc>
          <w:tcPr>
            <w:tcW w:w="5103" w:type="dxa"/>
          </w:tcPr>
          <w:p w14:paraId="18238B46" w14:textId="77777777" w:rsidR="005E308D" w:rsidRDefault="00945B44">
            <w:pPr>
              <w:pStyle w:val="a6"/>
            </w:pPr>
            <w:r>
              <w:rPr>
                <w:rFonts w:ascii="宋体" w:hAnsi="宋体" w:cs="Calibri" w:hint="eastAsia"/>
                <w:color w:val="000000"/>
                <w:szCs w:val="21"/>
              </w:rPr>
              <w:t>注册（办公）地址：</w:t>
            </w:r>
            <w:r>
              <w:rPr>
                <w:rFonts w:hint="eastAsia"/>
              </w:rPr>
              <w:t>北京市朝阳区建国路乙</w:t>
            </w:r>
            <w:r>
              <w:rPr>
                <w:rFonts w:hint="eastAsia"/>
              </w:rPr>
              <w:t>118</w:t>
            </w:r>
            <w:r>
              <w:rPr>
                <w:rFonts w:hint="eastAsia"/>
              </w:rPr>
              <w:t>号京汇大厦</w:t>
            </w:r>
            <w:r>
              <w:rPr>
                <w:rFonts w:hint="eastAsia"/>
              </w:rPr>
              <w:t>1206</w:t>
            </w:r>
          </w:p>
          <w:p w14:paraId="26A2C87C" w14:textId="77777777" w:rsidR="005E308D" w:rsidRDefault="00945B44">
            <w:pPr>
              <w:pStyle w:val="a6"/>
            </w:pPr>
            <w:r>
              <w:t>客户服务电话：</w:t>
            </w:r>
            <w:r>
              <w:t xml:space="preserve">400-004-8821 </w:t>
            </w:r>
          </w:p>
          <w:p w14:paraId="4DF1FE89" w14:textId="77777777" w:rsidR="005E308D" w:rsidRDefault="00945B44">
            <w:pPr>
              <w:snapToGrid w:val="0"/>
              <w:rPr>
                <w:rFonts w:ascii="宋体" w:hAnsi="宋体" w:cs="Calibri" w:hint="eastAsia"/>
                <w:color w:val="000000"/>
                <w:szCs w:val="21"/>
              </w:rPr>
            </w:pPr>
            <w:r>
              <w:t>网址：</w:t>
            </w:r>
            <w:hyperlink r:id="rId37" w:history="1">
              <w:r w:rsidR="005E308D">
                <w:rPr>
                  <w:rStyle w:val="afc"/>
                </w:rPr>
                <w:t>www.taixincf.com</w:t>
              </w:r>
            </w:hyperlink>
          </w:p>
        </w:tc>
      </w:tr>
      <w:tr w:rsidR="005E308D" w14:paraId="75759304" w14:textId="77777777">
        <w:trPr>
          <w:trHeight w:val="20"/>
        </w:trPr>
        <w:tc>
          <w:tcPr>
            <w:tcW w:w="709" w:type="dxa"/>
          </w:tcPr>
          <w:p w14:paraId="46C6ADA4"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25</w:t>
            </w:r>
          </w:p>
        </w:tc>
        <w:tc>
          <w:tcPr>
            <w:tcW w:w="2693" w:type="dxa"/>
          </w:tcPr>
          <w:p w14:paraId="4F003422"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上海利得基金销售有限公司</w:t>
            </w:r>
          </w:p>
        </w:tc>
        <w:tc>
          <w:tcPr>
            <w:tcW w:w="5103" w:type="dxa"/>
          </w:tcPr>
          <w:p w14:paraId="55DCE819"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注册（办公）地址：上海市虹口区东大名路1098号浦江国际金融广场53楼</w:t>
            </w:r>
          </w:p>
          <w:p w14:paraId="16C0E891"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400-032-5885</w:t>
            </w:r>
          </w:p>
          <w:p w14:paraId="01A6C23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www.leadfund.com.cn</w:t>
            </w:r>
          </w:p>
        </w:tc>
      </w:tr>
      <w:tr w:rsidR="005E308D" w14:paraId="72F0770C" w14:textId="77777777">
        <w:trPr>
          <w:trHeight w:val="20"/>
        </w:trPr>
        <w:tc>
          <w:tcPr>
            <w:tcW w:w="709" w:type="dxa"/>
          </w:tcPr>
          <w:p w14:paraId="3A95F4E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26</w:t>
            </w:r>
          </w:p>
        </w:tc>
        <w:tc>
          <w:tcPr>
            <w:tcW w:w="2693" w:type="dxa"/>
          </w:tcPr>
          <w:p w14:paraId="25E0BE8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南京苏宁基金销售有限公司</w:t>
            </w:r>
          </w:p>
        </w:tc>
        <w:tc>
          <w:tcPr>
            <w:tcW w:w="5103" w:type="dxa"/>
          </w:tcPr>
          <w:p w14:paraId="39FAD408"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 :南京市玄武区苏宁大道1-</w:t>
            </w:r>
            <w:r>
              <w:rPr>
                <w:rFonts w:ascii="宋体" w:hAnsi="宋体" w:cs="Calibri"/>
                <w:color w:val="000000"/>
                <w:szCs w:val="21"/>
              </w:rPr>
              <w:t>5</w:t>
            </w:r>
            <w:r>
              <w:rPr>
                <w:rFonts w:ascii="宋体" w:hAnsi="宋体" w:cs="Calibri" w:hint="eastAsia"/>
                <w:color w:val="000000"/>
                <w:szCs w:val="21"/>
              </w:rPr>
              <w:t>号</w:t>
            </w:r>
          </w:p>
          <w:p w14:paraId="66A50235"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95177</w:t>
            </w:r>
          </w:p>
          <w:p w14:paraId="63529A25"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hyperlink r:id="rId38" w:history="1">
              <w:r w:rsidR="005E308D">
                <w:rPr>
                  <w:color w:val="000000"/>
                </w:rPr>
                <w:t>www.snjijin</w:t>
              </w:r>
            </w:hyperlink>
            <w:r>
              <w:rPr>
                <w:rFonts w:ascii="宋体" w:hAnsi="宋体" w:cs="Calibri" w:hint="eastAsia"/>
                <w:color w:val="000000"/>
                <w:szCs w:val="21"/>
              </w:rPr>
              <w:t>.com</w:t>
            </w:r>
          </w:p>
        </w:tc>
      </w:tr>
      <w:tr w:rsidR="005E308D" w14:paraId="4C3DFE81" w14:textId="77777777">
        <w:trPr>
          <w:trHeight w:val="20"/>
        </w:trPr>
        <w:tc>
          <w:tcPr>
            <w:tcW w:w="709" w:type="dxa"/>
          </w:tcPr>
          <w:p w14:paraId="0E13FFFF"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27</w:t>
            </w:r>
          </w:p>
        </w:tc>
        <w:tc>
          <w:tcPr>
            <w:tcW w:w="2693" w:type="dxa"/>
          </w:tcPr>
          <w:p w14:paraId="30509E3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中证金牛（北京）投资咨询有限公司</w:t>
            </w:r>
          </w:p>
        </w:tc>
        <w:tc>
          <w:tcPr>
            <w:tcW w:w="5103" w:type="dxa"/>
          </w:tcPr>
          <w:p w14:paraId="1FD1C5B9"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w:t>
            </w:r>
            <w:r>
              <w:rPr>
                <w:rFonts w:hint="eastAsia"/>
              </w:rPr>
              <w:t xml:space="preserve"> </w:t>
            </w:r>
            <w:r>
              <w:rPr>
                <w:rFonts w:ascii="宋体" w:hAnsi="宋体" w:cs="Calibri" w:hint="eastAsia"/>
                <w:color w:val="000000"/>
                <w:szCs w:val="21"/>
              </w:rPr>
              <w:t>北京市丰台区丽泽金融商务区铭丰大厦4层401</w:t>
            </w:r>
          </w:p>
          <w:p w14:paraId="4D9B10B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客户服务电话：4008-909-998</w:t>
            </w:r>
          </w:p>
          <w:p w14:paraId="50DD1366"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网址：www.jnlc.com</w:t>
            </w:r>
          </w:p>
        </w:tc>
      </w:tr>
      <w:tr w:rsidR="005E308D" w14:paraId="79A84166" w14:textId="77777777">
        <w:trPr>
          <w:trHeight w:val="20"/>
        </w:trPr>
        <w:tc>
          <w:tcPr>
            <w:tcW w:w="709" w:type="dxa"/>
          </w:tcPr>
          <w:p w14:paraId="01597B86"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28</w:t>
            </w:r>
          </w:p>
        </w:tc>
        <w:tc>
          <w:tcPr>
            <w:tcW w:w="2693" w:type="dxa"/>
          </w:tcPr>
          <w:p w14:paraId="60E4834B"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江苏汇林保大基金销售有限公司</w:t>
            </w:r>
          </w:p>
        </w:tc>
        <w:tc>
          <w:tcPr>
            <w:tcW w:w="5103" w:type="dxa"/>
          </w:tcPr>
          <w:p w14:paraId="398DB641"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w:t>
            </w:r>
            <w:r>
              <w:rPr>
                <w:rFonts w:hint="eastAsia"/>
              </w:rPr>
              <w:t xml:space="preserve"> </w:t>
            </w:r>
            <w:r>
              <w:rPr>
                <w:rFonts w:ascii="宋体" w:hAnsi="宋体" w:cs="Calibri" w:hint="eastAsia"/>
                <w:color w:val="000000"/>
                <w:szCs w:val="21"/>
              </w:rPr>
              <w:t>南京市鼓楼区中山北路2号绿地紫峰大厦2005室</w:t>
            </w:r>
          </w:p>
          <w:p w14:paraId="0C95B109"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025-66046166</w:t>
            </w:r>
          </w:p>
          <w:p w14:paraId="65B55C71"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网址：www.huilinbd.com</w:t>
            </w:r>
          </w:p>
        </w:tc>
      </w:tr>
      <w:tr w:rsidR="005E308D" w14:paraId="33D7A3AD" w14:textId="77777777">
        <w:trPr>
          <w:trHeight w:val="20"/>
        </w:trPr>
        <w:tc>
          <w:tcPr>
            <w:tcW w:w="709" w:type="dxa"/>
          </w:tcPr>
          <w:p w14:paraId="46E1EAE7"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29</w:t>
            </w:r>
          </w:p>
        </w:tc>
        <w:tc>
          <w:tcPr>
            <w:tcW w:w="2693" w:type="dxa"/>
          </w:tcPr>
          <w:p w14:paraId="63FD7BB4"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玄元保险代理有限公司</w:t>
            </w:r>
          </w:p>
        </w:tc>
        <w:tc>
          <w:tcPr>
            <w:tcW w:w="5103" w:type="dxa"/>
          </w:tcPr>
          <w:p w14:paraId="0E7F95C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 xml:space="preserve">: </w:t>
            </w:r>
            <w:r>
              <w:rPr>
                <w:rFonts w:ascii="宋体" w:hAnsi="宋体" w:cs="Calibri" w:hint="eastAsia"/>
                <w:color w:val="000000"/>
                <w:szCs w:val="21"/>
              </w:rPr>
              <w:t xml:space="preserve">上海市嘉定区南翔镇银翔路799号506室-2  </w:t>
            </w:r>
          </w:p>
          <w:p w14:paraId="4FA2215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4000808208</w:t>
            </w:r>
          </w:p>
          <w:p w14:paraId="19E651AA"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www.licaimofang.cn</w:t>
            </w:r>
          </w:p>
        </w:tc>
      </w:tr>
      <w:tr w:rsidR="005E308D" w14:paraId="71E0BBD7" w14:textId="77777777">
        <w:trPr>
          <w:trHeight w:val="20"/>
        </w:trPr>
        <w:tc>
          <w:tcPr>
            <w:tcW w:w="709" w:type="dxa"/>
          </w:tcPr>
          <w:p w14:paraId="72AEF12C"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30</w:t>
            </w:r>
          </w:p>
        </w:tc>
        <w:tc>
          <w:tcPr>
            <w:tcW w:w="2693" w:type="dxa"/>
          </w:tcPr>
          <w:p w14:paraId="3C671035"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宜信普泽（北京）基金销售有限公司</w:t>
            </w:r>
          </w:p>
        </w:tc>
        <w:tc>
          <w:tcPr>
            <w:tcW w:w="5103" w:type="dxa"/>
          </w:tcPr>
          <w:p w14:paraId="58E59865"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 xml:space="preserve">: </w:t>
            </w:r>
            <w:r>
              <w:rPr>
                <w:rFonts w:ascii="宋体" w:hAnsi="宋体" w:cs="Calibri" w:hint="eastAsia"/>
                <w:color w:val="000000"/>
                <w:szCs w:val="21"/>
              </w:rPr>
              <w:t>北京市朝阳区建国路118号招商局大厦24F</w:t>
            </w:r>
          </w:p>
          <w:p w14:paraId="7B143E0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客户服务电话：400</w:t>
            </w:r>
            <w:r>
              <w:rPr>
                <w:rFonts w:ascii="宋体" w:hAnsi="宋体" w:cs="Calibri"/>
                <w:color w:val="000000"/>
                <w:szCs w:val="21"/>
              </w:rPr>
              <w:t>6099200</w:t>
            </w:r>
          </w:p>
          <w:p w14:paraId="529D26A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http://www.yixinfund.com/</w:t>
            </w:r>
          </w:p>
        </w:tc>
      </w:tr>
      <w:tr w:rsidR="005E308D" w14:paraId="2E854E70" w14:textId="77777777">
        <w:trPr>
          <w:trHeight w:val="20"/>
        </w:trPr>
        <w:tc>
          <w:tcPr>
            <w:tcW w:w="709" w:type="dxa"/>
          </w:tcPr>
          <w:p w14:paraId="55932BE1"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31</w:t>
            </w:r>
          </w:p>
        </w:tc>
        <w:tc>
          <w:tcPr>
            <w:tcW w:w="2693" w:type="dxa"/>
          </w:tcPr>
          <w:p w14:paraId="0A072B7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和耕传承基金销售有限公司</w:t>
            </w:r>
          </w:p>
        </w:tc>
        <w:tc>
          <w:tcPr>
            <w:tcW w:w="5103" w:type="dxa"/>
          </w:tcPr>
          <w:p w14:paraId="501BF83B"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注册（办公）地址：河南自贸试验区郑州片区（郑东）东风南路东康宁街北6号楼5楼503</w:t>
            </w:r>
          </w:p>
          <w:p w14:paraId="5C0ED483"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4000-555-671</w:t>
            </w:r>
          </w:p>
          <w:p w14:paraId="3FFB80B4"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https://www.hgccpb.com/</w:t>
            </w:r>
          </w:p>
        </w:tc>
      </w:tr>
      <w:tr w:rsidR="005E308D" w14:paraId="06F1EEFF" w14:textId="77777777">
        <w:trPr>
          <w:trHeight w:val="20"/>
        </w:trPr>
        <w:tc>
          <w:tcPr>
            <w:tcW w:w="709" w:type="dxa"/>
          </w:tcPr>
          <w:p w14:paraId="4B1ED862"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32</w:t>
            </w:r>
          </w:p>
        </w:tc>
        <w:tc>
          <w:tcPr>
            <w:tcW w:w="2693" w:type="dxa"/>
          </w:tcPr>
          <w:p w14:paraId="795FFC31"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北京新浪仓石基金销售有限公司</w:t>
            </w:r>
          </w:p>
        </w:tc>
        <w:tc>
          <w:tcPr>
            <w:tcW w:w="5103" w:type="dxa"/>
          </w:tcPr>
          <w:p w14:paraId="725AE6C6"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注册（办公）地址：北京市海淀区东北旺西路中关村软件园二期（西扩）N-1、N-2地块新浪总部科研楼5层518室</w:t>
            </w:r>
          </w:p>
          <w:p w14:paraId="24542741"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客户服务电话：010-62675369</w:t>
            </w:r>
          </w:p>
          <w:p w14:paraId="4B729CB0"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lastRenderedPageBreak/>
              <w:t>网址：www.xincai.com</w:t>
            </w:r>
          </w:p>
        </w:tc>
      </w:tr>
      <w:tr w:rsidR="005E308D" w14:paraId="7B7F7BAD" w14:textId="77777777">
        <w:trPr>
          <w:trHeight w:val="20"/>
        </w:trPr>
        <w:tc>
          <w:tcPr>
            <w:tcW w:w="709" w:type="dxa"/>
          </w:tcPr>
          <w:p w14:paraId="0A6A6510"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lastRenderedPageBreak/>
              <w:t>33</w:t>
            </w:r>
          </w:p>
        </w:tc>
        <w:tc>
          <w:tcPr>
            <w:tcW w:w="2693" w:type="dxa"/>
          </w:tcPr>
          <w:p w14:paraId="2EB3C1A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财咨道信息技术有限公司</w:t>
            </w:r>
          </w:p>
        </w:tc>
        <w:tc>
          <w:tcPr>
            <w:tcW w:w="5103" w:type="dxa"/>
          </w:tcPr>
          <w:p w14:paraId="4119B96D" w14:textId="77777777" w:rsidR="005E308D" w:rsidRDefault="00945B44" w:rsidP="00686A68">
            <w:pPr>
              <w:widowControl/>
              <w:jc w:val="left"/>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:辽宁省沈阳市浑南区白塔二南街18-2号B座601</w:t>
            </w:r>
          </w:p>
          <w:p w14:paraId="12EB718D" w14:textId="77777777" w:rsidR="005E308D" w:rsidRDefault="00945B44" w:rsidP="00686A68">
            <w:pPr>
              <w:widowControl/>
              <w:jc w:val="left"/>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400-003-5811</w:t>
            </w:r>
          </w:p>
          <w:p w14:paraId="6D6FF7BA"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www.caizidao.com.cn/</w:t>
            </w:r>
          </w:p>
        </w:tc>
      </w:tr>
      <w:tr w:rsidR="005E308D" w14:paraId="19E83CB9" w14:textId="77777777">
        <w:trPr>
          <w:trHeight w:val="20"/>
        </w:trPr>
        <w:tc>
          <w:tcPr>
            <w:tcW w:w="709" w:type="dxa"/>
          </w:tcPr>
          <w:p w14:paraId="64B8854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34</w:t>
            </w:r>
          </w:p>
        </w:tc>
        <w:tc>
          <w:tcPr>
            <w:tcW w:w="2693" w:type="dxa"/>
          </w:tcPr>
          <w:p w14:paraId="15DD97CA"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北京度小满基金销售有限公司</w:t>
            </w:r>
          </w:p>
        </w:tc>
        <w:tc>
          <w:tcPr>
            <w:tcW w:w="5103" w:type="dxa"/>
          </w:tcPr>
          <w:p w14:paraId="7114CD30"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w:t>
            </w:r>
            <w:r>
              <w:rPr>
                <w:rFonts w:ascii="宋体" w:hAnsi="宋体" w:cs="Calibri" w:hint="eastAsia"/>
                <w:color w:val="000000"/>
                <w:szCs w:val="21"/>
              </w:rPr>
              <w:t>北京市海淀区西北旺东路10号院西区4号楼1层103室</w:t>
            </w:r>
          </w:p>
          <w:p w14:paraId="46109C1B" w14:textId="77777777" w:rsidR="005E308D" w:rsidRDefault="00945B44" w:rsidP="00686A68">
            <w:pPr>
              <w:widowControl/>
              <w:jc w:val="left"/>
              <w:rPr>
                <w:rFonts w:ascii="宋体" w:hAnsi="宋体" w:cs="Calibri" w:hint="eastAsia"/>
                <w:color w:val="000000"/>
                <w:szCs w:val="21"/>
              </w:rPr>
            </w:pPr>
            <w:r>
              <w:rPr>
                <w:rFonts w:ascii="宋体" w:hAnsi="宋体" w:cs="Calibri" w:hint="eastAsia"/>
                <w:color w:val="000000"/>
                <w:szCs w:val="21"/>
              </w:rPr>
              <w:t>客服电话：9</w:t>
            </w:r>
            <w:r>
              <w:rPr>
                <w:rFonts w:ascii="宋体" w:hAnsi="宋体" w:cs="Calibri"/>
                <w:color w:val="000000"/>
                <w:szCs w:val="21"/>
              </w:rPr>
              <w:t>5055</w:t>
            </w:r>
          </w:p>
          <w:p w14:paraId="0641806B"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网站：www.duxiaoman.com</w:t>
            </w:r>
          </w:p>
        </w:tc>
      </w:tr>
      <w:tr w:rsidR="005E308D" w14:paraId="18C69E1E" w14:textId="77777777">
        <w:trPr>
          <w:trHeight w:val="20"/>
        </w:trPr>
        <w:tc>
          <w:tcPr>
            <w:tcW w:w="709" w:type="dxa"/>
          </w:tcPr>
          <w:p w14:paraId="7D6E535B"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35</w:t>
            </w:r>
          </w:p>
        </w:tc>
        <w:tc>
          <w:tcPr>
            <w:tcW w:w="2693" w:type="dxa"/>
          </w:tcPr>
          <w:p w14:paraId="0C80B536"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通华财富（上海）基金销售有限公司</w:t>
            </w:r>
          </w:p>
        </w:tc>
        <w:tc>
          <w:tcPr>
            <w:tcW w:w="5103" w:type="dxa"/>
          </w:tcPr>
          <w:p w14:paraId="40B48281"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w:t>
            </w:r>
            <w:r>
              <w:rPr>
                <w:rFonts w:ascii="宋体" w:hAnsi="宋体" w:cs="Calibri" w:hint="eastAsia"/>
                <w:color w:val="000000"/>
                <w:szCs w:val="21"/>
              </w:rPr>
              <w:t>上海市浦东新区金沪路55号通华科技大厦10层</w:t>
            </w:r>
          </w:p>
          <w:p w14:paraId="67FF56F1"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400-101-9301</w:t>
            </w:r>
          </w:p>
          <w:p w14:paraId="49B751B6"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www.tonghuafund.com</w:t>
            </w:r>
          </w:p>
        </w:tc>
      </w:tr>
      <w:tr w:rsidR="005E308D" w14:paraId="078B581A" w14:textId="77777777">
        <w:trPr>
          <w:trHeight w:val="20"/>
        </w:trPr>
        <w:tc>
          <w:tcPr>
            <w:tcW w:w="709" w:type="dxa"/>
          </w:tcPr>
          <w:p w14:paraId="16ACA710"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36</w:t>
            </w:r>
          </w:p>
        </w:tc>
        <w:tc>
          <w:tcPr>
            <w:tcW w:w="2693" w:type="dxa"/>
          </w:tcPr>
          <w:p w14:paraId="7891D332" w14:textId="77777777" w:rsidR="005E308D" w:rsidRDefault="00945B44" w:rsidP="00686A68">
            <w:pPr>
              <w:jc w:val="left"/>
              <w:rPr>
                <w:rFonts w:ascii="宋体" w:hAnsi="宋体" w:cs="Calibri" w:hint="eastAsia"/>
                <w:color w:val="000000"/>
                <w:szCs w:val="21"/>
              </w:rPr>
            </w:pPr>
            <w:r>
              <w:rPr>
                <w:rFonts w:ascii="宋体" w:hAnsi="宋体" w:cs="Calibri"/>
                <w:color w:val="000000"/>
                <w:szCs w:val="21"/>
              </w:rPr>
              <w:t xml:space="preserve">泛华普益基金销售有限公司 </w:t>
            </w:r>
          </w:p>
          <w:p w14:paraId="0D6022D2" w14:textId="77777777" w:rsidR="005E308D" w:rsidRDefault="005E308D">
            <w:pPr>
              <w:snapToGrid w:val="0"/>
              <w:rPr>
                <w:rFonts w:ascii="宋体" w:hAnsi="宋体" w:cs="Calibri" w:hint="eastAsia"/>
                <w:color w:val="000000"/>
                <w:szCs w:val="21"/>
              </w:rPr>
            </w:pPr>
          </w:p>
        </w:tc>
        <w:tc>
          <w:tcPr>
            <w:tcW w:w="5103" w:type="dxa"/>
          </w:tcPr>
          <w:p w14:paraId="3C249D4B" w14:textId="77777777" w:rsidR="005E308D" w:rsidRDefault="00945B44" w:rsidP="00686A68">
            <w:pPr>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地址：成都市成华区建设路9号高地中心1101 室</w:t>
            </w:r>
          </w:p>
          <w:p w14:paraId="63B31944" w14:textId="77777777" w:rsidR="005E308D" w:rsidRDefault="00945B44" w:rsidP="00686A68">
            <w:pPr>
              <w:rPr>
                <w:rFonts w:ascii="宋体" w:hAnsi="宋体" w:cs="Calibri" w:hint="eastAsia"/>
                <w:color w:val="000000"/>
                <w:szCs w:val="21"/>
              </w:rPr>
            </w:pPr>
            <w:r>
              <w:rPr>
                <w:rFonts w:ascii="宋体" w:hAnsi="宋体" w:cs="Calibri"/>
                <w:color w:val="000000"/>
                <w:szCs w:val="21"/>
              </w:rPr>
              <w:t xml:space="preserve">客户服务电话：400-080-3388 </w:t>
            </w:r>
          </w:p>
          <w:p w14:paraId="68DD296E" w14:textId="77777777" w:rsidR="005E308D" w:rsidRDefault="00945B44">
            <w:pPr>
              <w:snapToGrid w:val="0"/>
              <w:rPr>
                <w:rFonts w:ascii="宋体" w:hAnsi="宋体" w:cs="Calibri" w:hint="eastAsia"/>
                <w:color w:val="000000"/>
                <w:szCs w:val="21"/>
              </w:rPr>
            </w:pPr>
            <w:r>
              <w:rPr>
                <w:rFonts w:ascii="宋体" w:hAnsi="宋体" w:cs="Calibri"/>
                <w:color w:val="000000"/>
                <w:szCs w:val="21"/>
              </w:rPr>
              <w:t>网址：</w:t>
            </w:r>
            <w:hyperlink r:id="rId39" w:history="1">
              <w:r w:rsidR="005E308D">
                <w:rPr>
                  <w:rFonts w:ascii="宋体" w:hAnsi="宋体" w:cs="Calibri"/>
                  <w:color w:val="000000"/>
                  <w:szCs w:val="21"/>
                </w:rPr>
                <w:t>www.puyifund.com</w:t>
              </w:r>
            </w:hyperlink>
          </w:p>
        </w:tc>
      </w:tr>
      <w:tr w:rsidR="005E308D" w14:paraId="4FF26028" w14:textId="77777777">
        <w:trPr>
          <w:trHeight w:val="20"/>
        </w:trPr>
        <w:tc>
          <w:tcPr>
            <w:tcW w:w="709" w:type="dxa"/>
          </w:tcPr>
          <w:p w14:paraId="07BF899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37</w:t>
            </w:r>
          </w:p>
        </w:tc>
        <w:tc>
          <w:tcPr>
            <w:tcW w:w="2693" w:type="dxa"/>
          </w:tcPr>
          <w:p w14:paraId="5A0DCC14" w14:textId="77777777" w:rsidR="005E308D" w:rsidRDefault="00945B44">
            <w:pPr>
              <w:pStyle w:val="a6"/>
            </w:pPr>
            <w:r>
              <w:rPr>
                <w:rFonts w:hint="eastAsia"/>
              </w:rPr>
              <w:t>腾安基金销售（深圳）有限公司</w:t>
            </w:r>
          </w:p>
          <w:p w14:paraId="5E5B08E2" w14:textId="77777777" w:rsidR="005E308D" w:rsidRDefault="005E308D">
            <w:pPr>
              <w:snapToGrid w:val="0"/>
              <w:rPr>
                <w:rFonts w:ascii="宋体" w:hAnsi="宋体" w:cs="Calibri" w:hint="eastAsia"/>
                <w:color w:val="000000"/>
                <w:szCs w:val="21"/>
              </w:rPr>
            </w:pPr>
          </w:p>
        </w:tc>
        <w:tc>
          <w:tcPr>
            <w:tcW w:w="5103" w:type="dxa"/>
          </w:tcPr>
          <w:p w14:paraId="6570BC56" w14:textId="77777777" w:rsidR="005E308D" w:rsidRDefault="00945B44">
            <w:pPr>
              <w:pStyle w:val="a6"/>
            </w:pPr>
            <w:r>
              <w:t>注册</w:t>
            </w:r>
            <w:r>
              <w:rPr>
                <w:rFonts w:ascii="宋体" w:hAnsi="宋体" w:cs="Calibri" w:hint="eastAsia"/>
                <w:color w:val="000000"/>
                <w:szCs w:val="21"/>
              </w:rPr>
              <w:t>（办公）</w:t>
            </w:r>
            <w:r>
              <w:t>地址：</w:t>
            </w:r>
            <w:r>
              <w:rPr>
                <w:rFonts w:hint="eastAsia"/>
              </w:rPr>
              <w:t>深圳市南山区海天二路</w:t>
            </w:r>
            <w:r>
              <w:rPr>
                <w:rFonts w:hint="eastAsia"/>
              </w:rPr>
              <w:t>33</w:t>
            </w:r>
            <w:r>
              <w:rPr>
                <w:rFonts w:hint="eastAsia"/>
              </w:rPr>
              <w:t>号腾讯滨海大厦</w:t>
            </w:r>
            <w:r>
              <w:rPr>
                <w:rFonts w:hint="eastAsia"/>
              </w:rPr>
              <w:t>15</w:t>
            </w:r>
            <w:r>
              <w:rPr>
                <w:rFonts w:hint="eastAsia"/>
              </w:rPr>
              <w:t>楼</w:t>
            </w:r>
          </w:p>
          <w:p w14:paraId="30F62136" w14:textId="77777777" w:rsidR="005E308D" w:rsidRDefault="00945B44">
            <w:pPr>
              <w:pStyle w:val="a6"/>
            </w:pPr>
            <w:r>
              <w:t>客服电话：</w:t>
            </w:r>
            <w:r>
              <w:t>4000-890-555</w:t>
            </w:r>
          </w:p>
          <w:p w14:paraId="6D64D2A8" w14:textId="77777777" w:rsidR="005E308D" w:rsidRDefault="00945B44">
            <w:pPr>
              <w:snapToGrid w:val="0"/>
              <w:rPr>
                <w:rFonts w:ascii="宋体" w:hAnsi="宋体" w:cs="Calibri" w:hint="eastAsia"/>
                <w:color w:val="000000"/>
                <w:szCs w:val="21"/>
              </w:rPr>
            </w:pPr>
            <w:r>
              <w:t>公司网站：</w:t>
            </w:r>
            <w:hyperlink r:id="rId40" w:history="1">
              <w:r w:rsidR="005E308D">
                <w:rPr>
                  <w:rStyle w:val="afc"/>
                </w:rPr>
                <w:t>www.txfund.com</w:t>
              </w:r>
            </w:hyperlink>
          </w:p>
        </w:tc>
      </w:tr>
      <w:tr w:rsidR="005E308D" w14:paraId="21D82D2B" w14:textId="77777777">
        <w:trPr>
          <w:trHeight w:val="20"/>
        </w:trPr>
        <w:tc>
          <w:tcPr>
            <w:tcW w:w="709" w:type="dxa"/>
          </w:tcPr>
          <w:p w14:paraId="205FB261"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38</w:t>
            </w:r>
          </w:p>
        </w:tc>
        <w:tc>
          <w:tcPr>
            <w:tcW w:w="2693" w:type="dxa"/>
          </w:tcPr>
          <w:p w14:paraId="124AF088" w14:textId="77777777" w:rsidR="005E308D" w:rsidRDefault="00945B44" w:rsidP="00686A68">
            <w:pPr>
              <w:jc w:val="left"/>
              <w:rPr>
                <w:rFonts w:ascii="宋体" w:hAnsi="宋体" w:cs="Calibri" w:hint="eastAsia"/>
                <w:color w:val="000000"/>
                <w:szCs w:val="21"/>
              </w:rPr>
            </w:pPr>
            <w:r>
              <w:rPr>
                <w:rFonts w:ascii="宋体" w:hAnsi="宋体" w:cs="Calibri" w:hint="eastAsia"/>
                <w:color w:val="000000"/>
                <w:szCs w:val="21"/>
              </w:rPr>
              <w:t>众惠基金销售有限公司</w:t>
            </w:r>
          </w:p>
          <w:p w14:paraId="5FFA5B36" w14:textId="77777777" w:rsidR="005E308D" w:rsidRDefault="005E308D">
            <w:pPr>
              <w:snapToGrid w:val="0"/>
              <w:rPr>
                <w:rFonts w:ascii="宋体" w:hAnsi="宋体" w:cs="Calibri" w:hint="eastAsia"/>
                <w:color w:val="000000"/>
                <w:szCs w:val="21"/>
              </w:rPr>
            </w:pPr>
          </w:p>
        </w:tc>
        <w:tc>
          <w:tcPr>
            <w:tcW w:w="5103" w:type="dxa"/>
          </w:tcPr>
          <w:p w14:paraId="2289FD3D" w14:textId="77777777" w:rsidR="005E308D" w:rsidRDefault="00945B44" w:rsidP="00686A68">
            <w:pPr>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w:t>
            </w:r>
            <w:r>
              <w:rPr>
                <w:rFonts w:ascii="宋体" w:hAnsi="宋体" w:cs="Calibri" w:hint="eastAsia"/>
                <w:color w:val="000000"/>
                <w:szCs w:val="21"/>
              </w:rPr>
              <w:t>贵州省贵阳市观山湖区长岭北路贵阳国际金融中心二期商务区第C4栋30层</w:t>
            </w:r>
          </w:p>
          <w:p w14:paraId="22C4BFBD"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0851-82209888</w:t>
            </w:r>
          </w:p>
          <w:p w14:paraId="70FC8070"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公司网站：www.hyzhfund.com</w:t>
            </w:r>
          </w:p>
        </w:tc>
      </w:tr>
      <w:tr w:rsidR="005E308D" w14:paraId="539956B7" w14:textId="77777777">
        <w:trPr>
          <w:trHeight w:val="20"/>
        </w:trPr>
        <w:tc>
          <w:tcPr>
            <w:tcW w:w="709" w:type="dxa"/>
          </w:tcPr>
          <w:p w14:paraId="7D49946C"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39</w:t>
            </w:r>
          </w:p>
        </w:tc>
        <w:tc>
          <w:tcPr>
            <w:tcW w:w="2693" w:type="dxa"/>
          </w:tcPr>
          <w:p w14:paraId="0ACFF038" w14:textId="77777777" w:rsidR="005E308D" w:rsidRDefault="00945B44">
            <w:pPr>
              <w:pStyle w:val="a6"/>
            </w:pPr>
            <w:r>
              <w:t>北京创金启富基金销售有限公司</w:t>
            </w:r>
          </w:p>
          <w:p w14:paraId="663F46EB" w14:textId="77777777" w:rsidR="005E308D" w:rsidRDefault="005E308D">
            <w:pPr>
              <w:snapToGrid w:val="0"/>
              <w:rPr>
                <w:rFonts w:ascii="宋体" w:hAnsi="宋体" w:cs="Calibri" w:hint="eastAsia"/>
                <w:color w:val="000000"/>
                <w:szCs w:val="21"/>
              </w:rPr>
            </w:pPr>
          </w:p>
        </w:tc>
        <w:tc>
          <w:tcPr>
            <w:tcW w:w="5103" w:type="dxa"/>
          </w:tcPr>
          <w:p w14:paraId="24909684" w14:textId="77777777" w:rsidR="005E308D" w:rsidRDefault="00945B44" w:rsidP="00686A68">
            <w:pPr>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w:t>
            </w:r>
            <w:r>
              <w:rPr>
                <w:rFonts w:ascii="宋体" w:hAnsi="宋体" w:cs="Calibri" w:hint="eastAsia"/>
                <w:color w:val="000000"/>
                <w:szCs w:val="21"/>
              </w:rPr>
              <w:t>北京市丰台区金泽路161号1号楼3层309</w:t>
            </w:r>
          </w:p>
          <w:p w14:paraId="59EB0411" w14:textId="77777777" w:rsidR="005E308D" w:rsidRDefault="00945B44" w:rsidP="00686A68">
            <w:pPr>
              <w:rPr>
                <w:rFonts w:ascii="宋体" w:hAnsi="宋体" w:cs="Calibri" w:hint="eastAsia"/>
                <w:color w:val="000000"/>
                <w:szCs w:val="21"/>
              </w:rPr>
            </w:pPr>
            <w:r>
              <w:rPr>
                <w:rFonts w:ascii="宋体" w:hAnsi="宋体" w:cs="Calibri"/>
                <w:color w:val="000000"/>
                <w:szCs w:val="21"/>
              </w:rPr>
              <w:t xml:space="preserve">客服电话：010-66154828 </w:t>
            </w:r>
          </w:p>
          <w:p w14:paraId="2807F045" w14:textId="77777777" w:rsidR="005E308D" w:rsidRDefault="00945B44">
            <w:pPr>
              <w:snapToGrid w:val="0"/>
              <w:rPr>
                <w:rFonts w:ascii="宋体" w:hAnsi="宋体" w:cs="Calibri" w:hint="eastAsia"/>
                <w:color w:val="000000"/>
                <w:szCs w:val="21"/>
              </w:rPr>
            </w:pPr>
            <w:r>
              <w:rPr>
                <w:rFonts w:ascii="宋体" w:hAnsi="宋体" w:cs="Calibri"/>
                <w:color w:val="000000"/>
                <w:szCs w:val="21"/>
              </w:rPr>
              <w:t>公司网站：https://www.5irich.com/</w:t>
            </w:r>
          </w:p>
        </w:tc>
      </w:tr>
      <w:tr w:rsidR="005E308D" w14:paraId="4618DAE5" w14:textId="77777777">
        <w:trPr>
          <w:trHeight w:val="20"/>
        </w:trPr>
        <w:tc>
          <w:tcPr>
            <w:tcW w:w="709" w:type="dxa"/>
          </w:tcPr>
          <w:p w14:paraId="3CA0878B"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40</w:t>
            </w:r>
          </w:p>
        </w:tc>
        <w:tc>
          <w:tcPr>
            <w:tcW w:w="2693" w:type="dxa"/>
          </w:tcPr>
          <w:p w14:paraId="757CA9E6" w14:textId="77777777" w:rsidR="005E308D" w:rsidRDefault="00945B44">
            <w:pPr>
              <w:pStyle w:val="a6"/>
            </w:pPr>
            <w:r>
              <w:rPr>
                <w:rFonts w:hint="eastAsia"/>
              </w:rPr>
              <w:t>和讯信息科技有限公司</w:t>
            </w:r>
          </w:p>
          <w:p w14:paraId="4A8EC48E" w14:textId="77777777" w:rsidR="005E308D" w:rsidRDefault="005E308D">
            <w:pPr>
              <w:snapToGrid w:val="0"/>
              <w:rPr>
                <w:rFonts w:ascii="宋体" w:hAnsi="宋体" w:cs="Calibri" w:hint="eastAsia"/>
                <w:color w:val="000000"/>
                <w:szCs w:val="21"/>
              </w:rPr>
            </w:pPr>
          </w:p>
        </w:tc>
        <w:tc>
          <w:tcPr>
            <w:tcW w:w="5103" w:type="dxa"/>
          </w:tcPr>
          <w:p w14:paraId="621759EB" w14:textId="77777777" w:rsidR="005E308D" w:rsidRDefault="00945B44" w:rsidP="00686A68">
            <w:pPr>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w:t>
            </w:r>
            <w:r>
              <w:rPr>
                <w:rFonts w:ascii="宋体" w:hAnsi="宋体" w:cs="Calibri" w:hint="eastAsia"/>
                <w:color w:val="000000"/>
                <w:szCs w:val="21"/>
              </w:rPr>
              <w:t>北京市朝外大街22号泛利大厦10层</w:t>
            </w:r>
          </w:p>
          <w:p w14:paraId="34E18083"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客服电话：400-920-0022</w:t>
            </w:r>
          </w:p>
          <w:p w14:paraId="4A0BE9E5"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t>
            </w:r>
            <w:hyperlink r:id="rId41" w:history="1">
              <w:r w:rsidR="005E308D">
                <w:rPr>
                  <w:rFonts w:ascii="宋体" w:hAnsi="宋体" w:cs="Calibri" w:hint="eastAsia"/>
                  <w:color w:val="000000"/>
                  <w:szCs w:val="21"/>
                </w:rPr>
                <w:t>www.licaike.com</w:t>
              </w:r>
            </w:hyperlink>
          </w:p>
        </w:tc>
      </w:tr>
      <w:tr w:rsidR="005E308D" w14:paraId="582EAF6C" w14:textId="77777777">
        <w:trPr>
          <w:trHeight w:val="20"/>
        </w:trPr>
        <w:tc>
          <w:tcPr>
            <w:tcW w:w="709" w:type="dxa"/>
          </w:tcPr>
          <w:p w14:paraId="429261D3"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41</w:t>
            </w:r>
          </w:p>
        </w:tc>
        <w:tc>
          <w:tcPr>
            <w:tcW w:w="2693" w:type="dxa"/>
          </w:tcPr>
          <w:p w14:paraId="04BFC54E" w14:textId="77777777" w:rsidR="005E308D" w:rsidRDefault="00945B44">
            <w:pPr>
              <w:snapToGrid w:val="0"/>
              <w:rPr>
                <w:rFonts w:ascii="宋体" w:hAnsi="宋体" w:cs="Calibri" w:hint="eastAsia"/>
                <w:color w:val="000000"/>
                <w:szCs w:val="21"/>
              </w:rPr>
            </w:pPr>
            <w:r>
              <w:t>上海陆享基金销售有限公司</w:t>
            </w:r>
          </w:p>
        </w:tc>
        <w:tc>
          <w:tcPr>
            <w:tcW w:w="5103" w:type="dxa"/>
          </w:tcPr>
          <w:p w14:paraId="4C00F928" w14:textId="77777777" w:rsidR="005E308D" w:rsidRDefault="00945B44" w:rsidP="00686A68">
            <w:pPr>
              <w:snapToGrid w:val="0"/>
              <w:rPr>
                <w:rFonts w:ascii="宋体" w:hAnsi="宋体" w:cs="Calibri" w:hint="eastAsia"/>
                <w:color w:val="000000"/>
                <w:szCs w:val="21"/>
              </w:rPr>
            </w:pPr>
            <w:r>
              <w:t>注册</w:t>
            </w:r>
            <w:r>
              <w:rPr>
                <w:rFonts w:ascii="宋体" w:hAnsi="宋体" w:cs="Calibri" w:hint="eastAsia"/>
                <w:color w:val="000000"/>
                <w:szCs w:val="21"/>
              </w:rPr>
              <w:t>（办公）地址：</w:t>
            </w:r>
            <w:r>
              <w:rPr>
                <w:rFonts w:hint="eastAsia"/>
              </w:rPr>
              <w:t>上海市浦东新区滨江大道</w:t>
            </w:r>
            <w:r>
              <w:rPr>
                <w:rFonts w:hint="eastAsia"/>
              </w:rPr>
              <w:t>1111</w:t>
            </w:r>
            <w:r>
              <w:rPr>
                <w:rFonts w:hint="eastAsia"/>
              </w:rPr>
              <w:t>弄</w:t>
            </w:r>
            <w:r>
              <w:rPr>
                <w:rFonts w:hint="eastAsia"/>
              </w:rPr>
              <w:t>1</w:t>
            </w:r>
            <w:r>
              <w:rPr>
                <w:rFonts w:hint="eastAsia"/>
              </w:rPr>
              <w:t>号中企国际金融中心</w:t>
            </w:r>
            <w:r>
              <w:rPr>
                <w:rFonts w:hint="eastAsia"/>
              </w:rPr>
              <w:t>A</w:t>
            </w:r>
            <w:r>
              <w:rPr>
                <w:rFonts w:hint="eastAsia"/>
              </w:rPr>
              <w:t>楼</w:t>
            </w:r>
            <w:r>
              <w:rPr>
                <w:rFonts w:hint="eastAsia"/>
              </w:rPr>
              <w:t>10</w:t>
            </w:r>
            <w:r>
              <w:rPr>
                <w:rFonts w:hint="eastAsia"/>
              </w:rPr>
              <w:t>层</w:t>
            </w:r>
            <w:r>
              <w:rPr>
                <w:rFonts w:hint="eastAsia"/>
              </w:rPr>
              <w:t>02</w:t>
            </w:r>
            <w:r>
              <w:rPr>
                <w:rFonts w:hint="eastAsia"/>
              </w:rPr>
              <w:t>、</w:t>
            </w:r>
            <w:r>
              <w:rPr>
                <w:rFonts w:hint="eastAsia"/>
              </w:rPr>
              <w:t>03</w:t>
            </w:r>
            <w:r>
              <w:rPr>
                <w:rFonts w:hint="eastAsia"/>
              </w:rPr>
              <w:t>、</w:t>
            </w:r>
            <w:r>
              <w:rPr>
                <w:rFonts w:hint="eastAsia"/>
              </w:rPr>
              <w:t>04</w:t>
            </w:r>
            <w:r>
              <w:rPr>
                <w:rFonts w:hint="eastAsia"/>
              </w:rPr>
              <w:t>、</w:t>
            </w:r>
            <w:r>
              <w:rPr>
                <w:rFonts w:hint="eastAsia"/>
              </w:rPr>
              <w:t>05</w:t>
            </w:r>
            <w:r>
              <w:rPr>
                <w:rFonts w:hint="eastAsia"/>
              </w:rPr>
              <w:t>、</w:t>
            </w:r>
            <w:r>
              <w:rPr>
                <w:rFonts w:hint="eastAsia"/>
              </w:rPr>
              <w:t>06</w:t>
            </w:r>
            <w:r>
              <w:rPr>
                <w:rFonts w:hint="eastAsia"/>
              </w:rPr>
              <w:t>单元</w:t>
            </w:r>
          </w:p>
          <w:p w14:paraId="5C6359B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客服电话：400-168-1235</w:t>
            </w:r>
          </w:p>
          <w:p w14:paraId="6A7651D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t>
            </w:r>
            <w:r>
              <w:rPr>
                <w:rFonts w:ascii="宋体" w:hAnsi="宋体" w:cs="Calibri"/>
                <w:color w:val="000000"/>
                <w:szCs w:val="21"/>
              </w:rPr>
              <w:t>www.luxxfund.com</w:t>
            </w:r>
          </w:p>
        </w:tc>
      </w:tr>
      <w:tr w:rsidR="005E308D" w14:paraId="5E8B4E81" w14:textId="77777777">
        <w:trPr>
          <w:trHeight w:val="20"/>
        </w:trPr>
        <w:tc>
          <w:tcPr>
            <w:tcW w:w="709" w:type="dxa"/>
          </w:tcPr>
          <w:p w14:paraId="120CA7EA"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42</w:t>
            </w:r>
          </w:p>
        </w:tc>
        <w:tc>
          <w:tcPr>
            <w:tcW w:w="2693" w:type="dxa"/>
          </w:tcPr>
          <w:p w14:paraId="0A928225"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阳光人寿保险股份有限公司</w:t>
            </w:r>
          </w:p>
        </w:tc>
        <w:tc>
          <w:tcPr>
            <w:tcW w:w="5103" w:type="dxa"/>
          </w:tcPr>
          <w:p w14:paraId="31977985"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w:t>
            </w:r>
            <w:r>
              <w:rPr>
                <w:rFonts w:ascii="宋体" w:hAnsi="宋体" w:cs="Calibri"/>
                <w:color w:val="000000"/>
                <w:szCs w:val="21"/>
              </w:rPr>
              <w:t xml:space="preserve">地址: </w:t>
            </w:r>
            <w:r>
              <w:rPr>
                <w:rFonts w:ascii="宋体" w:hAnsi="宋体" w:cs="Calibri" w:hint="eastAsia"/>
                <w:color w:val="000000"/>
                <w:szCs w:val="21"/>
              </w:rPr>
              <w:t>海南省三亚市迎宾路360-1号三亚阳光金融广场16层</w:t>
            </w:r>
          </w:p>
          <w:p w14:paraId="1B1DA003"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办公地址</w:t>
            </w:r>
            <w:r>
              <w:rPr>
                <w:rFonts w:ascii="宋体" w:hAnsi="宋体" w:cs="Calibri"/>
                <w:color w:val="000000"/>
                <w:szCs w:val="21"/>
              </w:rPr>
              <w:t>：</w:t>
            </w:r>
            <w:r>
              <w:rPr>
                <w:rFonts w:ascii="宋体" w:hAnsi="宋体" w:cs="Calibri" w:hint="eastAsia"/>
                <w:color w:val="000000"/>
                <w:szCs w:val="21"/>
              </w:rPr>
              <w:t xml:space="preserve"> 北京市朝阳区朝阳门外大街乙12号院1号昆泰国际大厦12层</w:t>
            </w:r>
          </w:p>
          <w:p w14:paraId="5A904B82"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客户服务电话：95510</w:t>
            </w:r>
          </w:p>
          <w:p w14:paraId="6CADB1CF"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网址：fund.sinosig.com</w:t>
            </w:r>
          </w:p>
        </w:tc>
      </w:tr>
      <w:tr w:rsidR="005E308D" w14:paraId="4613FF2E" w14:textId="77777777">
        <w:trPr>
          <w:trHeight w:val="20"/>
        </w:trPr>
        <w:tc>
          <w:tcPr>
            <w:tcW w:w="709" w:type="dxa"/>
          </w:tcPr>
          <w:p w14:paraId="214F91E4"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43</w:t>
            </w:r>
          </w:p>
        </w:tc>
        <w:tc>
          <w:tcPr>
            <w:tcW w:w="2693" w:type="dxa"/>
          </w:tcPr>
          <w:p w14:paraId="049CA84E"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金元证券股份有限公司</w:t>
            </w:r>
          </w:p>
        </w:tc>
        <w:tc>
          <w:tcPr>
            <w:tcW w:w="5103" w:type="dxa"/>
          </w:tcPr>
          <w:p w14:paraId="08F16EF6"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 :</w:t>
            </w:r>
            <w:r>
              <w:rPr>
                <w:rFonts w:hint="eastAsia"/>
              </w:rPr>
              <w:t xml:space="preserve"> </w:t>
            </w:r>
            <w:r>
              <w:rPr>
                <w:rFonts w:ascii="宋体" w:hAnsi="宋体" w:cs="Calibri" w:hint="eastAsia"/>
                <w:color w:val="000000"/>
                <w:szCs w:val="21"/>
              </w:rPr>
              <w:t>深圳市深南大道4001号时代金融中心大厦17楼</w:t>
            </w:r>
          </w:p>
          <w:p w14:paraId="313A96CE" w14:textId="77777777" w:rsidR="005E308D" w:rsidRDefault="00945B44" w:rsidP="00686A68">
            <w:pPr>
              <w:snapToGrid w:val="0"/>
            </w:pPr>
            <w:r>
              <w:rPr>
                <w:rFonts w:ascii="宋体" w:hAnsi="宋体" w:cs="Calibri" w:hint="eastAsia"/>
                <w:color w:val="000000"/>
                <w:szCs w:val="21"/>
              </w:rPr>
              <w:lastRenderedPageBreak/>
              <w:t>客户服务电话</w:t>
            </w:r>
            <w:r>
              <w:t>：</w:t>
            </w:r>
            <w:r>
              <w:t>95372</w:t>
            </w:r>
          </w:p>
          <w:p w14:paraId="2FB8229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网址：www.jyzq.cn</w:t>
            </w:r>
          </w:p>
        </w:tc>
      </w:tr>
      <w:tr w:rsidR="005E308D" w14:paraId="14030535" w14:textId="77777777">
        <w:trPr>
          <w:trHeight w:val="20"/>
        </w:trPr>
        <w:tc>
          <w:tcPr>
            <w:tcW w:w="709" w:type="dxa"/>
          </w:tcPr>
          <w:p w14:paraId="08315903"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lastRenderedPageBreak/>
              <w:t>44</w:t>
            </w:r>
          </w:p>
        </w:tc>
        <w:tc>
          <w:tcPr>
            <w:tcW w:w="2693" w:type="dxa"/>
          </w:tcPr>
          <w:p w14:paraId="68307EA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深圳市前海排排网基金销售有限责任公司</w:t>
            </w:r>
          </w:p>
        </w:tc>
        <w:tc>
          <w:tcPr>
            <w:tcW w:w="5103" w:type="dxa"/>
          </w:tcPr>
          <w:p w14:paraId="2777160C" w14:textId="77777777" w:rsidR="005E308D" w:rsidRDefault="00945B44" w:rsidP="00686A68">
            <w:pPr>
              <w:snapToGrid w:val="0"/>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（办公）地址：深圳市前海深港合作区前湾一路1号A栋201室（入驻深圳市前海商务秘书有限公司）</w:t>
            </w:r>
          </w:p>
          <w:p w14:paraId="1E95943E" w14:textId="77777777" w:rsidR="005E308D" w:rsidRDefault="00945B44" w:rsidP="00686A68">
            <w:pPr>
              <w:snapToGrid w:val="0"/>
              <w:rPr>
                <w:rFonts w:ascii="宋体" w:hAnsi="宋体" w:cs="Calibri" w:hint="eastAsia"/>
                <w:color w:val="000000"/>
                <w:szCs w:val="21"/>
              </w:rPr>
            </w:pPr>
            <w:r>
              <w:rPr>
                <w:rFonts w:ascii="宋体" w:hAnsi="宋体" w:cs="Calibri"/>
                <w:color w:val="000000"/>
                <w:szCs w:val="21"/>
              </w:rPr>
              <w:t xml:space="preserve">客服电话：400-666-7388 </w:t>
            </w:r>
          </w:p>
          <w:p w14:paraId="6B64C5BE" w14:textId="77777777" w:rsidR="005E308D" w:rsidRDefault="00945B44">
            <w:pPr>
              <w:snapToGrid w:val="0"/>
              <w:rPr>
                <w:rFonts w:ascii="宋体" w:hAnsi="宋体" w:cs="Calibri" w:hint="eastAsia"/>
                <w:color w:val="000000"/>
                <w:szCs w:val="21"/>
              </w:rPr>
            </w:pPr>
            <w:r>
              <w:rPr>
                <w:rFonts w:ascii="宋体" w:hAnsi="宋体" w:cs="Calibri"/>
                <w:color w:val="000000"/>
                <w:szCs w:val="21"/>
              </w:rPr>
              <w:t>公司网站：www.ppwfund.com</w:t>
            </w:r>
          </w:p>
        </w:tc>
      </w:tr>
      <w:tr w:rsidR="005E308D" w14:paraId="6A21DD8F" w14:textId="77777777">
        <w:trPr>
          <w:trHeight w:val="20"/>
        </w:trPr>
        <w:tc>
          <w:tcPr>
            <w:tcW w:w="709" w:type="dxa"/>
          </w:tcPr>
          <w:p w14:paraId="52EB8D68"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45</w:t>
            </w:r>
          </w:p>
        </w:tc>
        <w:tc>
          <w:tcPr>
            <w:tcW w:w="2693" w:type="dxa"/>
          </w:tcPr>
          <w:p w14:paraId="319CAFBD"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嘉实财富管理有限公司</w:t>
            </w:r>
          </w:p>
        </w:tc>
        <w:tc>
          <w:tcPr>
            <w:tcW w:w="5103" w:type="dxa"/>
          </w:tcPr>
          <w:p w14:paraId="630EC125" w14:textId="77777777" w:rsidR="005E308D" w:rsidRDefault="00945B44" w:rsidP="00686A68">
            <w:pPr>
              <w:snapToGrid w:val="0"/>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w:t>
            </w:r>
            <w:r>
              <w:rPr>
                <w:rFonts w:ascii="宋体" w:hAnsi="宋体" w:cs="Calibri" w:hint="eastAsia"/>
                <w:color w:val="000000"/>
                <w:szCs w:val="21"/>
              </w:rPr>
              <w:t>海南省三亚市天涯区凤凰岛1号楼7层710号</w:t>
            </w:r>
          </w:p>
          <w:p w14:paraId="4814A05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客服电话：400-021-8850</w:t>
            </w:r>
          </w:p>
          <w:p w14:paraId="5A5781F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公司网站：www.harvestwm.cn</w:t>
            </w:r>
          </w:p>
        </w:tc>
      </w:tr>
      <w:tr w:rsidR="005E308D" w14:paraId="3D6968A3" w14:textId="77777777">
        <w:trPr>
          <w:trHeight w:val="20"/>
        </w:trPr>
        <w:tc>
          <w:tcPr>
            <w:tcW w:w="709" w:type="dxa"/>
          </w:tcPr>
          <w:p w14:paraId="303DA851"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46</w:t>
            </w:r>
          </w:p>
        </w:tc>
        <w:tc>
          <w:tcPr>
            <w:tcW w:w="2693" w:type="dxa"/>
          </w:tcPr>
          <w:p w14:paraId="486EFE72" w14:textId="77777777" w:rsidR="005E308D" w:rsidRDefault="00945B44">
            <w:pPr>
              <w:snapToGrid w:val="0"/>
              <w:rPr>
                <w:rFonts w:ascii="宋体" w:hAnsi="宋体" w:cs="Calibri" w:hint="eastAsia"/>
                <w:color w:val="000000"/>
                <w:szCs w:val="21"/>
              </w:rPr>
            </w:pPr>
            <w:r>
              <w:t>上海攀赢基金销售有限公司</w:t>
            </w:r>
          </w:p>
        </w:tc>
        <w:tc>
          <w:tcPr>
            <w:tcW w:w="5103" w:type="dxa"/>
          </w:tcPr>
          <w:p w14:paraId="65243F24" w14:textId="77777777" w:rsidR="005E308D" w:rsidRDefault="00945B44" w:rsidP="00686A68">
            <w:pPr>
              <w:snapToGrid w:val="0"/>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w:t>
            </w:r>
            <w:r>
              <w:rPr>
                <w:rFonts w:ascii="宋体" w:hAnsi="宋体" w:cs="Calibri" w:hint="eastAsia"/>
                <w:color w:val="000000"/>
                <w:szCs w:val="21"/>
              </w:rPr>
              <w:t>上海市浦东新区银城路116号大华银行大厦7楼</w:t>
            </w:r>
          </w:p>
          <w:p w14:paraId="3A973F3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客服电话：021-68889082</w:t>
            </w:r>
          </w:p>
          <w:p w14:paraId="5760F37A"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公司网站：www.pytz.cn</w:t>
            </w:r>
          </w:p>
        </w:tc>
      </w:tr>
      <w:tr w:rsidR="005E308D" w14:paraId="414B5C2B" w14:textId="77777777">
        <w:trPr>
          <w:trHeight w:val="20"/>
        </w:trPr>
        <w:tc>
          <w:tcPr>
            <w:tcW w:w="709" w:type="dxa"/>
          </w:tcPr>
          <w:p w14:paraId="0FDFFC7A"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47</w:t>
            </w:r>
          </w:p>
        </w:tc>
        <w:tc>
          <w:tcPr>
            <w:tcW w:w="2693" w:type="dxa"/>
          </w:tcPr>
          <w:p w14:paraId="1EE57DD5"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上海爱建基金销售有限公司</w:t>
            </w:r>
          </w:p>
        </w:tc>
        <w:tc>
          <w:tcPr>
            <w:tcW w:w="5103" w:type="dxa"/>
          </w:tcPr>
          <w:p w14:paraId="65191FF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 : 上海市徐汇区肇嘉浜路746号</w:t>
            </w:r>
          </w:p>
          <w:p w14:paraId="0FECC49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：400-803-2733</w:t>
            </w:r>
          </w:p>
          <w:p w14:paraId="093E979F"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www.ajwm.com.cn</w:t>
            </w:r>
          </w:p>
        </w:tc>
      </w:tr>
      <w:tr w:rsidR="005E308D" w14:paraId="3E926020" w14:textId="77777777">
        <w:trPr>
          <w:trHeight w:val="20"/>
        </w:trPr>
        <w:tc>
          <w:tcPr>
            <w:tcW w:w="709" w:type="dxa"/>
          </w:tcPr>
          <w:p w14:paraId="031BBA50"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48</w:t>
            </w:r>
          </w:p>
        </w:tc>
        <w:tc>
          <w:tcPr>
            <w:tcW w:w="2693" w:type="dxa"/>
          </w:tcPr>
          <w:p w14:paraId="59C736A0" w14:textId="77777777" w:rsidR="005E308D" w:rsidRDefault="00945B44">
            <w:pPr>
              <w:snapToGrid w:val="0"/>
              <w:rPr>
                <w:rFonts w:ascii="宋体" w:hAnsi="宋体" w:cs="Calibri" w:hint="eastAsia"/>
                <w:color w:val="000000"/>
                <w:szCs w:val="21"/>
              </w:rPr>
            </w:pPr>
            <w:r>
              <w:rPr>
                <w:rFonts w:asciiTheme="minorEastAsia" w:hAnsiTheme="minorEastAsia" w:cs="Arial" w:hint="eastAsia"/>
                <w:szCs w:val="21"/>
              </w:rPr>
              <w:t>上海大智慧基金销售有限公司</w:t>
            </w:r>
          </w:p>
        </w:tc>
        <w:tc>
          <w:tcPr>
            <w:tcW w:w="5103" w:type="dxa"/>
          </w:tcPr>
          <w:p w14:paraId="4A876E5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注册（办公）地址：上海市浦东新区杨高南路428弄由由世纪广场1号楼</w:t>
            </w:r>
          </w:p>
          <w:p w14:paraId="48A1FF9D"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021-20219988</w:t>
            </w:r>
          </w:p>
          <w:p w14:paraId="09D8005B"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t>
            </w:r>
            <w:r>
              <w:rPr>
                <w:rFonts w:ascii="宋体" w:hAnsi="宋体" w:cs="Calibri"/>
                <w:color w:val="000000"/>
                <w:szCs w:val="21"/>
              </w:rPr>
              <w:t>https://www.gw.com.cn/</w:t>
            </w:r>
          </w:p>
        </w:tc>
      </w:tr>
      <w:tr w:rsidR="005E308D" w14:paraId="59F9DF65" w14:textId="77777777">
        <w:trPr>
          <w:trHeight w:val="20"/>
        </w:trPr>
        <w:tc>
          <w:tcPr>
            <w:tcW w:w="709" w:type="dxa"/>
          </w:tcPr>
          <w:p w14:paraId="107E86E4"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49</w:t>
            </w:r>
          </w:p>
        </w:tc>
        <w:tc>
          <w:tcPr>
            <w:tcW w:w="2693" w:type="dxa"/>
          </w:tcPr>
          <w:p w14:paraId="61099572" w14:textId="77777777" w:rsidR="005E308D" w:rsidRDefault="00945B44">
            <w:pPr>
              <w:snapToGrid w:val="0"/>
              <w:rPr>
                <w:rFonts w:ascii="宋体" w:hAnsi="宋体" w:cs="Calibri" w:hint="eastAsia"/>
                <w:color w:val="000000"/>
                <w:szCs w:val="21"/>
              </w:rPr>
            </w:pPr>
            <w:r>
              <w:rPr>
                <w:rFonts w:asciiTheme="minorEastAsia" w:hAnsiTheme="minorEastAsia" w:cs="Arial" w:hint="eastAsia"/>
                <w:szCs w:val="21"/>
              </w:rPr>
              <w:t>上海华夏财富投资管理有限公司</w:t>
            </w:r>
          </w:p>
        </w:tc>
        <w:tc>
          <w:tcPr>
            <w:tcW w:w="5103" w:type="dxa"/>
          </w:tcPr>
          <w:p w14:paraId="47B70E3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注册（办公）地址：北京市西城区金融大街33号通泰大厦B座8层</w:t>
            </w:r>
          </w:p>
          <w:p w14:paraId="54A9C2C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400-817-5666</w:t>
            </w:r>
          </w:p>
          <w:p w14:paraId="0FA221DD"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t>
            </w:r>
            <w:r>
              <w:rPr>
                <w:rFonts w:ascii="宋体" w:hAnsi="宋体" w:cs="Calibri"/>
                <w:color w:val="000000"/>
                <w:szCs w:val="21"/>
              </w:rPr>
              <w:t>https://www.amcfortune.com/</w:t>
            </w:r>
          </w:p>
        </w:tc>
      </w:tr>
      <w:tr w:rsidR="005E308D" w14:paraId="78844B93" w14:textId="77777777">
        <w:trPr>
          <w:trHeight w:val="20"/>
        </w:trPr>
        <w:tc>
          <w:tcPr>
            <w:tcW w:w="709" w:type="dxa"/>
          </w:tcPr>
          <w:p w14:paraId="61FC03CD"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50</w:t>
            </w:r>
          </w:p>
        </w:tc>
        <w:tc>
          <w:tcPr>
            <w:tcW w:w="2693" w:type="dxa"/>
          </w:tcPr>
          <w:p w14:paraId="1C2AAEB6" w14:textId="77777777" w:rsidR="005E308D" w:rsidRDefault="00945B44">
            <w:pPr>
              <w:snapToGrid w:val="0"/>
              <w:rPr>
                <w:rFonts w:ascii="宋体" w:hAnsi="宋体" w:cs="Calibri" w:hint="eastAsia"/>
                <w:color w:val="000000"/>
                <w:szCs w:val="21"/>
              </w:rPr>
            </w:pPr>
            <w:r>
              <w:t>上海中正达广基金销售有限公司</w:t>
            </w:r>
          </w:p>
        </w:tc>
        <w:tc>
          <w:tcPr>
            <w:tcW w:w="5103" w:type="dxa"/>
          </w:tcPr>
          <w:p w14:paraId="2C7D2A6D"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注册（办公）地址：上海市徐汇区龙兰路277号东航滨江中心1号楼1203室</w:t>
            </w:r>
          </w:p>
          <w:p w14:paraId="58D154D0"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400-6767-523</w:t>
            </w:r>
          </w:p>
          <w:p w14:paraId="71AF98C2"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t>
            </w:r>
            <w:r>
              <w:rPr>
                <w:rFonts w:ascii="宋体" w:hAnsi="宋体" w:cs="Calibri"/>
                <w:color w:val="000000"/>
                <w:szCs w:val="21"/>
              </w:rPr>
              <w:t>www.zhongzhengfund.com</w:t>
            </w:r>
          </w:p>
        </w:tc>
      </w:tr>
      <w:tr w:rsidR="005E308D" w14:paraId="75D1CF5D" w14:textId="77777777">
        <w:trPr>
          <w:trHeight w:val="20"/>
        </w:trPr>
        <w:tc>
          <w:tcPr>
            <w:tcW w:w="709" w:type="dxa"/>
          </w:tcPr>
          <w:p w14:paraId="06544569"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51</w:t>
            </w:r>
          </w:p>
        </w:tc>
        <w:tc>
          <w:tcPr>
            <w:tcW w:w="2693" w:type="dxa"/>
          </w:tcPr>
          <w:p w14:paraId="69F77C1F" w14:textId="77777777" w:rsidR="005E308D" w:rsidRDefault="00945B44">
            <w:pPr>
              <w:snapToGrid w:val="0"/>
              <w:rPr>
                <w:rFonts w:ascii="宋体" w:hAnsi="宋体" w:cs="Calibri" w:hint="eastAsia"/>
                <w:color w:val="000000"/>
                <w:szCs w:val="21"/>
              </w:rPr>
            </w:pPr>
            <w:r>
              <w:rPr>
                <w:rFonts w:hint="eastAsia"/>
              </w:rPr>
              <w:t>上海中欧财富基金销售有限公司</w:t>
            </w:r>
          </w:p>
        </w:tc>
        <w:tc>
          <w:tcPr>
            <w:tcW w:w="5103" w:type="dxa"/>
          </w:tcPr>
          <w:p w14:paraId="5661AD31"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注册（办公）地址：上海市虹口区公平路18号8栋嘉昱大厦6楼</w:t>
            </w:r>
          </w:p>
          <w:p w14:paraId="7C3E1B45"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客服电话：400-100-2666</w:t>
            </w:r>
          </w:p>
          <w:p w14:paraId="75A92A89"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公司网站：www.zocaifu.com</w:t>
            </w:r>
          </w:p>
        </w:tc>
      </w:tr>
      <w:tr w:rsidR="005E308D" w14:paraId="67D4C55C" w14:textId="77777777">
        <w:trPr>
          <w:trHeight w:val="20"/>
        </w:trPr>
        <w:tc>
          <w:tcPr>
            <w:tcW w:w="709" w:type="dxa"/>
          </w:tcPr>
          <w:p w14:paraId="0D0D1DE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52</w:t>
            </w:r>
          </w:p>
        </w:tc>
        <w:tc>
          <w:tcPr>
            <w:tcW w:w="2693" w:type="dxa"/>
          </w:tcPr>
          <w:p w14:paraId="4B409E73" w14:textId="77777777" w:rsidR="005E308D" w:rsidRDefault="00945B44">
            <w:pPr>
              <w:snapToGrid w:val="0"/>
              <w:rPr>
                <w:rFonts w:ascii="宋体" w:hAnsi="宋体" w:cs="Calibri" w:hint="eastAsia"/>
                <w:color w:val="000000"/>
                <w:szCs w:val="21"/>
              </w:rPr>
            </w:pPr>
            <w:r>
              <w:rPr>
                <w:rFonts w:hint="eastAsia"/>
              </w:rPr>
              <w:t>上海云湾基金销售有限公司</w:t>
            </w:r>
          </w:p>
        </w:tc>
        <w:tc>
          <w:tcPr>
            <w:tcW w:w="5103" w:type="dxa"/>
          </w:tcPr>
          <w:p w14:paraId="090B8DD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注册（办公）地址：中国（上海）自由贸易试验区新金桥路27号、明月路1257号1幢1层103-1、103-2办公区</w:t>
            </w:r>
          </w:p>
          <w:p w14:paraId="1B4CAEA6"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客服电话：021-20538888</w:t>
            </w:r>
          </w:p>
        </w:tc>
      </w:tr>
      <w:tr w:rsidR="005E308D" w14:paraId="78F35D8D" w14:textId="77777777">
        <w:trPr>
          <w:trHeight w:val="20"/>
        </w:trPr>
        <w:tc>
          <w:tcPr>
            <w:tcW w:w="709" w:type="dxa"/>
          </w:tcPr>
          <w:p w14:paraId="68A436F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53</w:t>
            </w:r>
          </w:p>
        </w:tc>
        <w:tc>
          <w:tcPr>
            <w:tcW w:w="2693" w:type="dxa"/>
          </w:tcPr>
          <w:p w14:paraId="7EDD3B5A" w14:textId="77777777" w:rsidR="005E308D" w:rsidRDefault="00945B44">
            <w:pPr>
              <w:snapToGrid w:val="0"/>
              <w:rPr>
                <w:rFonts w:ascii="宋体" w:hAnsi="宋体" w:cs="Calibri" w:hint="eastAsia"/>
                <w:color w:val="000000"/>
                <w:szCs w:val="21"/>
              </w:rPr>
            </w:pPr>
            <w:r>
              <w:rPr>
                <w:rFonts w:hint="eastAsia"/>
              </w:rPr>
              <w:t>深圳腾元基金销售有限公司</w:t>
            </w:r>
          </w:p>
        </w:tc>
        <w:tc>
          <w:tcPr>
            <w:tcW w:w="5103" w:type="dxa"/>
          </w:tcPr>
          <w:p w14:paraId="083AF08C"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注册（办公）地址：广东省深圳市南山区南山街道桂湾社区听海大道5059号前海鸿荣源中心A座24层04B号</w:t>
            </w:r>
          </w:p>
          <w:p w14:paraId="582AE048"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 xml:space="preserve">客服电话：400-990-8601   </w:t>
            </w:r>
          </w:p>
          <w:p w14:paraId="7FEB178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公司网站：https://www.tenyuanfund.com/</w:t>
            </w:r>
          </w:p>
        </w:tc>
      </w:tr>
      <w:tr w:rsidR="005E308D" w14:paraId="0AF59988" w14:textId="77777777">
        <w:trPr>
          <w:trHeight w:val="20"/>
        </w:trPr>
        <w:tc>
          <w:tcPr>
            <w:tcW w:w="709" w:type="dxa"/>
          </w:tcPr>
          <w:p w14:paraId="2B58E8A1"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54</w:t>
            </w:r>
          </w:p>
        </w:tc>
        <w:tc>
          <w:tcPr>
            <w:tcW w:w="2693" w:type="dxa"/>
          </w:tcPr>
          <w:p w14:paraId="0CE12C74" w14:textId="77777777" w:rsidR="005E308D" w:rsidRDefault="00945B44">
            <w:pPr>
              <w:snapToGrid w:val="0"/>
              <w:rPr>
                <w:rFonts w:ascii="宋体" w:hAnsi="宋体" w:cs="Calibri" w:hint="eastAsia"/>
                <w:color w:val="000000"/>
                <w:szCs w:val="21"/>
              </w:rPr>
            </w:pPr>
            <w:r>
              <w:rPr>
                <w:rFonts w:hint="eastAsia"/>
              </w:rPr>
              <w:t>洪泰财富（青岛）基金销售有限责任公司</w:t>
            </w:r>
          </w:p>
        </w:tc>
        <w:tc>
          <w:tcPr>
            <w:tcW w:w="5103" w:type="dxa"/>
          </w:tcPr>
          <w:p w14:paraId="357307F4" w14:textId="77777777" w:rsidR="005E308D" w:rsidRDefault="00945B44">
            <w:pPr>
              <w:rPr>
                <w:rFonts w:asciiTheme="minorEastAsia" w:hAnsiTheme="minorEastAsia" w:cs="Arial" w:hint="eastAsia"/>
                <w:szCs w:val="21"/>
              </w:rPr>
            </w:pPr>
            <w:r>
              <w:rPr>
                <w:rFonts w:asciiTheme="minorEastAsia" w:hAnsiTheme="minorEastAsia" w:cs="Arial" w:hint="eastAsia"/>
                <w:szCs w:val="21"/>
              </w:rPr>
              <w:t>注册（办公）地址：山东省青岛市市南区岳阳路10号十号楼</w:t>
            </w:r>
          </w:p>
          <w:p w14:paraId="1904DCC2" w14:textId="77777777" w:rsidR="005E308D" w:rsidRDefault="00945B44">
            <w:pPr>
              <w:rPr>
                <w:rFonts w:asciiTheme="minorEastAsia" w:hAnsiTheme="minorEastAsia" w:cs="Arial" w:hint="eastAsia"/>
                <w:szCs w:val="21"/>
              </w:rPr>
            </w:pPr>
            <w:r>
              <w:rPr>
                <w:rFonts w:asciiTheme="minorEastAsia" w:hAnsiTheme="minorEastAsia" w:cs="Arial" w:hint="eastAsia"/>
                <w:szCs w:val="21"/>
              </w:rPr>
              <w:t xml:space="preserve">客服电话：400-8189-598  </w:t>
            </w:r>
          </w:p>
          <w:p w14:paraId="6A95AC08" w14:textId="77777777" w:rsidR="005E308D" w:rsidRDefault="00945B44">
            <w:pPr>
              <w:snapToGrid w:val="0"/>
              <w:rPr>
                <w:rFonts w:ascii="宋体" w:hAnsi="宋体" w:cs="Calibri" w:hint="eastAsia"/>
                <w:color w:val="000000"/>
                <w:szCs w:val="21"/>
              </w:rPr>
            </w:pPr>
            <w:r>
              <w:rPr>
                <w:rFonts w:asciiTheme="minorEastAsia" w:hAnsiTheme="minorEastAsia" w:cs="Arial" w:hint="eastAsia"/>
                <w:szCs w:val="21"/>
              </w:rPr>
              <w:t>公司网站：https://www.hongtaiwealth.com/</w:t>
            </w:r>
          </w:p>
        </w:tc>
      </w:tr>
      <w:tr w:rsidR="005E308D" w14:paraId="2E4E955E" w14:textId="77777777">
        <w:trPr>
          <w:trHeight w:val="392"/>
        </w:trPr>
        <w:tc>
          <w:tcPr>
            <w:tcW w:w="709" w:type="dxa"/>
          </w:tcPr>
          <w:p w14:paraId="0B0FBC18"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55</w:t>
            </w:r>
          </w:p>
        </w:tc>
        <w:tc>
          <w:tcPr>
            <w:tcW w:w="2693" w:type="dxa"/>
          </w:tcPr>
          <w:p w14:paraId="75AF9558" w14:textId="77777777" w:rsidR="005E308D" w:rsidRDefault="00945B44">
            <w:pPr>
              <w:jc w:val="left"/>
              <w:rPr>
                <w:rFonts w:ascii="宋体" w:eastAsia="宋体" w:hAnsi="宋体" w:cs="宋体" w:hint="eastAsia"/>
                <w:szCs w:val="21"/>
              </w:rPr>
            </w:pPr>
            <w:r>
              <w:rPr>
                <w:rFonts w:ascii="宋体" w:eastAsia="宋体" w:hAnsi="宋体" w:cs="宋体" w:hint="eastAsia"/>
                <w:szCs w:val="21"/>
              </w:rPr>
              <w:t>宁波银行股份有限公司</w:t>
            </w:r>
          </w:p>
        </w:tc>
        <w:tc>
          <w:tcPr>
            <w:tcW w:w="5103" w:type="dxa"/>
          </w:tcPr>
          <w:p w14:paraId="6C014CBF"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注册地址：浙江省宁波市鄞州区宁东路345号</w:t>
            </w:r>
          </w:p>
          <w:p w14:paraId="08EA3E4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客户服务电话：95574</w:t>
            </w:r>
          </w:p>
          <w:p w14:paraId="1D645CF3"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网址：www.nbcb.com.cn</w:t>
            </w:r>
          </w:p>
        </w:tc>
      </w:tr>
      <w:tr w:rsidR="005E308D" w14:paraId="52870DED" w14:textId="77777777">
        <w:trPr>
          <w:trHeight w:val="392"/>
        </w:trPr>
        <w:tc>
          <w:tcPr>
            <w:tcW w:w="709" w:type="dxa"/>
          </w:tcPr>
          <w:p w14:paraId="17C50EBE"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lastRenderedPageBreak/>
              <w:t>56</w:t>
            </w:r>
          </w:p>
        </w:tc>
        <w:tc>
          <w:tcPr>
            <w:tcW w:w="2693" w:type="dxa"/>
          </w:tcPr>
          <w:p w14:paraId="7DD34F75" w14:textId="6D99929E" w:rsidR="005E308D" w:rsidRDefault="00F500C7">
            <w:pPr>
              <w:jc w:val="left"/>
              <w:rPr>
                <w:rFonts w:ascii="宋体" w:eastAsia="宋体" w:hAnsi="宋体" w:cs="宋体" w:hint="eastAsia"/>
                <w:color w:val="0000FF"/>
                <w:szCs w:val="21"/>
              </w:rPr>
            </w:pPr>
            <w:r>
              <w:rPr>
                <w:rFonts w:ascii="宋体" w:eastAsia="宋体" w:hAnsi="宋体" w:cs="宋体" w:hint="eastAsia"/>
                <w:color w:val="000000" w:themeColor="text1"/>
                <w:szCs w:val="21"/>
              </w:rPr>
              <w:t>国泰海通证券股份有限公司</w:t>
            </w:r>
          </w:p>
        </w:tc>
        <w:tc>
          <w:tcPr>
            <w:tcW w:w="5103" w:type="dxa"/>
          </w:tcPr>
          <w:p w14:paraId="2E9C43CD"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注册地址：上海市浦东新区中国(上海)自由贸易试验区商城路618号</w:t>
            </w:r>
          </w:p>
          <w:p w14:paraId="3BE1D289"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客户服务电话：95521</w:t>
            </w:r>
          </w:p>
          <w:p w14:paraId="61569B0C"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网址：www.gtja.com</w:t>
            </w:r>
          </w:p>
        </w:tc>
      </w:tr>
      <w:tr w:rsidR="005E308D" w14:paraId="12791D33" w14:textId="77777777">
        <w:trPr>
          <w:trHeight w:val="392"/>
        </w:trPr>
        <w:tc>
          <w:tcPr>
            <w:tcW w:w="709" w:type="dxa"/>
          </w:tcPr>
          <w:p w14:paraId="222E0C86"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57</w:t>
            </w:r>
          </w:p>
        </w:tc>
        <w:tc>
          <w:tcPr>
            <w:tcW w:w="2693" w:type="dxa"/>
          </w:tcPr>
          <w:p w14:paraId="5BA338D6" w14:textId="77777777" w:rsidR="005E308D" w:rsidRDefault="00945B44">
            <w:pPr>
              <w:jc w:val="left"/>
              <w:rPr>
                <w:rFonts w:ascii="宋体" w:eastAsia="宋体" w:hAnsi="宋体" w:cs="宋体" w:hint="eastAsia"/>
                <w:szCs w:val="21"/>
              </w:rPr>
            </w:pPr>
            <w:r>
              <w:rPr>
                <w:rFonts w:ascii="宋体" w:eastAsia="宋体" w:hAnsi="宋体" w:cs="宋体" w:hint="eastAsia"/>
                <w:szCs w:val="21"/>
              </w:rPr>
              <w:t>中信建投证券股份有限公司</w:t>
            </w:r>
          </w:p>
        </w:tc>
        <w:tc>
          <w:tcPr>
            <w:tcW w:w="5103" w:type="dxa"/>
          </w:tcPr>
          <w:p w14:paraId="1FC84083"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注册地址：北京市朝阳区安立路66号4号楼</w:t>
            </w:r>
          </w:p>
          <w:p w14:paraId="605FA21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 4008888108</w:t>
            </w:r>
          </w:p>
          <w:p w14:paraId="4FDAA858"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网址：www.csc108.com</w:t>
            </w:r>
          </w:p>
        </w:tc>
      </w:tr>
      <w:tr w:rsidR="005E308D" w14:paraId="20FB0CF1" w14:textId="77777777">
        <w:trPr>
          <w:trHeight w:val="392"/>
        </w:trPr>
        <w:tc>
          <w:tcPr>
            <w:tcW w:w="709" w:type="dxa"/>
          </w:tcPr>
          <w:p w14:paraId="4B61F037"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58</w:t>
            </w:r>
          </w:p>
        </w:tc>
        <w:tc>
          <w:tcPr>
            <w:tcW w:w="2693" w:type="dxa"/>
          </w:tcPr>
          <w:p w14:paraId="07493AC9" w14:textId="77777777" w:rsidR="005E308D" w:rsidRDefault="00945B44">
            <w:pPr>
              <w:jc w:val="left"/>
              <w:rPr>
                <w:rFonts w:ascii="宋体" w:eastAsia="宋体" w:hAnsi="宋体" w:cs="宋体" w:hint="eastAsia"/>
                <w:szCs w:val="21"/>
              </w:rPr>
            </w:pPr>
            <w:r>
              <w:rPr>
                <w:rFonts w:ascii="宋体" w:eastAsia="宋体" w:hAnsi="宋体" w:cs="宋体" w:hint="eastAsia"/>
                <w:szCs w:val="21"/>
              </w:rPr>
              <w:t>粤开证券股份有限公司</w:t>
            </w:r>
          </w:p>
        </w:tc>
        <w:tc>
          <w:tcPr>
            <w:tcW w:w="5103" w:type="dxa"/>
          </w:tcPr>
          <w:p w14:paraId="1F60EB77"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注册地址：广州市黄埔区科学大道60号开发区控股中心19、22、23层</w:t>
            </w:r>
          </w:p>
          <w:p w14:paraId="643601C8"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客户服务电话：95564</w:t>
            </w:r>
          </w:p>
          <w:p w14:paraId="06EF2F6D"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网址：www.ykzq.com</w:t>
            </w:r>
          </w:p>
        </w:tc>
      </w:tr>
      <w:tr w:rsidR="005E308D" w14:paraId="63346AAE" w14:textId="77777777">
        <w:trPr>
          <w:trHeight w:val="392"/>
        </w:trPr>
        <w:tc>
          <w:tcPr>
            <w:tcW w:w="709" w:type="dxa"/>
          </w:tcPr>
          <w:p w14:paraId="5A2C30B2"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59</w:t>
            </w:r>
          </w:p>
        </w:tc>
        <w:tc>
          <w:tcPr>
            <w:tcW w:w="2693" w:type="dxa"/>
          </w:tcPr>
          <w:p w14:paraId="6C5510E0"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五矿证券有限公司</w:t>
            </w:r>
          </w:p>
        </w:tc>
        <w:tc>
          <w:tcPr>
            <w:tcW w:w="5103" w:type="dxa"/>
          </w:tcPr>
          <w:p w14:paraId="16755704"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注册地址：深圳市南山区粤海街道海珠社区滨海大道3165号五矿金融大厦2401</w:t>
            </w:r>
          </w:p>
          <w:p w14:paraId="2E97EED3"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客户服务电话：4001840028</w:t>
            </w:r>
          </w:p>
          <w:p w14:paraId="15B1DB3D"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网址：www.wkzq.com.cn</w:t>
            </w:r>
          </w:p>
        </w:tc>
      </w:tr>
      <w:tr w:rsidR="005E308D" w14:paraId="0DF7C09A" w14:textId="77777777">
        <w:trPr>
          <w:trHeight w:val="392"/>
        </w:trPr>
        <w:tc>
          <w:tcPr>
            <w:tcW w:w="709" w:type="dxa"/>
          </w:tcPr>
          <w:p w14:paraId="6CED85E7"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60</w:t>
            </w:r>
          </w:p>
        </w:tc>
        <w:tc>
          <w:tcPr>
            <w:tcW w:w="2693" w:type="dxa"/>
          </w:tcPr>
          <w:p w14:paraId="6F36CFF3"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招商证券股份有限公司</w:t>
            </w:r>
          </w:p>
        </w:tc>
        <w:tc>
          <w:tcPr>
            <w:tcW w:w="5103" w:type="dxa"/>
          </w:tcPr>
          <w:p w14:paraId="24D47FCF"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 深圳市福田区福田街道福华一路111号</w:t>
            </w:r>
          </w:p>
          <w:p w14:paraId="0737FCA6"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客户服务电话：95565</w:t>
            </w:r>
          </w:p>
          <w:p w14:paraId="09E4149F"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网址：www.cmschina.com</w:t>
            </w:r>
          </w:p>
        </w:tc>
      </w:tr>
      <w:tr w:rsidR="005E308D" w14:paraId="4EA22B79" w14:textId="77777777">
        <w:trPr>
          <w:trHeight w:val="392"/>
        </w:trPr>
        <w:tc>
          <w:tcPr>
            <w:tcW w:w="709" w:type="dxa"/>
          </w:tcPr>
          <w:p w14:paraId="74A48732"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61</w:t>
            </w:r>
          </w:p>
        </w:tc>
        <w:tc>
          <w:tcPr>
            <w:tcW w:w="2693" w:type="dxa"/>
          </w:tcPr>
          <w:p w14:paraId="66E36C4B"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渤海证券股份有限公司</w:t>
            </w:r>
          </w:p>
        </w:tc>
        <w:tc>
          <w:tcPr>
            <w:tcW w:w="5103" w:type="dxa"/>
          </w:tcPr>
          <w:p w14:paraId="3DBE5F13"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注册地址：天津经济技术开发区第二大街42号写字楼101室</w:t>
            </w:r>
          </w:p>
          <w:p w14:paraId="4B522FF9"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客户服务电话：956066</w:t>
            </w:r>
          </w:p>
          <w:p w14:paraId="2B0735A8"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网址：www.bhzq.com</w:t>
            </w:r>
          </w:p>
        </w:tc>
      </w:tr>
      <w:tr w:rsidR="005E308D" w14:paraId="0733C27D" w14:textId="77777777">
        <w:trPr>
          <w:trHeight w:val="392"/>
        </w:trPr>
        <w:tc>
          <w:tcPr>
            <w:tcW w:w="709" w:type="dxa"/>
          </w:tcPr>
          <w:p w14:paraId="3E6A98B3"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62</w:t>
            </w:r>
          </w:p>
        </w:tc>
        <w:tc>
          <w:tcPr>
            <w:tcW w:w="2693" w:type="dxa"/>
          </w:tcPr>
          <w:p w14:paraId="1A70D968"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中山证券有限责任公司</w:t>
            </w:r>
          </w:p>
        </w:tc>
        <w:tc>
          <w:tcPr>
            <w:tcW w:w="5103" w:type="dxa"/>
          </w:tcPr>
          <w:p w14:paraId="76511E1B"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注册地址：深圳市南山区粤海街道海珠社区芳芷一路13号舜远金融大厦1栋23层</w:t>
            </w:r>
          </w:p>
          <w:p w14:paraId="20FCDBE9"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客户服务电话：95329</w:t>
            </w:r>
          </w:p>
          <w:p w14:paraId="1F8D34EA"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网址：www.zszq.com</w:t>
            </w:r>
          </w:p>
        </w:tc>
      </w:tr>
      <w:tr w:rsidR="005E308D" w14:paraId="065571B2" w14:textId="77777777">
        <w:trPr>
          <w:trHeight w:val="392"/>
        </w:trPr>
        <w:tc>
          <w:tcPr>
            <w:tcW w:w="709" w:type="dxa"/>
          </w:tcPr>
          <w:p w14:paraId="67B8E1D7"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63</w:t>
            </w:r>
          </w:p>
        </w:tc>
        <w:tc>
          <w:tcPr>
            <w:tcW w:w="2693" w:type="dxa"/>
          </w:tcPr>
          <w:p w14:paraId="3ABCEA4B"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中邮证券有限责任公司</w:t>
            </w:r>
          </w:p>
        </w:tc>
        <w:tc>
          <w:tcPr>
            <w:tcW w:w="5103" w:type="dxa"/>
          </w:tcPr>
          <w:p w14:paraId="7C751C61"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注册地址：陕西省西安市唐延路5号(陕西邮政信息大厦9-11层)</w:t>
            </w:r>
          </w:p>
          <w:p w14:paraId="33CEACF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客户服务电话：956039</w:t>
            </w:r>
          </w:p>
          <w:p w14:paraId="1ACEB07D"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网址：www.cnpsec.com</w:t>
            </w:r>
          </w:p>
        </w:tc>
      </w:tr>
      <w:tr w:rsidR="005E308D" w14:paraId="04892330" w14:textId="77777777">
        <w:trPr>
          <w:trHeight w:val="392"/>
        </w:trPr>
        <w:tc>
          <w:tcPr>
            <w:tcW w:w="709" w:type="dxa"/>
          </w:tcPr>
          <w:p w14:paraId="16F77BAE"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64</w:t>
            </w:r>
          </w:p>
        </w:tc>
        <w:tc>
          <w:tcPr>
            <w:tcW w:w="2693" w:type="dxa"/>
          </w:tcPr>
          <w:p w14:paraId="2F5076A9"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中信证券股份有限公司</w:t>
            </w:r>
          </w:p>
        </w:tc>
        <w:tc>
          <w:tcPr>
            <w:tcW w:w="5103" w:type="dxa"/>
          </w:tcPr>
          <w:p w14:paraId="3CE510EE"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注册地址：广东省深圳市福田区中心三路8号卓越时代广场(二期)北座</w:t>
            </w:r>
          </w:p>
          <w:p w14:paraId="3AC744A4"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客户服务电话：95548</w:t>
            </w:r>
          </w:p>
          <w:p w14:paraId="09A11AAD"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网址：www.citics.com</w:t>
            </w:r>
          </w:p>
        </w:tc>
      </w:tr>
      <w:tr w:rsidR="005E308D" w14:paraId="5275251A" w14:textId="77777777">
        <w:trPr>
          <w:trHeight w:val="392"/>
        </w:trPr>
        <w:tc>
          <w:tcPr>
            <w:tcW w:w="709" w:type="dxa"/>
          </w:tcPr>
          <w:p w14:paraId="1C178EBA"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65</w:t>
            </w:r>
          </w:p>
        </w:tc>
        <w:tc>
          <w:tcPr>
            <w:tcW w:w="2693" w:type="dxa"/>
          </w:tcPr>
          <w:p w14:paraId="4ECB4871"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中信证券(山东)有限责任公司</w:t>
            </w:r>
          </w:p>
        </w:tc>
        <w:tc>
          <w:tcPr>
            <w:tcW w:w="5103" w:type="dxa"/>
          </w:tcPr>
          <w:p w14:paraId="67A6ECD7"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注册地址：青岛市崂山区深圳路222号1号楼2001</w:t>
            </w:r>
          </w:p>
          <w:p w14:paraId="09D8F37D"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客户服务电话：95548</w:t>
            </w:r>
          </w:p>
          <w:p w14:paraId="6301ADCB"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网址：sd.citics.com</w:t>
            </w:r>
          </w:p>
        </w:tc>
      </w:tr>
      <w:tr w:rsidR="005E308D" w14:paraId="22183269" w14:textId="77777777">
        <w:trPr>
          <w:trHeight w:val="392"/>
        </w:trPr>
        <w:tc>
          <w:tcPr>
            <w:tcW w:w="709" w:type="dxa"/>
          </w:tcPr>
          <w:p w14:paraId="731D46E9"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66</w:t>
            </w:r>
          </w:p>
        </w:tc>
        <w:tc>
          <w:tcPr>
            <w:tcW w:w="2693" w:type="dxa"/>
          </w:tcPr>
          <w:p w14:paraId="45364B23"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中信证券华南股份有限公司</w:t>
            </w:r>
          </w:p>
        </w:tc>
        <w:tc>
          <w:tcPr>
            <w:tcW w:w="5103" w:type="dxa"/>
          </w:tcPr>
          <w:p w14:paraId="4EED462B"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注册地址：广州市天河区临江大道395号901室(部位:自编01号)1001室(部位:自编01号)</w:t>
            </w:r>
          </w:p>
          <w:p w14:paraId="7FA9D242"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客户服务电话：95548</w:t>
            </w:r>
          </w:p>
          <w:p w14:paraId="30F42ABC"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t>
            </w:r>
            <w:r>
              <w:rPr>
                <w:rFonts w:ascii="宋体" w:hAnsi="宋体" w:cs="Calibri"/>
                <w:color w:val="000000"/>
                <w:szCs w:val="21"/>
              </w:rPr>
              <w:t>www.gzs.com.cn</w:t>
            </w:r>
          </w:p>
        </w:tc>
      </w:tr>
      <w:tr w:rsidR="005E308D" w14:paraId="2B7BD6DF" w14:textId="77777777">
        <w:trPr>
          <w:trHeight w:val="392"/>
        </w:trPr>
        <w:tc>
          <w:tcPr>
            <w:tcW w:w="709" w:type="dxa"/>
          </w:tcPr>
          <w:p w14:paraId="15529DE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67</w:t>
            </w:r>
          </w:p>
        </w:tc>
        <w:tc>
          <w:tcPr>
            <w:tcW w:w="2693" w:type="dxa"/>
          </w:tcPr>
          <w:p w14:paraId="1D801310"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中信期货有限公司</w:t>
            </w:r>
          </w:p>
        </w:tc>
        <w:tc>
          <w:tcPr>
            <w:tcW w:w="5103" w:type="dxa"/>
          </w:tcPr>
          <w:p w14:paraId="5568217B"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注册地址：深圳市福田区中心三路</w:t>
            </w:r>
            <w:r>
              <w:rPr>
                <w:rFonts w:ascii="宋体" w:hAnsi="宋体" w:cs="Calibri"/>
                <w:color w:val="000000"/>
                <w:szCs w:val="21"/>
              </w:rPr>
              <w:t>8</w:t>
            </w:r>
            <w:r>
              <w:rPr>
                <w:rFonts w:ascii="宋体" w:hAnsi="宋体" w:cs="Calibri" w:hint="eastAsia"/>
                <w:color w:val="000000"/>
                <w:szCs w:val="21"/>
              </w:rPr>
              <w:t>号卓越时代广场</w:t>
            </w:r>
            <w:r>
              <w:rPr>
                <w:rFonts w:ascii="宋体" w:hAnsi="宋体" w:cs="Calibri"/>
                <w:color w:val="000000"/>
                <w:szCs w:val="21"/>
              </w:rPr>
              <w:t>(</w:t>
            </w:r>
            <w:r>
              <w:rPr>
                <w:rFonts w:ascii="宋体" w:hAnsi="宋体" w:cs="Calibri" w:hint="eastAsia"/>
                <w:color w:val="000000"/>
                <w:szCs w:val="21"/>
              </w:rPr>
              <w:t>二期</w:t>
            </w:r>
            <w:r>
              <w:rPr>
                <w:rFonts w:ascii="宋体" w:hAnsi="宋体" w:cs="Calibri"/>
                <w:color w:val="000000"/>
                <w:szCs w:val="21"/>
              </w:rPr>
              <w:t>)</w:t>
            </w:r>
            <w:r>
              <w:rPr>
                <w:rFonts w:ascii="宋体" w:hAnsi="宋体" w:cs="Calibri" w:hint="eastAsia"/>
                <w:color w:val="000000"/>
                <w:szCs w:val="21"/>
              </w:rPr>
              <w:t>北座</w:t>
            </w:r>
            <w:r>
              <w:rPr>
                <w:rFonts w:ascii="宋体" w:hAnsi="宋体" w:cs="Calibri"/>
                <w:color w:val="000000"/>
                <w:szCs w:val="21"/>
              </w:rPr>
              <w:t>13</w:t>
            </w:r>
            <w:r>
              <w:rPr>
                <w:rFonts w:ascii="宋体" w:hAnsi="宋体" w:cs="Calibri" w:hint="eastAsia"/>
                <w:color w:val="000000"/>
                <w:szCs w:val="21"/>
              </w:rPr>
              <w:t>层</w:t>
            </w:r>
            <w:r>
              <w:rPr>
                <w:rFonts w:ascii="宋体" w:hAnsi="宋体" w:cs="Calibri"/>
                <w:color w:val="000000"/>
                <w:szCs w:val="21"/>
              </w:rPr>
              <w:t>1301-1305</w:t>
            </w:r>
            <w:r>
              <w:rPr>
                <w:rFonts w:ascii="宋体" w:hAnsi="宋体" w:cs="Calibri" w:hint="eastAsia"/>
                <w:color w:val="000000"/>
                <w:szCs w:val="21"/>
              </w:rPr>
              <w:t>室、</w:t>
            </w:r>
            <w:r>
              <w:rPr>
                <w:rFonts w:ascii="宋体" w:hAnsi="宋体" w:cs="Calibri"/>
                <w:color w:val="000000"/>
                <w:szCs w:val="21"/>
              </w:rPr>
              <w:t>14</w:t>
            </w:r>
            <w:r>
              <w:rPr>
                <w:rFonts w:ascii="宋体" w:hAnsi="宋体" w:cs="Calibri" w:hint="eastAsia"/>
                <w:color w:val="000000"/>
                <w:szCs w:val="21"/>
              </w:rPr>
              <w:t>层</w:t>
            </w:r>
          </w:p>
          <w:p w14:paraId="16D94F44"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4009908826</w:t>
            </w:r>
          </w:p>
          <w:p w14:paraId="29C2A68A"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lastRenderedPageBreak/>
              <w:t>网址：</w:t>
            </w:r>
            <w:r>
              <w:rPr>
                <w:rFonts w:ascii="宋体" w:hAnsi="宋体" w:cs="Calibri"/>
                <w:color w:val="000000"/>
                <w:szCs w:val="21"/>
              </w:rPr>
              <w:t>www.citicsf.com</w:t>
            </w:r>
          </w:p>
        </w:tc>
      </w:tr>
      <w:tr w:rsidR="005E308D" w14:paraId="641B3F6A" w14:textId="77777777">
        <w:trPr>
          <w:trHeight w:val="392"/>
        </w:trPr>
        <w:tc>
          <w:tcPr>
            <w:tcW w:w="709" w:type="dxa"/>
          </w:tcPr>
          <w:p w14:paraId="48EF0194"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lastRenderedPageBreak/>
              <w:t>68</w:t>
            </w:r>
          </w:p>
        </w:tc>
        <w:tc>
          <w:tcPr>
            <w:tcW w:w="2693" w:type="dxa"/>
          </w:tcPr>
          <w:p w14:paraId="141C5912"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万联证券股份有限公司</w:t>
            </w:r>
          </w:p>
        </w:tc>
        <w:tc>
          <w:tcPr>
            <w:tcW w:w="5103" w:type="dxa"/>
          </w:tcPr>
          <w:p w14:paraId="1E91B3E6"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注册地址：广州市天河区珠江东路11号18、19楼全层</w:t>
            </w:r>
          </w:p>
          <w:p w14:paraId="56AF4669"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客户服务电话：95322</w:t>
            </w:r>
          </w:p>
          <w:p w14:paraId="1D2D0B67"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网址：www.wlzq.cn</w:t>
            </w:r>
          </w:p>
        </w:tc>
      </w:tr>
      <w:tr w:rsidR="005E308D" w14:paraId="6078F83F" w14:textId="77777777">
        <w:trPr>
          <w:trHeight w:val="392"/>
        </w:trPr>
        <w:tc>
          <w:tcPr>
            <w:tcW w:w="709" w:type="dxa"/>
          </w:tcPr>
          <w:p w14:paraId="045CACEA"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69</w:t>
            </w:r>
          </w:p>
        </w:tc>
        <w:tc>
          <w:tcPr>
            <w:tcW w:w="2693" w:type="dxa"/>
          </w:tcPr>
          <w:p w14:paraId="72623398"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华源证券股份有限公司</w:t>
            </w:r>
          </w:p>
        </w:tc>
        <w:tc>
          <w:tcPr>
            <w:tcW w:w="5103" w:type="dxa"/>
          </w:tcPr>
          <w:p w14:paraId="3C623CF7"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注册地址：西宁市南川工业园区创业路108号</w:t>
            </w:r>
          </w:p>
          <w:p w14:paraId="1FC99531"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客户服务电话：95305</w:t>
            </w:r>
          </w:p>
          <w:p w14:paraId="136D3AE4"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网址：www.jzsec.com</w:t>
            </w:r>
          </w:p>
        </w:tc>
      </w:tr>
      <w:tr w:rsidR="005E308D" w14:paraId="51FF703C" w14:textId="77777777">
        <w:trPr>
          <w:trHeight w:val="392"/>
        </w:trPr>
        <w:tc>
          <w:tcPr>
            <w:tcW w:w="709" w:type="dxa"/>
          </w:tcPr>
          <w:p w14:paraId="1BD8644D"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70</w:t>
            </w:r>
          </w:p>
        </w:tc>
        <w:tc>
          <w:tcPr>
            <w:tcW w:w="2693" w:type="dxa"/>
          </w:tcPr>
          <w:p w14:paraId="578CA886"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海通证券股份有限公司</w:t>
            </w:r>
          </w:p>
        </w:tc>
        <w:tc>
          <w:tcPr>
            <w:tcW w:w="5103" w:type="dxa"/>
          </w:tcPr>
          <w:p w14:paraId="4A2A129E"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注册地址：上海市黄浦区广东路689号</w:t>
            </w:r>
          </w:p>
          <w:p w14:paraId="4B190D7E"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客户服务电话：95553</w:t>
            </w:r>
          </w:p>
          <w:p w14:paraId="1B27694D"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网址：www.htsec.com</w:t>
            </w:r>
          </w:p>
        </w:tc>
      </w:tr>
      <w:tr w:rsidR="005E308D" w14:paraId="6E6A31E5" w14:textId="77777777">
        <w:trPr>
          <w:trHeight w:val="392"/>
        </w:trPr>
        <w:tc>
          <w:tcPr>
            <w:tcW w:w="709" w:type="dxa"/>
          </w:tcPr>
          <w:p w14:paraId="4F818FA7"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71</w:t>
            </w:r>
          </w:p>
        </w:tc>
        <w:tc>
          <w:tcPr>
            <w:tcW w:w="2693" w:type="dxa"/>
          </w:tcPr>
          <w:p w14:paraId="3870DC0D"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华金证券股份有限公司</w:t>
            </w:r>
          </w:p>
        </w:tc>
        <w:tc>
          <w:tcPr>
            <w:tcW w:w="5103" w:type="dxa"/>
          </w:tcPr>
          <w:p w14:paraId="5CB6A527"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注册地址：上海市静安区天目西路128号19层1902室</w:t>
            </w:r>
          </w:p>
          <w:p w14:paraId="65EABF7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客户服务电话：956011</w:t>
            </w:r>
          </w:p>
          <w:p w14:paraId="79C0A440"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网址：www.huajinsc.cn</w:t>
            </w:r>
          </w:p>
        </w:tc>
      </w:tr>
      <w:tr w:rsidR="005E308D" w14:paraId="660F7E55" w14:textId="77777777">
        <w:trPr>
          <w:trHeight w:val="392"/>
        </w:trPr>
        <w:tc>
          <w:tcPr>
            <w:tcW w:w="709" w:type="dxa"/>
          </w:tcPr>
          <w:p w14:paraId="7B0907C3"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72</w:t>
            </w:r>
          </w:p>
        </w:tc>
        <w:tc>
          <w:tcPr>
            <w:tcW w:w="2693" w:type="dxa"/>
          </w:tcPr>
          <w:p w14:paraId="247BC17F"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华宝证券股份有限公司</w:t>
            </w:r>
          </w:p>
        </w:tc>
        <w:tc>
          <w:tcPr>
            <w:tcW w:w="5103" w:type="dxa"/>
          </w:tcPr>
          <w:p w14:paraId="3ABAF024"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注册地址：中国（上海）自由贸易试验区浦电路370号2、3、4层</w:t>
            </w:r>
          </w:p>
          <w:p w14:paraId="309B681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客户服务电话：400-820-9898</w:t>
            </w:r>
          </w:p>
          <w:p w14:paraId="54F56AD0"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网址：www.cnhbstock.com</w:t>
            </w:r>
          </w:p>
        </w:tc>
      </w:tr>
      <w:tr w:rsidR="005E308D" w14:paraId="010F1E9E" w14:textId="77777777">
        <w:trPr>
          <w:trHeight w:val="392"/>
        </w:trPr>
        <w:tc>
          <w:tcPr>
            <w:tcW w:w="709" w:type="dxa"/>
          </w:tcPr>
          <w:p w14:paraId="7B6E7BBC"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73</w:t>
            </w:r>
          </w:p>
        </w:tc>
        <w:tc>
          <w:tcPr>
            <w:tcW w:w="2693" w:type="dxa"/>
          </w:tcPr>
          <w:p w14:paraId="588DDAF9" w14:textId="77777777" w:rsidR="005E308D" w:rsidRDefault="00945B44">
            <w:pPr>
              <w:widowControl/>
              <w:jc w:val="left"/>
              <w:textAlignment w:val="center"/>
              <w:rPr>
                <w:rFonts w:ascii="宋体" w:eastAsia="宋体" w:hAnsi="宋体" w:cs="宋体" w:hint="eastAsia"/>
                <w:color w:val="000000" w:themeColor="text1"/>
                <w:kern w:val="0"/>
                <w:szCs w:val="21"/>
                <w:lang w:bidi="ar"/>
              </w:rPr>
            </w:pPr>
            <w:r>
              <w:rPr>
                <w:rFonts w:ascii="宋体" w:eastAsia="宋体" w:hAnsi="宋体" w:cs="宋体" w:hint="eastAsia"/>
                <w:color w:val="000000" w:themeColor="text1"/>
                <w:kern w:val="0"/>
                <w:szCs w:val="21"/>
                <w:lang w:bidi="ar"/>
              </w:rPr>
              <w:t>江海证券有限公司</w:t>
            </w:r>
          </w:p>
        </w:tc>
        <w:tc>
          <w:tcPr>
            <w:tcW w:w="5103" w:type="dxa"/>
          </w:tcPr>
          <w:p w14:paraId="55167013"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注册地址：哈尔滨市香坊区赣水路56号</w:t>
            </w:r>
          </w:p>
          <w:p w14:paraId="58D67F23"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 xml:space="preserve">客户服务电话：956007 </w:t>
            </w:r>
          </w:p>
          <w:p w14:paraId="37D853AE"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网址：www.jhzq.com.cn</w:t>
            </w:r>
          </w:p>
        </w:tc>
      </w:tr>
      <w:tr w:rsidR="005E308D" w14:paraId="10615252" w14:textId="77777777">
        <w:trPr>
          <w:trHeight w:val="392"/>
        </w:trPr>
        <w:tc>
          <w:tcPr>
            <w:tcW w:w="709" w:type="dxa"/>
          </w:tcPr>
          <w:p w14:paraId="3C165629"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74</w:t>
            </w:r>
          </w:p>
        </w:tc>
        <w:tc>
          <w:tcPr>
            <w:tcW w:w="2693" w:type="dxa"/>
          </w:tcPr>
          <w:p w14:paraId="3FF436AA"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国金证券股份有限公司</w:t>
            </w:r>
          </w:p>
        </w:tc>
        <w:tc>
          <w:tcPr>
            <w:tcW w:w="5103" w:type="dxa"/>
          </w:tcPr>
          <w:p w14:paraId="16E1FFE9"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注册地址：四川省成都市青羊区东城根上街95号</w:t>
            </w:r>
          </w:p>
          <w:p w14:paraId="7723538D"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客户服务电话：95310</w:t>
            </w:r>
          </w:p>
          <w:p w14:paraId="2149341F"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网址：www.gjzq.com.cn</w:t>
            </w:r>
          </w:p>
        </w:tc>
      </w:tr>
      <w:tr w:rsidR="005E308D" w14:paraId="076EA158" w14:textId="77777777">
        <w:trPr>
          <w:trHeight w:val="392"/>
        </w:trPr>
        <w:tc>
          <w:tcPr>
            <w:tcW w:w="709" w:type="dxa"/>
          </w:tcPr>
          <w:p w14:paraId="009FCB17"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75</w:t>
            </w:r>
          </w:p>
        </w:tc>
        <w:tc>
          <w:tcPr>
            <w:tcW w:w="2693" w:type="dxa"/>
          </w:tcPr>
          <w:p w14:paraId="0D3EE6C8"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华西证券股份有限公司</w:t>
            </w:r>
          </w:p>
        </w:tc>
        <w:tc>
          <w:tcPr>
            <w:tcW w:w="5103" w:type="dxa"/>
          </w:tcPr>
          <w:p w14:paraId="41284DB1"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注册地址：中国（四川）自由贸易试验区成都市高新区天府二街198号</w:t>
            </w:r>
          </w:p>
          <w:p w14:paraId="423945C5"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客户服务电话：95584</w:t>
            </w:r>
          </w:p>
          <w:p w14:paraId="2A367D38"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网址：www.hx168.com.cn</w:t>
            </w:r>
          </w:p>
        </w:tc>
      </w:tr>
      <w:tr w:rsidR="005E308D" w14:paraId="1C92DFA9" w14:textId="77777777">
        <w:trPr>
          <w:trHeight w:val="392"/>
        </w:trPr>
        <w:tc>
          <w:tcPr>
            <w:tcW w:w="709" w:type="dxa"/>
          </w:tcPr>
          <w:p w14:paraId="3A3051D6"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76</w:t>
            </w:r>
          </w:p>
        </w:tc>
        <w:tc>
          <w:tcPr>
            <w:tcW w:w="2693" w:type="dxa"/>
          </w:tcPr>
          <w:p w14:paraId="6AC0404D"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山西证券股份有限公司</w:t>
            </w:r>
          </w:p>
        </w:tc>
        <w:tc>
          <w:tcPr>
            <w:tcW w:w="5103" w:type="dxa"/>
          </w:tcPr>
          <w:p w14:paraId="6C6FC7B3"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注册地址：山西省太原市杏花岭区府西街69号山西国际贸易中心东塔楼29层</w:t>
            </w:r>
          </w:p>
          <w:p w14:paraId="174D164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客户服务电话：95573</w:t>
            </w:r>
          </w:p>
          <w:p w14:paraId="035CDCE5"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网址：www.sxzq.com</w:t>
            </w:r>
          </w:p>
        </w:tc>
      </w:tr>
      <w:tr w:rsidR="005E308D" w14:paraId="032815E3" w14:textId="77777777">
        <w:trPr>
          <w:trHeight w:val="392"/>
        </w:trPr>
        <w:tc>
          <w:tcPr>
            <w:tcW w:w="709" w:type="dxa"/>
          </w:tcPr>
          <w:p w14:paraId="499B1F26"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77</w:t>
            </w:r>
          </w:p>
        </w:tc>
        <w:tc>
          <w:tcPr>
            <w:tcW w:w="2693" w:type="dxa"/>
          </w:tcPr>
          <w:p w14:paraId="5F06DCF4"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兴业银行股份有限公司</w:t>
            </w:r>
          </w:p>
        </w:tc>
        <w:tc>
          <w:tcPr>
            <w:tcW w:w="5103" w:type="dxa"/>
          </w:tcPr>
          <w:p w14:paraId="255768E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注册地址：福建省福州市台江区江滨中大道398号兴业银行大厦</w:t>
            </w:r>
          </w:p>
          <w:p w14:paraId="25609E8B"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客户服务电话：95561</w:t>
            </w:r>
          </w:p>
          <w:p w14:paraId="06AF038E"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网址：www.cib.com.cn</w:t>
            </w:r>
          </w:p>
        </w:tc>
      </w:tr>
    </w:tbl>
    <w:p w14:paraId="33DC5AE4" w14:textId="77777777" w:rsidR="005E308D" w:rsidRDefault="005E308D">
      <w:pPr>
        <w:tabs>
          <w:tab w:val="left" w:pos="540"/>
        </w:tabs>
        <w:adjustRightInd w:val="0"/>
        <w:snapToGrid w:val="0"/>
        <w:spacing w:line="360" w:lineRule="auto"/>
        <w:ind w:firstLineChars="200" w:firstLine="480"/>
        <w:rPr>
          <w:rFonts w:asciiTheme="minorEastAsia" w:hAnsiTheme="minorEastAsia" w:cs="Arial" w:hint="eastAsia"/>
          <w:sz w:val="24"/>
          <w:szCs w:val="24"/>
        </w:rPr>
      </w:pPr>
    </w:p>
    <w:p w14:paraId="2797A3DD" w14:textId="77777777" w:rsidR="005E308D" w:rsidRDefault="00945B44">
      <w:pPr>
        <w:tabs>
          <w:tab w:val="left" w:pos="540"/>
        </w:tabs>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sz w:val="24"/>
          <w:szCs w:val="24"/>
        </w:rPr>
        <w:t>二、登记机构</w:t>
      </w:r>
    </w:p>
    <w:p w14:paraId="7F762741" w14:textId="77777777" w:rsidR="005E308D" w:rsidRDefault="00945B44">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名称：富荣基金管理有限公司 </w:t>
      </w:r>
    </w:p>
    <w:p w14:paraId="72CCDDE0" w14:textId="77777777" w:rsidR="005E308D" w:rsidRDefault="00945B44">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住所：</w:t>
      </w:r>
      <w:r>
        <w:rPr>
          <w:rFonts w:asciiTheme="minorEastAsia" w:hAnsiTheme="minorEastAsia" w:hint="eastAsia"/>
          <w:kern w:val="0"/>
          <w:sz w:val="24"/>
        </w:rPr>
        <w:t>广东省广州市南沙区横沥镇汇通二街2号3110房</w:t>
      </w:r>
      <w:r>
        <w:rPr>
          <w:rFonts w:asciiTheme="minorEastAsia" w:hAnsiTheme="minorEastAsia" w:cs="Arial" w:hint="eastAsia"/>
          <w:color w:val="000000"/>
          <w:kern w:val="0"/>
          <w:sz w:val="24"/>
          <w:szCs w:val="24"/>
        </w:rPr>
        <w:t xml:space="preserve"> </w:t>
      </w:r>
    </w:p>
    <w:p w14:paraId="3868BE8E" w14:textId="77777777" w:rsidR="005E308D" w:rsidRDefault="00945B44">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lastRenderedPageBreak/>
        <w:t>办公地址：</w:t>
      </w:r>
      <w:r>
        <w:rPr>
          <w:rFonts w:asciiTheme="minorEastAsia" w:hAnsiTheme="minorEastAsia" w:cs="Times New Roman" w:hint="eastAsia"/>
          <w:kern w:val="0"/>
          <w:sz w:val="24"/>
          <w:szCs w:val="24"/>
        </w:rPr>
        <w:t>深圳市福田区八卦四路52号安吉尔大厦24层</w:t>
      </w:r>
      <w:r>
        <w:rPr>
          <w:rFonts w:asciiTheme="minorEastAsia" w:hAnsiTheme="minorEastAsia" w:cs="Arial" w:hint="eastAsia"/>
          <w:color w:val="000000"/>
          <w:kern w:val="0"/>
          <w:sz w:val="24"/>
          <w:szCs w:val="24"/>
        </w:rPr>
        <w:t xml:space="preserve"> </w:t>
      </w:r>
    </w:p>
    <w:p w14:paraId="256321E2" w14:textId="77777777" w:rsidR="005E308D" w:rsidRDefault="00945B44">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法定代表人：王亦伟 </w:t>
      </w:r>
    </w:p>
    <w:p w14:paraId="67179BD6" w14:textId="77777777" w:rsidR="005E308D" w:rsidRDefault="00945B44">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联系人：黄文飞</w:t>
      </w:r>
    </w:p>
    <w:p w14:paraId="0FC25E8D" w14:textId="77777777" w:rsidR="005E308D" w:rsidRDefault="00945B44">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电话： 0755-84356604</w:t>
      </w:r>
    </w:p>
    <w:p w14:paraId="2EB1F9BA" w14:textId="77777777" w:rsidR="005E308D" w:rsidRDefault="00945B44">
      <w:pPr>
        <w:adjustRightInd w:val="0"/>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传真： 0755-83230787</w:t>
      </w:r>
    </w:p>
    <w:p w14:paraId="7CC61861" w14:textId="77777777" w:rsidR="005E308D" w:rsidRDefault="00945B44">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w:t>
      </w:r>
      <w:r>
        <w:rPr>
          <w:rFonts w:asciiTheme="minorEastAsia" w:hAnsiTheme="minorEastAsia" w:cs="Times New Roman" w:hint="eastAsia"/>
          <w:b/>
          <w:bCs/>
          <w:color w:val="000000"/>
          <w:sz w:val="24"/>
          <w:szCs w:val="24"/>
        </w:rPr>
        <w:t>出具法律意见书的律师事务所</w:t>
      </w:r>
    </w:p>
    <w:p w14:paraId="56A229D6"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名称：上海源泰律师事务所</w:t>
      </w:r>
    </w:p>
    <w:p w14:paraId="262BE676"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住所：上海市浦东新区浦东南路256号华夏银行大厦14楼</w:t>
      </w:r>
    </w:p>
    <w:p w14:paraId="7D351009"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办公地址：上海市浦东新区浦东南路256号华夏银行大厦14楼</w:t>
      </w:r>
    </w:p>
    <w:p w14:paraId="77B51AEF"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负责人：廖海</w:t>
      </w:r>
    </w:p>
    <w:p w14:paraId="79D731CA"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电话：（021）51150298</w:t>
      </w:r>
    </w:p>
    <w:p w14:paraId="4F9E1309"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传真：（021）51150</w:t>
      </w:r>
      <w:r>
        <w:rPr>
          <w:rFonts w:asciiTheme="minorEastAsia" w:hAnsiTheme="minorEastAsia" w:cs="Arial"/>
          <w:kern w:val="0"/>
          <w:sz w:val="24"/>
          <w:szCs w:val="24"/>
        </w:rPr>
        <w:t>3</w:t>
      </w:r>
      <w:r>
        <w:rPr>
          <w:rFonts w:asciiTheme="minorEastAsia" w:hAnsiTheme="minorEastAsia" w:cs="Arial" w:hint="eastAsia"/>
          <w:kern w:val="0"/>
          <w:sz w:val="24"/>
          <w:szCs w:val="24"/>
        </w:rPr>
        <w:t>98</w:t>
      </w:r>
    </w:p>
    <w:p w14:paraId="7E4D1576"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经办律师：刘佳、黄丽华</w:t>
      </w:r>
    </w:p>
    <w:p w14:paraId="6E3D3DDC"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 刘佳</w:t>
      </w:r>
    </w:p>
    <w:p w14:paraId="3E7B13A3" w14:textId="77777777" w:rsidR="005E308D" w:rsidRDefault="00945B44">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四、</w:t>
      </w:r>
      <w:r>
        <w:rPr>
          <w:rFonts w:asciiTheme="minorEastAsia" w:hAnsiTheme="minorEastAsia" w:cs="Times New Roman" w:hint="eastAsia"/>
          <w:b/>
          <w:bCs/>
          <w:color w:val="000000"/>
          <w:sz w:val="24"/>
          <w:szCs w:val="24"/>
        </w:rPr>
        <w:t>审计基金财产的会计师事务所</w:t>
      </w:r>
    </w:p>
    <w:p w14:paraId="12AD31A7"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名称：安永华明会计师事务所（特殊普通合伙）</w:t>
      </w:r>
    </w:p>
    <w:p w14:paraId="19569A8E"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住所：中国北京市东城区东长安街1号东方广场安永大楼16层</w:t>
      </w:r>
    </w:p>
    <w:p w14:paraId="2A73E69F"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办公地址：中国北京市东城区东长安街1号东方广场安永大楼16层</w:t>
      </w:r>
    </w:p>
    <w:p w14:paraId="3B631B9B"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法定代表人：毛鞍宁</w:t>
      </w:r>
    </w:p>
    <w:p w14:paraId="6426EBD6"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电话：+86</w:t>
      </w:r>
      <w:r>
        <w:rPr>
          <w:rFonts w:asciiTheme="minorEastAsia" w:hAnsiTheme="minorEastAsia" w:cs="Arial"/>
          <w:kern w:val="0"/>
          <w:sz w:val="24"/>
          <w:szCs w:val="24"/>
        </w:rPr>
        <w:t xml:space="preserve"> 10 58153000</w:t>
      </w:r>
    </w:p>
    <w:p w14:paraId="44326B7A"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传真：+86</w:t>
      </w:r>
      <w:r>
        <w:rPr>
          <w:rFonts w:asciiTheme="minorEastAsia" w:hAnsiTheme="minorEastAsia" w:cs="Arial"/>
          <w:kern w:val="0"/>
          <w:sz w:val="24"/>
          <w:szCs w:val="24"/>
        </w:rPr>
        <w:t xml:space="preserve"> 10 85188298</w:t>
      </w:r>
    </w:p>
    <w:p w14:paraId="5D51EF06"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签字注册会计师：吴翠蓉  高鹤</w:t>
      </w:r>
    </w:p>
    <w:p w14:paraId="2B4BB2DD"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联系人：吴翠蓉</w:t>
      </w:r>
    </w:p>
    <w:p w14:paraId="1219A187" w14:textId="77777777" w:rsidR="005E308D" w:rsidRDefault="005E308D">
      <w:pPr>
        <w:keepNext/>
        <w:keepLines/>
        <w:autoSpaceDE w:val="0"/>
        <w:autoSpaceDN w:val="0"/>
        <w:adjustRightInd w:val="0"/>
        <w:snapToGrid w:val="0"/>
        <w:spacing w:line="360" w:lineRule="auto"/>
        <w:ind w:firstLineChars="150" w:firstLine="422"/>
        <w:jc w:val="center"/>
        <w:textAlignment w:val="baseline"/>
        <w:outlineLvl w:val="0"/>
        <w:rPr>
          <w:rFonts w:ascii="Arial" w:eastAsia="宋体" w:hAnsi="Arial" w:cs="Arial"/>
          <w:b/>
          <w:bCs/>
          <w:kern w:val="0"/>
          <w:sz w:val="28"/>
          <w:szCs w:val="28"/>
        </w:rPr>
        <w:sectPr w:rsidR="005E308D">
          <w:headerReference w:type="even" r:id="rId42"/>
          <w:headerReference w:type="default" r:id="rId43"/>
          <w:footerReference w:type="default" r:id="rId44"/>
          <w:headerReference w:type="first" r:id="rId45"/>
          <w:pgSz w:w="11906" w:h="16838"/>
          <w:pgMar w:top="1440" w:right="1800" w:bottom="1440" w:left="1800" w:header="851" w:footer="992" w:gutter="0"/>
          <w:pgNumType w:chapStyle="1"/>
          <w:cols w:space="720"/>
          <w:docGrid w:type="lines" w:linePitch="312"/>
        </w:sectPr>
      </w:pPr>
      <w:bookmarkStart w:id="119" w:name="_Toc416264542"/>
      <w:bookmarkStart w:id="120" w:name="_Toc263092314"/>
      <w:bookmarkStart w:id="121" w:name="_Toc26207"/>
      <w:bookmarkStart w:id="122" w:name="_Toc29251"/>
      <w:bookmarkStart w:id="123" w:name="_Toc12245"/>
      <w:bookmarkStart w:id="124" w:name="_Toc141703887"/>
      <w:bookmarkStart w:id="125" w:name="_Toc139991737"/>
      <w:bookmarkStart w:id="126" w:name="_Toc123112235"/>
      <w:bookmarkStart w:id="127" w:name="_Toc14835"/>
      <w:bookmarkStart w:id="128" w:name="_Toc31235"/>
      <w:bookmarkStart w:id="129" w:name="_Toc123051453"/>
      <w:bookmarkStart w:id="130" w:name="_Toc123102454"/>
      <w:bookmarkStart w:id="131" w:name="_Toc6405"/>
      <w:bookmarkStart w:id="132" w:name="_Toc16859"/>
      <w:bookmarkStart w:id="133" w:name="_Toc3601"/>
      <w:bookmarkStart w:id="134" w:name="_Toc31653"/>
      <w:bookmarkStart w:id="135" w:name="_Toc31644"/>
      <w:bookmarkStart w:id="136" w:name="_Toc15143"/>
      <w:bookmarkStart w:id="137" w:name="_Toc98560353"/>
      <w:bookmarkStart w:id="138" w:name="_Toc35222975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C567854" w14:textId="77777777" w:rsidR="005E308D" w:rsidRDefault="00945B44">
      <w:pPr>
        <w:pStyle w:val="1"/>
        <w:jc w:val="center"/>
        <w:rPr>
          <w:sz w:val="30"/>
          <w:szCs w:val="30"/>
        </w:rPr>
      </w:pPr>
      <w:bookmarkStart w:id="139" w:name="_Toc68266293"/>
      <w:bookmarkStart w:id="140" w:name="_Toc119568462"/>
      <w:r>
        <w:rPr>
          <w:rFonts w:hint="eastAsia"/>
          <w:sz w:val="30"/>
          <w:szCs w:val="30"/>
        </w:rPr>
        <w:lastRenderedPageBreak/>
        <w:t>第六部分</w:t>
      </w:r>
      <w:r>
        <w:rPr>
          <w:sz w:val="30"/>
          <w:szCs w:val="30"/>
        </w:rPr>
        <w:t xml:space="preserve">  </w:t>
      </w:r>
      <w:r>
        <w:rPr>
          <w:rFonts w:asciiTheme="minorEastAsia" w:eastAsiaTheme="minorEastAsia" w:hAnsiTheme="minorEastAsia" w:hint="eastAsia"/>
          <w:sz w:val="30"/>
          <w:szCs w:val="30"/>
        </w:rPr>
        <w:t>基金的募集</w:t>
      </w:r>
      <w:bookmarkEnd w:id="119"/>
      <w:bookmarkEnd w:id="120"/>
      <w:bookmarkEnd w:id="139"/>
      <w:bookmarkEnd w:id="140"/>
    </w:p>
    <w:p w14:paraId="1C5328E0" w14:textId="77777777" w:rsidR="005E308D" w:rsidRDefault="005E308D">
      <w:pPr>
        <w:autoSpaceDE w:val="0"/>
        <w:autoSpaceDN w:val="0"/>
        <w:adjustRightInd w:val="0"/>
        <w:snapToGrid w:val="0"/>
        <w:spacing w:line="360" w:lineRule="auto"/>
        <w:ind w:firstLineChars="200" w:firstLine="480"/>
        <w:rPr>
          <w:rFonts w:asciiTheme="minorEastAsia" w:hAnsiTheme="minorEastAsia" w:cs="Arial" w:hint="eastAsia"/>
          <w:sz w:val="24"/>
          <w:szCs w:val="24"/>
        </w:rPr>
      </w:pPr>
    </w:p>
    <w:p w14:paraId="3D53E4AE" w14:textId="77777777" w:rsidR="005E308D" w:rsidRDefault="00945B44">
      <w:pPr>
        <w:autoSpaceDE w:val="0"/>
        <w:autoSpaceDN w:val="0"/>
        <w:adjustRightInd w:val="0"/>
        <w:snapToGrid w:val="0"/>
        <w:spacing w:line="360" w:lineRule="auto"/>
        <w:ind w:firstLineChars="200" w:firstLine="480"/>
        <w:rPr>
          <w:rFonts w:ascii="宋体" w:eastAsia="宋体" w:hAnsi="宋体" w:cs="Arial" w:hint="eastAsia"/>
          <w:sz w:val="24"/>
          <w:szCs w:val="24"/>
        </w:rPr>
      </w:pPr>
      <w:bookmarkStart w:id="141" w:name="_Toc263092315"/>
      <w:bookmarkStart w:id="142" w:name="_Toc214873596"/>
      <w:bookmarkStart w:id="143" w:name="_Toc416264543"/>
      <w:bookmarkStart w:id="144" w:name="_Toc4559"/>
      <w:bookmarkStart w:id="145" w:name="_Toc9706"/>
      <w:bookmarkStart w:id="146" w:name="_Toc18567"/>
      <w:bookmarkStart w:id="147" w:name="_Toc25783"/>
      <w:bookmarkStart w:id="148" w:name="_Toc79392583"/>
      <w:bookmarkStart w:id="149" w:name="_Toc7058"/>
      <w:bookmarkStart w:id="150" w:name="_Toc352229754"/>
      <w:bookmarkStart w:id="151" w:name="_Toc123112236"/>
      <w:bookmarkStart w:id="152" w:name="_Toc123102455"/>
      <w:bookmarkStart w:id="153" w:name="_Toc11030"/>
      <w:bookmarkStart w:id="154" w:name="_Toc3771"/>
      <w:bookmarkStart w:id="155" w:name="_Toc98560354"/>
      <w:bookmarkStart w:id="156" w:name="_Toc6447"/>
      <w:bookmarkStart w:id="157" w:name="_Toc139991738"/>
      <w:bookmarkStart w:id="158" w:name="_Toc3321"/>
      <w:bookmarkStart w:id="159" w:name="_Toc20768"/>
      <w:bookmarkStart w:id="160" w:name="_Toc10650"/>
      <w:bookmarkStart w:id="161" w:name="_Toc141703888"/>
      <w:bookmarkStart w:id="162" w:name="_Toc12305145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宋体" w:eastAsia="宋体" w:hAnsi="宋体" w:cs="Arial" w:hint="eastAsia"/>
          <w:sz w:val="24"/>
          <w:szCs w:val="24"/>
        </w:rPr>
        <w:t>基金管理人按照《基金法》、《运作办法》、《销售办法》、基金合同及其他有关规定募集本基金，并于2021年6月2</w:t>
      </w:r>
      <w:r>
        <w:rPr>
          <w:rFonts w:ascii="宋体" w:eastAsia="宋体" w:hAnsi="宋体" w:cs="Arial"/>
          <w:sz w:val="24"/>
          <w:szCs w:val="24"/>
        </w:rPr>
        <w:t>1</w:t>
      </w:r>
      <w:r>
        <w:rPr>
          <w:rFonts w:ascii="宋体" w:eastAsia="宋体" w:hAnsi="宋体" w:cs="Arial" w:hint="eastAsia"/>
          <w:sz w:val="24"/>
          <w:szCs w:val="24"/>
        </w:rPr>
        <w:t>日</w:t>
      </w:r>
      <w:r>
        <w:rPr>
          <w:rFonts w:ascii="宋体" w:eastAsia="宋体" w:hAnsi="宋体" w:cs="Arial" w:hint="eastAsia"/>
          <w:kern w:val="0"/>
          <w:sz w:val="24"/>
          <w:szCs w:val="24"/>
        </w:rPr>
        <w:t>经中国证监会证监许可[</w:t>
      </w:r>
      <w:r>
        <w:rPr>
          <w:rFonts w:ascii="宋体" w:eastAsia="宋体" w:hAnsi="宋体" w:cs="Arial"/>
          <w:kern w:val="0"/>
          <w:sz w:val="24"/>
          <w:szCs w:val="24"/>
        </w:rPr>
        <w:t>2021]2091</w:t>
      </w:r>
      <w:r>
        <w:rPr>
          <w:rFonts w:ascii="宋体" w:eastAsia="宋体" w:hAnsi="宋体" w:cs="Arial" w:hint="eastAsia"/>
          <w:kern w:val="0"/>
          <w:sz w:val="24"/>
          <w:szCs w:val="24"/>
        </w:rPr>
        <w:t>号文</w:t>
      </w:r>
      <w:r>
        <w:rPr>
          <w:rFonts w:ascii="宋体" w:eastAsia="宋体" w:hAnsi="宋体" w:cs="Arial" w:hint="eastAsia"/>
          <w:sz w:val="24"/>
          <w:szCs w:val="24"/>
        </w:rPr>
        <w:t>准予注册募集。</w:t>
      </w:r>
      <w:r>
        <w:rPr>
          <w:rFonts w:asciiTheme="minorEastAsia" w:hAnsiTheme="minorEastAsia" w:cs="Arial" w:hint="eastAsia"/>
          <w:sz w:val="24"/>
          <w:szCs w:val="24"/>
        </w:rPr>
        <w:t>本基金于</w:t>
      </w:r>
      <w:r>
        <w:rPr>
          <w:rFonts w:asciiTheme="minorEastAsia" w:hAnsiTheme="minorEastAsia" w:cs="Arial"/>
          <w:sz w:val="24"/>
          <w:szCs w:val="24"/>
        </w:rPr>
        <w:t>2021年11月26日起通过各销售机构向社会公开募集，截至2021年</w:t>
      </w:r>
      <w:r>
        <w:rPr>
          <w:rFonts w:asciiTheme="minorEastAsia" w:hAnsiTheme="minorEastAsia" w:cs="Arial" w:hint="eastAsia"/>
          <w:sz w:val="24"/>
          <w:szCs w:val="24"/>
        </w:rPr>
        <w:t>1</w:t>
      </w:r>
      <w:r>
        <w:rPr>
          <w:rFonts w:asciiTheme="minorEastAsia" w:hAnsiTheme="minorEastAsia" w:cs="Arial"/>
          <w:sz w:val="24"/>
          <w:szCs w:val="24"/>
        </w:rPr>
        <w:t>2月23</w:t>
      </w:r>
      <w:r>
        <w:rPr>
          <w:rFonts w:asciiTheme="minorEastAsia" w:hAnsiTheme="minorEastAsia" w:cs="Arial" w:hint="eastAsia"/>
          <w:sz w:val="24"/>
          <w:szCs w:val="24"/>
        </w:rPr>
        <w:t>日，基金募集工作已顺利结束。</w:t>
      </w:r>
    </w:p>
    <w:p w14:paraId="5678AFBE" w14:textId="77777777" w:rsidR="005E308D" w:rsidRDefault="005E308D">
      <w:pPr>
        <w:keepNext/>
        <w:keepLines/>
        <w:spacing w:line="360" w:lineRule="auto"/>
        <w:jc w:val="center"/>
        <w:outlineLvl w:val="0"/>
        <w:rPr>
          <w:rFonts w:ascii="Times New Roman" w:eastAsia="宋体" w:hAnsi="Times New Roman" w:cs="Times New Roman"/>
          <w:b/>
          <w:kern w:val="0"/>
          <w:sz w:val="24"/>
          <w:szCs w:val="24"/>
        </w:rPr>
        <w:sectPr w:rsidR="005E308D">
          <w:headerReference w:type="even" r:id="rId46"/>
          <w:headerReference w:type="default" r:id="rId47"/>
          <w:footerReference w:type="default" r:id="rId48"/>
          <w:headerReference w:type="first" r:id="rId49"/>
          <w:pgSz w:w="11906" w:h="16838"/>
          <w:pgMar w:top="1440" w:right="1800" w:bottom="1440" w:left="1800" w:header="851" w:footer="992" w:gutter="0"/>
          <w:pgNumType w:chapStyle="1"/>
          <w:cols w:space="720"/>
          <w:docGrid w:type="lines" w:linePitch="312"/>
        </w:sectPr>
      </w:pPr>
    </w:p>
    <w:p w14:paraId="6EFADF44" w14:textId="77777777" w:rsidR="005E308D" w:rsidRDefault="00945B44">
      <w:pPr>
        <w:pStyle w:val="1"/>
        <w:jc w:val="center"/>
        <w:rPr>
          <w:sz w:val="30"/>
          <w:szCs w:val="30"/>
        </w:rPr>
      </w:pPr>
      <w:bookmarkStart w:id="163" w:name="_Toc119568463"/>
      <w:bookmarkStart w:id="164" w:name="_Toc68266294"/>
      <w:r>
        <w:rPr>
          <w:rFonts w:hint="eastAsia"/>
          <w:sz w:val="30"/>
          <w:szCs w:val="30"/>
        </w:rPr>
        <w:lastRenderedPageBreak/>
        <w:t>第七部分</w:t>
      </w:r>
      <w:r>
        <w:rPr>
          <w:sz w:val="30"/>
          <w:szCs w:val="30"/>
        </w:rPr>
        <w:t xml:space="preserve">  </w:t>
      </w:r>
      <w:r>
        <w:rPr>
          <w:rFonts w:hint="eastAsia"/>
          <w:sz w:val="30"/>
          <w:szCs w:val="30"/>
        </w:rPr>
        <w:t>基金</w:t>
      </w:r>
      <w:bookmarkEnd w:id="141"/>
      <w:bookmarkEnd w:id="142"/>
      <w:r>
        <w:rPr>
          <w:rFonts w:hint="eastAsia"/>
          <w:sz w:val="30"/>
          <w:szCs w:val="30"/>
        </w:rPr>
        <w:t>合同的生效</w:t>
      </w:r>
      <w:bookmarkEnd w:id="143"/>
      <w:bookmarkEnd w:id="163"/>
      <w:bookmarkEnd w:id="164"/>
    </w:p>
    <w:p w14:paraId="29542C57"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根据《基金法》、《运作办法》以及基金合同、招募说明书、基金份额发售公告的有关规定，本基金募集结果符合有关条件，本基金管理人于</w:t>
      </w:r>
      <w:r>
        <w:rPr>
          <w:rFonts w:asciiTheme="minorEastAsia" w:hAnsiTheme="minorEastAsia" w:cs="Arial"/>
          <w:sz w:val="24"/>
          <w:szCs w:val="24"/>
        </w:rPr>
        <w:t>2021年12月27</w:t>
      </w:r>
      <w:r>
        <w:rPr>
          <w:rFonts w:asciiTheme="minorEastAsia" w:hAnsiTheme="minorEastAsia" w:cs="Arial" w:hint="eastAsia"/>
          <w:sz w:val="24"/>
          <w:szCs w:val="24"/>
        </w:rPr>
        <w:t>日向中国证监会办理完毕基金备案手续并已获书面确认，基金合同自该日期正式生效。自基金合同生效之日起，本基金管理人正式开始管理本基金。</w:t>
      </w:r>
    </w:p>
    <w:p w14:paraId="1D35CA2B" w14:textId="77777777" w:rsidR="005E308D" w:rsidRDefault="00945B44">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基金合同》生效后，连续20个工作日出现基金份额持有人数量不满200人或者基金资产净值低于5000万元情形的，基金管理人应当在定期报告中予以披露；连续60个工作日出现前述情形的，基金管理人应在当10个工作日内向中国证监会报告并提出解决方案，如持续运作、转换运作方式、与其他基金合并或者终止基金合同等，并在6个月内召集基金份额持有人大会。</w:t>
      </w:r>
    </w:p>
    <w:p w14:paraId="33998ED1" w14:textId="77777777" w:rsidR="005E308D" w:rsidRDefault="00945B44">
      <w:pPr>
        <w:widowControl/>
        <w:spacing w:line="360" w:lineRule="auto"/>
        <w:ind w:firstLineChars="200" w:firstLine="480"/>
        <w:jc w:val="left"/>
        <w:rPr>
          <w:rFonts w:ascii="Arial" w:eastAsia="宋体" w:hAnsi="Arial" w:cs="Times New Roman"/>
          <w:szCs w:val="20"/>
        </w:rPr>
        <w:sectPr w:rsidR="005E308D">
          <w:headerReference w:type="even" r:id="rId50"/>
          <w:headerReference w:type="default" r:id="rId51"/>
          <w:footerReference w:type="default" r:id="rId52"/>
          <w:headerReference w:type="first" r:id="rId53"/>
          <w:pgSz w:w="11906" w:h="16838"/>
          <w:pgMar w:top="1440" w:right="1800" w:bottom="1440" w:left="1800" w:header="851" w:footer="992" w:gutter="0"/>
          <w:pgNumType w:chapStyle="1"/>
          <w:cols w:space="720"/>
          <w:docGrid w:type="lines" w:linePitch="312"/>
        </w:sectPr>
      </w:pPr>
      <w:r>
        <w:rPr>
          <w:rFonts w:asciiTheme="minorEastAsia" w:hAnsiTheme="minorEastAsia" w:cs="Times New Roman" w:hint="eastAsia"/>
          <w:sz w:val="24"/>
          <w:szCs w:val="24"/>
        </w:rPr>
        <w:t xml:space="preserve">法律法规或中国证监会另有规定时，从其规定。 </w:t>
      </w:r>
      <w:bookmarkStart w:id="165" w:name="_Toc21073391"/>
      <w:bookmarkStart w:id="166" w:name="_Toc263092316"/>
      <w:bookmarkStart w:id="167" w:name="_Toc214873597"/>
      <w:bookmarkStart w:id="168" w:name="_Toc416264544"/>
      <w:bookmarkStart w:id="169" w:name="_Toc147463118"/>
      <w:bookmarkStart w:id="170" w:name="_Toc12357171"/>
      <w:bookmarkStart w:id="171" w:name="_Toc725"/>
      <w:bookmarkStart w:id="172" w:name="_Toc352229755"/>
      <w:bookmarkStart w:id="173" w:name="_Toc141703889"/>
      <w:bookmarkStart w:id="174" w:name="_Toc21735"/>
      <w:bookmarkStart w:id="175" w:name="_Toc1745"/>
      <w:bookmarkStart w:id="176" w:name="_Toc18769"/>
      <w:bookmarkStart w:id="177" w:name="_Toc16164"/>
      <w:bookmarkStart w:id="178" w:name="_Toc139991739"/>
      <w:bookmarkStart w:id="179" w:name="_Toc3572"/>
      <w:bookmarkStart w:id="180" w:name="_Toc123112237"/>
      <w:bookmarkStart w:id="181" w:name="_Toc3963"/>
      <w:bookmarkStart w:id="182" w:name="_Toc10398"/>
      <w:bookmarkStart w:id="183" w:name="_Toc123102456"/>
      <w:bookmarkStart w:id="184" w:name="_Toc123051455"/>
      <w:bookmarkStart w:id="185" w:name="_Toc18206"/>
      <w:bookmarkStart w:id="186" w:name="_Toc3080"/>
      <w:bookmarkStart w:id="187" w:name="_Toc98560355"/>
      <w:bookmarkStart w:id="188" w:name="_Toc3182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508AE6F" w14:textId="77777777" w:rsidR="005E308D" w:rsidRDefault="00945B44">
      <w:pPr>
        <w:pStyle w:val="1"/>
        <w:jc w:val="center"/>
        <w:rPr>
          <w:rFonts w:ascii="Arial" w:hAnsi="Arial" w:cs="Arial"/>
          <w:bCs/>
          <w:sz w:val="30"/>
          <w:szCs w:val="30"/>
        </w:rPr>
      </w:pPr>
      <w:bookmarkStart w:id="189" w:name="_Toc68266295"/>
      <w:bookmarkStart w:id="190" w:name="_Toc119568464"/>
      <w:r>
        <w:rPr>
          <w:rFonts w:hint="eastAsia"/>
          <w:sz w:val="30"/>
          <w:szCs w:val="30"/>
        </w:rPr>
        <w:lastRenderedPageBreak/>
        <w:t>第八部分</w:t>
      </w:r>
      <w:r>
        <w:rPr>
          <w:sz w:val="30"/>
          <w:szCs w:val="30"/>
        </w:rPr>
        <w:t xml:space="preserve">  </w:t>
      </w:r>
      <w:r>
        <w:rPr>
          <w:rFonts w:hint="eastAsia"/>
          <w:sz w:val="30"/>
          <w:szCs w:val="30"/>
        </w:rPr>
        <w:t>基金份额的申购与赎回</w:t>
      </w:r>
      <w:bookmarkEnd w:id="165"/>
      <w:bookmarkEnd w:id="166"/>
      <w:bookmarkEnd w:id="167"/>
      <w:bookmarkEnd w:id="168"/>
      <w:bookmarkEnd w:id="169"/>
      <w:bookmarkEnd w:id="170"/>
      <w:bookmarkEnd w:id="189"/>
      <w:bookmarkEnd w:id="190"/>
    </w:p>
    <w:p w14:paraId="5918AF3D" w14:textId="77777777" w:rsidR="005E308D" w:rsidRDefault="00945B44">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一、申购和赎回场所</w:t>
      </w:r>
    </w:p>
    <w:p w14:paraId="2307ABFA"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申购与赎回将通过销售机构进行。具体的销售网点将由基金管理人在招募说明书或基金管理人网站列明。基金管理人可根据情况变更或增减销售机构，并在基金管理人网站公示。基金投资者应当在销售机构办理基金销售业务的营业场所或按销售机构提供的其他方式办理基金份额的申购与赎回。</w:t>
      </w:r>
    </w:p>
    <w:p w14:paraId="785D501D" w14:textId="77777777" w:rsidR="005E308D" w:rsidRDefault="00945B44">
      <w:pPr>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二、申购和赎回的开放日及时间</w:t>
      </w:r>
    </w:p>
    <w:p w14:paraId="2ED74E84"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1、开放日及开放时间</w:t>
      </w:r>
    </w:p>
    <w:p w14:paraId="14EBD9AD"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70A6C68"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25EDB237"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2、申购、赎回开始日及业务办理时间</w:t>
      </w:r>
    </w:p>
    <w:p w14:paraId="2ADAB90E"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本基金已于</w:t>
      </w:r>
      <w:r>
        <w:rPr>
          <w:rFonts w:asciiTheme="minorEastAsia" w:hAnsiTheme="minorEastAsia" w:cs="Arial"/>
          <w:sz w:val="24"/>
          <w:szCs w:val="24"/>
        </w:rPr>
        <w:t>2022年1月25日开始办理申购、赎回业务。</w:t>
      </w:r>
    </w:p>
    <w:p w14:paraId="23FA1618"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p w14:paraId="4C2E5F8C" w14:textId="77777777" w:rsidR="005E308D" w:rsidRDefault="00945B44">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三、申购与赎回的原则</w:t>
      </w:r>
    </w:p>
    <w:p w14:paraId="2A146CFB"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1、“未知价”原则，即申购、赎回价格以申请当日收市后计算的该类基金份额净值为基准进行计算；</w:t>
      </w:r>
    </w:p>
    <w:p w14:paraId="6CA59AF8"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2、“金额申购、份额赎回”原则，即申购以金额申请，赎回以份额申请；</w:t>
      </w:r>
    </w:p>
    <w:p w14:paraId="2837085E"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3、当日的申购与赎回申请可以在基金管理人规定的时间以内撤销；</w:t>
      </w:r>
    </w:p>
    <w:p w14:paraId="6248C3C1"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4、赎回遵循“先进先出”原则，即按照投资人认购、申购的先后次序进行顺序赎回；</w:t>
      </w:r>
    </w:p>
    <w:p w14:paraId="1C8AB981"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5、办理申购、赎回业务时，应当遵循基金份额持有人利益优先原则，确保投</w:t>
      </w:r>
      <w:r>
        <w:rPr>
          <w:rFonts w:asciiTheme="minorEastAsia" w:hAnsiTheme="minorEastAsia" w:cs="Arial" w:hint="eastAsia"/>
          <w:sz w:val="24"/>
          <w:szCs w:val="24"/>
        </w:rPr>
        <w:lastRenderedPageBreak/>
        <w:t>资者的合法权益不受损害并得到公平对待。</w:t>
      </w:r>
    </w:p>
    <w:p w14:paraId="10FB3D0B"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基金管理人可在法律法规允许的情况下，对上述原则进行调整。基金管理人必须在新规则开始实施前依照《信息披露办法》的有关规定在规定媒介上公告。</w:t>
      </w:r>
    </w:p>
    <w:p w14:paraId="116184CC" w14:textId="77777777" w:rsidR="005E308D" w:rsidRDefault="00945B44">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四、申购与赎回的程序</w:t>
      </w:r>
    </w:p>
    <w:p w14:paraId="6530499E"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1、申购和赎回的申请方式</w:t>
      </w:r>
    </w:p>
    <w:p w14:paraId="0885257E"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投资人必须根据销售机构规定的程序，在开放日的具体业务办理时间内提出申购或赎回的申请。</w:t>
      </w:r>
    </w:p>
    <w:p w14:paraId="76FC063F"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2、申购和赎回的款项支付</w:t>
      </w:r>
    </w:p>
    <w:p w14:paraId="3D8896EC"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申购基金份额时，必须在规定的时间内全额交付申购款项，投资人在规定的时间内全额交付申购款项，申购成立；基金份额登记机构确认基金份额时，申购生效。基金份额持有人递交赎回申请，赎回成立；基金份额登记机构确认赎回时，赎回生效。</w:t>
      </w:r>
    </w:p>
    <w:p w14:paraId="3C12B546"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投资人T日赎回申请生效后，基金管理人将在T＋7日(包括该日)内支付赎回款项。在发生巨额赎回时或基金合同载明的延缓支付赎回款项的情形时，款项的支付办法参照基金合同有关条款处理。</w:t>
      </w:r>
    </w:p>
    <w:p w14:paraId="34C11A98"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遇证券、期货交易所或交易市场数据传输延迟、通讯系统故障、银行数据交换系统故障或其它非基金管理人及基金托管人所能控制的因素影响业务处理流程时，赎回款项顺延至前述影响因素消除的下一个工作日划出。</w:t>
      </w:r>
    </w:p>
    <w:p w14:paraId="6F25FCBA" w14:textId="77777777" w:rsidR="005E308D" w:rsidRDefault="00945B44">
      <w:pPr>
        <w:spacing w:line="360" w:lineRule="auto"/>
        <w:ind w:firstLineChars="200" w:firstLine="480"/>
        <w:rPr>
          <w:bCs/>
          <w:sz w:val="24"/>
        </w:rPr>
      </w:pPr>
      <w:r>
        <w:rPr>
          <w:rFonts w:hint="eastAsia"/>
          <w:bCs/>
          <w:sz w:val="24"/>
        </w:rPr>
        <w:t>基金管理人可以在法律法规和基金合同允许的范围内，对上述业务办理时间进行调整，基金管理人必须在调整实施前依照《信息披露办法》的有关规定在规定媒介上公告。</w:t>
      </w:r>
    </w:p>
    <w:p w14:paraId="1F5D5EAA"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3、申购和赎回申请的确认</w:t>
      </w:r>
    </w:p>
    <w:p w14:paraId="5C05533B"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立或无效，则申购款项本金退还给投资人。</w:t>
      </w:r>
    </w:p>
    <w:p w14:paraId="5356F678"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销售机构对申购、赎回申请的受理并不代表该申请一定成功，而仅代表销售机构确实接收到申购、赎回申请。申购、赎回申请的确认以基金份额登记机构的确认结果为准。对于申购、赎回申请的确认情况，投资人应及时查询并妥善行使合法权</w:t>
      </w:r>
      <w:r>
        <w:rPr>
          <w:rFonts w:asciiTheme="minorEastAsia" w:hAnsiTheme="minorEastAsia" w:cs="Arial" w:hint="eastAsia"/>
          <w:sz w:val="24"/>
          <w:szCs w:val="24"/>
        </w:rPr>
        <w:lastRenderedPageBreak/>
        <w:t>利。</w:t>
      </w:r>
    </w:p>
    <w:p w14:paraId="4A3A32FC"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基金管理人可以在法律法规允许的范围内，依法对上述申购和赎回申请的确认时间进行调整，并必须在调整实施日前按照《信息披露办法》的有关规定在规定媒介上公告。</w:t>
      </w:r>
    </w:p>
    <w:p w14:paraId="35C2BBC6" w14:textId="77777777" w:rsidR="005E308D" w:rsidRDefault="00945B44">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五、申购与赎回的数量限制</w:t>
      </w:r>
    </w:p>
    <w:p w14:paraId="0AAA66B0"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投资人申购A类基金份额，首次单笔最低申购金额为人民币1.00元，追加申购单笔最低金额为人民币1.00元。投资人申购C类基金份额，首次单笔最低申购金额为人民币1.00元，追加申购单笔最低金额为人民币1.00元。各销售机构在不低于上述规定的前提下，可根据自己的情况调整首次最低申购金额和追加最低申购金额和追加最低申购金额限制，具体以销售机构公布的为准。</w:t>
      </w:r>
    </w:p>
    <w:p w14:paraId="4632138D"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2、每个基金交易账户最低持有基金份额余额为1份，若某笔赎回导致单个基金交易账户的基金份额余额少于1份时，余额部分基金份额必须一同赎回。</w:t>
      </w:r>
    </w:p>
    <w:p w14:paraId="0A24E91C"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3、本基金目前对单个投资人累计持有份额不设上限限制，基金管理人可以规定单个投资者累计持有的基金份额数量限制，具体规定见更新的招募说明书或相关公告。</w:t>
      </w:r>
    </w:p>
    <w:p w14:paraId="450F8554"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F7ABD28"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5、基金管理人可在法律法规允许的情况下，调整上述规定申购金额和赎回份额的数量限制。基金管理人必须在调整实施前依照《信息披露办法》的有关规定在规定媒介上公告。</w:t>
      </w:r>
    </w:p>
    <w:p w14:paraId="22B798FA" w14:textId="77777777" w:rsidR="005E308D" w:rsidRDefault="00945B44">
      <w:pPr>
        <w:tabs>
          <w:tab w:val="left" w:pos="1110"/>
          <w:tab w:val="left" w:pos="630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六、申购费用、赎回费用</w:t>
      </w:r>
    </w:p>
    <w:p w14:paraId="78746298"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、申购费用</w:t>
      </w:r>
    </w:p>
    <w:p w14:paraId="23F74EC4"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类基金份额申购均采用金额申购方式，申购费率如下表。投资者在一天之内如果有多笔申购，费率按单笔分别计算。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4430"/>
      </w:tblGrid>
      <w:tr w:rsidR="005E308D" w14:paraId="3F1987A3" w14:textId="77777777">
        <w:trPr>
          <w:trHeight w:val="190"/>
          <w:jc w:val="center"/>
        </w:trPr>
        <w:tc>
          <w:tcPr>
            <w:tcW w:w="8522" w:type="dxa"/>
            <w:gridSpan w:val="2"/>
            <w:tcBorders>
              <w:top w:val="single" w:sz="4" w:space="0" w:color="auto"/>
              <w:left w:val="single" w:sz="4" w:space="0" w:color="auto"/>
              <w:bottom w:val="single" w:sz="4" w:space="0" w:color="auto"/>
              <w:right w:val="single" w:sz="4" w:space="0" w:color="auto"/>
            </w:tcBorders>
          </w:tcPr>
          <w:p w14:paraId="61957E42" w14:textId="77777777" w:rsidR="005E308D" w:rsidRDefault="00945B44">
            <w:pPr>
              <w:widowControl/>
              <w:spacing w:line="264" w:lineRule="auto"/>
              <w:jc w:val="center"/>
              <w:rPr>
                <w:rFonts w:asciiTheme="minorEastAsia" w:hAnsiTheme="minorEastAsia" w:cs="Arial" w:hint="eastAsia"/>
                <w:bCs/>
                <w:kern w:val="0"/>
                <w:sz w:val="24"/>
                <w:szCs w:val="24"/>
              </w:rPr>
            </w:pPr>
            <w:r>
              <w:rPr>
                <w:rFonts w:asciiTheme="minorEastAsia" w:hAnsiTheme="minorEastAsia" w:cs="Arial" w:hint="eastAsia"/>
                <w:b/>
                <w:bCs/>
                <w:kern w:val="0"/>
                <w:sz w:val="24"/>
                <w:szCs w:val="24"/>
              </w:rPr>
              <w:t>A类基金份额</w:t>
            </w:r>
          </w:p>
        </w:tc>
      </w:tr>
      <w:tr w:rsidR="005E308D" w14:paraId="1A1F1107"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51755400"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申购金额（M）</w:t>
            </w:r>
          </w:p>
        </w:tc>
        <w:tc>
          <w:tcPr>
            <w:tcW w:w="4430" w:type="dxa"/>
            <w:tcBorders>
              <w:top w:val="single" w:sz="4" w:space="0" w:color="auto"/>
              <w:left w:val="single" w:sz="4" w:space="0" w:color="auto"/>
              <w:bottom w:val="single" w:sz="4" w:space="0" w:color="auto"/>
              <w:right w:val="single" w:sz="4" w:space="0" w:color="auto"/>
            </w:tcBorders>
          </w:tcPr>
          <w:p w14:paraId="1D247166"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申购费率</w:t>
            </w:r>
          </w:p>
        </w:tc>
      </w:tr>
      <w:tr w:rsidR="005E308D" w14:paraId="1D21FF89"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34DCEB26"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M＜100万元</w:t>
            </w:r>
          </w:p>
        </w:tc>
        <w:tc>
          <w:tcPr>
            <w:tcW w:w="4430" w:type="dxa"/>
            <w:tcBorders>
              <w:top w:val="single" w:sz="4" w:space="0" w:color="auto"/>
              <w:left w:val="single" w:sz="4" w:space="0" w:color="auto"/>
              <w:bottom w:val="single" w:sz="4" w:space="0" w:color="auto"/>
              <w:right w:val="single" w:sz="4" w:space="0" w:color="auto"/>
            </w:tcBorders>
          </w:tcPr>
          <w:p w14:paraId="1A35CDB9"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1.50%</w:t>
            </w:r>
          </w:p>
        </w:tc>
      </w:tr>
      <w:tr w:rsidR="005E308D" w14:paraId="585C85F9"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3C54EFA1"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lastRenderedPageBreak/>
              <w:t>100万元≤M＜300万元</w:t>
            </w:r>
          </w:p>
        </w:tc>
        <w:tc>
          <w:tcPr>
            <w:tcW w:w="4430" w:type="dxa"/>
            <w:tcBorders>
              <w:top w:val="single" w:sz="4" w:space="0" w:color="auto"/>
              <w:left w:val="single" w:sz="4" w:space="0" w:color="auto"/>
              <w:bottom w:val="single" w:sz="4" w:space="0" w:color="auto"/>
              <w:right w:val="single" w:sz="4" w:space="0" w:color="auto"/>
            </w:tcBorders>
          </w:tcPr>
          <w:p w14:paraId="2179CA8F"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w:t>
            </w:r>
          </w:p>
        </w:tc>
      </w:tr>
      <w:tr w:rsidR="005E308D" w14:paraId="35A29BB3"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708C79DF"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300万元≤M＜500万元</w:t>
            </w:r>
          </w:p>
        </w:tc>
        <w:tc>
          <w:tcPr>
            <w:tcW w:w="4430" w:type="dxa"/>
            <w:tcBorders>
              <w:top w:val="single" w:sz="4" w:space="0" w:color="auto"/>
              <w:left w:val="single" w:sz="4" w:space="0" w:color="auto"/>
              <w:bottom w:val="single" w:sz="4" w:space="0" w:color="auto"/>
              <w:right w:val="single" w:sz="4" w:space="0" w:color="auto"/>
            </w:tcBorders>
          </w:tcPr>
          <w:p w14:paraId="582C46BD"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0.60%</w:t>
            </w:r>
          </w:p>
        </w:tc>
      </w:tr>
      <w:tr w:rsidR="005E308D" w14:paraId="77534357"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3A3BF01A"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M≥500万元</w:t>
            </w:r>
          </w:p>
        </w:tc>
        <w:tc>
          <w:tcPr>
            <w:tcW w:w="4430" w:type="dxa"/>
            <w:tcBorders>
              <w:top w:val="single" w:sz="4" w:space="0" w:color="auto"/>
              <w:left w:val="single" w:sz="4" w:space="0" w:color="auto"/>
              <w:bottom w:val="single" w:sz="4" w:space="0" w:color="auto"/>
              <w:right w:val="single" w:sz="4" w:space="0" w:color="auto"/>
            </w:tcBorders>
          </w:tcPr>
          <w:p w14:paraId="2876F9A0"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1000元/笔</w:t>
            </w:r>
          </w:p>
        </w:tc>
      </w:tr>
      <w:tr w:rsidR="005E308D" w14:paraId="77BF2C14" w14:textId="77777777">
        <w:trPr>
          <w:trHeight w:val="415"/>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14:paraId="504B671A" w14:textId="77777777" w:rsidR="005E308D" w:rsidRDefault="00945B44">
            <w:pPr>
              <w:widowControl/>
              <w:spacing w:line="264" w:lineRule="auto"/>
              <w:jc w:val="center"/>
              <w:rPr>
                <w:rFonts w:asciiTheme="minorEastAsia" w:hAnsiTheme="minorEastAsia" w:cs="Arial" w:hint="eastAsia"/>
                <w:b/>
                <w:kern w:val="0"/>
                <w:sz w:val="24"/>
                <w:szCs w:val="24"/>
              </w:rPr>
            </w:pPr>
            <w:r>
              <w:rPr>
                <w:rFonts w:asciiTheme="minorEastAsia" w:hAnsiTheme="minorEastAsia" w:cs="Arial" w:hint="eastAsia"/>
                <w:b/>
                <w:bCs/>
                <w:kern w:val="0"/>
                <w:sz w:val="24"/>
                <w:szCs w:val="24"/>
              </w:rPr>
              <w:t>C类基金份额</w:t>
            </w:r>
          </w:p>
        </w:tc>
      </w:tr>
      <w:tr w:rsidR="005E308D" w14:paraId="4D3592B7" w14:textId="77777777">
        <w:trPr>
          <w:trHeight w:val="415"/>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14:paraId="7C0B0116" w14:textId="77777777" w:rsidR="005E308D" w:rsidRDefault="00945B44">
            <w:pPr>
              <w:widowControl/>
              <w:spacing w:line="264" w:lineRule="auto"/>
              <w:jc w:val="center"/>
              <w:rPr>
                <w:rFonts w:asciiTheme="minorEastAsia" w:hAnsiTheme="minorEastAsia" w:cs="Arial" w:hint="eastAsia"/>
                <w:kern w:val="0"/>
                <w:sz w:val="24"/>
                <w:szCs w:val="24"/>
              </w:rPr>
            </w:pPr>
            <w:r>
              <w:rPr>
                <w:rFonts w:asciiTheme="minorEastAsia" w:hAnsiTheme="minorEastAsia" w:cs="Arial" w:hint="eastAsia"/>
                <w:bCs/>
                <w:kern w:val="0"/>
                <w:sz w:val="24"/>
                <w:szCs w:val="24"/>
              </w:rPr>
              <w:t>申</w:t>
            </w:r>
            <w:r>
              <w:rPr>
                <w:rFonts w:asciiTheme="minorEastAsia" w:hAnsiTheme="minorEastAsia" w:cs="Arial" w:hint="eastAsia"/>
                <w:kern w:val="0"/>
                <w:sz w:val="24"/>
                <w:szCs w:val="24"/>
              </w:rPr>
              <w:t>购费率为零</w:t>
            </w:r>
          </w:p>
        </w:tc>
      </w:tr>
    </w:tbl>
    <w:p w14:paraId="1B4A5BB6" w14:textId="77777777" w:rsidR="005E308D" w:rsidRDefault="005E308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p w14:paraId="0EAD17CF" w14:textId="77777777" w:rsidR="005E308D" w:rsidRDefault="00945B44">
      <w:pPr>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本基金A类基金份额的申购费用由申购A类基金份额的投资人承担，不列入基金资产，用于基金的市场推广、销售、登记等各项费用。</w:t>
      </w:r>
      <w:r>
        <w:rPr>
          <w:rFonts w:asciiTheme="minorEastAsia" w:hAnsiTheme="minorEastAsia" w:cs="Arial" w:hint="eastAsia"/>
          <w:bCs/>
          <w:sz w:val="24"/>
          <w:szCs w:val="24"/>
        </w:rPr>
        <w:t>C 类基金份额不收取申购费用</w:t>
      </w:r>
      <w:r>
        <w:rPr>
          <w:rFonts w:asciiTheme="minorEastAsia" w:hAnsiTheme="minorEastAsia" w:cs="Arial"/>
          <w:bCs/>
          <w:sz w:val="24"/>
          <w:szCs w:val="24"/>
        </w:rPr>
        <w:t>。</w:t>
      </w:r>
    </w:p>
    <w:p w14:paraId="217706A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、赎回费用</w:t>
      </w:r>
    </w:p>
    <w:p w14:paraId="6E467C0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类基金份额的赎回费率按基金份额持有期限递减，费率如下：</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2127"/>
        <w:gridCol w:w="2284"/>
      </w:tblGrid>
      <w:tr w:rsidR="005E308D" w14:paraId="50672856"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2110BFBC" w14:textId="77777777" w:rsidR="005E308D" w:rsidRDefault="00945B44">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持有基金份额期限（Y）</w:t>
            </w:r>
          </w:p>
        </w:tc>
        <w:tc>
          <w:tcPr>
            <w:tcW w:w="2127" w:type="dxa"/>
            <w:tcBorders>
              <w:top w:val="single" w:sz="4" w:space="0" w:color="auto"/>
              <w:left w:val="single" w:sz="4" w:space="0" w:color="auto"/>
              <w:bottom w:val="single" w:sz="4" w:space="0" w:color="auto"/>
              <w:right w:val="single" w:sz="4" w:space="0" w:color="auto"/>
            </w:tcBorders>
          </w:tcPr>
          <w:p w14:paraId="1A9842C6" w14:textId="77777777" w:rsidR="005E308D" w:rsidRDefault="00945B44">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A类份额赎回费率</w:t>
            </w:r>
          </w:p>
        </w:tc>
        <w:tc>
          <w:tcPr>
            <w:tcW w:w="2284" w:type="dxa"/>
            <w:tcBorders>
              <w:top w:val="single" w:sz="4" w:space="0" w:color="auto"/>
              <w:left w:val="single" w:sz="4" w:space="0" w:color="auto"/>
              <w:bottom w:val="single" w:sz="4" w:space="0" w:color="auto"/>
              <w:right w:val="single" w:sz="4" w:space="0" w:color="auto"/>
            </w:tcBorders>
          </w:tcPr>
          <w:p w14:paraId="5E46779A" w14:textId="77777777" w:rsidR="005E308D" w:rsidRDefault="00945B44">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C类份额赎回费率</w:t>
            </w:r>
          </w:p>
        </w:tc>
      </w:tr>
      <w:tr w:rsidR="005E308D" w14:paraId="73D06D94"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20833978"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Y＜7日</w:t>
            </w:r>
          </w:p>
        </w:tc>
        <w:tc>
          <w:tcPr>
            <w:tcW w:w="2127" w:type="dxa"/>
            <w:tcBorders>
              <w:top w:val="single" w:sz="4" w:space="0" w:color="auto"/>
              <w:left w:val="single" w:sz="4" w:space="0" w:color="auto"/>
              <w:bottom w:val="single" w:sz="4" w:space="0" w:color="auto"/>
              <w:right w:val="single" w:sz="4" w:space="0" w:color="auto"/>
            </w:tcBorders>
          </w:tcPr>
          <w:p w14:paraId="65407C58"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c>
          <w:tcPr>
            <w:tcW w:w="2284" w:type="dxa"/>
            <w:tcBorders>
              <w:top w:val="single" w:sz="4" w:space="0" w:color="auto"/>
              <w:left w:val="single" w:sz="4" w:space="0" w:color="auto"/>
              <w:bottom w:val="single" w:sz="4" w:space="0" w:color="auto"/>
              <w:right w:val="single" w:sz="4" w:space="0" w:color="auto"/>
            </w:tcBorders>
          </w:tcPr>
          <w:p w14:paraId="75EF2E4E" w14:textId="77777777" w:rsidR="005E308D" w:rsidRDefault="00945B44">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r>
      <w:tr w:rsidR="005E308D" w14:paraId="6D9B5A23"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1E08C1BA"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7日 ≤ Y ＜ 30日</w:t>
            </w:r>
          </w:p>
        </w:tc>
        <w:tc>
          <w:tcPr>
            <w:tcW w:w="2127" w:type="dxa"/>
            <w:tcBorders>
              <w:top w:val="single" w:sz="4" w:space="0" w:color="auto"/>
              <w:left w:val="single" w:sz="4" w:space="0" w:color="auto"/>
              <w:bottom w:val="single" w:sz="4" w:space="0" w:color="auto"/>
              <w:right w:val="single" w:sz="4" w:space="0" w:color="auto"/>
            </w:tcBorders>
          </w:tcPr>
          <w:p w14:paraId="50FCB2E5"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0.75%</w:t>
            </w:r>
          </w:p>
        </w:tc>
        <w:tc>
          <w:tcPr>
            <w:tcW w:w="2284" w:type="dxa"/>
            <w:tcBorders>
              <w:top w:val="single" w:sz="4" w:space="0" w:color="auto"/>
              <w:left w:val="single" w:sz="4" w:space="0" w:color="auto"/>
              <w:bottom w:val="single" w:sz="4" w:space="0" w:color="auto"/>
              <w:right w:val="single" w:sz="4" w:space="0" w:color="auto"/>
            </w:tcBorders>
          </w:tcPr>
          <w:p w14:paraId="0967C91F" w14:textId="77777777" w:rsidR="005E308D" w:rsidRDefault="00945B44">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r>
      <w:tr w:rsidR="005E308D" w14:paraId="0B6A32F1"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7BDDF389"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30日 ≤ Y ＜180日</w:t>
            </w:r>
          </w:p>
        </w:tc>
        <w:tc>
          <w:tcPr>
            <w:tcW w:w="2127" w:type="dxa"/>
            <w:tcBorders>
              <w:top w:val="single" w:sz="4" w:space="0" w:color="auto"/>
              <w:left w:val="single" w:sz="4" w:space="0" w:color="auto"/>
              <w:bottom w:val="single" w:sz="4" w:space="0" w:color="auto"/>
              <w:right w:val="single" w:sz="4" w:space="0" w:color="auto"/>
            </w:tcBorders>
          </w:tcPr>
          <w:p w14:paraId="0CD4D4AB"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c>
          <w:tcPr>
            <w:tcW w:w="2284" w:type="dxa"/>
            <w:tcBorders>
              <w:top w:val="single" w:sz="4" w:space="0" w:color="auto"/>
              <w:left w:val="single" w:sz="4" w:space="0" w:color="auto"/>
              <w:bottom w:val="single" w:sz="4" w:space="0" w:color="auto"/>
              <w:right w:val="single" w:sz="4" w:space="0" w:color="auto"/>
            </w:tcBorders>
          </w:tcPr>
          <w:p w14:paraId="5BEF6E60" w14:textId="77777777" w:rsidR="005E308D" w:rsidRDefault="00945B44">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r w:rsidR="005E308D" w14:paraId="1AB1DD36"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043107C5"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Y≥180日</w:t>
            </w:r>
          </w:p>
        </w:tc>
        <w:tc>
          <w:tcPr>
            <w:tcW w:w="2127" w:type="dxa"/>
            <w:tcBorders>
              <w:top w:val="single" w:sz="4" w:space="0" w:color="auto"/>
              <w:left w:val="single" w:sz="4" w:space="0" w:color="auto"/>
              <w:bottom w:val="single" w:sz="4" w:space="0" w:color="auto"/>
              <w:right w:val="single" w:sz="4" w:space="0" w:color="auto"/>
            </w:tcBorders>
          </w:tcPr>
          <w:p w14:paraId="6803B73A"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c>
          <w:tcPr>
            <w:tcW w:w="2284" w:type="dxa"/>
            <w:tcBorders>
              <w:top w:val="single" w:sz="4" w:space="0" w:color="auto"/>
              <w:left w:val="single" w:sz="4" w:space="0" w:color="auto"/>
              <w:bottom w:val="single" w:sz="4" w:space="0" w:color="auto"/>
              <w:right w:val="single" w:sz="4" w:space="0" w:color="auto"/>
            </w:tcBorders>
          </w:tcPr>
          <w:p w14:paraId="719921C8" w14:textId="77777777" w:rsidR="005E308D" w:rsidRDefault="00945B44">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bl>
    <w:p w14:paraId="3480154B" w14:textId="77777777" w:rsidR="005E308D" w:rsidRDefault="005E308D">
      <w:pPr>
        <w:adjustRightInd w:val="0"/>
        <w:snapToGrid w:val="0"/>
        <w:spacing w:line="360" w:lineRule="auto"/>
        <w:rPr>
          <w:rFonts w:asciiTheme="minorEastAsia" w:hAnsiTheme="minorEastAsia" w:cs="Arial" w:hint="eastAsia"/>
          <w:sz w:val="24"/>
          <w:szCs w:val="24"/>
        </w:rPr>
      </w:pPr>
    </w:p>
    <w:p w14:paraId="30BDAC5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赎回费用由赎回基金份额的基金份额持有人承担，在基金份额持有人赎回基金份额时收取。</w:t>
      </w:r>
    </w:p>
    <w:p w14:paraId="7788A9F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就A类基金份额，对持续持有期少于30日的投资人收取的赎回费全额计入基金财产；对持续持有期不少于30日但少于3个月的投资人收取的赎回费总额的75%计入基金财产；对持续持有期不少于3个月但少于6个月的投资人收取的赎回费总额的50%计入基金财产；就C类基金份额，收取的赎回费全额计入基金财产。上述未纳入基金财产的赎回费用于支付登记费和其他必要的手续费（注：1个月按30日计算，3个月按90日计算，以此类推）。</w:t>
      </w:r>
    </w:p>
    <w:p w14:paraId="50ED635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、基金管理人可以在基金合同约定的范围内调整费率或收费方式，并最迟应于新的费率或收费方式实施日前依照《信息披露办法》的有关规定在规定媒介上公告。</w:t>
      </w:r>
    </w:p>
    <w:p w14:paraId="3E07D432" w14:textId="77777777" w:rsidR="005E308D" w:rsidRDefault="00945B44">
      <w:pPr>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sz w:val="24"/>
          <w:szCs w:val="24"/>
        </w:rPr>
        <w:t>4</w:t>
      </w:r>
      <w:r>
        <w:rPr>
          <w:rFonts w:asciiTheme="minorEastAsia" w:hAnsiTheme="minorEastAsia" w:cs="Arial" w:hint="eastAsia"/>
          <w:sz w:val="24"/>
          <w:szCs w:val="24"/>
        </w:rPr>
        <w:t>、</w:t>
      </w:r>
      <w:r>
        <w:rPr>
          <w:rFonts w:asciiTheme="minorEastAsia" w:hAnsiTheme="minorEastAsia" w:cs="Arial" w:hint="eastAsia"/>
          <w:bCs/>
          <w:sz w:val="24"/>
          <w:szCs w:val="24"/>
        </w:rPr>
        <w:t>基金管理人可以在不违背法律法规规定、基金合同约定及基金持有人利益</w:t>
      </w:r>
      <w:r>
        <w:rPr>
          <w:rFonts w:asciiTheme="minorEastAsia" w:hAnsiTheme="minorEastAsia" w:cs="Arial" w:hint="eastAsia"/>
          <w:bCs/>
          <w:sz w:val="24"/>
          <w:szCs w:val="24"/>
        </w:rPr>
        <w:lastRenderedPageBreak/>
        <w:t>的情况下根据市场情况制定基金促销计划，定期和不定期地开展基金促销活动。在基金促销活动期间，基金管理人可以按中国证监会要求履行必要手续后，对基金投资者适当调低基金销售费用。</w:t>
      </w:r>
    </w:p>
    <w:p w14:paraId="4D645DBA" w14:textId="77777777" w:rsidR="005E308D" w:rsidRDefault="00945B44">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七、</w:t>
      </w:r>
      <w:r>
        <w:rPr>
          <w:rFonts w:asciiTheme="minorEastAsia" w:hAnsiTheme="minorEastAsia" w:cs="Arial"/>
          <w:b/>
          <w:bCs/>
          <w:sz w:val="24"/>
          <w:szCs w:val="24"/>
        </w:rPr>
        <w:t>A</w:t>
      </w:r>
      <w:r>
        <w:rPr>
          <w:rFonts w:asciiTheme="minorEastAsia" w:hAnsiTheme="minorEastAsia" w:cs="Arial" w:hint="eastAsia"/>
          <w:b/>
          <w:bCs/>
          <w:sz w:val="24"/>
          <w:szCs w:val="24"/>
        </w:rPr>
        <w:t>类基金份额与</w:t>
      </w:r>
      <w:r>
        <w:rPr>
          <w:rFonts w:asciiTheme="minorEastAsia" w:hAnsiTheme="minorEastAsia" w:cs="Arial"/>
          <w:b/>
          <w:bCs/>
          <w:sz w:val="24"/>
          <w:szCs w:val="24"/>
        </w:rPr>
        <w:t>C</w:t>
      </w:r>
      <w:r>
        <w:rPr>
          <w:rFonts w:asciiTheme="minorEastAsia" w:hAnsiTheme="minorEastAsia" w:cs="Arial" w:hint="eastAsia"/>
          <w:b/>
          <w:bCs/>
          <w:sz w:val="24"/>
          <w:szCs w:val="24"/>
        </w:rPr>
        <w:t>类基金份额的申购份额与赎回金额的计算方式</w:t>
      </w:r>
    </w:p>
    <w:p w14:paraId="1E6C811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1、A类基金份额申购份额的计算方式：</w:t>
      </w:r>
    </w:p>
    <w:p w14:paraId="43A00A2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（1）当申购费用适用比例费率时，申购份额的计算公式如下：</w:t>
      </w:r>
    </w:p>
    <w:p w14:paraId="6DB2044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净申购金额=申购金额/（1+申购费率）</w:t>
      </w:r>
    </w:p>
    <w:p w14:paraId="615B2C0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申购费用=申购金额－净申购金额</w:t>
      </w:r>
    </w:p>
    <w:p w14:paraId="01B3E0E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 日A类基金份额净值</w:t>
      </w:r>
    </w:p>
    <w:p w14:paraId="6CC8D7A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（2）当申购费用为固定金额时，申购份额的计算方法如下：</w:t>
      </w:r>
    </w:p>
    <w:p w14:paraId="7005658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申购费用＝固定费用</w:t>
      </w:r>
    </w:p>
    <w:p w14:paraId="1A13D5D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净申购金额＝申购金额－申购费用</w:t>
      </w:r>
    </w:p>
    <w:p w14:paraId="05FE5F3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申购份额＝净申购金额/T日A类基金份额净值</w:t>
      </w:r>
    </w:p>
    <w:p w14:paraId="0A975B8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上述计算结果按照四舍五入方法，保留小数点后两位，由此产生的收益或损失由基金财产承担。</w:t>
      </w:r>
    </w:p>
    <w:p w14:paraId="6B9E493D"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例：某投资者投资50,000 元申购本基金A类基金份额，且该申购申请被全额确认，对应的申购费率为1.5%，假定申购当日A类基金份额净值为1.0500元，则可得到的申购份额为：</w:t>
      </w:r>
    </w:p>
    <w:p w14:paraId="326CA02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净申购金额＝50,000/(1+1.5%)＝49,261.08元</w:t>
      </w:r>
    </w:p>
    <w:p w14:paraId="0C48965E"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申购费用＝50,000－49,261.08＝738.92元</w:t>
      </w:r>
    </w:p>
    <w:p w14:paraId="57BD4F5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申购份额＝49,261.08/1.0500＝46,915.31 份</w:t>
      </w:r>
    </w:p>
    <w:p w14:paraId="1499A97B"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即投资者投资50,000 元申购本基金A类基金份额，假定申购当日A类基金份额净值为1.0500元，可得到46,915.31份A类基金份额。</w:t>
      </w:r>
    </w:p>
    <w:p w14:paraId="6607843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2、C类基金份额申购份额的计算方式：</w:t>
      </w:r>
    </w:p>
    <w:p w14:paraId="4968E69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申购份额＝申购金额/T日C类基金份额净值</w:t>
      </w:r>
    </w:p>
    <w:p w14:paraId="5863CF5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上述计算结果按照四舍五入方法，保留小数点后两位，由此产生的收益或损失由基金财产承担。</w:t>
      </w:r>
    </w:p>
    <w:p w14:paraId="0815AF7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元申购本基金C类基金份额，且该申购申请被全额确认，假定申购当日C类基金份额净值为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2300元，则可得到的申购份额为：</w:t>
      </w:r>
    </w:p>
    <w:p w14:paraId="42FA56C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1.</w:t>
      </w:r>
      <w:r>
        <w:rPr>
          <w:rFonts w:asciiTheme="minorEastAsia" w:hAnsiTheme="minorEastAsia" w:cs="Arial" w:hint="eastAsia"/>
          <w:sz w:val="24"/>
          <w:szCs w:val="24"/>
        </w:rPr>
        <w:t>2500=4</w:t>
      </w:r>
      <w:r>
        <w:rPr>
          <w:rFonts w:asciiTheme="minorEastAsia" w:hAnsiTheme="minorEastAsia" w:cs="Arial"/>
          <w:sz w:val="24"/>
          <w:szCs w:val="24"/>
        </w:rPr>
        <w:t>,</w:t>
      </w:r>
      <w:r>
        <w:rPr>
          <w:rFonts w:asciiTheme="minorEastAsia" w:hAnsiTheme="minorEastAsia" w:cs="Arial" w:hint="eastAsia"/>
          <w:sz w:val="24"/>
          <w:szCs w:val="24"/>
        </w:rPr>
        <w:t>000,000.00份</w:t>
      </w:r>
    </w:p>
    <w:p w14:paraId="18E0009D"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即投资者投资5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2500元，可得到4</w:t>
      </w:r>
      <w:r>
        <w:rPr>
          <w:rFonts w:asciiTheme="minorEastAsia" w:hAnsiTheme="minorEastAsia" w:cs="Arial"/>
          <w:sz w:val="24"/>
          <w:szCs w:val="24"/>
        </w:rPr>
        <w:t>,0</w:t>
      </w:r>
      <w:r>
        <w:rPr>
          <w:rFonts w:asciiTheme="minorEastAsia" w:hAnsiTheme="minorEastAsia" w:cs="Arial" w:hint="eastAsia"/>
          <w:sz w:val="24"/>
          <w:szCs w:val="24"/>
        </w:rPr>
        <w:t>00,000.00份C类基金份额。</w:t>
      </w:r>
    </w:p>
    <w:p w14:paraId="6484453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w:t>
      </w:r>
      <w:r>
        <w:rPr>
          <w:rFonts w:asciiTheme="minorEastAsia" w:hAnsiTheme="minorEastAsia" w:cs="Arial"/>
          <w:sz w:val="24"/>
          <w:szCs w:val="24"/>
        </w:rPr>
        <w:t xml:space="preserve"> </w:t>
      </w:r>
      <w:r>
        <w:rPr>
          <w:rFonts w:asciiTheme="minorEastAsia" w:hAnsiTheme="minorEastAsia" w:cs="Arial" w:hint="eastAsia"/>
          <w:sz w:val="24"/>
          <w:szCs w:val="24"/>
        </w:rPr>
        <w:t>赎回金额的计算方式：</w:t>
      </w:r>
    </w:p>
    <w:p w14:paraId="416092C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w:t>
      </w:r>
      <w:r>
        <w:rPr>
          <w:rFonts w:asciiTheme="minorEastAsia" w:hAnsiTheme="minorEastAsia" w:cs="Arial" w:hint="eastAsia"/>
          <w:sz w:val="24"/>
          <w:szCs w:val="24"/>
        </w:rPr>
        <w:t>赎回份额×</w:t>
      </w:r>
      <w:r>
        <w:rPr>
          <w:rFonts w:asciiTheme="minorEastAsia" w:hAnsiTheme="minorEastAsia" w:cs="Arial"/>
          <w:sz w:val="24"/>
          <w:szCs w:val="24"/>
        </w:rPr>
        <w:t>T</w:t>
      </w:r>
      <w:r>
        <w:rPr>
          <w:rFonts w:asciiTheme="minorEastAsia" w:hAnsiTheme="minorEastAsia" w:cs="Arial" w:hint="eastAsia"/>
          <w:sz w:val="24"/>
          <w:szCs w:val="24"/>
        </w:rPr>
        <w:t>日该类别基金份额净值</w:t>
      </w:r>
    </w:p>
    <w:p w14:paraId="30EB5B1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w:t>
      </w:r>
      <w:r>
        <w:rPr>
          <w:rFonts w:asciiTheme="minorEastAsia" w:hAnsiTheme="minorEastAsia" w:cs="Arial" w:hint="eastAsia"/>
          <w:sz w:val="24"/>
          <w:szCs w:val="24"/>
        </w:rPr>
        <w:t>赎回总额×赎回费率</w:t>
      </w:r>
    </w:p>
    <w:p w14:paraId="5012852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w:t>
      </w:r>
      <w:r>
        <w:rPr>
          <w:rFonts w:asciiTheme="minorEastAsia" w:hAnsiTheme="minorEastAsia" w:cs="Arial" w:hint="eastAsia"/>
          <w:sz w:val="24"/>
          <w:szCs w:val="24"/>
        </w:rPr>
        <w:t>赎回总额－赎回费用</w:t>
      </w:r>
    </w:p>
    <w:p w14:paraId="718B166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上述计算结果均按四舍五入方法，保留到小数点后2位，由此产生的收益或损失由基金财产承担。</w:t>
      </w:r>
    </w:p>
    <w:p w14:paraId="7FE7B3E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例1：某投资者赎回</w:t>
      </w:r>
      <w:r>
        <w:rPr>
          <w:rFonts w:asciiTheme="minorEastAsia" w:hAnsiTheme="minorEastAsia" w:cs="Arial"/>
          <w:sz w:val="24"/>
          <w:szCs w:val="24"/>
        </w:rPr>
        <w:t xml:space="preserve">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类基金份额且持有时间为3个月，赎回费率为</w:t>
      </w:r>
      <w:r>
        <w:rPr>
          <w:rFonts w:asciiTheme="minorEastAsia" w:hAnsiTheme="minorEastAsia" w:cs="Arial"/>
          <w:sz w:val="24"/>
          <w:szCs w:val="24"/>
        </w:rPr>
        <w:t>0.5%</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元，则可得到的赎回金额为：</w:t>
      </w:r>
    </w:p>
    <w:p w14:paraId="76ED853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 xml:space="preserve"> = 10,000 </w:t>
      </w:r>
      <w:r>
        <w:rPr>
          <w:rFonts w:asciiTheme="minorEastAsia" w:hAnsiTheme="minorEastAsia" w:cs="Arial" w:hint="eastAsia"/>
          <w:sz w:val="24"/>
          <w:szCs w:val="24"/>
        </w:rPr>
        <w:t>×</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10,680.00 </w:t>
      </w:r>
      <w:r>
        <w:rPr>
          <w:rFonts w:asciiTheme="minorEastAsia" w:hAnsiTheme="minorEastAsia" w:cs="Arial" w:hint="eastAsia"/>
          <w:sz w:val="24"/>
          <w:szCs w:val="24"/>
        </w:rPr>
        <w:t>元</w:t>
      </w:r>
    </w:p>
    <w:p w14:paraId="111BDF1B"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 xml:space="preserve"> = 10,680.00 </w:t>
      </w:r>
      <w:r>
        <w:rPr>
          <w:rFonts w:asciiTheme="minorEastAsia" w:hAnsiTheme="minorEastAsia" w:cs="Arial" w:hint="eastAsia"/>
          <w:sz w:val="24"/>
          <w:szCs w:val="24"/>
        </w:rPr>
        <w:t>×</w:t>
      </w:r>
      <w:r>
        <w:rPr>
          <w:rFonts w:asciiTheme="minorEastAsia" w:hAnsiTheme="minorEastAsia" w:cs="Arial"/>
          <w:sz w:val="24"/>
          <w:szCs w:val="24"/>
        </w:rPr>
        <w:t xml:space="preserve">0.5% = 53.40 </w:t>
      </w:r>
      <w:r>
        <w:rPr>
          <w:rFonts w:asciiTheme="minorEastAsia" w:hAnsiTheme="minorEastAsia" w:cs="Arial" w:hint="eastAsia"/>
          <w:sz w:val="24"/>
          <w:szCs w:val="24"/>
        </w:rPr>
        <w:t>元</w:t>
      </w:r>
    </w:p>
    <w:p w14:paraId="754ABFB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 xml:space="preserve"> = 10,680.00 - 53.40 = 10,626.60 </w:t>
      </w:r>
      <w:r>
        <w:rPr>
          <w:rFonts w:asciiTheme="minorEastAsia" w:hAnsiTheme="minorEastAsia" w:cs="Arial" w:hint="eastAsia"/>
          <w:sz w:val="24"/>
          <w:szCs w:val="24"/>
        </w:rPr>
        <w:t>元</w:t>
      </w:r>
    </w:p>
    <w:p w14:paraId="4FAA809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即：投资者赎回</w:t>
      </w:r>
      <w:r>
        <w:rPr>
          <w:rFonts w:asciiTheme="minorEastAsia" w:hAnsiTheme="minorEastAsia" w:cs="Arial"/>
          <w:sz w:val="24"/>
          <w:szCs w:val="24"/>
        </w:rPr>
        <w:t xml:space="preserve"> 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类基金份额且持有时间为3个月，假设赎回申请当日</w:t>
      </w:r>
      <w:r>
        <w:rPr>
          <w:rFonts w:asciiTheme="minorEastAsia" w:hAnsiTheme="minorEastAsia" w:cs="Arial"/>
          <w:sz w:val="24"/>
          <w:szCs w:val="24"/>
        </w:rPr>
        <w:t>A</w:t>
      </w:r>
      <w:r>
        <w:rPr>
          <w:rFonts w:asciiTheme="minorEastAsia" w:hAnsiTheme="minorEastAsia" w:cs="Arial" w:hint="eastAsia"/>
          <w:sz w:val="24"/>
          <w:szCs w:val="24"/>
        </w:rPr>
        <w:t>类基金份额的基金份额净值是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元，则其可得到的赎回金额为</w:t>
      </w:r>
      <w:r>
        <w:rPr>
          <w:rFonts w:asciiTheme="minorEastAsia" w:hAnsiTheme="minorEastAsia" w:cs="Arial"/>
          <w:sz w:val="24"/>
          <w:szCs w:val="24"/>
        </w:rPr>
        <w:t xml:space="preserve">10,626.60 </w:t>
      </w:r>
      <w:r>
        <w:rPr>
          <w:rFonts w:asciiTheme="minorEastAsia" w:hAnsiTheme="minorEastAsia" w:cs="Arial" w:hint="eastAsia"/>
          <w:sz w:val="24"/>
          <w:szCs w:val="24"/>
        </w:rPr>
        <w:t>元。</w:t>
      </w:r>
    </w:p>
    <w:p w14:paraId="5B13ECE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例2：某投资人赎回本基金10,000份C类基金份额，持有时间为20日，对应的赎回费率为0.5%，假设赎回当日C类基金份额净值是1.0680元，则其可得到的赎回金额为：</w:t>
      </w:r>
    </w:p>
    <w:p w14:paraId="2674682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赎回金额=10,000×1.0680=10,680元</w:t>
      </w:r>
    </w:p>
    <w:p w14:paraId="5ACBB0C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赎回费用=10,680×0.5%=53.40元</w:t>
      </w:r>
    </w:p>
    <w:p w14:paraId="53488BC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净赎回金额=10,680-53.40=10,626.60元</w:t>
      </w:r>
    </w:p>
    <w:p w14:paraId="2126CC2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即：投资人赎回本基金10,000份C类基金份额，持有期限为20日，假设赎回当日本基金C类基金份额净值是1.0680元，则其可得到的净赎回金额为10,626.60元。</w:t>
      </w:r>
    </w:p>
    <w:p w14:paraId="6871AD02"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hint="eastAsia"/>
          <w:sz w:val="24"/>
          <w:szCs w:val="24"/>
        </w:rPr>
        <w:t>4、</w:t>
      </w:r>
      <w:r>
        <w:rPr>
          <w:rFonts w:asciiTheme="minorEastAsia" w:hAnsiTheme="minorEastAsia" w:cs="Arial" w:hint="eastAsia"/>
          <w:bCs/>
          <w:sz w:val="24"/>
          <w:szCs w:val="24"/>
        </w:rPr>
        <w:t>本基金</w:t>
      </w:r>
      <w:r>
        <w:rPr>
          <w:rFonts w:asciiTheme="minorEastAsia" w:hAnsiTheme="minorEastAsia" w:cs="Arial"/>
          <w:bCs/>
          <w:sz w:val="24"/>
          <w:szCs w:val="24"/>
        </w:rPr>
        <w:t>A</w:t>
      </w:r>
      <w:r>
        <w:rPr>
          <w:rFonts w:asciiTheme="minorEastAsia" w:hAnsiTheme="minorEastAsia" w:cs="Arial" w:hint="eastAsia"/>
          <w:bCs/>
          <w:sz w:val="24"/>
          <w:szCs w:val="24"/>
        </w:rPr>
        <w:t>类基金份额和</w:t>
      </w:r>
      <w:r>
        <w:rPr>
          <w:rFonts w:asciiTheme="minorEastAsia" w:hAnsiTheme="minorEastAsia" w:cs="Arial"/>
          <w:bCs/>
          <w:sz w:val="24"/>
          <w:szCs w:val="24"/>
        </w:rPr>
        <w:t>C</w:t>
      </w:r>
      <w:r>
        <w:rPr>
          <w:rFonts w:asciiTheme="minorEastAsia" w:hAnsiTheme="minorEastAsia" w:cs="Arial" w:hint="eastAsia"/>
          <w:bCs/>
          <w:sz w:val="24"/>
          <w:szCs w:val="24"/>
        </w:rPr>
        <w:t>类基金份额分别设置代码，分别计算和公告两类基金份额净值和两类基金份额累计净值。</w:t>
      </w:r>
      <w:r>
        <w:rPr>
          <w:rFonts w:asciiTheme="minorEastAsia" w:hAnsiTheme="minorEastAsia" w:cs="Times New Roman" w:hint="eastAsia"/>
          <w:sz w:val="24"/>
          <w:szCs w:val="24"/>
        </w:rPr>
        <w:t>本基金两类基金份额净值的计算，保留到小数点后4位，小数点后第5位四舍五入，由此产生的收益或损失由基金财产承担。</w:t>
      </w:r>
      <w:r>
        <w:rPr>
          <w:rFonts w:asciiTheme="minorEastAsia" w:hAnsiTheme="minorEastAsia" w:cs="Times New Roman"/>
          <w:sz w:val="24"/>
          <w:szCs w:val="24"/>
        </w:rPr>
        <w:t>T</w:t>
      </w:r>
      <w:r>
        <w:rPr>
          <w:rFonts w:asciiTheme="minorEastAsia" w:hAnsiTheme="minorEastAsia" w:cs="Times New Roman" w:hint="eastAsia"/>
          <w:sz w:val="24"/>
          <w:szCs w:val="24"/>
        </w:rPr>
        <w:t>日的基金份额净值在当天收市后计算，并在</w:t>
      </w:r>
      <w:r>
        <w:rPr>
          <w:rFonts w:asciiTheme="minorEastAsia" w:hAnsiTheme="minorEastAsia" w:cs="Times New Roman"/>
          <w:sz w:val="24"/>
          <w:szCs w:val="24"/>
        </w:rPr>
        <w:t>T+1</w:t>
      </w:r>
      <w:r>
        <w:rPr>
          <w:rFonts w:asciiTheme="minorEastAsia" w:hAnsiTheme="minorEastAsia" w:cs="Times New Roman" w:hint="eastAsia"/>
          <w:sz w:val="24"/>
          <w:szCs w:val="24"/>
        </w:rPr>
        <w:t>日内公告。遇特殊情况，经中国</w:t>
      </w:r>
      <w:r>
        <w:rPr>
          <w:rFonts w:asciiTheme="minorEastAsia" w:hAnsiTheme="minorEastAsia" w:cs="Times New Roman" w:hint="eastAsia"/>
          <w:sz w:val="24"/>
          <w:szCs w:val="24"/>
        </w:rPr>
        <w:lastRenderedPageBreak/>
        <w:t>证监会同意，可以适当延迟计算或公告。</w:t>
      </w:r>
    </w:p>
    <w:p w14:paraId="6C070735" w14:textId="77777777" w:rsidR="005E308D" w:rsidRDefault="00945B44">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Times New Roman" w:hint="eastAsia"/>
          <w:b/>
          <w:sz w:val="24"/>
          <w:szCs w:val="24"/>
        </w:rPr>
        <w:t>八、申购与赎回的登记业务</w:t>
      </w:r>
    </w:p>
    <w:p w14:paraId="64AC622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、投资人</w:t>
      </w:r>
      <w:r>
        <w:rPr>
          <w:rFonts w:asciiTheme="minorEastAsia" w:hAnsiTheme="minorEastAsia" w:cs="Times New Roman" w:hint="eastAsia"/>
          <w:sz w:val="24"/>
          <w:szCs w:val="24"/>
        </w:rPr>
        <w:t>申购基金成功后，在正常情况下，基金登记机构在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日为投资者登记权益并办理登记手续，投资者自</w:t>
      </w:r>
      <w:r>
        <w:rPr>
          <w:rFonts w:asciiTheme="minorEastAsia" w:hAnsiTheme="minorEastAsia" w:cs="Arial"/>
          <w:sz w:val="24"/>
          <w:szCs w:val="24"/>
        </w:rPr>
        <w:t>T+2</w:t>
      </w:r>
      <w:r>
        <w:rPr>
          <w:rFonts w:asciiTheme="minorEastAsia" w:hAnsiTheme="minorEastAsia" w:cs="Times New Roman" w:hint="eastAsia"/>
          <w:sz w:val="24"/>
          <w:szCs w:val="24"/>
        </w:rPr>
        <w:t>日（含该日）后有权赎回该部分基金份额。</w:t>
      </w:r>
    </w:p>
    <w:p w14:paraId="443E739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、投资人</w:t>
      </w:r>
      <w:r>
        <w:rPr>
          <w:rFonts w:asciiTheme="minorEastAsia" w:hAnsiTheme="minorEastAsia" w:cs="Times New Roman" w:hint="eastAsia"/>
          <w:sz w:val="24"/>
          <w:szCs w:val="24"/>
        </w:rPr>
        <w:t>赎回基金成功后，在正常情况下，基金登记机构在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日为投资者办理扣除权益的登记手续。</w:t>
      </w:r>
    </w:p>
    <w:p w14:paraId="2AE4761E"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、基金管理人可以在法律法规允许的范围内，对上述登记办理时间进行调整，但不得实质影响投资者的合法权益，并最迟于开始实施前</w:t>
      </w:r>
      <w:r>
        <w:rPr>
          <w:rFonts w:asciiTheme="minorEastAsia" w:hAnsiTheme="minorEastAsia" w:cs="Arial" w:hint="eastAsia"/>
          <w:sz w:val="24"/>
          <w:szCs w:val="24"/>
        </w:rPr>
        <w:t>依照《信息披露办法》的有关规定</w:t>
      </w:r>
      <w:r>
        <w:rPr>
          <w:rFonts w:asciiTheme="minorEastAsia" w:hAnsiTheme="minorEastAsia" w:cs="Times New Roman" w:hint="eastAsia"/>
          <w:sz w:val="24"/>
          <w:szCs w:val="24"/>
        </w:rPr>
        <w:t>在规定媒介公告。</w:t>
      </w:r>
    </w:p>
    <w:p w14:paraId="19941AB8" w14:textId="77777777" w:rsidR="005E308D" w:rsidRDefault="00945B44">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九、拒绝或暂停申购的情形及处理</w:t>
      </w:r>
    </w:p>
    <w:p w14:paraId="61D1B2B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发生下列情况时，基金管理人可拒绝或暂停接受投资人的申购申请：</w:t>
      </w:r>
    </w:p>
    <w:p w14:paraId="44C15D2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1、因不可抗力导致基金无法正常运作。</w:t>
      </w:r>
    </w:p>
    <w:p w14:paraId="491FC97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2、发生基金合同规定的暂停基金资产估值情况时，基金管理人可暂停接受投资人的申购申请。</w:t>
      </w:r>
    </w:p>
    <w:p w14:paraId="638065FE"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3、证券、期货交易所交易时间非正常停市，导致基金管理人无法计算当日基金资产净值。</w:t>
      </w:r>
    </w:p>
    <w:p w14:paraId="4FD5AEF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4、接受某笔或某些申购申请可能会影响或损害现有基金份额持有人利益时。</w:t>
      </w:r>
    </w:p>
    <w:p w14:paraId="53A636E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5、基金资产规模过大，使基金管理人无法找到合适的投资品种，或其他可能对基金业绩产生负面影响，或发生其他损害现有基金份额持有人利益的情形。</w:t>
      </w:r>
    </w:p>
    <w:p w14:paraId="2A965CA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6、当特定资产占前一估值日基金资产净值50%以上的，经与基金托管人协商确认后，基金管理人应当暂停接受基金申购申请。</w:t>
      </w:r>
    </w:p>
    <w:p w14:paraId="656DF0E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7、基金管理人接受某笔或者某些申购申请有可能导致单一投资者持有基金份额的比例达到或者超过50%，或者变相规避50%集中度的情形。</w:t>
      </w:r>
    </w:p>
    <w:p w14:paraId="45BF8D28"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8</w:t>
      </w:r>
      <w:r>
        <w:rPr>
          <w:rFonts w:asciiTheme="minorEastAsia" w:hAnsiTheme="minorEastAsia" w:cs="Arial" w:hint="eastAsia"/>
          <w:sz w:val="24"/>
          <w:szCs w:val="24"/>
        </w:rPr>
        <w:t>、基金管理人、基金托管人、基金销售机构或登记机构的异常情况导致基金销售系统、登记系统或基金会计系统无法正常运行。</w:t>
      </w:r>
    </w:p>
    <w:p w14:paraId="60971D0F"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9</w:t>
      </w:r>
      <w:r>
        <w:rPr>
          <w:rFonts w:asciiTheme="minorEastAsia" w:hAnsiTheme="minorEastAsia" w:cs="Arial" w:hint="eastAsia"/>
          <w:sz w:val="24"/>
          <w:szCs w:val="24"/>
        </w:rPr>
        <w:t>、接受某笔或某些申购申请超过基金管理人设定的本基金的总规模限额、单日净申购比例上限、单一投资者单日或单笔申购金额上限的。</w:t>
      </w:r>
    </w:p>
    <w:p w14:paraId="2042A70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10</w:t>
      </w:r>
      <w:r>
        <w:rPr>
          <w:rFonts w:asciiTheme="minorEastAsia" w:hAnsiTheme="minorEastAsia" w:cs="Arial" w:hint="eastAsia"/>
          <w:sz w:val="24"/>
          <w:szCs w:val="24"/>
        </w:rPr>
        <w:t>、法律法规规定或中国证监会认定的其他情形。</w:t>
      </w:r>
    </w:p>
    <w:p w14:paraId="380DDA6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发生上述第1、2、3、5、6、8、</w:t>
      </w:r>
      <w:r>
        <w:rPr>
          <w:rFonts w:asciiTheme="minorEastAsia" w:hAnsiTheme="minorEastAsia" w:cs="Arial"/>
          <w:sz w:val="24"/>
          <w:szCs w:val="24"/>
        </w:rPr>
        <w:t>10</w:t>
      </w:r>
      <w:r>
        <w:rPr>
          <w:rFonts w:asciiTheme="minorEastAsia" w:hAnsiTheme="minorEastAsia" w:cs="Arial" w:hint="eastAsia"/>
          <w:sz w:val="24"/>
          <w:szCs w:val="24"/>
        </w:rPr>
        <w:t>项暂停申购情形之一且基金管理人决定暂停接受投资人的申购申请时，基金管理人应当根据有关规定在规定媒介上刊登暂停</w:t>
      </w:r>
      <w:r>
        <w:rPr>
          <w:rFonts w:asciiTheme="minorEastAsia" w:hAnsiTheme="minorEastAsia" w:cs="Arial" w:hint="eastAsia"/>
          <w:sz w:val="24"/>
          <w:szCs w:val="24"/>
        </w:rPr>
        <w:lastRenderedPageBreak/>
        <w:t>申购公告。如果投资人的申购申请被拒绝，被拒绝的申购款项本金将退还给投资人。在暂停申购的情况消除时，基金管理人应及时恢复申购业务的办理。</w:t>
      </w:r>
    </w:p>
    <w:p w14:paraId="0680AA17" w14:textId="77777777" w:rsidR="005E308D" w:rsidRDefault="00945B44">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十、暂停赎回或延缓支付赎回款项的情形</w:t>
      </w:r>
    </w:p>
    <w:p w14:paraId="1109F3D3" w14:textId="77777777" w:rsidR="005E308D" w:rsidRDefault="00945B44">
      <w:pPr>
        <w:widowControl/>
        <w:spacing w:line="360" w:lineRule="auto"/>
        <w:ind w:firstLineChars="200" w:firstLine="480"/>
        <w:jc w:val="left"/>
        <w:rPr>
          <w:rFonts w:asciiTheme="minorEastAsia" w:hAnsiTheme="minorEastAsia" w:cs="Arial" w:hint="eastAsia"/>
          <w:sz w:val="24"/>
          <w:szCs w:val="24"/>
        </w:rPr>
      </w:pPr>
      <w:bookmarkStart w:id="191" w:name="_Toc416264545"/>
      <w:bookmarkStart w:id="192" w:name="_Toc739"/>
      <w:bookmarkStart w:id="193" w:name="_Toc20976"/>
      <w:bookmarkStart w:id="194" w:name="_Toc98560356"/>
      <w:bookmarkStart w:id="195" w:name="_Toc5170"/>
      <w:bookmarkStart w:id="196" w:name="_Toc29408"/>
      <w:bookmarkStart w:id="197" w:name="_Toc32584"/>
      <w:bookmarkStart w:id="198" w:name="_Toc141703890"/>
      <w:bookmarkStart w:id="199" w:name="_Toc48649708"/>
      <w:bookmarkStart w:id="200" w:name="_Toc17198"/>
      <w:bookmarkStart w:id="201" w:name="_Toc352229756"/>
      <w:bookmarkStart w:id="202" w:name="_Toc123112238"/>
      <w:bookmarkStart w:id="203" w:name="_Toc21237"/>
      <w:bookmarkStart w:id="204" w:name="_Toc139991740"/>
      <w:bookmarkStart w:id="205" w:name="_Toc123051456"/>
      <w:bookmarkStart w:id="206" w:name="_Toc79392622"/>
      <w:bookmarkStart w:id="207" w:name="_Toc8791"/>
      <w:bookmarkStart w:id="208" w:name="_Toc17920"/>
      <w:bookmarkStart w:id="209" w:name="_Toc3329"/>
      <w:bookmarkStart w:id="210" w:name="_Toc123102457"/>
      <w:bookmarkStart w:id="211" w:name="_Toc32092"/>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asciiTheme="minorEastAsia" w:hAnsiTheme="minorEastAsia" w:cs="Arial" w:hint="eastAsia"/>
          <w:sz w:val="24"/>
          <w:szCs w:val="24"/>
        </w:rPr>
        <w:t>发生下列情形时，基金管理人可暂停接受投资人的赎回申请或延缓支付赎回款项：</w:t>
      </w:r>
    </w:p>
    <w:p w14:paraId="45DB935C"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1、因不可抗力导致基金管理人不能支付赎回款项。</w:t>
      </w:r>
    </w:p>
    <w:p w14:paraId="13B1029F"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2、发生基金合同规定的暂停基金资产估值情况时，基金管理人可暂停接受投资人的赎回申请或延缓支付赎回款项。</w:t>
      </w:r>
    </w:p>
    <w:p w14:paraId="08BE4B35"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3、证券、期货交易所交易时间非正常停市，导致基金管理人无法计算当日基金资产净值。</w:t>
      </w:r>
    </w:p>
    <w:p w14:paraId="0757E1A3"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4、连续两个或两个以上开放日发生巨额赎回。</w:t>
      </w:r>
    </w:p>
    <w:p w14:paraId="5177D23A"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5、发生继续接受赎回申请将损害现有基金份额持有人利益的情形时，基金管理人可暂停接受基金份额持有人的赎回申请。</w:t>
      </w:r>
    </w:p>
    <w:p w14:paraId="7CC8D4C2"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6、当特定资产占前一估值日基金资产净值50%以上的，经与基金托管人协商确认后，基金管理人应当延缓支付赎回款项或暂停接受基金赎回申请。</w:t>
      </w:r>
    </w:p>
    <w:p w14:paraId="3F970093"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7、法律法规规定或中国证监会认定的其他情形。</w:t>
      </w:r>
    </w:p>
    <w:p w14:paraId="1EFDE909"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0DE1CBC0"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十一、巨额赎回的情形及处理方式</w:t>
      </w:r>
    </w:p>
    <w:p w14:paraId="2A52312F"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1、巨额赎回的认定</w:t>
      </w:r>
    </w:p>
    <w:p w14:paraId="2E35A6E6"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B50A2B0"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2、巨额赎回的处理方式</w:t>
      </w:r>
    </w:p>
    <w:p w14:paraId="3F7E31AC"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当基金出现巨额赎回时，基金管理人可以根据基金当时的资产组合状况决定全额赎回或部分延期赎回。</w:t>
      </w:r>
    </w:p>
    <w:p w14:paraId="6744775D"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lastRenderedPageBreak/>
        <w:t>（1）全额赎回：当基金管理人认为有能力支付投资人的全部赎回申请时，按正常赎回程序执行。</w:t>
      </w:r>
    </w:p>
    <w:p w14:paraId="48A4097F" w14:textId="77777777" w:rsidR="005E308D" w:rsidRDefault="00945B44">
      <w:pPr>
        <w:spacing w:line="360" w:lineRule="auto"/>
        <w:ind w:firstLineChars="200" w:firstLine="480"/>
        <w:rPr>
          <w:bCs/>
          <w:sz w:val="24"/>
        </w:rPr>
      </w:pPr>
      <w:r>
        <w:rPr>
          <w:rFonts w:asciiTheme="minorEastAsia" w:hAnsiTheme="minorEastAsia" w:cs="Arial" w:hint="eastAsia"/>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14:paraId="580D1764"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若本基金发生巨额赎回且在单个基金份额持有人超过上一日基金总份额20%以上的赎回申请的情形下，基金管理人有权对于该基金份额持有人当日超过上一日基金总份额20%以上的那部分赎回申请进行延期办理，对于该基金份额持有人其余赎回申请部分，基金管理人有权根据前段“（1）全额赎回”或“（2）部分延期赎回”的约定方式与其他基金份额持有人的赎回申请一并办理。但是，如该基金份额持有人在提交赎回申请时选择取消赎回，则其当日未获受理的部分赎回申请将被撤销。</w:t>
      </w:r>
    </w:p>
    <w:p w14:paraId="09473165"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0B3EAFE9"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3、巨额赎回的公告</w:t>
      </w:r>
    </w:p>
    <w:p w14:paraId="7EEF244E"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发生上述巨额赎回并延期办理时，基金管理人应当通过邮寄、传真或者招募说明书规定的其他方式在3个交易日内通知基金份额持有人，说明有关处理方法，并依照《信息披露办法》的有关规定在规定媒介上刊登公告。</w:t>
      </w:r>
    </w:p>
    <w:p w14:paraId="3750BA0D"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十二、暂停申购或赎回的公告和重新开放申购或赎回的公告</w:t>
      </w:r>
    </w:p>
    <w:p w14:paraId="2EFE45FD"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lastRenderedPageBreak/>
        <w:t>1、发生上述暂停申购或赎回情况的，基金管理人应在规定期限内在规定媒介上刊登暂停公告。</w:t>
      </w:r>
    </w:p>
    <w:p w14:paraId="6BCFB667"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2、如发生暂停的时间为1日，基金管理人应于重新开放日，在规定媒介上刊登基金重新开放申购或赎回公告，并公布最近1个开放日的各类基金份额净值。</w:t>
      </w:r>
    </w:p>
    <w:p w14:paraId="1A956FCD"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3、如发生暂停的时间超过1 日，基金管理人应提前1 个工作日在规定媒介刊登基金重新开放申购或赎回的公告，并在重新开始办理申购或赎回的开放日公告最近1 个工作日的各类基金份额净值。</w:t>
      </w:r>
    </w:p>
    <w:p w14:paraId="71EED1FA"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十三、基金转换</w:t>
      </w:r>
    </w:p>
    <w:p w14:paraId="71FA6119"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D6BF0E6"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十四、基金的非交易过户</w:t>
      </w:r>
    </w:p>
    <w:p w14:paraId="210561ED"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68A87AE"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B83FC18"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十五、基金的转托管</w:t>
      </w:r>
    </w:p>
    <w:p w14:paraId="416B1569"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基金份额持有人可办理已持有基金份额在不同销售机构之间的转托管，基金销售机构可以按照规定的标准收取转托管费。</w:t>
      </w:r>
    </w:p>
    <w:p w14:paraId="44213E2D"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十六、定期定额投资计划</w:t>
      </w:r>
    </w:p>
    <w:p w14:paraId="4A5B26CE"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基金管理人可以为投资人办理定期定额投资计划，具体规则由基金管理人另行规定。投资人在办理定期定额投资计划时可自行约定每期扣款金额，每期扣款金额</w:t>
      </w:r>
      <w:r>
        <w:rPr>
          <w:rFonts w:asciiTheme="minorEastAsia" w:hAnsiTheme="minorEastAsia" w:cs="Arial" w:hint="eastAsia"/>
          <w:sz w:val="24"/>
          <w:szCs w:val="24"/>
        </w:rPr>
        <w:lastRenderedPageBreak/>
        <w:t>必须不低于基金管理人在相关公告或更新的招募说明书中所规定的定期定额投资计划最低申购金额。</w:t>
      </w:r>
    </w:p>
    <w:p w14:paraId="25EC7A3D"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十七、基金份额的冻结</w:t>
      </w:r>
      <w:r>
        <w:rPr>
          <w:rFonts w:asciiTheme="minorEastAsia" w:hAnsiTheme="minorEastAsia" w:cs="Arial"/>
          <w:b/>
          <w:sz w:val="24"/>
          <w:szCs w:val="24"/>
        </w:rPr>
        <w:t>、</w:t>
      </w:r>
      <w:r>
        <w:rPr>
          <w:rFonts w:asciiTheme="minorEastAsia" w:hAnsiTheme="minorEastAsia" w:cs="Arial" w:hint="eastAsia"/>
          <w:b/>
          <w:sz w:val="24"/>
          <w:szCs w:val="24"/>
        </w:rPr>
        <w:t>解冻和质押</w:t>
      </w:r>
    </w:p>
    <w:p w14:paraId="7C1A41FC" w14:textId="77777777" w:rsidR="005E308D" w:rsidRDefault="00945B44">
      <w:pPr>
        <w:spacing w:line="360" w:lineRule="auto"/>
        <w:ind w:firstLineChars="200" w:firstLine="480"/>
        <w:rPr>
          <w:bCs/>
          <w:sz w:val="24"/>
        </w:rPr>
      </w:pPr>
      <w:r>
        <w:rPr>
          <w:rFonts w:asciiTheme="minorEastAsia" w:hAnsiTheme="minorEastAsia" w:cs="Arial" w:hint="eastAsia"/>
          <w:sz w:val="24"/>
          <w:szCs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基金份额被冻结的，被冻结部分产生的权益一并冻结，被冻结部分份额仍然参与收益分配。法律法规或监管部门另有规定的除外。</w:t>
      </w:r>
    </w:p>
    <w:p w14:paraId="166259DC" w14:textId="77777777" w:rsidR="005E308D" w:rsidRDefault="00945B44">
      <w:pPr>
        <w:spacing w:line="360" w:lineRule="auto"/>
        <w:ind w:firstLineChars="200" w:firstLine="480"/>
        <w:rPr>
          <w:bCs/>
          <w:sz w:val="24"/>
        </w:rPr>
      </w:pPr>
      <w:r>
        <w:rPr>
          <w:rFonts w:hint="eastAsia"/>
          <w:bCs/>
          <w:sz w:val="24"/>
        </w:rPr>
        <w:t>如相关法律法规允许基金管理人办理基金份额的质押业务或其他基金业务，在对基金份额持有人无实质性不利影响的情况下，履行相关程序后，基金管理人将制定和实施相应的业务规则。</w:t>
      </w:r>
    </w:p>
    <w:p w14:paraId="561E0365"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十八、基金份额的转让</w:t>
      </w:r>
    </w:p>
    <w:p w14:paraId="5875158D"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规定媒介公告相关的业务规则，基金份额持有人应根据基金管理人届时公告的业务规则办理基金份额转让业务。</w:t>
      </w:r>
    </w:p>
    <w:p w14:paraId="1EC8B697"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十九、实施侧袋机制期间本基金的申购与赎回</w:t>
      </w:r>
    </w:p>
    <w:p w14:paraId="151175B5"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本基金实施侧袋机制的，本基金的申购和赎回安排详见招募说明书“侧袋机制</w:t>
      </w:r>
      <w:r>
        <w:rPr>
          <w:rFonts w:asciiTheme="minorEastAsia" w:hAnsiTheme="minorEastAsia" w:cs="Arial"/>
          <w:sz w:val="24"/>
          <w:szCs w:val="24"/>
        </w:rPr>
        <w:t>”</w:t>
      </w:r>
      <w:r>
        <w:rPr>
          <w:rFonts w:asciiTheme="minorEastAsia" w:hAnsiTheme="minorEastAsia" w:cs="Arial" w:hint="eastAsia"/>
          <w:sz w:val="24"/>
          <w:szCs w:val="24"/>
        </w:rPr>
        <w:t>部分的规定或相关公告。</w:t>
      </w:r>
    </w:p>
    <w:p w14:paraId="59DD52BB" w14:textId="77777777" w:rsidR="005E308D" w:rsidRDefault="00945B44">
      <w:pPr>
        <w:widowControl/>
        <w:jc w:val="left"/>
        <w:rPr>
          <w:rFonts w:asciiTheme="minorEastAsia" w:hAnsiTheme="minorEastAsia" w:cs="Arial" w:hint="eastAsia"/>
          <w:sz w:val="24"/>
          <w:szCs w:val="24"/>
        </w:rPr>
      </w:pPr>
      <w:r>
        <w:rPr>
          <w:rFonts w:asciiTheme="minorEastAsia" w:hAnsiTheme="minorEastAsia" w:cs="Arial"/>
          <w:sz w:val="24"/>
          <w:szCs w:val="24"/>
        </w:rPr>
        <w:br w:type="page"/>
      </w:r>
    </w:p>
    <w:p w14:paraId="1ABBAFB2" w14:textId="77777777" w:rsidR="005E308D" w:rsidRDefault="00945B44">
      <w:pPr>
        <w:pStyle w:val="1"/>
        <w:jc w:val="center"/>
        <w:rPr>
          <w:sz w:val="30"/>
          <w:szCs w:val="30"/>
        </w:rPr>
      </w:pPr>
      <w:bookmarkStart w:id="212" w:name="_Toc68266296"/>
      <w:bookmarkStart w:id="213" w:name="_Toc119568465"/>
      <w:r>
        <w:rPr>
          <w:rFonts w:hint="eastAsia"/>
          <w:sz w:val="30"/>
          <w:szCs w:val="30"/>
        </w:rPr>
        <w:lastRenderedPageBreak/>
        <w:t>第九部分</w:t>
      </w:r>
      <w:r>
        <w:rPr>
          <w:sz w:val="30"/>
          <w:szCs w:val="30"/>
        </w:rPr>
        <w:t xml:space="preserve">  </w:t>
      </w:r>
      <w:r>
        <w:rPr>
          <w:rFonts w:hint="eastAsia"/>
          <w:sz w:val="30"/>
          <w:szCs w:val="30"/>
        </w:rPr>
        <w:t>基金的投资</w:t>
      </w:r>
      <w:bookmarkEnd w:id="191"/>
      <w:bookmarkEnd w:id="212"/>
      <w:bookmarkEnd w:id="213"/>
    </w:p>
    <w:p w14:paraId="2D4FF863"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一、投资目标</w:t>
      </w:r>
    </w:p>
    <w:p w14:paraId="6FF8B4B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本基金通过对行业及公司深入的研究分析，精选优质上市公司，在严格控制风险和保持资产流动性的前提下，追求超越业绩比较基准的投资回报，力争实现基金资产的长期稳健增值。</w:t>
      </w:r>
    </w:p>
    <w:p w14:paraId="3338FC7D"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二、投资范围</w:t>
      </w:r>
    </w:p>
    <w:p w14:paraId="2C3B099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投资范围为具有良好流动性的金融工具，包括国内依法发行上市的股票（含主板、创业板及其他经中国证监会允许投资的股票）、存托凭证、债券（包括国债、央行票据、金融债券、企业债券、公司债券、中期票据、短期融资券、超短期融资券、次级债券、政府支持债券、地方政府债券、可转换债券、可交换债券及其他经中国证监会允许投资的债券）、资产支持证券、债券回购、同业存单、银行存款（包括协议存款、定期存款及其他银行存款）、货币市场工具、股指期货、国债期货、股票期权以及法律法规或中国证监会允许基金投资的其他金融工具(但须符合中国证监会相关规定)。</w:t>
      </w:r>
    </w:p>
    <w:p w14:paraId="6FEB0EC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本基金将根据法律法规的规定参与融资业务。</w:t>
      </w:r>
    </w:p>
    <w:p w14:paraId="27A332A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如果法律法规或监管机构以后允许基金投资其他品种，基金管理人在履行适当程序后，可以将其纳入投资范围。</w:t>
      </w:r>
    </w:p>
    <w:p w14:paraId="3ADBE1DA"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投资组合比例为：股票资产占基金资产的比例为60%-95%。每个交易日日终在扣除股指期货、国债期货、股票期权合约需缴纳的交易保证金以后，基金保留的现金或投资于到期日在一年以内的政府债券的比例合计不低于基金资产净值的5%，本基金所指的现金不包括结算备付金、存出保证金、应收申购款等。股指期货、国债期货、股票期权及其他金融工具的投资比例依照法律法规或监管机构的规定执行。</w:t>
      </w:r>
    </w:p>
    <w:p w14:paraId="20743B3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如果法律法规或中国证监会变更投资品种的投资比例限制，基金管理人在履行适当程序后，可以调整上述投资品种的投资比例。</w:t>
      </w:r>
    </w:p>
    <w:p w14:paraId="261090B6"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 xml:space="preserve">三、投资策略 </w:t>
      </w:r>
    </w:p>
    <w:p w14:paraId="648C66E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1、大类资产配置</w:t>
      </w:r>
    </w:p>
    <w:p w14:paraId="79540B5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本基金在资产配置上采取相对稳健的策略，采取“自上而下”的方式进行大类资产配置，根据对宏观经济、市场面、政策面等因素进行定量与定性相结合的分析</w:t>
      </w:r>
      <w:r>
        <w:rPr>
          <w:rFonts w:asciiTheme="minorEastAsia" w:hAnsiTheme="minorEastAsia" w:cs="Times New Roman" w:hint="eastAsia"/>
          <w:bCs/>
          <w:sz w:val="24"/>
          <w:szCs w:val="24"/>
        </w:rPr>
        <w:lastRenderedPageBreak/>
        <w:t>研究，根据各类资产不同的预期风险收益比来确定组合中股票、债券、货币市场工具及其他金融工具的比例。</w:t>
      </w:r>
    </w:p>
    <w:p w14:paraId="2843487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2、股票投资策略</w:t>
      </w:r>
    </w:p>
    <w:p w14:paraId="383FEADA"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（1）行业配置策略</w:t>
      </w:r>
    </w:p>
    <w:p w14:paraId="07217D1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本基金将通过分析以下因素，对各行业的投资价值进行综合评估，从而确定并动态调整行业配置比例。</w:t>
      </w:r>
    </w:p>
    <w:p w14:paraId="2AC7E72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1）行业景气度</w:t>
      </w:r>
    </w:p>
    <w:p w14:paraId="51FB347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密切关注国家相关产业政策、规划动态，并结合行业数据持续跟踪、上下游产业链深入进行调研等方法，根据相关行业盈利水平的横向与纵向比较，适时对各行业景气度周期与行业未来盈利趋势进行研判，重点投资于景气度较高且具有可持续性的行业。</w:t>
      </w:r>
    </w:p>
    <w:p w14:paraId="2D193BCF"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2）行业竞争格局</w:t>
      </w:r>
    </w:p>
    <w:p w14:paraId="3C1847F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本基金主要通过密切跟踪行业进入者的数量、行业内各公司的竞争策略及各公司产品或服务的市场份额来判断公司所处行业竞争格局的变化，重点投资于行业竞争格局良好的行业。</w:t>
      </w:r>
    </w:p>
    <w:p w14:paraId="0A8DD1C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（2）个股投资策略</w:t>
      </w:r>
    </w:p>
    <w:p w14:paraId="7DB5B394"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本基金在积极进行行业配置的基础上，通过定量筛选和定性分析相结合的方式来分析和选择具有良好风险收益比的品种。</w:t>
      </w:r>
    </w:p>
    <w:p w14:paraId="3EB7315F"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首先根据定量指标进行初选，主要依据盈利能力（净资产收益率、销售毛利率、销售净利率、EBITDA/主营业务收入等）、成长性（主营业务收入增长率、营业利润增长率、净利润增长率、销售毛利率增长率、每股收益增长率等）、现金流状况（经营活动现金净流量、现金购销比率、营业现金回笼率等）、偿债能力（资产负债率、利息保障倍数、流动比率、速动比率等）、营运能力（应收账款周转率、存货周转率、总资产周转率、固定资产周转率等）等。主要参考以下定量指标：</w:t>
      </w:r>
    </w:p>
    <w:p w14:paraId="14EDE60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①公司主营业务收入在未来一段时间的变化趋势，例如主营业务收入增速超越所在行业平均增速；</w:t>
      </w:r>
    </w:p>
    <w:p w14:paraId="059F40B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②公司扣除非经常性损益后的净利润在未来一段时间的变化趋势，例如扣非净利润增速超越所在行业平均增速；</w:t>
      </w:r>
    </w:p>
    <w:p w14:paraId="4982649A"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③公司盈利能力在未来一段时间的变化趋势，例如盈利能力位于行业所在排名</w:t>
      </w:r>
      <w:r>
        <w:rPr>
          <w:rFonts w:asciiTheme="minorEastAsia" w:hAnsiTheme="minorEastAsia" w:cs="Times New Roman" w:hint="eastAsia"/>
          <w:bCs/>
          <w:sz w:val="24"/>
          <w:szCs w:val="24"/>
        </w:rPr>
        <w:lastRenderedPageBreak/>
        <w:t>前50%，盈利能力定量指标包括净资产收益率（ROE），投资资本回报（ROIC）等。</w:t>
      </w:r>
    </w:p>
    <w:p w14:paraId="2A5A43A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在定量初选的基础上，定性方面首先考虑公司管理层的诚实与勤勉，是否已经证明了其领导能力和执行能力，公司的企业文化是否有正确的价值导向；公司的发展布局和战略的合理性和可行性；公司的竞争优势是否随着产业发展而逐步加强。</w:t>
      </w:r>
    </w:p>
    <w:p w14:paraId="63E26A7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基金经理结合定量和定性研究以及实地调研，筛选出行业增长空间广阔、业务布局合理、基本面健康的优秀公司作为本基金的核心投资标的，根据个股的风险收益比选择投资的时机。</w:t>
      </w:r>
    </w:p>
    <w:p w14:paraId="001AEFF6"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在构建组合过程中，坚持风格均衡、个股适度、逆向投资和控制回撤。对于行业构成和个股风险收益比进行持续的权衡和优化，在确保组合在风险可控的前提下，获取稳健收益。</w:t>
      </w:r>
    </w:p>
    <w:p w14:paraId="2474619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3、存托凭证投资策略</w:t>
      </w:r>
    </w:p>
    <w:p w14:paraId="1FD0EB06" w14:textId="77777777" w:rsidR="005E308D" w:rsidRDefault="00945B44">
      <w:pPr>
        <w:spacing w:line="360" w:lineRule="auto"/>
        <w:ind w:firstLineChars="200" w:firstLine="480"/>
        <w:rPr>
          <w:bCs/>
          <w:sz w:val="24"/>
        </w:rPr>
      </w:pPr>
      <w:r>
        <w:rPr>
          <w:rFonts w:hint="eastAsia"/>
          <w:bCs/>
          <w:sz w:val="24"/>
        </w:rPr>
        <w:t>本基金将在控制风险的前提下，依照基金投资目标和股票投资策略，基于对基础证券投资价值的深入研究和判断，通过定性分析和定量分析相结合的方式，精选出具有比较优势的存托凭证。</w:t>
      </w:r>
    </w:p>
    <w:p w14:paraId="2CD50F2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4、债券投资策略</w:t>
      </w:r>
    </w:p>
    <w:p w14:paraId="04B26FE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（1）资产配置策略</w:t>
      </w:r>
    </w:p>
    <w:p w14:paraId="4C7BE7F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通过对宏观经济运行情况、国家货币及财政政策、资本市场资金环境等重要因素的研究和预测，结合投资时钟理论并利用公司研究开发的多因子模型等数量工具，优化基金资产在利率债、信用债以及货币市场工具等各类固定收益类金融工具之间的配置比例。</w:t>
      </w:r>
    </w:p>
    <w:p w14:paraId="487F53B6"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（2）利率类品种投资策略</w:t>
      </w:r>
    </w:p>
    <w:p w14:paraId="57BB4A8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对国债等利率品种的投资，是在对国内外宏观经济运行状况及政策环境等进行分析和预测基础上，研究利率期限结构变化趋势和债券市场供求关系变化趋势，深入分析利率品种的收益和风险，预测调整债券组合的平均久期，并通过运用统计和数量分析技术，选择合适的期限结构的配置策略。在合理控制风险的前提下，综合考虑组合的流动性，决定投资品种。</w:t>
      </w:r>
    </w:p>
    <w:p w14:paraId="4727F07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（3）信用债投资策略</w:t>
      </w:r>
    </w:p>
    <w:p w14:paraId="6240FEF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本基金将在深入的宏观研究基础上，综合分析各类信用债发行主体所处行业环境、发行人所处的市场地位、财务状况、管理水平等因素后，结合具体发行契约，</w:t>
      </w:r>
      <w:r>
        <w:rPr>
          <w:rFonts w:asciiTheme="minorEastAsia" w:hAnsiTheme="minorEastAsia" w:cs="Times New Roman" w:hint="eastAsia"/>
          <w:bCs/>
          <w:sz w:val="24"/>
          <w:szCs w:val="24"/>
        </w:rPr>
        <w:lastRenderedPageBreak/>
        <w:t>对债券进行信用评级。在此基础上，建立信用类债券池，积极发掘信用利差具有相对投资机会的个券进行投资。</w:t>
      </w:r>
    </w:p>
    <w:p w14:paraId="7283101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（4）可转换债券投资策略</w:t>
      </w:r>
    </w:p>
    <w:p w14:paraId="290E316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可转换债券兼具权益类证券与固定收益类证券的特性，具有抵御下行风险、分享股票价格上涨收益的特点。本基金在对可转换公司债券条款和发行债券公司基本面进行深入分析研究的基础上，综合考虑可转换债券的债性和股性，利用可转换公司债券定价模型进行估值分析，并最终选择合适的投资品种。</w:t>
      </w:r>
    </w:p>
    <w:p w14:paraId="208B1D6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5、资产支持证券投资策略</w:t>
      </w:r>
    </w:p>
    <w:p w14:paraId="13F3ED7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0FE970B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6、衍生品投资策略</w:t>
      </w:r>
    </w:p>
    <w:p w14:paraId="0995830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衍生品投资将严格遵守中国证监会及相关法律法规的约束，合理利用股指期货、国债期货、股票期权等衍生工具，将根据风险管理的原则，主要选择流动性好、交易活跃的股指期货、国债期货、股票期权合约进行交易，以对冲投资组合的风险、有效管理现金流量或降低建仓或调仓过程中的冲击成本等。</w:t>
      </w:r>
    </w:p>
    <w:p w14:paraId="47CFA07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（1）股指期货投资策略</w:t>
      </w:r>
    </w:p>
    <w:p w14:paraId="034CE78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385AF32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基金管理人针对股指期货交易制订严格的授权管理制度和投资决策流程，确保研究分析、投资决策、交易执行及风险控制各环节的独立运作，并明确相关岗位职责。</w:t>
      </w:r>
    </w:p>
    <w:p w14:paraId="142EA8C4"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（2）国债期货投资策略</w:t>
      </w:r>
    </w:p>
    <w:p w14:paraId="5D0D14E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本基金参与国债期货投资将根据风险管理的原则，以套期保值为目的。本基金将在风险可控的前提下，本着谨慎原则，参与国债期货的投资，以管理投资组合的</w:t>
      </w:r>
      <w:r>
        <w:rPr>
          <w:rFonts w:asciiTheme="minorEastAsia" w:hAnsiTheme="minorEastAsia" w:cs="Times New Roman" w:hint="eastAsia"/>
          <w:bCs/>
          <w:sz w:val="24"/>
          <w:szCs w:val="24"/>
        </w:rPr>
        <w:lastRenderedPageBreak/>
        <w:t>系统性风险，改善组合的风险收益特性。</w:t>
      </w:r>
    </w:p>
    <w:p w14:paraId="59E800D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基金管理人针对国债期货交易制订严格的授权管理制度和投资决策流程，确保研究分析、投资决策、交易执行及风险控制各环节的独立运作，并明确相关岗位职责。</w:t>
      </w:r>
    </w:p>
    <w:p w14:paraId="34751BE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（3）股票期权投资策略</w:t>
      </w:r>
    </w:p>
    <w:p w14:paraId="0BBC9164"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5C22515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基金管理人将针对股票期权交易制订严格的授权管理制度和投资决策流程，确保投资、风控等核心岗位人员具备股票期权业务知识和相应的专业能力，严格防范股票期权投资的风险。</w:t>
      </w:r>
    </w:p>
    <w:p w14:paraId="2B97504C"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7、参与融资业务投资策略</w:t>
      </w:r>
    </w:p>
    <w:p w14:paraId="66F0375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本基金在参与融资时将根据风险管理的原则，在法律法规允许的范围和比例内、风险可控的前提下，本着谨慎原则，参与融资业务。</w:t>
      </w:r>
    </w:p>
    <w:p w14:paraId="28880C9A"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四、投资限制</w:t>
      </w:r>
    </w:p>
    <w:p w14:paraId="06583D6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1、组合限制</w:t>
      </w:r>
    </w:p>
    <w:p w14:paraId="02392B0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基金的投资组合应遵循以下限制：</w:t>
      </w:r>
    </w:p>
    <w:p w14:paraId="6634A0B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（1）股票资产占基金资产的比例为60%-95%；</w:t>
      </w:r>
    </w:p>
    <w:p w14:paraId="0C07031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每个交易日日终在扣除国债期货、股指期货、股票期权合约需缴纳的交易保证金后，本基金保持不低于基金资产净值5%的现金或者到期日在一年以内的政府债券，其中，现金不包括结算备付金、存出保证金、应收申购款等；</w:t>
      </w:r>
    </w:p>
    <w:p w14:paraId="040DB1E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（3）本基金持有一家公司发行的证券，其市值不超过基金资产净值的10％；</w:t>
      </w:r>
    </w:p>
    <w:p w14:paraId="1C6F38D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（4）本基金管理人管理的全部基金持有一家公司发行的证券，不超过该证券的10％；</w:t>
      </w:r>
    </w:p>
    <w:p w14:paraId="71E3AFD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（5）本基金投资于同一原始权益人的各类资产支持证券的比例，不得超过基金资产净值的10%；</w:t>
      </w:r>
    </w:p>
    <w:p w14:paraId="46DCFBD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（6）本基金持有的全部资产支持证券，其市值不得超过基金资产净值的20%；</w:t>
      </w:r>
    </w:p>
    <w:p w14:paraId="26B5EDA0"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（7）本基金持有的同一(指同一信用级别)资产支持证券的比例，不得超过该</w:t>
      </w:r>
      <w:r>
        <w:rPr>
          <w:rFonts w:asciiTheme="minorEastAsia" w:hAnsiTheme="minorEastAsia" w:cs="Times New Roman" w:hint="eastAsia"/>
          <w:bCs/>
          <w:sz w:val="24"/>
          <w:szCs w:val="24"/>
        </w:rPr>
        <w:lastRenderedPageBreak/>
        <w:t>资产支持证券规模的10%；</w:t>
      </w:r>
    </w:p>
    <w:p w14:paraId="2C69E566"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（8）本基金管理人管理的全部证券投资基金投资于同一原始权益人的各类资产支持证券，不得超过其各类资产支持证券合计规模的10%；</w:t>
      </w:r>
    </w:p>
    <w:p w14:paraId="75923E76"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06732ED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（10）基金财产参与股票发行申购，本基金所申报的金额不超过本基金的总资产，本基金所申报的股票数量不超过拟发行股票公司本次发行股票的总量；</w:t>
      </w:r>
    </w:p>
    <w:p w14:paraId="0BD92FF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（11）本基金进入全国银行间同业市场进行债券回购的资金余额不得超过基金资产净值的40%；本基金在全国银行间同业市场的债券回购最长期限为1年，债券回购到期后不得展期；</w:t>
      </w:r>
    </w:p>
    <w:p w14:paraId="26112D1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（12）本基金参与股指期货、国债期货交易依据下列标准建构组合：</w:t>
      </w:r>
    </w:p>
    <w:p w14:paraId="7BFB541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73D70CC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2）在任何交易日日终，持有的买入股指期货合约价值，不得超过基金资产净值的10%；在任何交易日日终，持有的买入国债期货合约价值，不得超过基金资产净值的15%；</w:t>
      </w:r>
    </w:p>
    <w:p w14:paraId="1C119D70"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3）在任何交易日日终，持有的卖出股指期货合约价值不得超过基金持有的股票总市值的20%；在任何交易日日终，持有的卖出国债期货合约价值不得超过基金持有的债券总市值的30%；</w:t>
      </w:r>
    </w:p>
    <w:p w14:paraId="6AD18A4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03B1E524"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5AB03D90"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（13）本基金投资流通受限证券，基金管理人应事先根据中国证监会相关规定，在首次投资前与基金托管人签订风险控制补充协议，并明确基金投资流通受限证券的比例，根据比例进行投资；</w:t>
      </w:r>
    </w:p>
    <w:p w14:paraId="3636B2F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（14）基金资产总值不得超过基金资产净值的140%；</w:t>
      </w:r>
    </w:p>
    <w:p w14:paraId="6B7BF4DC"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0D6D7AEF"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（16）本基金主动投资于流动性受限资产的市值合计不得超过基金资产净值的15%；</w:t>
      </w:r>
    </w:p>
    <w:p w14:paraId="3C11E29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因证券市场波动、上市公司股票停牌、基金规模变动等基金管理人之外的因素致使基金不符合前款所规定比例限制的，基金管理人不得主动新增流动性受限资产的投资；</w:t>
      </w:r>
    </w:p>
    <w:p w14:paraId="152E8470"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（17）本基金与私募类证券资管产品及中国证监会认定的其他主体为交易对手开展逆回购交易的，可接受质押品的资质要求应当与基金合同约定的投资范围保持一致；</w:t>
      </w:r>
    </w:p>
    <w:p w14:paraId="349B7E6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（18）本基金参与股票期权交易的，需遵守下列投资比例限制：</w:t>
      </w:r>
    </w:p>
    <w:p w14:paraId="4C4CF45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1）本基金因未平仓的期权合约支付和收取的权利金总额不得超过基金资产净值的10%；</w:t>
      </w:r>
    </w:p>
    <w:p w14:paraId="3F473714"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2）本基金开仓卖出认购期权的，应持有足额标的证券；开仓卖出认沽期权的，应持有合约行权所需的全额现金或交易所规则认可的可冲抵期权保证金的现金等价物；</w:t>
      </w:r>
    </w:p>
    <w:p w14:paraId="2A18C2F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3）本基金未平仓的期权合约面值不得超过基金资产净值的20%。其中，合约面值按照行权价乘以合约乘数计算；</w:t>
      </w:r>
    </w:p>
    <w:p w14:paraId="12FB9F1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19</w:t>
      </w:r>
      <w:r>
        <w:rPr>
          <w:rFonts w:asciiTheme="minorEastAsia" w:hAnsiTheme="minorEastAsia" w:cs="Times New Roman" w:hint="eastAsia"/>
          <w:bCs/>
          <w:sz w:val="24"/>
          <w:szCs w:val="24"/>
        </w:rPr>
        <w:t>）本基金投资存托凭证的比例限制依照境内上市交易的股票执行，与境内上市交易的股票合并计算；</w:t>
      </w:r>
    </w:p>
    <w:p w14:paraId="5A134C1C"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20</w:t>
      </w:r>
      <w:r>
        <w:rPr>
          <w:rFonts w:asciiTheme="minorEastAsia" w:hAnsiTheme="minorEastAsia" w:cs="Times New Roman" w:hint="eastAsia"/>
          <w:bCs/>
          <w:sz w:val="24"/>
          <w:szCs w:val="24"/>
        </w:rPr>
        <w:t>）本基金参与融资的，每个交易日日终，本基金持有的融资买入股票与其他有价证券市值之和，不得超过基金资产净值的95%；</w:t>
      </w:r>
    </w:p>
    <w:p w14:paraId="315BB9B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21</w:t>
      </w:r>
      <w:r>
        <w:rPr>
          <w:rFonts w:asciiTheme="minorEastAsia" w:hAnsiTheme="minorEastAsia" w:cs="Times New Roman" w:hint="eastAsia"/>
          <w:bCs/>
          <w:sz w:val="24"/>
          <w:szCs w:val="24"/>
        </w:rPr>
        <w:t>）法律法规及中国证监会规定的和《基金合同》约定的其他投资限制。</w:t>
      </w:r>
    </w:p>
    <w:p w14:paraId="26EFAE3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除上述第（2）、（9）、（13）、（16）、（17）项另有约定外，因证券、期货市场波</w:t>
      </w:r>
      <w:r>
        <w:rPr>
          <w:rFonts w:asciiTheme="minorEastAsia" w:hAnsiTheme="minorEastAsia" w:cs="Times New Roman" w:hint="eastAsia"/>
          <w:bCs/>
          <w:sz w:val="24"/>
          <w:szCs w:val="24"/>
        </w:rPr>
        <w:lastRenderedPageBreak/>
        <w:t>动、证券发行人合并、基金规模变动等基金管理人之外的因素致使基金投资比例不符合上述规定投资比例的，基金管理人应当在10个交易日内进行调整，但中国证监会规定的特殊情形除外。</w:t>
      </w:r>
    </w:p>
    <w:p w14:paraId="53FC4C6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自基金合同生效之日起6个月内使基金的投资组合比例符合基金合同的有关约定。在此期间，基金的投资范围、投资策略应当符合基金合同的约定。基金托管人对基金的投资的监督与检查自基金合同生效之日起开始。</w:t>
      </w:r>
    </w:p>
    <w:p w14:paraId="110CCB84"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法律法规或监管部门取消或变更上述限制，如适用于本基金，基金管理人在履行适当程序后，则本基金投资不再受相关限制或以变更后的规定为准。</w:t>
      </w:r>
    </w:p>
    <w:p w14:paraId="32E8393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2、禁止行为</w:t>
      </w:r>
    </w:p>
    <w:p w14:paraId="11E861B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为维护基金份额持有人的合法权益，基金财产不得用于下列投资或者活动：</w:t>
      </w:r>
    </w:p>
    <w:p w14:paraId="1AF904F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（1）承销证券；</w:t>
      </w:r>
    </w:p>
    <w:p w14:paraId="5E414C81"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（2）违反规定向他人贷款或者提供担保；</w:t>
      </w:r>
    </w:p>
    <w:p w14:paraId="0A20CE9A"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（3）从事承担无限责任的投资；</w:t>
      </w:r>
    </w:p>
    <w:p w14:paraId="27A2A65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（4）买卖其他基金份额，但是中国证监会另有规定的除外；</w:t>
      </w:r>
    </w:p>
    <w:p w14:paraId="25D41A8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（5）向基金管理人、基金托管人出资；</w:t>
      </w:r>
    </w:p>
    <w:p w14:paraId="550A1BA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（6）从事内幕交易、操纵证券交易价格及其他不正当的证券交易活动；</w:t>
      </w:r>
    </w:p>
    <w:p w14:paraId="7FD3F6D6"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（7）法律、行政法规和中国证监会规定禁止的其他活动。</w:t>
      </w:r>
    </w:p>
    <w:p w14:paraId="01B164C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D741C0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法律、行政法规或监管部门取消或调整上述禁止行为，如适用于本基金，基金管理人在履行适当程序后，则本基金投资按照取消或调整后的规定执行。</w:t>
      </w:r>
    </w:p>
    <w:p w14:paraId="3A6339EB"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五、业绩比较基准</w:t>
      </w:r>
    </w:p>
    <w:p w14:paraId="0BB1B7E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1、业绩比较基准</w:t>
      </w:r>
    </w:p>
    <w:p w14:paraId="3BE8CFF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沪深300指数收益率×70%+中债综合指数收益率×30%</w:t>
      </w:r>
    </w:p>
    <w:p w14:paraId="6D800A2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2、选择业绩比较基准的理由</w:t>
      </w:r>
    </w:p>
    <w:p w14:paraId="641273E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沪深300指数是由中证指数有限公司开发的中国 A 股市场指数，由上海和深圳证券市场中市值大、流动性好的300只股票组成，综合反映中国A股市场上市股票价格的整体表现。</w:t>
      </w:r>
    </w:p>
    <w:p w14:paraId="32F62B6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中债综合指数是由中央国债登记结算有限责任公司编制的中国全市场债券指数，是目前市场上专业、权威和稳定的，且能够较好地反映债券市场整体状况的债券指数。</w:t>
      </w:r>
    </w:p>
    <w:p w14:paraId="28EB11B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如果今后法律法规发生变化，</w:t>
      </w:r>
      <w:r>
        <w:rPr>
          <w:rFonts w:hint="eastAsia"/>
          <w:bCs/>
          <w:sz w:val="24"/>
        </w:rPr>
        <w:t>或指数编制单位停止编制该指数或更改指数名称，</w:t>
      </w:r>
      <w:r>
        <w:rPr>
          <w:rFonts w:asciiTheme="minorEastAsia" w:hAnsiTheme="minorEastAsia" w:cs="Times New Roman" w:hint="eastAsia"/>
          <w:bCs/>
          <w:sz w:val="24"/>
          <w:szCs w:val="24"/>
        </w:rPr>
        <w:t>或证券市场中有其他代表性更强或者更科学客观的业绩比较基准适用于本基金时，本基金管理人可以依据维护基金份额持有人合法权益的原则，根据实际情况对业绩比较基准进行相应调整。本基金管理人经与基金托管人协商一致，在按照监管部门要求履行适当程序后变更业绩比较基准并及时公告，而无需召开基金份额持有人大会。</w:t>
      </w:r>
    </w:p>
    <w:p w14:paraId="5D144FE8"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六、风险收益特征</w:t>
      </w:r>
    </w:p>
    <w:p w14:paraId="6F4A65B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本基金为混合型证券投资基金，其预期风险收益水平高于债券型基金及货币市场基金，低于股票型基金。</w:t>
      </w:r>
    </w:p>
    <w:p w14:paraId="142D605F"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七、基金管理人代表基金行使股东或债权人权利的处理原则及方法</w:t>
      </w:r>
    </w:p>
    <w:p w14:paraId="2BD6E13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1、基金管理人按照国家有关规定代表基金独立行使股东或债权人权利，保护基金份额持有人的利益； </w:t>
      </w:r>
    </w:p>
    <w:p w14:paraId="6D8B10D6"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2、不谋求对上市公司的控股； </w:t>
      </w:r>
    </w:p>
    <w:p w14:paraId="0B11C660"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3、有利于基金财产的安全与增值； </w:t>
      </w:r>
    </w:p>
    <w:p w14:paraId="43F40241"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4、不通过关联交易为自身、雇员、授权代理人或任何存在利害关系的第三人牟取任何不当利益。</w:t>
      </w:r>
    </w:p>
    <w:p w14:paraId="030745FE"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八、侧袋机制的实施和投资运作安排</w:t>
      </w:r>
    </w:p>
    <w:p w14:paraId="4914D49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3F2CDBAF"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侧袋机制实施期间，本部分约定的投资组合比例、投资策略、组合限制、业绩</w:t>
      </w:r>
      <w:r>
        <w:rPr>
          <w:rFonts w:asciiTheme="minorEastAsia" w:hAnsiTheme="minorEastAsia" w:cs="Times New Roman" w:hint="eastAsia"/>
          <w:bCs/>
          <w:sz w:val="24"/>
          <w:szCs w:val="24"/>
        </w:rPr>
        <w:lastRenderedPageBreak/>
        <w:t>比较基准、风险收益特征等约定仅适用于主袋账户。</w:t>
      </w:r>
    </w:p>
    <w:p w14:paraId="36F49AD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侧袋账户的实施条件、实施程序、运作安排、投资安排、特定资产的处置变现和支付等对投资者权益有重大影响的事项详见招募说明书“侧袋机制”部分的规定。</w:t>
      </w:r>
    </w:p>
    <w:p w14:paraId="60E53B3D"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九、基金投资组合报告</w:t>
      </w:r>
    </w:p>
    <w:p w14:paraId="551E8D24" w14:textId="379ABBDF" w:rsidR="005E308D" w:rsidRDefault="00945B44">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基金管理人的董事会及董事保证本报告所载资料不存在虚假记载、误导性陈述或重大遗漏，并对其内容的真实性、准确性和完整性承担个别及连带责任。基金托管人</w:t>
      </w:r>
      <w:r w:rsidR="00F500C7">
        <w:rPr>
          <w:rFonts w:asciiTheme="minorEastAsia" w:hAnsiTheme="minorEastAsia" w:cs="Times New Roman" w:hint="eastAsia"/>
          <w:bCs/>
          <w:sz w:val="24"/>
          <w:szCs w:val="24"/>
        </w:rPr>
        <w:t>国泰海通证券股份有限公司</w:t>
      </w:r>
      <w:r>
        <w:rPr>
          <w:rFonts w:asciiTheme="minorEastAsia" w:hAnsiTheme="minorEastAsia" w:cs="Times New Roman" w:hint="eastAsia"/>
          <w:bCs/>
          <w:sz w:val="24"/>
          <w:szCs w:val="24"/>
        </w:rPr>
        <w:t>根据本基金合同规定，已复核了本报告中的财务指标、净值表现和投资组合报告等内容，保证复核内容不存在虚假记载、误导性陈述或者重大遗漏。</w:t>
      </w:r>
    </w:p>
    <w:p w14:paraId="10199332" w14:textId="791A6B41" w:rsidR="005E308D" w:rsidRDefault="00945B44">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本投资组合报告所载数据截至</w:t>
      </w:r>
      <w:r>
        <w:rPr>
          <w:rFonts w:asciiTheme="minorEastAsia" w:hAnsiTheme="minorEastAsia" w:cs="Arial"/>
          <w:sz w:val="24"/>
          <w:szCs w:val="24"/>
        </w:rPr>
        <w:t>202</w:t>
      </w:r>
      <w:r>
        <w:rPr>
          <w:rFonts w:asciiTheme="minorEastAsia" w:hAnsiTheme="minorEastAsia" w:cs="Arial" w:hint="eastAsia"/>
          <w:sz w:val="24"/>
          <w:szCs w:val="24"/>
        </w:rPr>
        <w:t>4年</w:t>
      </w:r>
      <w:r>
        <w:rPr>
          <w:rFonts w:asciiTheme="minorEastAsia" w:hAnsiTheme="minorEastAsia" w:cs="Arial"/>
          <w:sz w:val="24"/>
          <w:szCs w:val="24"/>
        </w:rPr>
        <w:t>9月30日</w:t>
      </w:r>
      <w:r>
        <w:rPr>
          <w:rFonts w:asciiTheme="minorEastAsia" w:hAnsiTheme="minorEastAsia" w:cs="Times New Roman"/>
          <w:bCs/>
          <w:sz w:val="24"/>
          <w:szCs w:val="24"/>
        </w:rPr>
        <w:t>，本报告中所列财务数据未经审计。</w:t>
      </w:r>
    </w:p>
    <w:p w14:paraId="403094F8" w14:textId="77777777" w:rsidR="005E308D" w:rsidRDefault="00945B44">
      <w:pPr>
        <w:pStyle w:val="zhangjiep"/>
        <w:numPr>
          <w:ilvl w:val="0"/>
          <w:numId w:val="3"/>
        </w:numPr>
        <w:rPr>
          <w:rFonts w:asciiTheme="minorEastAsia" w:eastAsiaTheme="minorEastAsia" w:hAnsiTheme="minorEastAsia" w:cs="Times New Roman" w:hint="eastAsia"/>
          <w:bCs/>
          <w:kern w:val="2"/>
        </w:rPr>
      </w:pPr>
      <w:bookmarkStart w:id="214" w:name="_Toc117173479"/>
      <w:r>
        <w:rPr>
          <w:rFonts w:asciiTheme="minorEastAsia" w:eastAsiaTheme="minorEastAsia" w:hAnsiTheme="minorEastAsia" w:cs="Times New Roman" w:hint="eastAsia"/>
          <w:bCs/>
          <w:kern w:val="2"/>
        </w:rPr>
        <w:t>报告期末基金资产组合情况</w:t>
      </w:r>
      <w:bookmarkEnd w:id="214"/>
    </w:p>
    <w:tbl>
      <w:tblPr>
        <w:tblW w:w="0" w:type="auto"/>
        <w:tblInd w:w="108" w:type="dxa"/>
        <w:tblLook w:val="04A0" w:firstRow="1" w:lastRow="0" w:firstColumn="1" w:lastColumn="0" w:noHBand="0" w:noVBand="1"/>
      </w:tblPr>
      <w:tblGrid>
        <w:gridCol w:w="777"/>
        <w:gridCol w:w="2815"/>
        <w:gridCol w:w="2495"/>
        <w:gridCol w:w="2572"/>
      </w:tblGrid>
      <w:tr w:rsidR="005E308D" w14:paraId="0256E692" w14:textId="77777777">
        <w:tc>
          <w:tcPr>
            <w:tcW w:w="777" w:type="dxa"/>
            <w:tcBorders>
              <w:top w:val="single" w:sz="8" w:space="0" w:color="000000"/>
              <w:left w:val="single" w:sz="8" w:space="0" w:color="000000"/>
              <w:bottom w:val="single" w:sz="6" w:space="0" w:color="000000"/>
              <w:right w:val="single" w:sz="8" w:space="0" w:color="000000"/>
            </w:tcBorders>
            <w:vAlign w:val="center"/>
          </w:tcPr>
          <w:p w14:paraId="22CFC397"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序号</w:t>
            </w:r>
          </w:p>
        </w:tc>
        <w:tc>
          <w:tcPr>
            <w:tcW w:w="2815" w:type="dxa"/>
            <w:tcBorders>
              <w:top w:val="single" w:sz="8" w:space="0" w:color="000000"/>
              <w:left w:val="single" w:sz="8" w:space="0" w:color="000000"/>
              <w:bottom w:val="single" w:sz="6" w:space="0" w:color="000000"/>
              <w:right w:val="single" w:sz="8" w:space="0" w:color="000000"/>
            </w:tcBorders>
            <w:vAlign w:val="center"/>
          </w:tcPr>
          <w:p w14:paraId="178F350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项目</w:t>
            </w:r>
          </w:p>
        </w:tc>
        <w:tc>
          <w:tcPr>
            <w:tcW w:w="2495" w:type="dxa"/>
            <w:tcBorders>
              <w:top w:val="single" w:sz="8" w:space="0" w:color="000000"/>
              <w:left w:val="single" w:sz="8" w:space="0" w:color="000000"/>
              <w:bottom w:val="single" w:sz="6" w:space="0" w:color="000000"/>
              <w:right w:val="single" w:sz="8" w:space="0" w:color="000000"/>
            </w:tcBorders>
            <w:vAlign w:val="center"/>
          </w:tcPr>
          <w:p w14:paraId="6BF0FCDE"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金额</w:t>
            </w:r>
            <w:r>
              <w:rPr>
                <w:rFonts w:asciiTheme="minorEastAsia" w:eastAsiaTheme="minorEastAsia" w:hAnsiTheme="minorEastAsia" w:cs="Times New Roman"/>
                <w:bCs/>
                <w:kern w:val="2"/>
              </w:rPr>
              <w:t>(元)</w:t>
            </w:r>
          </w:p>
        </w:tc>
        <w:tc>
          <w:tcPr>
            <w:tcW w:w="2572" w:type="dxa"/>
            <w:tcBorders>
              <w:top w:val="single" w:sz="8" w:space="0" w:color="000000"/>
              <w:left w:val="single" w:sz="8" w:space="0" w:color="000000"/>
              <w:bottom w:val="single" w:sz="6" w:space="0" w:color="000000"/>
              <w:right w:val="single" w:sz="8" w:space="0" w:color="000000"/>
            </w:tcBorders>
            <w:vAlign w:val="center"/>
          </w:tcPr>
          <w:p w14:paraId="1721AF8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占基金总资产的比例（</w:t>
            </w:r>
            <w:r>
              <w:rPr>
                <w:rFonts w:asciiTheme="minorEastAsia" w:eastAsiaTheme="minorEastAsia" w:hAnsiTheme="minorEastAsia" w:cs="Times New Roman"/>
                <w:bCs/>
                <w:kern w:val="2"/>
              </w:rPr>
              <w:t>%）</w:t>
            </w:r>
          </w:p>
        </w:tc>
      </w:tr>
      <w:tr w:rsidR="005E308D" w14:paraId="7D3F0B0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AD8286F"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1</w:t>
            </w:r>
          </w:p>
        </w:tc>
        <w:tc>
          <w:tcPr>
            <w:tcW w:w="2815" w:type="dxa"/>
            <w:tcBorders>
              <w:top w:val="single" w:sz="8" w:space="0" w:color="000000"/>
              <w:left w:val="single" w:sz="8" w:space="0" w:color="000000"/>
              <w:bottom w:val="single" w:sz="6" w:space="0" w:color="000000"/>
              <w:right w:val="single" w:sz="8" w:space="0" w:color="000000"/>
            </w:tcBorders>
            <w:vAlign w:val="center"/>
          </w:tcPr>
          <w:p w14:paraId="31940969"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权益投资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1739DEE2" w14:textId="05919361" w:rsidR="005E308D" w:rsidRDefault="00945B44">
            <w:pPr>
              <w:pStyle w:val="biaogeright"/>
              <w:wordWrap w:val="0"/>
              <w:rPr>
                <w:rFonts w:asciiTheme="minorEastAsia" w:eastAsiaTheme="minorEastAsia" w:hAnsiTheme="minorEastAsia" w:cs="Times New Roman" w:hint="eastAsia"/>
                <w:bCs/>
                <w:kern w:val="2"/>
              </w:rPr>
            </w:pPr>
            <w:r>
              <w:t>80,117,859.95</w:t>
            </w:r>
          </w:p>
        </w:tc>
        <w:tc>
          <w:tcPr>
            <w:tcW w:w="2572" w:type="dxa"/>
            <w:tcBorders>
              <w:top w:val="single" w:sz="8" w:space="0" w:color="000000"/>
              <w:left w:val="single" w:sz="8" w:space="0" w:color="000000"/>
              <w:bottom w:val="single" w:sz="6" w:space="0" w:color="000000"/>
              <w:right w:val="single" w:sz="8" w:space="0" w:color="000000"/>
            </w:tcBorders>
            <w:vAlign w:val="center"/>
          </w:tcPr>
          <w:p w14:paraId="2228407F" w14:textId="3CCF9FF8" w:rsidR="005E308D" w:rsidRDefault="00945B44">
            <w:pPr>
              <w:pStyle w:val="biaogeright"/>
              <w:wordWrap w:val="0"/>
              <w:rPr>
                <w:rFonts w:asciiTheme="minorEastAsia" w:eastAsiaTheme="minorEastAsia" w:hAnsiTheme="minorEastAsia" w:cs="Times New Roman" w:hint="eastAsia"/>
                <w:bCs/>
                <w:kern w:val="2"/>
              </w:rPr>
            </w:pPr>
            <w:r>
              <w:t>78.88</w:t>
            </w:r>
          </w:p>
        </w:tc>
      </w:tr>
      <w:tr w:rsidR="005E308D" w14:paraId="23B871F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697AD10" w14:textId="77777777" w:rsidR="005E308D" w:rsidRDefault="005E308D">
            <w:pPr>
              <w:rPr>
                <w:rFonts w:asciiTheme="minorEastAsia" w:hAnsiTheme="minorEastAsia" w:cs="Times New Roman" w:hint="eastAsia"/>
                <w:bCs/>
                <w:sz w:val="24"/>
                <w:szCs w:val="24"/>
              </w:rPr>
            </w:pPr>
          </w:p>
        </w:tc>
        <w:tc>
          <w:tcPr>
            <w:tcW w:w="2815" w:type="dxa"/>
            <w:tcBorders>
              <w:top w:val="single" w:sz="8" w:space="0" w:color="000000"/>
              <w:left w:val="single" w:sz="8" w:space="0" w:color="000000"/>
              <w:bottom w:val="single" w:sz="6" w:space="0" w:color="000000"/>
              <w:right w:val="single" w:sz="8" w:space="0" w:color="000000"/>
            </w:tcBorders>
            <w:vAlign w:val="center"/>
          </w:tcPr>
          <w:p w14:paraId="33D7399F"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其中：股票</w:t>
            </w:r>
          </w:p>
        </w:tc>
        <w:tc>
          <w:tcPr>
            <w:tcW w:w="2495" w:type="dxa"/>
            <w:tcBorders>
              <w:top w:val="single" w:sz="8" w:space="0" w:color="000000"/>
              <w:left w:val="single" w:sz="8" w:space="0" w:color="000000"/>
              <w:bottom w:val="single" w:sz="6" w:space="0" w:color="000000"/>
              <w:right w:val="single" w:sz="8" w:space="0" w:color="000000"/>
            </w:tcBorders>
            <w:vAlign w:val="center"/>
          </w:tcPr>
          <w:p w14:paraId="62CA5782" w14:textId="0438BB9F" w:rsidR="005E308D" w:rsidRDefault="00945B44">
            <w:pPr>
              <w:pStyle w:val="biaogeright"/>
              <w:wordWrap w:val="0"/>
              <w:rPr>
                <w:rFonts w:asciiTheme="minorEastAsia" w:eastAsiaTheme="minorEastAsia" w:hAnsiTheme="minorEastAsia" w:cs="Times New Roman" w:hint="eastAsia"/>
                <w:bCs/>
                <w:kern w:val="2"/>
              </w:rPr>
            </w:pPr>
            <w:r>
              <w:t>80,117,859.95</w:t>
            </w:r>
          </w:p>
        </w:tc>
        <w:tc>
          <w:tcPr>
            <w:tcW w:w="2572" w:type="dxa"/>
            <w:tcBorders>
              <w:top w:val="single" w:sz="8" w:space="0" w:color="000000"/>
              <w:left w:val="single" w:sz="8" w:space="0" w:color="000000"/>
              <w:bottom w:val="single" w:sz="6" w:space="0" w:color="000000"/>
              <w:right w:val="single" w:sz="8" w:space="0" w:color="000000"/>
            </w:tcBorders>
            <w:vAlign w:val="center"/>
          </w:tcPr>
          <w:p w14:paraId="078C12C3" w14:textId="0F828407" w:rsidR="005E308D" w:rsidRDefault="00945B44">
            <w:pPr>
              <w:pStyle w:val="biaogeright"/>
              <w:wordWrap w:val="0"/>
              <w:rPr>
                <w:rFonts w:asciiTheme="minorEastAsia" w:eastAsiaTheme="minorEastAsia" w:hAnsiTheme="minorEastAsia" w:cs="Times New Roman" w:hint="eastAsia"/>
                <w:bCs/>
                <w:kern w:val="2"/>
              </w:rPr>
            </w:pPr>
            <w:r>
              <w:t>78.88</w:t>
            </w:r>
          </w:p>
        </w:tc>
      </w:tr>
      <w:tr w:rsidR="005E308D" w14:paraId="69311B2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5F91A98"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w:t>
            </w:r>
          </w:p>
        </w:tc>
        <w:tc>
          <w:tcPr>
            <w:tcW w:w="2815" w:type="dxa"/>
            <w:tcBorders>
              <w:top w:val="single" w:sz="8" w:space="0" w:color="000000"/>
              <w:left w:val="single" w:sz="8" w:space="0" w:color="000000"/>
              <w:bottom w:val="single" w:sz="6" w:space="0" w:color="000000"/>
              <w:right w:val="single" w:sz="8" w:space="0" w:color="000000"/>
            </w:tcBorders>
            <w:vAlign w:val="center"/>
          </w:tcPr>
          <w:p w14:paraId="707E41CF"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基金投资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36AFA77F" w14:textId="1D0FBC0A"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0BB99260" w14:textId="7FAD87A6"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2734F7C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BEC974B"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3</w:t>
            </w:r>
          </w:p>
        </w:tc>
        <w:tc>
          <w:tcPr>
            <w:tcW w:w="2815" w:type="dxa"/>
            <w:tcBorders>
              <w:top w:val="single" w:sz="8" w:space="0" w:color="000000"/>
              <w:left w:val="single" w:sz="8" w:space="0" w:color="000000"/>
              <w:bottom w:val="single" w:sz="6" w:space="0" w:color="000000"/>
              <w:right w:val="single" w:sz="8" w:space="0" w:color="000000"/>
            </w:tcBorders>
            <w:vAlign w:val="center"/>
          </w:tcPr>
          <w:p w14:paraId="5E74DB15"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固定收益投资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44058F5E" w14:textId="3F39D81A"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2459E1B7" w14:textId="29242D65"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1E1DC012"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6128661" w14:textId="77777777" w:rsidR="005E308D" w:rsidRDefault="005E308D">
            <w:pPr>
              <w:rPr>
                <w:rFonts w:asciiTheme="minorEastAsia" w:hAnsiTheme="minorEastAsia" w:cs="Times New Roman" w:hint="eastAsia"/>
                <w:bCs/>
                <w:sz w:val="24"/>
                <w:szCs w:val="24"/>
              </w:rPr>
            </w:pPr>
          </w:p>
        </w:tc>
        <w:tc>
          <w:tcPr>
            <w:tcW w:w="2815" w:type="dxa"/>
            <w:tcBorders>
              <w:top w:val="single" w:sz="8" w:space="0" w:color="000000"/>
              <w:left w:val="single" w:sz="8" w:space="0" w:color="000000"/>
              <w:bottom w:val="single" w:sz="6" w:space="0" w:color="000000"/>
              <w:right w:val="single" w:sz="8" w:space="0" w:color="000000"/>
            </w:tcBorders>
            <w:vAlign w:val="center"/>
          </w:tcPr>
          <w:p w14:paraId="7FB9FF17"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其中：债券</w:t>
            </w:r>
          </w:p>
        </w:tc>
        <w:tc>
          <w:tcPr>
            <w:tcW w:w="2495" w:type="dxa"/>
            <w:tcBorders>
              <w:top w:val="single" w:sz="8" w:space="0" w:color="000000"/>
              <w:left w:val="single" w:sz="8" w:space="0" w:color="000000"/>
              <w:bottom w:val="single" w:sz="6" w:space="0" w:color="000000"/>
              <w:right w:val="single" w:sz="8" w:space="0" w:color="000000"/>
            </w:tcBorders>
            <w:vAlign w:val="center"/>
          </w:tcPr>
          <w:p w14:paraId="1D7C1CFA" w14:textId="6BEE4E43"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3D7073F8" w14:textId="303D40A0"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3B7E72D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65E373F" w14:textId="77777777" w:rsidR="005E308D" w:rsidRDefault="005E308D">
            <w:pPr>
              <w:rPr>
                <w:rFonts w:asciiTheme="minorEastAsia" w:hAnsiTheme="minorEastAsia" w:cs="Times New Roman" w:hint="eastAsia"/>
                <w:bCs/>
                <w:sz w:val="24"/>
                <w:szCs w:val="24"/>
              </w:rPr>
            </w:pPr>
          </w:p>
        </w:tc>
        <w:tc>
          <w:tcPr>
            <w:tcW w:w="2815" w:type="dxa"/>
            <w:tcBorders>
              <w:top w:val="single" w:sz="8" w:space="0" w:color="000000"/>
              <w:left w:val="single" w:sz="8" w:space="0" w:color="000000"/>
              <w:bottom w:val="single" w:sz="6" w:space="0" w:color="000000"/>
              <w:right w:val="single" w:sz="8" w:space="0" w:color="000000"/>
            </w:tcBorders>
            <w:vAlign w:val="center"/>
          </w:tcPr>
          <w:p w14:paraId="177A5B62" w14:textId="77777777" w:rsidR="005E308D" w:rsidRDefault="00945B44">
            <w:pPr>
              <w:pStyle w:val="biaogeleft"/>
              <w:wordWrap w:val="0"/>
              <w:ind w:left="75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资产支持证券</w:t>
            </w:r>
          </w:p>
        </w:tc>
        <w:tc>
          <w:tcPr>
            <w:tcW w:w="2495" w:type="dxa"/>
            <w:tcBorders>
              <w:top w:val="single" w:sz="8" w:space="0" w:color="000000"/>
              <w:left w:val="single" w:sz="8" w:space="0" w:color="000000"/>
              <w:bottom w:val="single" w:sz="6" w:space="0" w:color="000000"/>
              <w:right w:val="single" w:sz="8" w:space="0" w:color="000000"/>
            </w:tcBorders>
            <w:vAlign w:val="center"/>
          </w:tcPr>
          <w:p w14:paraId="4C107CDE" w14:textId="38E4FD56"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2F932851" w14:textId="43D7A375"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0F9563D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D08333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4</w:t>
            </w:r>
          </w:p>
        </w:tc>
        <w:tc>
          <w:tcPr>
            <w:tcW w:w="0" w:type="auto"/>
            <w:tcBorders>
              <w:top w:val="single" w:sz="8" w:space="0" w:color="000000"/>
              <w:left w:val="single" w:sz="8" w:space="0" w:color="000000"/>
              <w:bottom w:val="single" w:sz="6" w:space="0" w:color="000000"/>
              <w:right w:val="single" w:sz="8" w:space="0" w:color="000000"/>
            </w:tcBorders>
            <w:vAlign w:val="center"/>
          </w:tcPr>
          <w:p w14:paraId="3EA0A229"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贵金属投资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3379E420" w14:textId="42A6A9D4"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6631624F" w14:textId="0ECDFA31"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26660F0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124F617"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5</w:t>
            </w:r>
          </w:p>
        </w:tc>
        <w:tc>
          <w:tcPr>
            <w:tcW w:w="2815" w:type="dxa"/>
            <w:tcBorders>
              <w:top w:val="single" w:sz="8" w:space="0" w:color="000000"/>
              <w:left w:val="single" w:sz="8" w:space="0" w:color="000000"/>
              <w:bottom w:val="single" w:sz="6" w:space="0" w:color="000000"/>
              <w:right w:val="single" w:sz="8" w:space="0" w:color="000000"/>
            </w:tcBorders>
            <w:vAlign w:val="center"/>
          </w:tcPr>
          <w:p w14:paraId="3201C445"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金融衍生品投资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08D364E9" w14:textId="0F03EAEB"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30D2E9F4" w14:textId="2457E6EE"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6B6B0C6F"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45B742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6</w:t>
            </w:r>
          </w:p>
        </w:tc>
        <w:tc>
          <w:tcPr>
            <w:tcW w:w="2815" w:type="dxa"/>
            <w:tcBorders>
              <w:top w:val="single" w:sz="8" w:space="0" w:color="000000"/>
              <w:left w:val="single" w:sz="8" w:space="0" w:color="000000"/>
              <w:bottom w:val="single" w:sz="6" w:space="0" w:color="000000"/>
              <w:right w:val="single" w:sz="8" w:space="0" w:color="000000"/>
            </w:tcBorders>
            <w:vAlign w:val="center"/>
          </w:tcPr>
          <w:p w14:paraId="3383081B"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买入返售金融资产</w:t>
            </w:r>
          </w:p>
        </w:tc>
        <w:tc>
          <w:tcPr>
            <w:tcW w:w="2495" w:type="dxa"/>
            <w:tcBorders>
              <w:top w:val="single" w:sz="8" w:space="0" w:color="000000"/>
              <w:left w:val="single" w:sz="8" w:space="0" w:color="000000"/>
              <w:bottom w:val="single" w:sz="6" w:space="0" w:color="000000"/>
              <w:right w:val="single" w:sz="8" w:space="0" w:color="000000"/>
            </w:tcBorders>
            <w:vAlign w:val="center"/>
          </w:tcPr>
          <w:p w14:paraId="44DABFC9" w14:textId="5B42FCB8"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16FC62E8" w14:textId="33E60AE4"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33519F7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4C8FA56" w14:textId="77777777" w:rsidR="005E308D" w:rsidRDefault="005E308D">
            <w:pPr>
              <w:rPr>
                <w:rFonts w:asciiTheme="minorEastAsia" w:hAnsiTheme="minorEastAsia" w:cs="Times New Roman" w:hint="eastAsia"/>
                <w:bCs/>
                <w:sz w:val="24"/>
                <w:szCs w:val="24"/>
              </w:rPr>
            </w:pPr>
          </w:p>
        </w:tc>
        <w:tc>
          <w:tcPr>
            <w:tcW w:w="2815" w:type="dxa"/>
            <w:tcBorders>
              <w:top w:val="single" w:sz="8" w:space="0" w:color="000000"/>
              <w:left w:val="single" w:sz="8" w:space="0" w:color="000000"/>
              <w:bottom w:val="single" w:sz="6" w:space="0" w:color="000000"/>
              <w:right w:val="single" w:sz="8" w:space="0" w:color="000000"/>
            </w:tcBorders>
            <w:vAlign w:val="center"/>
          </w:tcPr>
          <w:p w14:paraId="2D385A09"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其中：买断式回购的买入返售金融资产</w:t>
            </w:r>
          </w:p>
        </w:tc>
        <w:tc>
          <w:tcPr>
            <w:tcW w:w="2495" w:type="dxa"/>
            <w:tcBorders>
              <w:top w:val="single" w:sz="8" w:space="0" w:color="000000"/>
              <w:left w:val="single" w:sz="8" w:space="0" w:color="000000"/>
              <w:bottom w:val="single" w:sz="6" w:space="0" w:color="000000"/>
              <w:right w:val="single" w:sz="8" w:space="0" w:color="000000"/>
            </w:tcBorders>
            <w:vAlign w:val="center"/>
          </w:tcPr>
          <w:p w14:paraId="65E2C5DD" w14:textId="1B3CA3D3"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47CD8AC6" w14:textId="006584B6"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7FB7EFC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D5EF098"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7</w:t>
            </w:r>
          </w:p>
        </w:tc>
        <w:tc>
          <w:tcPr>
            <w:tcW w:w="2815" w:type="dxa"/>
            <w:tcBorders>
              <w:top w:val="single" w:sz="8" w:space="0" w:color="000000"/>
              <w:left w:val="single" w:sz="8" w:space="0" w:color="000000"/>
              <w:bottom w:val="single" w:sz="6" w:space="0" w:color="000000"/>
              <w:right w:val="single" w:sz="8" w:space="0" w:color="000000"/>
            </w:tcBorders>
            <w:vAlign w:val="center"/>
          </w:tcPr>
          <w:p w14:paraId="1E40CDB0"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银行存款和结算备付金合计</w:t>
            </w:r>
          </w:p>
        </w:tc>
        <w:tc>
          <w:tcPr>
            <w:tcW w:w="2495" w:type="dxa"/>
            <w:tcBorders>
              <w:top w:val="single" w:sz="8" w:space="0" w:color="000000"/>
              <w:left w:val="single" w:sz="8" w:space="0" w:color="000000"/>
              <w:bottom w:val="single" w:sz="6" w:space="0" w:color="000000"/>
              <w:right w:val="single" w:sz="8" w:space="0" w:color="000000"/>
            </w:tcBorders>
            <w:vAlign w:val="center"/>
          </w:tcPr>
          <w:p w14:paraId="371FA3F1" w14:textId="51A0F04A" w:rsidR="005E308D" w:rsidRDefault="00945B44">
            <w:pPr>
              <w:pStyle w:val="biaogeright"/>
              <w:wordWrap w:val="0"/>
              <w:rPr>
                <w:rFonts w:asciiTheme="minorEastAsia" w:eastAsiaTheme="minorEastAsia" w:hAnsiTheme="minorEastAsia" w:cs="Times New Roman" w:hint="eastAsia"/>
                <w:bCs/>
                <w:kern w:val="2"/>
              </w:rPr>
            </w:pPr>
            <w:r>
              <w:t>5,753,490.02</w:t>
            </w:r>
          </w:p>
        </w:tc>
        <w:tc>
          <w:tcPr>
            <w:tcW w:w="2572" w:type="dxa"/>
            <w:tcBorders>
              <w:top w:val="single" w:sz="8" w:space="0" w:color="000000"/>
              <w:left w:val="single" w:sz="8" w:space="0" w:color="000000"/>
              <w:bottom w:val="single" w:sz="6" w:space="0" w:color="000000"/>
              <w:right w:val="single" w:sz="8" w:space="0" w:color="000000"/>
            </w:tcBorders>
            <w:vAlign w:val="center"/>
          </w:tcPr>
          <w:p w14:paraId="53E12792" w14:textId="262F2D3D" w:rsidR="005E308D" w:rsidRDefault="00945B44">
            <w:pPr>
              <w:pStyle w:val="biaogeright"/>
              <w:wordWrap w:val="0"/>
              <w:rPr>
                <w:rFonts w:asciiTheme="minorEastAsia" w:eastAsiaTheme="minorEastAsia" w:hAnsiTheme="minorEastAsia" w:cs="Times New Roman" w:hint="eastAsia"/>
                <w:bCs/>
                <w:kern w:val="2"/>
              </w:rPr>
            </w:pPr>
            <w:r>
              <w:t>5.66</w:t>
            </w:r>
          </w:p>
        </w:tc>
      </w:tr>
      <w:tr w:rsidR="005E308D" w14:paraId="62AE225C"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E762957"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8</w:t>
            </w:r>
          </w:p>
        </w:tc>
        <w:tc>
          <w:tcPr>
            <w:tcW w:w="2815" w:type="dxa"/>
            <w:tcBorders>
              <w:top w:val="single" w:sz="8" w:space="0" w:color="000000"/>
              <w:left w:val="single" w:sz="8" w:space="0" w:color="000000"/>
              <w:bottom w:val="single" w:sz="6" w:space="0" w:color="000000"/>
              <w:right w:val="single" w:sz="8" w:space="0" w:color="000000"/>
            </w:tcBorders>
            <w:vAlign w:val="center"/>
          </w:tcPr>
          <w:p w14:paraId="261CC141"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其他资产</w:t>
            </w:r>
          </w:p>
        </w:tc>
        <w:tc>
          <w:tcPr>
            <w:tcW w:w="2495" w:type="dxa"/>
            <w:tcBorders>
              <w:top w:val="single" w:sz="8" w:space="0" w:color="000000"/>
              <w:left w:val="single" w:sz="8" w:space="0" w:color="000000"/>
              <w:bottom w:val="single" w:sz="6" w:space="0" w:color="000000"/>
              <w:right w:val="single" w:sz="8" w:space="0" w:color="000000"/>
            </w:tcBorders>
            <w:vAlign w:val="center"/>
          </w:tcPr>
          <w:p w14:paraId="382E9B81" w14:textId="7AE743AA" w:rsidR="005E308D" w:rsidRDefault="00945B44">
            <w:pPr>
              <w:pStyle w:val="biaogeright"/>
              <w:wordWrap w:val="0"/>
              <w:rPr>
                <w:rFonts w:asciiTheme="minorEastAsia" w:eastAsiaTheme="minorEastAsia" w:hAnsiTheme="minorEastAsia" w:cs="Times New Roman" w:hint="eastAsia"/>
                <w:bCs/>
                <w:kern w:val="2"/>
              </w:rPr>
            </w:pPr>
            <w:r>
              <w:t>15,698,794.79</w:t>
            </w:r>
          </w:p>
        </w:tc>
        <w:tc>
          <w:tcPr>
            <w:tcW w:w="2572" w:type="dxa"/>
            <w:tcBorders>
              <w:top w:val="single" w:sz="8" w:space="0" w:color="000000"/>
              <w:left w:val="single" w:sz="8" w:space="0" w:color="000000"/>
              <w:bottom w:val="single" w:sz="6" w:space="0" w:color="000000"/>
              <w:right w:val="single" w:sz="8" w:space="0" w:color="000000"/>
            </w:tcBorders>
            <w:vAlign w:val="center"/>
          </w:tcPr>
          <w:p w14:paraId="6F1062E0" w14:textId="151BCE0A" w:rsidR="005E308D" w:rsidRDefault="00945B44">
            <w:pPr>
              <w:pStyle w:val="biaogeright"/>
              <w:wordWrap w:val="0"/>
              <w:rPr>
                <w:rFonts w:asciiTheme="minorEastAsia" w:eastAsiaTheme="minorEastAsia" w:hAnsiTheme="minorEastAsia" w:cs="Times New Roman" w:hint="eastAsia"/>
                <w:bCs/>
                <w:kern w:val="2"/>
              </w:rPr>
            </w:pPr>
            <w:r>
              <w:t>15.46</w:t>
            </w:r>
          </w:p>
        </w:tc>
      </w:tr>
      <w:tr w:rsidR="005E308D" w14:paraId="0A10D78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D690E58"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9</w:t>
            </w:r>
          </w:p>
        </w:tc>
        <w:tc>
          <w:tcPr>
            <w:tcW w:w="2815" w:type="dxa"/>
            <w:tcBorders>
              <w:top w:val="single" w:sz="8" w:space="0" w:color="000000"/>
              <w:left w:val="single" w:sz="8" w:space="0" w:color="000000"/>
              <w:bottom w:val="single" w:sz="6" w:space="0" w:color="000000"/>
              <w:right w:val="single" w:sz="8" w:space="0" w:color="000000"/>
            </w:tcBorders>
            <w:vAlign w:val="center"/>
          </w:tcPr>
          <w:p w14:paraId="52582786"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合计</w:t>
            </w:r>
          </w:p>
        </w:tc>
        <w:tc>
          <w:tcPr>
            <w:tcW w:w="2495" w:type="dxa"/>
            <w:tcBorders>
              <w:top w:val="single" w:sz="8" w:space="0" w:color="000000"/>
              <w:left w:val="single" w:sz="8" w:space="0" w:color="000000"/>
              <w:bottom w:val="single" w:sz="6" w:space="0" w:color="000000"/>
              <w:right w:val="single" w:sz="8" w:space="0" w:color="000000"/>
            </w:tcBorders>
            <w:vAlign w:val="center"/>
          </w:tcPr>
          <w:p w14:paraId="1AF12C8E" w14:textId="66BC2415" w:rsidR="005E308D" w:rsidRDefault="00945B44">
            <w:pPr>
              <w:pStyle w:val="biaogeright"/>
              <w:wordWrap w:val="0"/>
              <w:rPr>
                <w:rFonts w:asciiTheme="minorEastAsia" w:eastAsiaTheme="minorEastAsia" w:hAnsiTheme="minorEastAsia" w:cs="Times New Roman" w:hint="eastAsia"/>
                <w:bCs/>
                <w:kern w:val="2"/>
              </w:rPr>
            </w:pPr>
            <w:r>
              <w:t>101,570,144.76</w:t>
            </w:r>
          </w:p>
        </w:tc>
        <w:tc>
          <w:tcPr>
            <w:tcW w:w="2572" w:type="dxa"/>
            <w:tcBorders>
              <w:top w:val="single" w:sz="8" w:space="0" w:color="000000"/>
              <w:left w:val="single" w:sz="8" w:space="0" w:color="000000"/>
              <w:bottom w:val="single" w:sz="6" w:space="0" w:color="000000"/>
              <w:right w:val="single" w:sz="8" w:space="0" w:color="000000"/>
            </w:tcBorders>
            <w:vAlign w:val="center"/>
          </w:tcPr>
          <w:p w14:paraId="3146F424" w14:textId="5AC11A49" w:rsidR="005E308D" w:rsidRDefault="00945B44">
            <w:pPr>
              <w:pStyle w:val="biaogeright"/>
              <w:wordWrap w:val="0"/>
              <w:rPr>
                <w:rFonts w:asciiTheme="minorEastAsia" w:eastAsiaTheme="minorEastAsia" w:hAnsiTheme="minorEastAsia" w:cs="Times New Roman" w:hint="eastAsia"/>
                <w:bCs/>
                <w:kern w:val="2"/>
              </w:rPr>
            </w:pPr>
            <w:r>
              <w:t>100.00</w:t>
            </w:r>
          </w:p>
        </w:tc>
      </w:tr>
    </w:tbl>
    <w:p w14:paraId="432936B3" w14:textId="77777777" w:rsidR="005E308D" w:rsidRDefault="00945B44">
      <w:pPr>
        <w:pStyle w:val="zhangjiep"/>
        <w:ind w:left="0"/>
        <w:rPr>
          <w:rFonts w:asciiTheme="minorEastAsia" w:eastAsiaTheme="minorEastAsia" w:hAnsiTheme="minorEastAsia" w:cs="Times New Roman" w:hint="eastAsia"/>
          <w:bCs/>
          <w:kern w:val="2"/>
        </w:rPr>
      </w:pPr>
      <w:bookmarkStart w:id="215" w:name="_Toc117173480"/>
      <w:r>
        <w:rPr>
          <w:rFonts w:asciiTheme="minorEastAsia" w:eastAsiaTheme="minorEastAsia" w:hAnsiTheme="minorEastAsia" w:cs="Times New Roman"/>
          <w:bCs/>
          <w:kern w:val="2"/>
        </w:rPr>
        <w:t>2</w:t>
      </w:r>
      <w:r>
        <w:rPr>
          <w:rFonts w:asciiTheme="minorEastAsia" w:eastAsiaTheme="minorEastAsia" w:hAnsiTheme="minorEastAsia" w:cs="Times New Roman" w:hint="eastAsia"/>
          <w:bCs/>
          <w:kern w:val="2"/>
        </w:rPr>
        <w:t>、报告期末按行业分类的股票投资组合</w:t>
      </w:r>
      <w:bookmarkEnd w:id="215"/>
    </w:p>
    <w:tbl>
      <w:tblPr>
        <w:tblW w:w="0" w:type="auto"/>
        <w:tblInd w:w="108" w:type="dxa"/>
        <w:tblLook w:val="04A0" w:firstRow="1" w:lastRow="0" w:firstColumn="1" w:lastColumn="0" w:noHBand="0" w:noVBand="1"/>
      </w:tblPr>
      <w:tblGrid>
        <w:gridCol w:w="795"/>
        <w:gridCol w:w="2596"/>
        <w:gridCol w:w="2596"/>
        <w:gridCol w:w="2672"/>
      </w:tblGrid>
      <w:tr w:rsidR="005E308D" w14:paraId="739D09B7" w14:textId="77777777">
        <w:tc>
          <w:tcPr>
            <w:tcW w:w="795" w:type="dxa"/>
            <w:tcBorders>
              <w:top w:val="single" w:sz="8" w:space="0" w:color="000000"/>
              <w:left w:val="single" w:sz="8" w:space="0" w:color="000000"/>
              <w:bottom w:val="single" w:sz="6" w:space="0" w:color="000000"/>
              <w:right w:val="single" w:sz="8" w:space="0" w:color="000000"/>
            </w:tcBorders>
            <w:vAlign w:val="center"/>
          </w:tcPr>
          <w:p w14:paraId="1F24570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代码</w:t>
            </w:r>
          </w:p>
        </w:tc>
        <w:tc>
          <w:tcPr>
            <w:tcW w:w="2596" w:type="dxa"/>
            <w:tcBorders>
              <w:top w:val="single" w:sz="8" w:space="0" w:color="000000"/>
              <w:left w:val="single" w:sz="8" w:space="0" w:color="000000"/>
              <w:bottom w:val="single" w:sz="6" w:space="0" w:color="000000"/>
              <w:right w:val="single" w:sz="8" w:space="0" w:color="000000"/>
            </w:tcBorders>
            <w:vAlign w:val="center"/>
          </w:tcPr>
          <w:p w14:paraId="502AA35E"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行业类别</w:t>
            </w:r>
          </w:p>
        </w:tc>
        <w:tc>
          <w:tcPr>
            <w:tcW w:w="2596" w:type="dxa"/>
            <w:tcBorders>
              <w:top w:val="single" w:sz="8" w:space="0" w:color="000000"/>
              <w:left w:val="single" w:sz="8" w:space="0" w:color="000000"/>
              <w:bottom w:val="single" w:sz="6" w:space="0" w:color="000000"/>
              <w:right w:val="single" w:sz="8" w:space="0" w:color="000000"/>
            </w:tcBorders>
            <w:vAlign w:val="center"/>
          </w:tcPr>
          <w:p w14:paraId="0ECA3D78"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公允价值</w:t>
            </w:r>
            <w:r>
              <w:rPr>
                <w:rFonts w:asciiTheme="minorEastAsia" w:eastAsiaTheme="minorEastAsia" w:hAnsiTheme="minorEastAsia" w:cs="Times New Roman"/>
                <w:bCs/>
                <w:kern w:val="2"/>
              </w:rPr>
              <w:t>(元)</w:t>
            </w:r>
          </w:p>
        </w:tc>
        <w:tc>
          <w:tcPr>
            <w:tcW w:w="2672" w:type="dxa"/>
            <w:tcBorders>
              <w:top w:val="single" w:sz="8" w:space="0" w:color="000000"/>
              <w:left w:val="single" w:sz="8" w:space="0" w:color="000000"/>
              <w:bottom w:val="single" w:sz="6" w:space="0" w:color="000000"/>
              <w:right w:val="single" w:sz="8" w:space="0" w:color="000000"/>
            </w:tcBorders>
            <w:vAlign w:val="center"/>
          </w:tcPr>
          <w:p w14:paraId="7FA4E2C8"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占基金资产净值比例（</w:t>
            </w:r>
            <w:r>
              <w:rPr>
                <w:rFonts w:asciiTheme="minorEastAsia" w:eastAsiaTheme="minorEastAsia" w:hAnsiTheme="minorEastAsia" w:cs="Times New Roman"/>
                <w:bCs/>
                <w:kern w:val="2"/>
              </w:rPr>
              <w:t>%）</w:t>
            </w:r>
          </w:p>
        </w:tc>
      </w:tr>
      <w:tr w:rsidR="005E308D" w14:paraId="76593FA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A8AA37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lastRenderedPageBreak/>
              <w:t>A</w:t>
            </w:r>
          </w:p>
        </w:tc>
        <w:tc>
          <w:tcPr>
            <w:tcW w:w="2596" w:type="dxa"/>
            <w:tcBorders>
              <w:top w:val="single" w:sz="8" w:space="0" w:color="000000"/>
              <w:left w:val="single" w:sz="8" w:space="0" w:color="000000"/>
              <w:bottom w:val="single" w:sz="6" w:space="0" w:color="000000"/>
              <w:right w:val="single" w:sz="8" w:space="0" w:color="000000"/>
            </w:tcBorders>
            <w:vAlign w:val="center"/>
          </w:tcPr>
          <w:p w14:paraId="63AD30E4"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农、林、牧、渔业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06398AED" w14:textId="3D1A487F" w:rsidR="005E308D" w:rsidRDefault="00945B44">
            <w:pPr>
              <w:pStyle w:val="biaogeright"/>
              <w:wordWrap w:val="0"/>
              <w:rPr>
                <w:rFonts w:asciiTheme="minorEastAsia" w:eastAsiaTheme="minorEastAsia" w:hAnsiTheme="minorEastAsia" w:cs="Times New Roman" w:hint="eastAsia"/>
                <w:bCs/>
                <w:kern w:val="2"/>
              </w:rPr>
            </w:pPr>
            <w:r>
              <w:t>586,969.00</w:t>
            </w:r>
          </w:p>
        </w:tc>
        <w:tc>
          <w:tcPr>
            <w:tcW w:w="2672" w:type="dxa"/>
            <w:tcBorders>
              <w:top w:val="single" w:sz="8" w:space="0" w:color="000000"/>
              <w:left w:val="single" w:sz="8" w:space="0" w:color="000000"/>
              <w:bottom w:val="single" w:sz="6" w:space="0" w:color="000000"/>
              <w:right w:val="single" w:sz="8" w:space="0" w:color="000000"/>
            </w:tcBorders>
            <w:vAlign w:val="center"/>
          </w:tcPr>
          <w:p w14:paraId="68934F62" w14:textId="345C1225" w:rsidR="005E308D" w:rsidRDefault="00945B44">
            <w:pPr>
              <w:pStyle w:val="biaogeright"/>
              <w:wordWrap w:val="0"/>
              <w:rPr>
                <w:rFonts w:asciiTheme="minorEastAsia" w:eastAsiaTheme="minorEastAsia" w:hAnsiTheme="minorEastAsia" w:cs="Times New Roman" w:hint="eastAsia"/>
                <w:bCs/>
                <w:kern w:val="2"/>
              </w:rPr>
            </w:pPr>
            <w:r>
              <w:t>0.58</w:t>
            </w:r>
          </w:p>
        </w:tc>
      </w:tr>
      <w:tr w:rsidR="005E308D" w14:paraId="68A372CC"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8EC272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B</w:t>
            </w:r>
          </w:p>
        </w:tc>
        <w:tc>
          <w:tcPr>
            <w:tcW w:w="2596" w:type="dxa"/>
            <w:tcBorders>
              <w:top w:val="single" w:sz="8" w:space="0" w:color="000000"/>
              <w:left w:val="single" w:sz="8" w:space="0" w:color="000000"/>
              <w:bottom w:val="single" w:sz="6" w:space="0" w:color="000000"/>
              <w:right w:val="single" w:sz="8" w:space="0" w:color="000000"/>
            </w:tcBorders>
            <w:vAlign w:val="center"/>
          </w:tcPr>
          <w:p w14:paraId="76A737F8"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采矿业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081B0A67" w14:textId="4B30DF65" w:rsidR="005E308D" w:rsidRDefault="00945B44">
            <w:pPr>
              <w:pStyle w:val="biaogeright"/>
              <w:wordWrap w:val="0"/>
              <w:rPr>
                <w:rFonts w:asciiTheme="minorEastAsia" w:eastAsiaTheme="minorEastAsia" w:hAnsiTheme="minorEastAsia" w:cs="Times New Roman" w:hint="eastAsia"/>
                <w:bCs/>
                <w:kern w:val="2"/>
              </w:rPr>
            </w:pPr>
            <w:r>
              <w:t>276,066.00</w:t>
            </w:r>
          </w:p>
        </w:tc>
        <w:tc>
          <w:tcPr>
            <w:tcW w:w="2672" w:type="dxa"/>
            <w:tcBorders>
              <w:top w:val="single" w:sz="8" w:space="0" w:color="000000"/>
              <w:left w:val="single" w:sz="8" w:space="0" w:color="000000"/>
              <w:bottom w:val="single" w:sz="6" w:space="0" w:color="000000"/>
              <w:right w:val="single" w:sz="8" w:space="0" w:color="000000"/>
            </w:tcBorders>
            <w:vAlign w:val="center"/>
          </w:tcPr>
          <w:p w14:paraId="106AB4B6" w14:textId="2CF70A3F" w:rsidR="005E308D" w:rsidRDefault="00945B44">
            <w:pPr>
              <w:pStyle w:val="biaogeright"/>
              <w:wordWrap w:val="0"/>
              <w:rPr>
                <w:rFonts w:asciiTheme="minorEastAsia" w:eastAsiaTheme="minorEastAsia" w:hAnsiTheme="minorEastAsia" w:cs="Times New Roman" w:hint="eastAsia"/>
                <w:bCs/>
                <w:kern w:val="2"/>
              </w:rPr>
            </w:pPr>
            <w:r>
              <w:t>0.27</w:t>
            </w:r>
          </w:p>
        </w:tc>
      </w:tr>
      <w:tr w:rsidR="005E308D" w14:paraId="73B1316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177DD4A"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C</w:t>
            </w:r>
          </w:p>
        </w:tc>
        <w:tc>
          <w:tcPr>
            <w:tcW w:w="2596" w:type="dxa"/>
            <w:tcBorders>
              <w:top w:val="single" w:sz="8" w:space="0" w:color="000000"/>
              <w:left w:val="single" w:sz="8" w:space="0" w:color="000000"/>
              <w:bottom w:val="single" w:sz="6" w:space="0" w:color="000000"/>
              <w:right w:val="single" w:sz="8" w:space="0" w:color="000000"/>
            </w:tcBorders>
            <w:vAlign w:val="center"/>
          </w:tcPr>
          <w:p w14:paraId="4E715046"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制造业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6C2178F3" w14:textId="1C50E396" w:rsidR="005E308D" w:rsidRDefault="00945B44">
            <w:pPr>
              <w:pStyle w:val="biaogeright"/>
              <w:wordWrap w:val="0"/>
              <w:rPr>
                <w:rFonts w:asciiTheme="minorEastAsia" w:eastAsiaTheme="minorEastAsia" w:hAnsiTheme="minorEastAsia" w:cs="Times New Roman" w:hint="eastAsia"/>
                <w:bCs/>
                <w:kern w:val="2"/>
              </w:rPr>
            </w:pPr>
            <w:r>
              <w:t>57,750,558.61</w:t>
            </w:r>
          </w:p>
        </w:tc>
        <w:tc>
          <w:tcPr>
            <w:tcW w:w="2672" w:type="dxa"/>
            <w:tcBorders>
              <w:top w:val="single" w:sz="8" w:space="0" w:color="000000"/>
              <w:left w:val="single" w:sz="8" w:space="0" w:color="000000"/>
              <w:bottom w:val="single" w:sz="6" w:space="0" w:color="000000"/>
              <w:right w:val="single" w:sz="8" w:space="0" w:color="000000"/>
            </w:tcBorders>
            <w:vAlign w:val="center"/>
          </w:tcPr>
          <w:p w14:paraId="5B29F537" w14:textId="6637BD05" w:rsidR="005E308D" w:rsidRDefault="00945B44">
            <w:pPr>
              <w:pStyle w:val="biaogeright"/>
              <w:wordWrap w:val="0"/>
              <w:rPr>
                <w:rFonts w:asciiTheme="minorEastAsia" w:eastAsiaTheme="minorEastAsia" w:hAnsiTheme="minorEastAsia" w:cs="Times New Roman" w:hint="eastAsia"/>
                <w:bCs/>
                <w:kern w:val="2"/>
              </w:rPr>
            </w:pPr>
            <w:r>
              <w:t>56.98</w:t>
            </w:r>
          </w:p>
        </w:tc>
      </w:tr>
      <w:tr w:rsidR="005E308D" w14:paraId="6F2AEB2D"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FC0D78A"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D</w:t>
            </w:r>
          </w:p>
        </w:tc>
        <w:tc>
          <w:tcPr>
            <w:tcW w:w="2596" w:type="dxa"/>
            <w:tcBorders>
              <w:top w:val="single" w:sz="8" w:space="0" w:color="000000"/>
              <w:left w:val="single" w:sz="8" w:space="0" w:color="000000"/>
              <w:bottom w:val="single" w:sz="6" w:space="0" w:color="000000"/>
              <w:right w:val="single" w:sz="8" w:space="0" w:color="000000"/>
            </w:tcBorders>
            <w:vAlign w:val="center"/>
          </w:tcPr>
          <w:p w14:paraId="5419C00B"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电力、热力、燃气及水生产和供应业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7AE94A06" w14:textId="035B4642" w:rsidR="005E308D" w:rsidRDefault="00945B44">
            <w:pPr>
              <w:pStyle w:val="biaogeright"/>
              <w:wordWrap w:val="0"/>
              <w:rPr>
                <w:rFonts w:asciiTheme="minorEastAsia" w:eastAsiaTheme="minorEastAsia" w:hAnsiTheme="minorEastAsia" w:cs="Times New Roman" w:hint="eastAsia"/>
                <w:bCs/>
                <w:kern w:val="2"/>
              </w:rPr>
            </w:pPr>
            <w:r>
              <w:t>272,035.00</w:t>
            </w:r>
          </w:p>
        </w:tc>
        <w:tc>
          <w:tcPr>
            <w:tcW w:w="2672" w:type="dxa"/>
            <w:tcBorders>
              <w:top w:val="single" w:sz="8" w:space="0" w:color="000000"/>
              <w:left w:val="single" w:sz="8" w:space="0" w:color="000000"/>
              <w:bottom w:val="single" w:sz="6" w:space="0" w:color="000000"/>
              <w:right w:val="single" w:sz="8" w:space="0" w:color="000000"/>
            </w:tcBorders>
            <w:vAlign w:val="center"/>
          </w:tcPr>
          <w:p w14:paraId="62C9B4D3" w14:textId="5FA2F27E" w:rsidR="005E308D" w:rsidRDefault="00945B44">
            <w:pPr>
              <w:pStyle w:val="biaogeright"/>
              <w:wordWrap w:val="0"/>
              <w:rPr>
                <w:rFonts w:asciiTheme="minorEastAsia" w:eastAsiaTheme="minorEastAsia" w:hAnsiTheme="minorEastAsia" w:cs="Times New Roman" w:hint="eastAsia"/>
                <w:bCs/>
                <w:kern w:val="2"/>
              </w:rPr>
            </w:pPr>
            <w:r>
              <w:t>0.27</w:t>
            </w:r>
          </w:p>
        </w:tc>
      </w:tr>
      <w:tr w:rsidR="005E308D" w14:paraId="127E77B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C8D061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E</w:t>
            </w:r>
          </w:p>
        </w:tc>
        <w:tc>
          <w:tcPr>
            <w:tcW w:w="2596" w:type="dxa"/>
            <w:tcBorders>
              <w:top w:val="single" w:sz="8" w:space="0" w:color="000000"/>
              <w:left w:val="single" w:sz="8" w:space="0" w:color="000000"/>
              <w:bottom w:val="single" w:sz="6" w:space="0" w:color="000000"/>
              <w:right w:val="single" w:sz="8" w:space="0" w:color="000000"/>
            </w:tcBorders>
            <w:vAlign w:val="center"/>
          </w:tcPr>
          <w:p w14:paraId="292FC486"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建筑业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2893218C" w14:textId="093DC589" w:rsidR="005E308D" w:rsidRDefault="00945B44">
            <w:pPr>
              <w:pStyle w:val="biaogeright"/>
              <w:wordWrap w:val="0"/>
              <w:rPr>
                <w:rFonts w:asciiTheme="minorEastAsia" w:eastAsiaTheme="minorEastAsia" w:hAnsiTheme="minorEastAsia" w:cs="Times New Roman" w:hint="eastAsia"/>
                <w:bCs/>
                <w:kern w:val="2"/>
              </w:rPr>
            </w:pPr>
            <w:r>
              <w:t>2,052,294.00</w:t>
            </w:r>
          </w:p>
        </w:tc>
        <w:tc>
          <w:tcPr>
            <w:tcW w:w="2672" w:type="dxa"/>
            <w:tcBorders>
              <w:top w:val="single" w:sz="8" w:space="0" w:color="000000"/>
              <w:left w:val="single" w:sz="8" w:space="0" w:color="000000"/>
              <w:bottom w:val="single" w:sz="6" w:space="0" w:color="000000"/>
              <w:right w:val="single" w:sz="8" w:space="0" w:color="000000"/>
            </w:tcBorders>
            <w:vAlign w:val="center"/>
          </w:tcPr>
          <w:p w14:paraId="2F7ABBAC" w14:textId="21CFD29E" w:rsidR="005E308D" w:rsidRDefault="00945B44">
            <w:pPr>
              <w:pStyle w:val="biaogeright"/>
              <w:wordWrap w:val="0"/>
              <w:rPr>
                <w:rFonts w:asciiTheme="minorEastAsia" w:eastAsiaTheme="minorEastAsia" w:hAnsiTheme="minorEastAsia" w:cs="Times New Roman" w:hint="eastAsia"/>
                <w:bCs/>
                <w:kern w:val="2"/>
              </w:rPr>
            </w:pPr>
            <w:r>
              <w:t>2.02</w:t>
            </w:r>
          </w:p>
        </w:tc>
      </w:tr>
      <w:tr w:rsidR="005E308D" w14:paraId="555D4551"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8C3BD91"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F</w:t>
            </w:r>
          </w:p>
        </w:tc>
        <w:tc>
          <w:tcPr>
            <w:tcW w:w="2596" w:type="dxa"/>
            <w:tcBorders>
              <w:top w:val="single" w:sz="8" w:space="0" w:color="000000"/>
              <w:left w:val="single" w:sz="8" w:space="0" w:color="000000"/>
              <w:bottom w:val="single" w:sz="6" w:space="0" w:color="000000"/>
              <w:right w:val="single" w:sz="8" w:space="0" w:color="000000"/>
            </w:tcBorders>
            <w:vAlign w:val="center"/>
          </w:tcPr>
          <w:p w14:paraId="284C107C"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批发和零售业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0921305A" w14:textId="3CCFB391" w:rsidR="005E308D" w:rsidRDefault="00945B44">
            <w:pPr>
              <w:pStyle w:val="biaogeright"/>
              <w:wordWrap w:val="0"/>
              <w:rPr>
                <w:rFonts w:asciiTheme="minorEastAsia" w:eastAsiaTheme="minorEastAsia" w:hAnsiTheme="minorEastAsia" w:cs="Times New Roman" w:hint="eastAsia"/>
                <w:bCs/>
                <w:kern w:val="2"/>
              </w:rPr>
            </w:pPr>
            <w:r>
              <w:t>1,111,915.00</w:t>
            </w:r>
          </w:p>
        </w:tc>
        <w:tc>
          <w:tcPr>
            <w:tcW w:w="2672" w:type="dxa"/>
            <w:tcBorders>
              <w:top w:val="single" w:sz="8" w:space="0" w:color="000000"/>
              <w:left w:val="single" w:sz="8" w:space="0" w:color="000000"/>
              <w:bottom w:val="single" w:sz="6" w:space="0" w:color="000000"/>
              <w:right w:val="single" w:sz="8" w:space="0" w:color="000000"/>
            </w:tcBorders>
            <w:vAlign w:val="center"/>
          </w:tcPr>
          <w:p w14:paraId="5948B53A" w14:textId="0728960D" w:rsidR="005E308D" w:rsidRDefault="00945B44">
            <w:pPr>
              <w:pStyle w:val="biaogeright"/>
              <w:wordWrap w:val="0"/>
              <w:rPr>
                <w:rFonts w:asciiTheme="minorEastAsia" w:eastAsiaTheme="minorEastAsia" w:hAnsiTheme="minorEastAsia" w:cs="Times New Roman" w:hint="eastAsia"/>
                <w:bCs/>
                <w:kern w:val="2"/>
              </w:rPr>
            </w:pPr>
            <w:r>
              <w:t>1.10</w:t>
            </w:r>
          </w:p>
        </w:tc>
      </w:tr>
      <w:tr w:rsidR="005E308D" w14:paraId="34F7C1D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63906B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G</w:t>
            </w:r>
          </w:p>
        </w:tc>
        <w:tc>
          <w:tcPr>
            <w:tcW w:w="2596" w:type="dxa"/>
            <w:tcBorders>
              <w:top w:val="single" w:sz="8" w:space="0" w:color="000000"/>
              <w:left w:val="single" w:sz="8" w:space="0" w:color="000000"/>
              <w:bottom w:val="single" w:sz="6" w:space="0" w:color="000000"/>
              <w:right w:val="single" w:sz="8" w:space="0" w:color="000000"/>
            </w:tcBorders>
            <w:vAlign w:val="center"/>
          </w:tcPr>
          <w:p w14:paraId="04C2C571"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交通运输、仓储和邮政业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3F1D2D62" w14:textId="3B111211" w:rsidR="005E308D" w:rsidRDefault="00945B44">
            <w:pPr>
              <w:pStyle w:val="biaogeright"/>
              <w:wordWrap w:val="0"/>
              <w:rPr>
                <w:rFonts w:asciiTheme="minorEastAsia" w:eastAsiaTheme="minorEastAsia" w:hAnsiTheme="minorEastAsia" w:cs="Times New Roman" w:hint="eastAsia"/>
                <w:bCs/>
                <w:kern w:val="2"/>
              </w:rPr>
            </w:pPr>
            <w:r>
              <w:t>271,994.00</w:t>
            </w:r>
          </w:p>
        </w:tc>
        <w:tc>
          <w:tcPr>
            <w:tcW w:w="2672" w:type="dxa"/>
            <w:tcBorders>
              <w:top w:val="single" w:sz="8" w:space="0" w:color="000000"/>
              <w:left w:val="single" w:sz="8" w:space="0" w:color="000000"/>
              <w:bottom w:val="single" w:sz="6" w:space="0" w:color="000000"/>
              <w:right w:val="single" w:sz="8" w:space="0" w:color="000000"/>
            </w:tcBorders>
            <w:vAlign w:val="center"/>
          </w:tcPr>
          <w:p w14:paraId="5D62DE51" w14:textId="18EEE980" w:rsidR="005E308D" w:rsidRDefault="00945B44">
            <w:pPr>
              <w:pStyle w:val="biaogeright"/>
              <w:wordWrap w:val="0"/>
              <w:rPr>
                <w:rFonts w:asciiTheme="minorEastAsia" w:eastAsiaTheme="minorEastAsia" w:hAnsiTheme="minorEastAsia" w:cs="Times New Roman" w:hint="eastAsia"/>
                <w:bCs/>
                <w:kern w:val="2"/>
              </w:rPr>
            </w:pPr>
            <w:r>
              <w:t>0.27</w:t>
            </w:r>
          </w:p>
        </w:tc>
      </w:tr>
      <w:tr w:rsidR="005E308D" w14:paraId="61B6ACC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FD4049D"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H</w:t>
            </w:r>
          </w:p>
        </w:tc>
        <w:tc>
          <w:tcPr>
            <w:tcW w:w="2596" w:type="dxa"/>
            <w:tcBorders>
              <w:top w:val="single" w:sz="8" w:space="0" w:color="000000"/>
              <w:left w:val="single" w:sz="8" w:space="0" w:color="000000"/>
              <w:bottom w:val="single" w:sz="6" w:space="0" w:color="000000"/>
              <w:right w:val="single" w:sz="8" w:space="0" w:color="000000"/>
            </w:tcBorders>
            <w:vAlign w:val="center"/>
          </w:tcPr>
          <w:p w14:paraId="23C1B4A8"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住宿和餐饮业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593C5EA8" w14:textId="20808661" w:rsidR="005E308D" w:rsidRDefault="00945B44">
            <w:pPr>
              <w:pStyle w:val="biaogeright"/>
              <w:wordWrap w:val="0"/>
              <w:rPr>
                <w:rFonts w:asciiTheme="minorEastAsia" w:eastAsiaTheme="minorEastAsia" w:hAnsiTheme="minorEastAsia" w:cs="Times New Roman" w:hint="eastAsia"/>
                <w:bCs/>
                <w:kern w:val="2"/>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7C0833C3" w14:textId="7DAFF786"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39A656F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80F790E"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I</w:t>
            </w:r>
          </w:p>
        </w:tc>
        <w:tc>
          <w:tcPr>
            <w:tcW w:w="2596" w:type="dxa"/>
            <w:tcBorders>
              <w:top w:val="single" w:sz="8" w:space="0" w:color="000000"/>
              <w:left w:val="single" w:sz="8" w:space="0" w:color="000000"/>
              <w:bottom w:val="single" w:sz="6" w:space="0" w:color="000000"/>
              <w:right w:val="single" w:sz="8" w:space="0" w:color="000000"/>
            </w:tcBorders>
            <w:vAlign w:val="center"/>
          </w:tcPr>
          <w:p w14:paraId="44A3E65A"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信息传输、软件和信息技术服务业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5EC8E37C" w14:textId="62B7CA09" w:rsidR="005E308D" w:rsidRDefault="00945B44">
            <w:pPr>
              <w:pStyle w:val="biaogeright"/>
              <w:wordWrap w:val="0"/>
              <w:rPr>
                <w:rFonts w:asciiTheme="minorEastAsia" w:eastAsiaTheme="minorEastAsia" w:hAnsiTheme="minorEastAsia" w:cs="Times New Roman" w:hint="eastAsia"/>
                <w:bCs/>
                <w:kern w:val="2"/>
              </w:rPr>
            </w:pPr>
            <w:r>
              <w:t>6,095,031.34</w:t>
            </w:r>
          </w:p>
        </w:tc>
        <w:tc>
          <w:tcPr>
            <w:tcW w:w="2672" w:type="dxa"/>
            <w:tcBorders>
              <w:top w:val="single" w:sz="8" w:space="0" w:color="000000"/>
              <w:left w:val="single" w:sz="8" w:space="0" w:color="000000"/>
              <w:bottom w:val="single" w:sz="6" w:space="0" w:color="000000"/>
              <w:right w:val="single" w:sz="8" w:space="0" w:color="000000"/>
            </w:tcBorders>
            <w:vAlign w:val="center"/>
          </w:tcPr>
          <w:p w14:paraId="5BCBEF40" w14:textId="3FCEACF0" w:rsidR="005E308D" w:rsidRDefault="00945B44">
            <w:pPr>
              <w:pStyle w:val="biaogeright"/>
              <w:wordWrap w:val="0"/>
              <w:rPr>
                <w:rFonts w:asciiTheme="minorEastAsia" w:eastAsiaTheme="minorEastAsia" w:hAnsiTheme="minorEastAsia" w:cs="Times New Roman" w:hint="eastAsia"/>
                <w:bCs/>
                <w:kern w:val="2"/>
              </w:rPr>
            </w:pPr>
            <w:r>
              <w:t>6.01</w:t>
            </w:r>
          </w:p>
        </w:tc>
      </w:tr>
      <w:tr w:rsidR="005E308D" w14:paraId="3995BEB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D63577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J</w:t>
            </w:r>
          </w:p>
        </w:tc>
        <w:tc>
          <w:tcPr>
            <w:tcW w:w="2596" w:type="dxa"/>
            <w:tcBorders>
              <w:top w:val="single" w:sz="8" w:space="0" w:color="000000"/>
              <w:left w:val="single" w:sz="8" w:space="0" w:color="000000"/>
              <w:bottom w:val="single" w:sz="6" w:space="0" w:color="000000"/>
              <w:right w:val="single" w:sz="8" w:space="0" w:color="000000"/>
            </w:tcBorders>
            <w:vAlign w:val="center"/>
          </w:tcPr>
          <w:p w14:paraId="271E3A62"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金融业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4DB27B25" w14:textId="76CD3BB7" w:rsidR="005E308D" w:rsidRDefault="00945B44">
            <w:pPr>
              <w:pStyle w:val="biaogeright"/>
              <w:wordWrap w:val="0"/>
              <w:rPr>
                <w:rFonts w:asciiTheme="minorEastAsia" w:eastAsiaTheme="minorEastAsia" w:hAnsiTheme="minorEastAsia" w:cs="Times New Roman" w:hint="eastAsia"/>
                <w:bCs/>
                <w:kern w:val="2"/>
              </w:rPr>
            </w:pPr>
            <w:r>
              <w:t>3,699,568.00</w:t>
            </w:r>
          </w:p>
        </w:tc>
        <w:tc>
          <w:tcPr>
            <w:tcW w:w="2672" w:type="dxa"/>
            <w:tcBorders>
              <w:top w:val="single" w:sz="8" w:space="0" w:color="000000"/>
              <w:left w:val="single" w:sz="8" w:space="0" w:color="000000"/>
              <w:bottom w:val="single" w:sz="6" w:space="0" w:color="000000"/>
              <w:right w:val="single" w:sz="8" w:space="0" w:color="000000"/>
            </w:tcBorders>
            <w:vAlign w:val="center"/>
          </w:tcPr>
          <w:p w14:paraId="532B2776" w14:textId="3A78D517" w:rsidR="005E308D" w:rsidRDefault="00945B44">
            <w:pPr>
              <w:pStyle w:val="biaogeright"/>
              <w:wordWrap w:val="0"/>
              <w:rPr>
                <w:rFonts w:asciiTheme="minorEastAsia" w:eastAsiaTheme="minorEastAsia" w:hAnsiTheme="minorEastAsia" w:cs="Times New Roman" w:hint="eastAsia"/>
                <w:bCs/>
                <w:kern w:val="2"/>
              </w:rPr>
            </w:pPr>
            <w:r>
              <w:t>3.65</w:t>
            </w:r>
          </w:p>
        </w:tc>
      </w:tr>
      <w:tr w:rsidR="005E308D" w14:paraId="49AAB64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0C2856A"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K</w:t>
            </w:r>
          </w:p>
        </w:tc>
        <w:tc>
          <w:tcPr>
            <w:tcW w:w="2596" w:type="dxa"/>
            <w:tcBorders>
              <w:top w:val="single" w:sz="8" w:space="0" w:color="000000"/>
              <w:left w:val="single" w:sz="8" w:space="0" w:color="000000"/>
              <w:bottom w:val="single" w:sz="6" w:space="0" w:color="000000"/>
              <w:right w:val="single" w:sz="8" w:space="0" w:color="000000"/>
            </w:tcBorders>
            <w:vAlign w:val="center"/>
          </w:tcPr>
          <w:p w14:paraId="018514EB"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房地产业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698033F1" w14:textId="4893A5B4" w:rsidR="005E308D" w:rsidRDefault="00945B44">
            <w:pPr>
              <w:pStyle w:val="biaogeright"/>
              <w:wordWrap w:val="0"/>
              <w:rPr>
                <w:rFonts w:asciiTheme="minorEastAsia" w:eastAsiaTheme="minorEastAsia" w:hAnsiTheme="minorEastAsia" w:cs="Times New Roman" w:hint="eastAsia"/>
                <w:bCs/>
                <w:kern w:val="2"/>
              </w:rPr>
            </w:pPr>
            <w:r>
              <w:t>1,088,100.00</w:t>
            </w:r>
          </w:p>
        </w:tc>
        <w:tc>
          <w:tcPr>
            <w:tcW w:w="2672" w:type="dxa"/>
            <w:tcBorders>
              <w:top w:val="single" w:sz="8" w:space="0" w:color="000000"/>
              <w:left w:val="single" w:sz="8" w:space="0" w:color="000000"/>
              <w:bottom w:val="single" w:sz="6" w:space="0" w:color="000000"/>
              <w:right w:val="single" w:sz="8" w:space="0" w:color="000000"/>
            </w:tcBorders>
            <w:vAlign w:val="center"/>
          </w:tcPr>
          <w:p w14:paraId="765583B5" w14:textId="6348B5C4" w:rsidR="005E308D" w:rsidRDefault="00945B44">
            <w:pPr>
              <w:pStyle w:val="biaogeright"/>
              <w:wordWrap w:val="0"/>
              <w:rPr>
                <w:rFonts w:asciiTheme="minorEastAsia" w:eastAsiaTheme="minorEastAsia" w:hAnsiTheme="minorEastAsia" w:cs="Times New Roman" w:hint="eastAsia"/>
                <w:bCs/>
                <w:kern w:val="2"/>
              </w:rPr>
            </w:pPr>
            <w:r>
              <w:t>1.07</w:t>
            </w:r>
          </w:p>
        </w:tc>
      </w:tr>
      <w:tr w:rsidR="005E308D" w14:paraId="7FF2966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51FC7FE"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L</w:t>
            </w:r>
          </w:p>
        </w:tc>
        <w:tc>
          <w:tcPr>
            <w:tcW w:w="2596" w:type="dxa"/>
            <w:tcBorders>
              <w:top w:val="single" w:sz="8" w:space="0" w:color="000000"/>
              <w:left w:val="single" w:sz="8" w:space="0" w:color="000000"/>
              <w:bottom w:val="single" w:sz="6" w:space="0" w:color="000000"/>
              <w:right w:val="single" w:sz="8" w:space="0" w:color="000000"/>
            </w:tcBorders>
            <w:vAlign w:val="center"/>
          </w:tcPr>
          <w:p w14:paraId="1F481AF7"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租赁和商务服务业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2C3F3858" w14:textId="77721610" w:rsidR="005E308D" w:rsidRDefault="00945B44">
            <w:pPr>
              <w:pStyle w:val="biaogeright"/>
              <w:wordWrap w:val="0"/>
              <w:rPr>
                <w:rFonts w:asciiTheme="minorEastAsia" w:eastAsiaTheme="minorEastAsia" w:hAnsiTheme="minorEastAsia" w:cs="Times New Roman" w:hint="eastAsia"/>
                <w:bCs/>
                <w:kern w:val="2"/>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10614DCE" w14:textId="6EC5594C"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514CFCA0"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880BA9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M</w:t>
            </w:r>
          </w:p>
        </w:tc>
        <w:tc>
          <w:tcPr>
            <w:tcW w:w="2596" w:type="dxa"/>
            <w:tcBorders>
              <w:top w:val="single" w:sz="8" w:space="0" w:color="000000"/>
              <w:left w:val="single" w:sz="8" w:space="0" w:color="000000"/>
              <w:bottom w:val="single" w:sz="6" w:space="0" w:color="000000"/>
              <w:right w:val="single" w:sz="8" w:space="0" w:color="000000"/>
            </w:tcBorders>
            <w:vAlign w:val="center"/>
          </w:tcPr>
          <w:p w14:paraId="1D8336A8"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科学研究和技术服务业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4DD491EA" w14:textId="23FFB19F" w:rsidR="005E308D" w:rsidRDefault="00945B44">
            <w:pPr>
              <w:pStyle w:val="biaogeright"/>
              <w:wordWrap w:val="0"/>
              <w:rPr>
                <w:rFonts w:asciiTheme="minorEastAsia" w:eastAsiaTheme="minorEastAsia" w:hAnsiTheme="minorEastAsia" w:cs="Times New Roman" w:hint="eastAsia"/>
                <w:bCs/>
                <w:kern w:val="2"/>
              </w:rPr>
            </w:pPr>
            <w:r>
              <w:t>1,774,423.00</w:t>
            </w:r>
          </w:p>
        </w:tc>
        <w:tc>
          <w:tcPr>
            <w:tcW w:w="2672" w:type="dxa"/>
            <w:tcBorders>
              <w:top w:val="single" w:sz="8" w:space="0" w:color="000000"/>
              <w:left w:val="single" w:sz="8" w:space="0" w:color="000000"/>
              <w:bottom w:val="single" w:sz="6" w:space="0" w:color="000000"/>
              <w:right w:val="single" w:sz="8" w:space="0" w:color="000000"/>
            </w:tcBorders>
            <w:vAlign w:val="center"/>
          </w:tcPr>
          <w:p w14:paraId="6EEE9167" w14:textId="234DE1BA" w:rsidR="005E308D" w:rsidRDefault="00945B44">
            <w:pPr>
              <w:pStyle w:val="biaogeright"/>
              <w:wordWrap w:val="0"/>
              <w:rPr>
                <w:rFonts w:asciiTheme="minorEastAsia" w:eastAsiaTheme="minorEastAsia" w:hAnsiTheme="minorEastAsia" w:cs="Times New Roman" w:hint="eastAsia"/>
                <w:bCs/>
                <w:kern w:val="2"/>
              </w:rPr>
            </w:pPr>
            <w:r>
              <w:t>1.75</w:t>
            </w:r>
          </w:p>
        </w:tc>
      </w:tr>
      <w:tr w:rsidR="005E308D" w14:paraId="53449F2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18468A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N</w:t>
            </w:r>
          </w:p>
        </w:tc>
        <w:tc>
          <w:tcPr>
            <w:tcW w:w="2596" w:type="dxa"/>
            <w:tcBorders>
              <w:top w:val="single" w:sz="8" w:space="0" w:color="000000"/>
              <w:left w:val="single" w:sz="8" w:space="0" w:color="000000"/>
              <w:bottom w:val="single" w:sz="6" w:space="0" w:color="000000"/>
              <w:right w:val="single" w:sz="8" w:space="0" w:color="000000"/>
            </w:tcBorders>
            <w:vAlign w:val="center"/>
          </w:tcPr>
          <w:p w14:paraId="1FAFC967"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水利、环境和公共设施管理业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35CE3C20" w14:textId="7DD9628D" w:rsidR="005E308D" w:rsidRDefault="00945B44">
            <w:pPr>
              <w:pStyle w:val="biaogeright"/>
              <w:wordWrap w:val="0"/>
              <w:rPr>
                <w:rFonts w:asciiTheme="minorEastAsia" w:eastAsiaTheme="minorEastAsia" w:hAnsiTheme="minorEastAsia" w:cs="Times New Roman" w:hint="eastAsia"/>
                <w:bCs/>
                <w:kern w:val="2"/>
              </w:rPr>
            </w:pPr>
            <w:r>
              <w:t>4,847,462.00</w:t>
            </w:r>
          </w:p>
        </w:tc>
        <w:tc>
          <w:tcPr>
            <w:tcW w:w="2672" w:type="dxa"/>
            <w:tcBorders>
              <w:top w:val="single" w:sz="8" w:space="0" w:color="000000"/>
              <w:left w:val="single" w:sz="8" w:space="0" w:color="000000"/>
              <w:bottom w:val="single" w:sz="6" w:space="0" w:color="000000"/>
              <w:right w:val="single" w:sz="8" w:space="0" w:color="000000"/>
            </w:tcBorders>
            <w:vAlign w:val="center"/>
          </w:tcPr>
          <w:p w14:paraId="43E56AF2" w14:textId="17A6AE17" w:rsidR="005E308D" w:rsidRDefault="00945B44">
            <w:pPr>
              <w:pStyle w:val="biaogeright"/>
              <w:wordWrap w:val="0"/>
              <w:rPr>
                <w:rFonts w:asciiTheme="minorEastAsia" w:eastAsiaTheme="minorEastAsia" w:hAnsiTheme="minorEastAsia" w:cs="Times New Roman" w:hint="eastAsia"/>
                <w:bCs/>
                <w:kern w:val="2"/>
              </w:rPr>
            </w:pPr>
            <w:r>
              <w:t>4.78</w:t>
            </w:r>
          </w:p>
        </w:tc>
      </w:tr>
      <w:tr w:rsidR="005E308D" w14:paraId="2C317F6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A9A81D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O</w:t>
            </w:r>
          </w:p>
        </w:tc>
        <w:tc>
          <w:tcPr>
            <w:tcW w:w="2596" w:type="dxa"/>
            <w:tcBorders>
              <w:top w:val="single" w:sz="8" w:space="0" w:color="000000"/>
              <w:left w:val="single" w:sz="8" w:space="0" w:color="000000"/>
              <w:bottom w:val="single" w:sz="6" w:space="0" w:color="000000"/>
              <w:right w:val="single" w:sz="8" w:space="0" w:color="000000"/>
            </w:tcBorders>
            <w:vAlign w:val="center"/>
          </w:tcPr>
          <w:p w14:paraId="64732948"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居民服务、修理和其他服务业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3103A0C0" w14:textId="70716D5D" w:rsidR="005E308D" w:rsidRDefault="00945B44">
            <w:pPr>
              <w:pStyle w:val="biaogeright"/>
              <w:wordWrap w:val="0"/>
              <w:rPr>
                <w:rFonts w:asciiTheme="minorEastAsia" w:eastAsiaTheme="minorEastAsia" w:hAnsiTheme="minorEastAsia" w:cs="Times New Roman" w:hint="eastAsia"/>
                <w:bCs/>
                <w:kern w:val="2"/>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733AA74F" w14:textId="4A7D6DCA"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501E62F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1F2710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P</w:t>
            </w:r>
          </w:p>
        </w:tc>
        <w:tc>
          <w:tcPr>
            <w:tcW w:w="2596" w:type="dxa"/>
            <w:tcBorders>
              <w:top w:val="single" w:sz="8" w:space="0" w:color="000000"/>
              <w:left w:val="single" w:sz="8" w:space="0" w:color="000000"/>
              <w:bottom w:val="single" w:sz="6" w:space="0" w:color="000000"/>
              <w:right w:val="single" w:sz="8" w:space="0" w:color="000000"/>
            </w:tcBorders>
            <w:vAlign w:val="center"/>
          </w:tcPr>
          <w:p w14:paraId="4CE62F98"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教育</w:t>
            </w:r>
          </w:p>
        </w:tc>
        <w:tc>
          <w:tcPr>
            <w:tcW w:w="2596" w:type="dxa"/>
            <w:tcBorders>
              <w:top w:val="single" w:sz="8" w:space="0" w:color="000000"/>
              <w:left w:val="single" w:sz="8" w:space="0" w:color="000000"/>
              <w:bottom w:val="single" w:sz="6" w:space="0" w:color="000000"/>
              <w:right w:val="single" w:sz="8" w:space="0" w:color="000000"/>
            </w:tcBorders>
            <w:vAlign w:val="center"/>
          </w:tcPr>
          <w:p w14:paraId="35BCBA35" w14:textId="48E9B287" w:rsidR="005E308D" w:rsidRDefault="00945B44">
            <w:pPr>
              <w:pStyle w:val="biaogeright"/>
              <w:wordWrap w:val="0"/>
              <w:rPr>
                <w:rFonts w:asciiTheme="minorEastAsia" w:eastAsiaTheme="minorEastAsia" w:hAnsiTheme="minorEastAsia" w:cs="Times New Roman" w:hint="eastAsia"/>
                <w:bCs/>
                <w:kern w:val="2"/>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24404185" w14:textId="4872BE35"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1166469F"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8C824F4"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Q</w:t>
            </w:r>
          </w:p>
        </w:tc>
        <w:tc>
          <w:tcPr>
            <w:tcW w:w="2596" w:type="dxa"/>
            <w:tcBorders>
              <w:top w:val="single" w:sz="8" w:space="0" w:color="000000"/>
              <w:left w:val="single" w:sz="8" w:space="0" w:color="000000"/>
              <w:bottom w:val="single" w:sz="6" w:space="0" w:color="000000"/>
              <w:right w:val="single" w:sz="8" w:space="0" w:color="000000"/>
            </w:tcBorders>
            <w:vAlign w:val="center"/>
          </w:tcPr>
          <w:p w14:paraId="713E8273"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卫生和社会工作</w:t>
            </w:r>
          </w:p>
        </w:tc>
        <w:tc>
          <w:tcPr>
            <w:tcW w:w="2596" w:type="dxa"/>
            <w:tcBorders>
              <w:top w:val="single" w:sz="8" w:space="0" w:color="000000"/>
              <w:left w:val="single" w:sz="8" w:space="0" w:color="000000"/>
              <w:bottom w:val="single" w:sz="6" w:space="0" w:color="000000"/>
              <w:right w:val="single" w:sz="8" w:space="0" w:color="000000"/>
            </w:tcBorders>
            <w:vAlign w:val="center"/>
          </w:tcPr>
          <w:p w14:paraId="061F5F81" w14:textId="74F7D6EF" w:rsidR="005E308D" w:rsidRDefault="00945B44">
            <w:pPr>
              <w:pStyle w:val="biaogeright"/>
              <w:wordWrap w:val="0"/>
              <w:rPr>
                <w:rFonts w:asciiTheme="minorEastAsia" w:eastAsiaTheme="minorEastAsia" w:hAnsiTheme="minorEastAsia" w:cs="Times New Roman" w:hint="eastAsia"/>
                <w:bCs/>
                <w:kern w:val="2"/>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7C9F96BA" w14:textId="62FD8D4D"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526519F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BB00EB7"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R</w:t>
            </w:r>
          </w:p>
        </w:tc>
        <w:tc>
          <w:tcPr>
            <w:tcW w:w="2596" w:type="dxa"/>
            <w:tcBorders>
              <w:top w:val="single" w:sz="8" w:space="0" w:color="000000"/>
              <w:left w:val="single" w:sz="8" w:space="0" w:color="000000"/>
              <w:bottom w:val="single" w:sz="6" w:space="0" w:color="000000"/>
              <w:right w:val="single" w:sz="8" w:space="0" w:color="000000"/>
            </w:tcBorders>
            <w:vAlign w:val="center"/>
          </w:tcPr>
          <w:p w14:paraId="4C314ADC"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文化、体育和娱乐业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1A11C599" w14:textId="3422B431" w:rsidR="005E308D" w:rsidRDefault="00945B44">
            <w:pPr>
              <w:pStyle w:val="biaogeright"/>
              <w:wordWrap w:val="0"/>
              <w:rPr>
                <w:rFonts w:asciiTheme="minorEastAsia" w:eastAsiaTheme="minorEastAsia" w:hAnsiTheme="minorEastAsia" w:cs="Times New Roman" w:hint="eastAsia"/>
                <w:bCs/>
                <w:kern w:val="2"/>
              </w:rPr>
            </w:pPr>
            <w:r>
              <w:t>291,444.00</w:t>
            </w:r>
          </w:p>
        </w:tc>
        <w:tc>
          <w:tcPr>
            <w:tcW w:w="2672" w:type="dxa"/>
            <w:tcBorders>
              <w:top w:val="single" w:sz="8" w:space="0" w:color="000000"/>
              <w:left w:val="single" w:sz="8" w:space="0" w:color="000000"/>
              <w:bottom w:val="single" w:sz="6" w:space="0" w:color="000000"/>
              <w:right w:val="single" w:sz="8" w:space="0" w:color="000000"/>
            </w:tcBorders>
            <w:vAlign w:val="center"/>
          </w:tcPr>
          <w:p w14:paraId="36D632BC" w14:textId="326780E3" w:rsidR="005E308D" w:rsidRDefault="00945B44">
            <w:pPr>
              <w:pStyle w:val="biaogeright"/>
              <w:wordWrap w:val="0"/>
              <w:rPr>
                <w:rFonts w:asciiTheme="minorEastAsia" w:eastAsiaTheme="minorEastAsia" w:hAnsiTheme="minorEastAsia" w:cs="Times New Roman" w:hint="eastAsia"/>
                <w:bCs/>
                <w:kern w:val="2"/>
              </w:rPr>
            </w:pPr>
            <w:r>
              <w:t>0.29</w:t>
            </w:r>
          </w:p>
        </w:tc>
      </w:tr>
      <w:tr w:rsidR="005E308D" w14:paraId="58EFDD1A"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BA1A6AC"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S</w:t>
            </w:r>
          </w:p>
        </w:tc>
        <w:tc>
          <w:tcPr>
            <w:tcW w:w="2596" w:type="dxa"/>
            <w:tcBorders>
              <w:top w:val="single" w:sz="8" w:space="0" w:color="000000"/>
              <w:left w:val="single" w:sz="8" w:space="0" w:color="000000"/>
              <w:bottom w:val="single" w:sz="6" w:space="0" w:color="000000"/>
              <w:right w:val="single" w:sz="8" w:space="0" w:color="000000"/>
            </w:tcBorders>
            <w:vAlign w:val="center"/>
          </w:tcPr>
          <w:p w14:paraId="5383BFB8"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综合</w:t>
            </w:r>
          </w:p>
        </w:tc>
        <w:tc>
          <w:tcPr>
            <w:tcW w:w="2596" w:type="dxa"/>
            <w:tcBorders>
              <w:top w:val="single" w:sz="8" w:space="0" w:color="000000"/>
              <w:left w:val="single" w:sz="8" w:space="0" w:color="000000"/>
              <w:bottom w:val="single" w:sz="6" w:space="0" w:color="000000"/>
              <w:right w:val="single" w:sz="8" w:space="0" w:color="000000"/>
            </w:tcBorders>
            <w:vAlign w:val="center"/>
          </w:tcPr>
          <w:p w14:paraId="005EC845" w14:textId="47C84A13" w:rsidR="005E308D" w:rsidRDefault="00945B44">
            <w:pPr>
              <w:pStyle w:val="biaogeright"/>
              <w:wordWrap w:val="0"/>
              <w:rPr>
                <w:rFonts w:asciiTheme="minorEastAsia" w:eastAsiaTheme="minorEastAsia" w:hAnsiTheme="minorEastAsia" w:cs="Times New Roman" w:hint="eastAsia"/>
                <w:bCs/>
                <w:kern w:val="2"/>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4F35AB0C" w14:textId="69CE8AEC"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73DFDF3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5020C56" w14:textId="77777777" w:rsidR="005E308D" w:rsidRDefault="005E308D">
            <w:pPr>
              <w:rPr>
                <w:rFonts w:asciiTheme="minorEastAsia" w:hAnsiTheme="minorEastAsia" w:cs="Times New Roman" w:hint="eastAsia"/>
                <w:bCs/>
                <w:sz w:val="24"/>
                <w:szCs w:val="24"/>
              </w:rPr>
            </w:pPr>
          </w:p>
        </w:tc>
        <w:tc>
          <w:tcPr>
            <w:tcW w:w="2596" w:type="dxa"/>
            <w:tcBorders>
              <w:top w:val="single" w:sz="8" w:space="0" w:color="000000"/>
              <w:left w:val="single" w:sz="8" w:space="0" w:color="000000"/>
              <w:bottom w:val="single" w:sz="6" w:space="0" w:color="000000"/>
              <w:right w:val="single" w:sz="8" w:space="0" w:color="000000"/>
            </w:tcBorders>
            <w:vAlign w:val="center"/>
          </w:tcPr>
          <w:p w14:paraId="3A9FE335"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合计</w:t>
            </w:r>
          </w:p>
        </w:tc>
        <w:tc>
          <w:tcPr>
            <w:tcW w:w="2596" w:type="dxa"/>
            <w:tcBorders>
              <w:top w:val="single" w:sz="8" w:space="0" w:color="000000"/>
              <w:left w:val="single" w:sz="8" w:space="0" w:color="000000"/>
              <w:bottom w:val="single" w:sz="6" w:space="0" w:color="000000"/>
              <w:right w:val="single" w:sz="8" w:space="0" w:color="000000"/>
            </w:tcBorders>
            <w:vAlign w:val="center"/>
          </w:tcPr>
          <w:p w14:paraId="22DC494A" w14:textId="33B47FA3" w:rsidR="005E308D" w:rsidRDefault="00945B44">
            <w:pPr>
              <w:pStyle w:val="biaogeright"/>
              <w:wordWrap w:val="0"/>
              <w:rPr>
                <w:rFonts w:asciiTheme="minorEastAsia" w:eastAsiaTheme="minorEastAsia" w:hAnsiTheme="minorEastAsia" w:cs="Times New Roman" w:hint="eastAsia"/>
                <w:bCs/>
                <w:kern w:val="2"/>
              </w:rPr>
            </w:pPr>
            <w:r>
              <w:t>80,117,859.95</w:t>
            </w:r>
          </w:p>
        </w:tc>
        <w:tc>
          <w:tcPr>
            <w:tcW w:w="2672" w:type="dxa"/>
            <w:tcBorders>
              <w:top w:val="single" w:sz="8" w:space="0" w:color="000000"/>
              <w:left w:val="single" w:sz="8" w:space="0" w:color="000000"/>
              <w:bottom w:val="single" w:sz="6" w:space="0" w:color="000000"/>
              <w:right w:val="single" w:sz="8" w:space="0" w:color="000000"/>
            </w:tcBorders>
            <w:vAlign w:val="center"/>
          </w:tcPr>
          <w:p w14:paraId="77F457F9" w14:textId="2E916C61" w:rsidR="005E308D" w:rsidRDefault="00945B44">
            <w:pPr>
              <w:pStyle w:val="biaogeright"/>
              <w:wordWrap w:val="0"/>
              <w:rPr>
                <w:rFonts w:asciiTheme="minorEastAsia" w:eastAsiaTheme="minorEastAsia" w:hAnsiTheme="minorEastAsia" w:cs="Times New Roman" w:hint="eastAsia"/>
                <w:bCs/>
                <w:kern w:val="2"/>
              </w:rPr>
            </w:pPr>
            <w:r>
              <w:t>79.05</w:t>
            </w:r>
          </w:p>
        </w:tc>
      </w:tr>
    </w:tbl>
    <w:p w14:paraId="6E83599B" w14:textId="77777777" w:rsidR="005E308D" w:rsidRDefault="005E308D">
      <w:pPr>
        <w:widowControl/>
        <w:jc w:val="left"/>
        <w:rPr>
          <w:rFonts w:asciiTheme="minorEastAsia" w:hAnsiTheme="minorEastAsia" w:cs="Times New Roman" w:hint="eastAsia"/>
          <w:bCs/>
          <w:sz w:val="24"/>
          <w:szCs w:val="24"/>
        </w:rPr>
      </w:pPr>
    </w:p>
    <w:p w14:paraId="40118FA9" w14:textId="77777777" w:rsidR="005E308D" w:rsidRDefault="00945B44">
      <w:pPr>
        <w:pStyle w:val="zhangjiep"/>
        <w:rPr>
          <w:rFonts w:asciiTheme="minorEastAsia" w:eastAsiaTheme="minorEastAsia" w:hAnsiTheme="minorEastAsia" w:cs="Times New Roman" w:hint="eastAsia"/>
          <w:bCs/>
          <w:kern w:val="2"/>
        </w:rPr>
      </w:pPr>
      <w:bookmarkStart w:id="216" w:name="_Toc117173481"/>
      <w:r>
        <w:rPr>
          <w:rFonts w:asciiTheme="minorEastAsia" w:eastAsiaTheme="minorEastAsia" w:hAnsiTheme="minorEastAsia" w:cs="Times New Roman"/>
          <w:bCs/>
          <w:kern w:val="2"/>
        </w:rPr>
        <w:t>3、 报告期末按公允价值占基金资产净值比例大小排序的前十名股票投资明细</w:t>
      </w:r>
      <w:bookmarkEnd w:id="216"/>
    </w:p>
    <w:tbl>
      <w:tblPr>
        <w:tblW w:w="8789" w:type="dxa"/>
        <w:tblInd w:w="108" w:type="dxa"/>
        <w:tblLook w:val="04A0" w:firstRow="1" w:lastRow="0" w:firstColumn="1" w:lastColumn="0" w:noHBand="0" w:noVBand="1"/>
      </w:tblPr>
      <w:tblGrid>
        <w:gridCol w:w="472"/>
        <w:gridCol w:w="1402"/>
        <w:gridCol w:w="1674"/>
        <w:gridCol w:w="1696"/>
        <w:gridCol w:w="1844"/>
        <w:gridCol w:w="1701"/>
      </w:tblGrid>
      <w:tr w:rsidR="005E308D" w14:paraId="545E7A27"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7CC1261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序号</w:t>
            </w:r>
          </w:p>
        </w:tc>
        <w:tc>
          <w:tcPr>
            <w:tcW w:w="1402" w:type="dxa"/>
            <w:tcBorders>
              <w:top w:val="single" w:sz="8" w:space="0" w:color="000000"/>
              <w:left w:val="single" w:sz="8" w:space="0" w:color="000000"/>
              <w:bottom w:val="single" w:sz="6" w:space="0" w:color="000000"/>
              <w:right w:val="single" w:sz="8" w:space="0" w:color="000000"/>
            </w:tcBorders>
            <w:vAlign w:val="center"/>
          </w:tcPr>
          <w:p w14:paraId="18DEA56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股票代码</w:t>
            </w:r>
          </w:p>
        </w:tc>
        <w:tc>
          <w:tcPr>
            <w:tcW w:w="1674" w:type="dxa"/>
            <w:tcBorders>
              <w:top w:val="single" w:sz="8" w:space="0" w:color="000000"/>
              <w:left w:val="single" w:sz="8" w:space="0" w:color="000000"/>
              <w:bottom w:val="single" w:sz="6" w:space="0" w:color="000000"/>
              <w:right w:val="single" w:sz="8" w:space="0" w:color="000000"/>
            </w:tcBorders>
            <w:vAlign w:val="center"/>
          </w:tcPr>
          <w:p w14:paraId="307B6B75"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股票名称</w:t>
            </w:r>
          </w:p>
        </w:tc>
        <w:tc>
          <w:tcPr>
            <w:tcW w:w="1696" w:type="dxa"/>
            <w:tcBorders>
              <w:top w:val="single" w:sz="8" w:space="0" w:color="000000"/>
              <w:left w:val="single" w:sz="8" w:space="0" w:color="000000"/>
              <w:bottom w:val="single" w:sz="6" w:space="0" w:color="000000"/>
              <w:right w:val="single" w:sz="8" w:space="0" w:color="000000"/>
            </w:tcBorders>
            <w:vAlign w:val="center"/>
          </w:tcPr>
          <w:p w14:paraId="09D62C97"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数量</w:t>
            </w:r>
            <w:r>
              <w:rPr>
                <w:rFonts w:asciiTheme="minorEastAsia" w:eastAsiaTheme="minorEastAsia" w:hAnsiTheme="minorEastAsia" w:cs="Times New Roman"/>
                <w:bCs/>
                <w:kern w:val="2"/>
              </w:rPr>
              <w:t>(股)</w:t>
            </w:r>
          </w:p>
        </w:tc>
        <w:tc>
          <w:tcPr>
            <w:tcW w:w="1844" w:type="dxa"/>
            <w:tcBorders>
              <w:top w:val="single" w:sz="8" w:space="0" w:color="000000"/>
              <w:left w:val="single" w:sz="8" w:space="0" w:color="000000"/>
              <w:bottom w:val="single" w:sz="6" w:space="0" w:color="000000"/>
              <w:right w:val="single" w:sz="8" w:space="0" w:color="000000"/>
            </w:tcBorders>
            <w:vAlign w:val="center"/>
          </w:tcPr>
          <w:p w14:paraId="78796276"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公允价值</w:t>
            </w:r>
            <w:r>
              <w:rPr>
                <w:rFonts w:asciiTheme="minorEastAsia" w:eastAsiaTheme="minorEastAsia" w:hAnsiTheme="minorEastAsia" w:cs="Times New Roman"/>
                <w:bCs/>
                <w:kern w:val="2"/>
              </w:rPr>
              <w:t>(元)</w:t>
            </w:r>
          </w:p>
        </w:tc>
        <w:tc>
          <w:tcPr>
            <w:tcW w:w="1701" w:type="dxa"/>
            <w:tcBorders>
              <w:top w:val="single" w:sz="8" w:space="0" w:color="000000"/>
              <w:left w:val="single" w:sz="8" w:space="0" w:color="000000"/>
              <w:bottom w:val="single" w:sz="6" w:space="0" w:color="000000"/>
              <w:right w:val="single" w:sz="8" w:space="0" w:color="000000"/>
            </w:tcBorders>
            <w:vAlign w:val="center"/>
          </w:tcPr>
          <w:p w14:paraId="63C33F41"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占基金资产净值比例（％）</w:t>
            </w:r>
          </w:p>
        </w:tc>
      </w:tr>
      <w:tr w:rsidR="005E308D" w14:paraId="0F3B513B"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47810654"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1</w:t>
            </w:r>
          </w:p>
        </w:tc>
        <w:tc>
          <w:tcPr>
            <w:tcW w:w="1402" w:type="dxa"/>
            <w:tcBorders>
              <w:top w:val="single" w:sz="8" w:space="0" w:color="000000"/>
              <w:left w:val="single" w:sz="8" w:space="0" w:color="000000"/>
              <w:bottom w:val="single" w:sz="6" w:space="0" w:color="000000"/>
              <w:right w:val="single" w:sz="8" w:space="0" w:color="000000"/>
            </w:tcBorders>
            <w:vAlign w:val="center"/>
          </w:tcPr>
          <w:p w14:paraId="3BDCAE64" w14:textId="1BF788C0"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600309</w:t>
            </w:r>
          </w:p>
        </w:tc>
        <w:tc>
          <w:tcPr>
            <w:tcW w:w="1674" w:type="dxa"/>
            <w:tcBorders>
              <w:top w:val="single" w:sz="8" w:space="0" w:color="000000"/>
              <w:left w:val="single" w:sz="8" w:space="0" w:color="000000"/>
              <w:bottom w:val="single" w:sz="6" w:space="0" w:color="000000"/>
              <w:right w:val="single" w:sz="8" w:space="0" w:color="000000"/>
            </w:tcBorders>
            <w:vAlign w:val="center"/>
          </w:tcPr>
          <w:p w14:paraId="1C1AFF0F" w14:textId="0245FA7B"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万华化学</w:t>
            </w:r>
          </w:p>
        </w:tc>
        <w:tc>
          <w:tcPr>
            <w:tcW w:w="1696" w:type="dxa"/>
            <w:tcBorders>
              <w:top w:val="single" w:sz="8" w:space="0" w:color="000000"/>
              <w:left w:val="single" w:sz="8" w:space="0" w:color="000000"/>
              <w:bottom w:val="single" w:sz="6" w:space="0" w:color="000000"/>
              <w:right w:val="single" w:sz="8" w:space="0" w:color="000000"/>
            </w:tcBorders>
            <w:vAlign w:val="center"/>
          </w:tcPr>
          <w:p w14:paraId="52B795ED" w14:textId="51A6F429"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45,200</w:t>
            </w:r>
          </w:p>
        </w:tc>
        <w:tc>
          <w:tcPr>
            <w:tcW w:w="1844" w:type="dxa"/>
            <w:tcBorders>
              <w:top w:val="single" w:sz="8" w:space="0" w:color="000000"/>
              <w:left w:val="single" w:sz="8" w:space="0" w:color="000000"/>
              <w:bottom w:val="single" w:sz="6" w:space="0" w:color="000000"/>
              <w:right w:val="single" w:sz="8" w:space="0" w:color="000000"/>
            </w:tcBorders>
            <w:vAlign w:val="center"/>
          </w:tcPr>
          <w:p w14:paraId="67FF76C4" w14:textId="0CF19A92"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4,127,664.00</w:t>
            </w:r>
          </w:p>
        </w:tc>
        <w:tc>
          <w:tcPr>
            <w:tcW w:w="1701" w:type="dxa"/>
            <w:tcBorders>
              <w:top w:val="single" w:sz="8" w:space="0" w:color="000000"/>
              <w:left w:val="single" w:sz="8" w:space="0" w:color="000000"/>
              <w:bottom w:val="single" w:sz="6" w:space="0" w:color="000000"/>
              <w:right w:val="single" w:sz="8" w:space="0" w:color="000000"/>
            </w:tcBorders>
            <w:vAlign w:val="center"/>
          </w:tcPr>
          <w:p w14:paraId="4E7C3CF5" w14:textId="2BC39D12"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4.07</w:t>
            </w:r>
          </w:p>
        </w:tc>
      </w:tr>
      <w:tr w:rsidR="005E308D" w14:paraId="0A396EC9"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71A8102F"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w:t>
            </w:r>
          </w:p>
        </w:tc>
        <w:tc>
          <w:tcPr>
            <w:tcW w:w="1402" w:type="dxa"/>
            <w:tcBorders>
              <w:top w:val="single" w:sz="8" w:space="0" w:color="000000"/>
              <w:left w:val="single" w:sz="8" w:space="0" w:color="000000"/>
              <w:bottom w:val="single" w:sz="6" w:space="0" w:color="000000"/>
              <w:right w:val="single" w:sz="8" w:space="0" w:color="000000"/>
            </w:tcBorders>
            <w:vAlign w:val="center"/>
          </w:tcPr>
          <w:p w14:paraId="5781CD6A" w14:textId="0A6D80B4"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600519</w:t>
            </w:r>
          </w:p>
        </w:tc>
        <w:tc>
          <w:tcPr>
            <w:tcW w:w="1674" w:type="dxa"/>
            <w:tcBorders>
              <w:top w:val="single" w:sz="8" w:space="0" w:color="000000"/>
              <w:left w:val="single" w:sz="8" w:space="0" w:color="000000"/>
              <w:bottom w:val="single" w:sz="6" w:space="0" w:color="000000"/>
              <w:right w:val="single" w:sz="8" w:space="0" w:color="000000"/>
            </w:tcBorders>
            <w:vAlign w:val="center"/>
          </w:tcPr>
          <w:p w14:paraId="29B23C8B" w14:textId="25EF1F9B"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贵州茅台</w:t>
            </w:r>
          </w:p>
        </w:tc>
        <w:tc>
          <w:tcPr>
            <w:tcW w:w="1696" w:type="dxa"/>
            <w:tcBorders>
              <w:top w:val="single" w:sz="8" w:space="0" w:color="000000"/>
              <w:left w:val="single" w:sz="8" w:space="0" w:color="000000"/>
              <w:bottom w:val="single" w:sz="6" w:space="0" w:color="000000"/>
              <w:right w:val="single" w:sz="8" w:space="0" w:color="000000"/>
            </w:tcBorders>
            <w:vAlign w:val="center"/>
          </w:tcPr>
          <w:p w14:paraId="35C95C97" w14:textId="619C4936"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2,300</w:t>
            </w:r>
          </w:p>
        </w:tc>
        <w:tc>
          <w:tcPr>
            <w:tcW w:w="1844" w:type="dxa"/>
            <w:tcBorders>
              <w:top w:val="single" w:sz="8" w:space="0" w:color="000000"/>
              <w:left w:val="single" w:sz="8" w:space="0" w:color="000000"/>
              <w:bottom w:val="single" w:sz="6" w:space="0" w:color="000000"/>
              <w:right w:val="single" w:sz="8" w:space="0" w:color="000000"/>
            </w:tcBorders>
            <w:vAlign w:val="center"/>
          </w:tcPr>
          <w:p w14:paraId="08F1DA43" w14:textId="43B17688"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4,020,400.00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414EE1CE" w14:textId="0A1D180D"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3.97</w:t>
            </w:r>
          </w:p>
        </w:tc>
      </w:tr>
      <w:tr w:rsidR="005E308D" w14:paraId="7DDAD27C"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585BCB6B"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3</w:t>
            </w:r>
          </w:p>
        </w:tc>
        <w:tc>
          <w:tcPr>
            <w:tcW w:w="1402" w:type="dxa"/>
            <w:tcBorders>
              <w:top w:val="single" w:sz="8" w:space="0" w:color="000000"/>
              <w:left w:val="single" w:sz="8" w:space="0" w:color="000000"/>
              <w:bottom w:val="single" w:sz="6" w:space="0" w:color="000000"/>
              <w:right w:val="single" w:sz="8" w:space="0" w:color="000000"/>
            </w:tcBorders>
            <w:vAlign w:val="center"/>
          </w:tcPr>
          <w:p w14:paraId="54979CC4" w14:textId="193059A1"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601318</w:t>
            </w:r>
          </w:p>
        </w:tc>
        <w:tc>
          <w:tcPr>
            <w:tcW w:w="1674" w:type="dxa"/>
            <w:tcBorders>
              <w:top w:val="single" w:sz="8" w:space="0" w:color="000000"/>
              <w:left w:val="single" w:sz="8" w:space="0" w:color="000000"/>
              <w:bottom w:val="single" w:sz="6" w:space="0" w:color="000000"/>
              <w:right w:val="single" w:sz="8" w:space="0" w:color="000000"/>
            </w:tcBorders>
            <w:vAlign w:val="center"/>
          </w:tcPr>
          <w:p w14:paraId="5765DD53" w14:textId="6D9CACED"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中国平安</w:t>
            </w:r>
          </w:p>
        </w:tc>
        <w:tc>
          <w:tcPr>
            <w:tcW w:w="1696" w:type="dxa"/>
            <w:tcBorders>
              <w:top w:val="single" w:sz="8" w:space="0" w:color="000000"/>
              <w:left w:val="single" w:sz="8" w:space="0" w:color="000000"/>
              <w:bottom w:val="single" w:sz="6" w:space="0" w:color="000000"/>
              <w:right w:val="single" w:sz="8" w:space="0" w:color="000000"/>
            </w:tcBorders>
            <w:vAlign w:val="center"/>
          </w:tcPr>
          <w:p w14:paraId="79E895FC" w14:textId="2EA2E1CE"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45,500</w:t>
            </w:r>
          </w:p>
        </w:tc>
        <w:tc>
          <w:tcPr>
            <w:tcW w:w="1844" w:type="dxa"/>
            <w:tcBorders>
              <w:top w:val="single" w:sz="8" w:space="0" w:color="000000"/>
              <w:left w:val="single" w:sz="8" w:space="0" w:color="000000"/>
              <w:bottom w:val="single" w:sz="6" w:space="0" w:color="000000"/>
              <w:right w:val="single" w:sz="8" w:space="0" w:color="000000"/>
            </w:tcBorders>
            <w:vAlign w:val="center"/>
          </w:tcPr>
          <w:p w14:paraId="6ACEE6C5" w14:textId="39BD7048"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2,597,595.00</w:t>
            </w:r>
          </w:p>
        </w:tc>
        <w:tc>
          <w:tcPr>
            <w:tcW w:w="1701" w:type="dxa"/>
            <w:tcBorders>
              <w:top w:val="single" w:sz="8" w:space="0" w:color="000000"/>
              <w:left w:val="single" w:sz="8" w:space="0" w:color="000000"/>
              <w:bottom w:val="single" w:sz="6" w:space="0" w:color="000000"/>
              <w:right w:val="single" w:sz="8" w:space="0" w:color="000000"/>
            </w:tcBorders>
            <w:vAlign w:val="center"/>
          </w:tcPr>
          <w:p w14:paraId="1E780815" w14:textId="338948D5"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2.56</w:t>
            </w:r>
          </w:p>
        </w:tc>
      </w:tr>
      <w:tr w:rsidR="005E308D" w14:paraId="25FA9598"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4EC9DC7A"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4</w:t>
            </w:r>
          </w:p>
        </w:tc>
        <w:tc>
          <w:tcPr>
            <w:tcW w:w="1402" w:type="dxa"/>
            <w:tcBorders>
              <w:top w:val="single" w:sz="8" w:space="0" w:color="000000"/>
              <w:left w:val="single" w:sz="8" w:space="0" w:color="000000"/>
              <w:bottom w:val="single" w:sz="6" w:space="0" w:color="000000"/>
              <w:right w:val="single" w:sz="8" w:space="0" w:color="000000"/>
            </w:tcBorders>
            <w:vAlign w:val="center"/>
          </w:tcPr>
          <w:p w14:paraId="311C10DC" w14:textId="34BBE294"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600941</w:t>
            </w:r>
          </w:p>
        </w:tc>
        <w:tc>
          <w:tcPr>
            <w:tcW w:w="1674" w:type="dxa"/>
            <w:tcBorders>
              <w:top w:val="single" w:sz="8" w:space="0" w:color="000000"/>
              <w:left w:val="single" w:sz="8" w:space="0" w:color="000000"/>
              <w:bottom w:val="single" w:sz="6" w:space="0" w:color="000000"/>
              <w:right w:val="single" w:sz="8" w:space="0" w:color="000000"/>
            </w:tcBorders>
            <w:vAlign w:val="center"/>
          </w:tcPr>
          <w:p w14:paraId="1CBF87EA" w14:textId="26F02162"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中国移动</w:t>
            </w:r>
          </w:p>
        </w:tc>
        <w:tc>
          <w:tcPr>
            <w:tcW w:w="1696" w:type="dxa"/>
            <w:tcBorders>
              <w:top w:val="single" w:sz="8" w:space="0" w:color="000000"/>
              <w:left w:val="single" w:sz="8" w:space="0" w:color="000000"/>
              <w:bottom w:val="single" w:sz="6" w:space="0" w:color="000000"/>
              <w:right w:val="single" w:sz="8" w:space="0" w:color="000000"/>
            </w:tcBorders>
            <w:vAlign w:val="center"/>
          </w:tcPr>
          <w:p w14:paraId="7ACDD420" w14:textId="653D695E"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16,700</w:t>
            </w:r>
          </w:p>
        </w:tc>
        <w:tc>
          <w:tcPr>
            <w:tcW w:w="1844" w:type="dxa"/>
            <w:tcBorders>
              <w:top w:val="single" w:sz="8" w:space="0" w:color="000000"/>
              <w:left w:val="single" w:sz="8" w:space="0" w:color="000000"/>
              <w:bottom w:val="single" w:sz="6" w:space="0" w:color="000000"/>
              <w:right w:val="single" w:sz="8" w:space="0" w:color="000000"/>
            </w:tcBorders>
            <w:vAlign w:val="center"/>
          </w:tcPr>
          <w:p w14:paraId="454FD1B3" w14:textId="000020E8"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1,831,990.00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222CA675" w14:textId="1FFB0B05"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1.81</w:t>
            </w:r>
          </w:p>
        </w:tc>
      </w:tr>
      <w:tr w:rsidR="005E308D" w14:paraId="6B0FA713"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1949BFD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lastRenderedPageBreak/>
              <w:t>5</w:t>
            </w:r>
          </w:p>
        </w:tc>
        <w:tc>
          <w:tcPr>
            <w:tcW w:w="1402" w:type="dxa"/>
            <w:tcBorders>
              <w:top w:val="single" w:sz="8" w:space="0" w:color="000000"/>
              <w:left w:val="single" w:sz="8" w:space="0" w:color="000000"/>
              <w:bottom w:val="single" w:sz="6" w:space="0" w:color="000000"/>
              <w:right w:val="single" w:sz="8" w:space="0" w:color="000000"/>
            </w:tcBorders>
            <w:vAlign w:val="center"/>
          </w:tcPr>
          <w:p w14:paraId="3D504F00" w14:textId="7CE29522"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000858</w:t>
            </w:r>
          </w:p>
        </w:tc>
        <w:tc>
          <w:tcPr>
            <w:tcW w:w="1674" w:type="dxa"/>
            <w:tcBorders>
              <w:top w:val="single" w:sz="8" w:space="0" w:color="000000"/>
              <w:left w:val="single" w:sz="8" w:space="0" w:color="000000"/>
              <w:bottom w:val="single" w:sz="6" w:space="0" w:color="000000"/>
              <w:right w:val="single" w:sz="8" w:space="0" w:color="000000"/>
            </w:tcBorders>
            <w:vAlign w:val="center"/>
          </w:tcPr>
          <w:p w14:paraId="4CF394EE" w14:textId="1B802A92"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五 粮 液</w:t>
            </w:r>
          </w:p>
        </w:tc>
        <w:tc>
          <w:tcPr>
            <w:tcW w:w="1696" w:type="dxa"/>
            <w:tcBorders>
              <w:top w:val="single" w:sz="8" w:space="0" w:color="000000"/>
              <w:left w:val="single" w:sz="8" w:space="0" w:color="000000"/>
              <w:bottom w:val="single" w:sz="6" w:space="0" w:color="000000"/>
              <w:right w:val="single" w:sz="8" w:space="0" w:color="000000"/>
            </w:tcBorders>
            <w:vAlign w:val="center"/>
          </w:tcPr>
          <w:p w14:paraId="37A557D0" w14:textId="1EEDE833"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9,800</w:t>
            </w:r>
          </w:p>
        </w:tc>
        <w:tc>
          <w:tcPr>
            <w:tcW w:w="1844" w:type="dxa"/>
            <w:tcBorders>
              <w:top w:val="single" w:sz="8" w:space="0" w:color="000000"/>
              <w:left w:val="single" w:sz="8" w:space="0" w:color="000000"/>
              <w:bottom w:val="single" w:sz="6" w:space="0" w:color="000000"/>
              <w:right w:val="single" w:sz="8" w:space="0" w:color="000000"/>
            </w:tcBorders>
            <w:vAlign w:val="center"/>
          </w:tcPr>
          <w:p w14:paraId="5D2688DF" w14:textId="27F1B91B"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1,592,598.00</w:t>
            </w:r>
          </w:p>
        </w:tc>
        <w:tc>
          <w:tcPr>
            <w:tcW w:w="1701" w:type="dxa"/>
            <w:tcBorders>
              <w:top w:val="single" w:sz="8" w:space="0" w:color="000000"/>
              <w:left w:val="single" w:sz="8" w:space="0" w:color="000000"/>
              <w:bottom w:val="single" w:sz="6" w:space="0" w:color="000000"/>
              <w:right w:val="single" w:sz="8" w:space="0" w:color="000000"/>
            </w:tcBorders>
            <w:vAlign w:val="center"/>
          </w:tcPr>
          <w:p w14:paraId="2A5DC9B3" w14:textId="7F570CB5"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1.57</w:t>
            </w:r>
          </w:p>
        </w:tc>
      </w:tr>
      <w:tr w:rsidR="005E308D" w14:paraId="55B6E7A6"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528975F1"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6</w:t>
            </w:r>
          </w:p>
        </w:tc>
        <w:tc>
          <w:tcPr>
            <w:tcW w:w="1402" w:type="dxa"/>
            <w:tcBorders>
              <w:top w:val="single" w:sz="8" w:space="0" w:color="000000"/>
              <w:left w:val="single" w:sz="8" w:space="0" w:color="000000"/>
              <w:bottom w:val="single" w:sz="6" w:space="0" w:color="000000"/>
              <w:right w:val="single" w:sz="8" w:space="0" w:color="000000"/>
            </w:tcBorders>
            <w:vAlign w:val="center"/>
          </w:tcPr>
          <w:p w14:paraId="7E7E8A12" w14:textId="498F7C08"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000333</w:t>
            </w:r>
          </w:p>
        </w:tc>
        <w:tc>
          <w:tcPr>
            <w:tcW w:w="1674" w:type="dxa"/>
            <w:tcBorders>
              <w:top w:val="single" w:sz="8" w:space="0" w:color="000000"/>
              <w:left w:val="single" w:sz="8" w:space="0" w:color="000000"/>
              <w:bottom w:val="single" w:sz="6" w:space="0" w:color="000000"/>
              <w:right w:val="single" w:sz="8" w:space="0" w:color="000000"/>
            </w:tcBorders>
            <w:vAlign w:val="center"/>
          </w:tcPr>
          <w:p w14:paraId="5783C77A" w14:textId="2096178C"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美的集团</w:t>
            </w:r>
          </w:p>
        </w:tc>
        <w:tc>
          <w:tcPr>
            <w:tcW w:w="1696" w:type="dxa"/>
            <w:tcBorders>
              <w:top w:val="single" w:sz="8" w:space="0" w:color="000000"/>
              <w:left w:val="single" w:sz="8" w:space="0" w:color="000000"/>
              <w:bottom w:val="single" w:sz="6" w:space="0" w:color="000000"/>
              <w:right w:val="single" w:sz="8" w:space="0" w:color="000000"/>
            </w:tcBorders>
            <w:vAlign w:val="center"/>
          </w:tcPr>
          <w:p w14:paraId="758885BC" w14:textId="39122B21"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17,400</w:t>
            </w:r>
          </w:p>
        </w:tc>
        <w:tc>
          <w:tcPr>
            <w:tcW w:w="1844" w:type="dxa"/>
            <w:tcBorders>
              <w:top w:val="single" w:sz="8" w:space="0" w:color="000000"/>
              <w:left w:val="single" w:sz="8" w:space="0" w:color="000000"/>
              <w:bottom w:val="single" w:sz="6" w:space="0" w:color="000000"/>
              <w:right w:val="single" w:sz="8" w:space="0" w:color="000000"/>
            </w:tcBorders>
            <w:vAlign w:val="center"/>
          </w:tcPr>
          <w:p w14:paraId="117F6527" w14:textId="090D5F97"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1,323,444.00</w:t>
            </w:r>
          </w:p>
        </w:tc>
        <w:tc>
          <w:tcPr>
            <w:tcW w:w="1701" w:type="dxa"/>
            <w:tcBorders>
              <w:top w:val="single" w:sz="8" w:space="0" w:color="000000"/>
              <w:left w:val="single" w:sz="8" w:space="0" w:color="000000"/>
              <w:bottom w:val="single" w:sz="6" w:space="0" w:color="000000"/>
              <w:right w:val="single" w:sz="8" w:space="0" w:color="000000"/>
            </w:tcBorders>
            <w:vAlign w:val="center"/>
          </w:tcPr>
          <w:p w14:paraId="5F58335A" w14:textId="6118EC16"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1.31</w:t>
            </w:r>
          </w:p>
        </w:tc>
      </w:tr>
      <w:tr w:rsidR="005E308D" w14:paraId="1B14B123"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64E1B0FB"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7</w:t>
            </w:r>
          </w:p>
        </w:tc>
        <w:tc>
          <w:tcPr>
            <w:tcW w:w="1402" w:type="dxa"/>
            <w:tcBorders>
              <w:top w:val="single" w:sz="8" w:space="0" w:color="000000"/>
              <w:left w:val="single" w:sz="8" w:space="0" w:color="000000"/>
              <w:bottom w:val="single" w:sz="6" w:space="0" w:color="000000"/>
              <w:right w:val="single" w:sz="8" w:space="0" w:color="000000"/>
            </w:tcBorders>
            <w:vAlign w:val="center"/>
          </w:tcPr>
          <w:p w14:paraId="414F79AE" w14:textId="1425E5BB"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600276</w:t>
            </w:r>
          </w:p>
        </w:tc>
        <w:tc>
          <w:tcPr>
            <w:tcW w:w="1674" w:type="dxa"/>
            <w:tcBorders>
              <w:top w:val="single" w:sz="8" w:space="0" w:color="000000"/>
              <w:left w:val="single" w:sz="8" w:space="0" w:color="000000"/>
              <w:bottom w:val="single" w:sz="6" w:space="0" w:color="000000"/>
              <w:right w:val="single" w:sz="8" w:space="0" w:color="000000"/>
            </w:tcBorders>
            <w:vAlign w:val="center"/>
          </w:tcPr>
          <w:p w14:paraId="20FBE2A7" w14:textId="0CEAF354"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恒瑞医药</w:t>
            </w:r>
          </w:p>
        </w:tc>
        <w:tc>
          <w:tcPr>
            <w:tcW w:w="1696" w:type="dxa"/>
            <w:tcBorders>
              <w:top w:val="single" w:sz="8" w:space="0" w:color="000000"/>
              <w:left w:val="single" w:sz="8" w:space="0" w:color="000000"/>
              <w:bottom w:val="single" w:sz="6" w:space="0" w:color="000000"/>
              <w:right w:val="single" w:sz="8" w:space="0" w:color="000000"/>
            </w:tcBorders>
            <w:vAlign w:val="center"/>
          </w:tcPr>
          <w:p w14:paraId="7A32DD5B" w14:textId="2C85A06E"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23,600</w:t>
            </w:r>
          </w:p>
        </w:tc>
        <w:tc>
          <w:tcPr>
            <w:tcW w:w="1844" w:type="dxa"/>
            <w:tcBorders>
              <w:top w:val="single" w:sz="8" w:space="0" w:color="000000"/>
              <w:left w:val="single" w:sz="8" w:space="0" w:color="000000"/>
              <w:bottom w:val="single" w:sz="6" w:space="0" w:color="000000"/>
              <w:right w:val="single" w:sz="8" w:space="0" w:color="000000"/>
            </w:tcBorders>
            <w:vAlign w:val="center"/>
          </w:tcPr>
          <w:p w14:paraId="0C62F136" w14:textId="1D68574E"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1,234,280.00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4ACC4F8D" w14:textId="46EA1FC8"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1.22</w:t>
            </w:r>
          </w:p>
        </w:tc>
      </w:tr>
      <w:tr w:rsidR="005E308D" w14:paraId="11DC1692"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03DC483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8</w:t>
            </w:r>
          </w:p>
        </w:tc>
        <w:tc>
          <w:tcPr>
            <w:tcW w:w="1402" w:type="dxa"/>
            <w:tcBorders>
              <w:top w:val="single" w:sz="8" w:space="0" w:color="000000"/>
              <w:left w:val="single" w:sz="8" w:space="0" w:color="000000"/>
              <w:bottom w:val="single" w:sz="6" w:space="0" w:color="000000"/>
              <w:right w:val="single" w:sz="8" w:space="0" w:color="000000"/>
            </w:tcBorders>
            <w:vAlign w:val="center"/>
          </w:tcPr>
          <w:p w14:paraId="34C9FCF4" w14:textId="1ED20A55"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600036</w:t>
            </w:r>
          </w:p>
        </w:tc>
        <w:tc>
          <w:tcPr>
            <w:tcW w:w="1674" w:type="dxa"/>
            <w:tcBorders>
              <w:top w:val="single" w:sz="8" w:space="0" w:color="000000"/>
              <w:left w:val="single" w:sz="8" w:space="0" w:color="000000"/>
              <w:bottom w:val="single" w:sz="6" w:space="0" w:color="000000"/>
              <w:right w:val="single" w:sz="8" w:space="0" w:color="000000"/>
            </w:tcBorders>
            <w:vAlign w:val="center"/>
          </w:tcPr>
          <w:p w14:paraId="43F9FA3A" w14:textId="7AE32E13"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招商银行</w:t>
            </w:r>
          </w:p>
        </w:tc>
        <w:tc>
          <w:tcPr>
            <w:tcW w:w="1696" w:type="dxa"/>
            <w:tcBorders>
              <w:top w:val="single" w:sz="8" w:space="0" w:color="000000"/>
              <w:left w:val="single" w:sz="8" w:space="0" w:color="000000"/>
              <w:bottom w:val="single" w:sz="6" w:space="0" w:color="000000"/>
              <w:right w:val="single" w:sz="8" w:space="0" w:color="000000"/>
            </w:tcBorders>
            <w:vAlign w:val="center"/>
          </w:tcPr>
          <w:p w14:paraId="680157E3" w14:textId="786B8EE0"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29,300</w:t>
            </w:r>
          </w:p>
        </w:tc>
        <w:tc>
          <w:tcPr>
            <w:tcW w:w="1844" w:type="dxa"/>
            <w:tcBorders>
              <w:top w:val="single" w:sz="8" w:space="0" w:color="000000"/>
              <w:left w:val="single" w:sz="8" w:space="0" w:color="000000"/>
              <w:bottom w:val="single" w:sz="6" w:space="0" w:color="000000"/>
              <w:right w:val="single" w:sz="8" w:space="0" w:color="000000"/>
            </w:tcBorders>
            <w:vAlign w:val="center"/>
          </w:tcPr>
          <w:p w14:paraId="169590FC" w14:textId="515530DE"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1,101,973.00</w:t>
            </w:r>
          </w:p>
        </w:tc>
        <w:tc>
          <w:tcPr>
            <w:tcW w:w="1701" w:type="dxa"/>
            <w:tcBorders>
              <w:top w:val="single" w:sz="8" w:space="0" w:color="000000"/>
              <w:left w:val="single" w:sz="8" w:space="0" w:color="000000"/>
              <w:bottom w:val="single" w:sz="6" w:space="0" w:color="000000"/>
              <w:right w:val="single" w:sz="8" w:space="0" w:color="000000"/>
            </w:tcBorders>
            <w:vAlign w:val="center"/>
          </w:tcPr>
          <w:p w14:paraId="02E7CE25" w14:textId="4C409A7A"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1.09</w:t>
            </w:r>
          </w:p>
        </w:tc>
      </w:tr>
      <w:tr w:rsidR="005E308D" w14:paraId="19ED8245"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435A8A3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9</w:t>
            </w:r>
          </w:p>
        </w:tc>
        <w:tc>
          <w:tcPr>
            <w:tcW w:w="1402" w:type="dxa"/>
            <w:tcBorders>
              <w:top w:val="single" w:sz="8" w:space="0" w:color="000000"/>
              <w:left w:val="single" w:sz="8" w:space="0" w:color="000000"/>
              <w:bottom w:val="single" w:sz="6" w:space="0" w:color="000000"/>
              <w:right w:val="single" w:sz="8" w:space="0" w:color="000000"/>
            </w:tcBorders>
            <w:vAlign w:val="center"/>
          </w:tcPr>
          <w:p w14:paraId="0374A8FD" w14:textId="65730E63"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600887</w:t>
            </w:r>
          </w:p>
        </w:tc>
        <w:tc>
          <w:tcPr>
            <w:tcW w:w="1674" w:type="dxa"/>
            <w:tcBorders>
              <w:top w:val="single" w:sz="8" w:space="0" w:color="000000"/>
              <w:left w:val="single" w:sz="8" w:space="0" w:color="000000"/>
              <w:bottom w:val="single" w:sz="6" w:space="0" w:color="000000"/>
              <w:right w:val="single" w:sz="8" w:space="0" w:color="000000"/>
            </w:tcBorders>
            <w:vAlign w:val="center"/>
          </w:tcPr>
          <w:p w14:paraId="2D8398F3" w14:textId="09FBE487"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伊利股份</w:t>
            </w:r>
          </w:p>
        </w:tc>
        <w:tc>
          <w:tcPr>
            <w:tcW w:w="1696" w:type="dxa"/>
            <w:tcBorders>
              <w:top w:val="single" w:sz="8" w:space="0" w:color="000000"/>
              <w:left w:val="single" w:sz="8" w:space="0" w:color="000000"/>
              <w:bottom w:val="single" w:sz="6" w:space="0" w:color="000000"/>
              <w:right w:val="single" w:sz="8" w:space="0" w:color="000000"/>
            </w:tcBorders>
            <w:vAlign w:val="center"/>
          </w:tcPr>
          <w:p w14:paraId="2C8F6E1B" w14:textId="1F7ACC7D"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33,400</w:t>
            </w:r>
          </w:p>
        </w:tc>
        <w:tc>
          <w:tcPr>
            <w:tcW w:w="1844" w:type="dxa"/>
            <w:tcBorders>
              <w:top w:val="single" w:sz="8" w:space="0" w:color="000000"/>
              <w:left w:val="single" w:sz="8" w:space="0" w:color="000000"/>
              <w:bottom w:val="single" w:sz="6" w:space="0" w:color="000000"/>
              <w:right w:val="single" w:sz="8" w:space="0" w:color="000000"/>
            </w:tcBorders>
            <w:vAlign w:val="center"/>
          </w:tcPr>
          <w:p w14:paraId="157FD4C2" w14:textId="450388CA"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970,938.00</w:t>
            </w:r>
          </w:p>
        </w:tc>
        <w:tc>
          <w:tcPr>
            <w:tcW w:w="1701" w:type="dxa"/>
            <w:tcBorders>
              <w:top w:val="single" w:sz="8" w:space="0" w:color="000000"/>
              <w:left w:val="single" w:sz="8" w:space="0" w:color="000000"/>
              <w:bottom w:val="single" w:sz="6" w:space="0" w:color="000000"/>
              <w:right w:val="single" w:sz="8" w:space="0" w:color="000000"/>
            </w:tcBorders>
            <w:vAlign w:val="center"/>
          </w:tcPr>
          <w:p w14:paraId="6411CCDF" w14:textId="33A37BC2"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0.96</w:t>
            </w:r>
          </w:p>
        </w:tc>
      </w:tr>
      <w:tr w:rsidR="005E308D" w14:paraId="579BA8FE"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47AB633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10</w:t>
            </w:r>
          </w:p>
        </w:tc>
        <w:tc>
          <w:tcPr>
            <w:tcW w:w="1402" w:type="dxa"/>
            <w:tcBorders>
              <w:top w:val="single" w:sz="8" w:space="0" w:color="000000"/>
              <w:left w:val="single" w:sz="8" w:space="0" w:color="000000"/>
              <w:bottom w:val="single" w:sz="6" w:space="0" w:color="000000"/>
              <w:right w:val="single" w:sz="8" w:space="0" w:color="000000"/>
            </w:tcBorders>
            <w:vAlign w:val="center"/>
          </w:tcPr>
          <w:p w14:paraId="15090547" w14:textId="21CF9B2B"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000538</w:t>
            </w:r>
          </w:p>
        </w:tc>
        <w:tc>
          <w:tcPr>
            <w:tcW w:w="1674" w:type="dxa"/>
            <w:tcBorders>
              <w:top w:val="single" w:sz="8" w:space="0" w:color="000000"/>
              <w:left w:val="single" w:sz="8" w:space="0" w:color="000000"/>
              <w:bottom w:val="single" w:sz="6" w:space="0" w:color="000000"/>
              <w:right w:val="single" w:sz="8" w:space="0" w:color="000000"/>
            </w:tcBorders>
            <w:vAlign w:val="center"/>
          </w:tcPr>
          <w:p w14:paraId="161C2A4B" w14:textId="3480845B"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云南白药</w:t>
            </w:r>
          </w:p>
        </w:tc>
        <w:tc>
          <w:tcPr>
            <w:tcW w:w="1696" w:type="dxa"/>
            <w:tcBorders>
              <w:top w:val="single" w:sz="8" w:space="0" w:color="000000"/>
              <w:left w:val="single" w:sz="8" w:space="0" w:color="000000"/>
              <w:bottom w:val="single" w:sz="6" w:space="0" w:color="000000"/>
              <w:right w:val="single" w:sz="8" w:space="0" w:color="000000"/>
            </w:tcBorders>
            <w:vAlign w:val="center"/>
          </w:tcPr>
          <w:p w14:paraId="518F4D3F" w14:textId="416278B1"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15,800</w:t>
            </w:r>
          </w:p>
        </w:tc>
        <w:tc>
          <w:tcPr>
            <w:tcW w:w="1844" w:type="dxa"/>
            <w:tcBorders>
              <w:top w:val="single" w:sz="8" w:space="0" w:color="000000"/>
              <w:left w:val="single" w:sz="8" w:space="0" w:color="000000"/>
              <w:bottom w:val="single" w:sz="6" w:space="0" w:color="000000"/>
              <w:right w:val="single" w:sz="8" w:space="0" w:color="000000"/>
            </w:tcBorders>
            <w:vAlign w:val="center"/>
          </w:tcPr>
          <w:p w14:paraId="0193471A" w14:textId="79BCEBC6"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963,800.00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0A1B626D" w14:textId="5FAE0416"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0.95</w:t>
            </w:r>
          </w:p>
        </w:tc>
      </w:tr>
    </w:tbl>
    <w:p w14:paraId="09AF02DD" w14:textId="77777777" w:rsidR="005E308D" w:rsidRDefault="005E308D">
      <w:pPr>
        <w:widowControl/>
        <w:jc w:val="left"/>
        <w:rPr>
          <w:rFonts w:asciiTheme="minorEastAsia" w:hAnsiTheme="minorEastAsia" w:cs="Times New Roman" w:hint="eastAsia"/>
          <w:bCs/>
          <w:sz w:val="24"/>
          <w:szCs w:val="24"/>
        </w:rPr>
      </w:pPr>
    </w:p>
    <w:p w14:paraId="1A0D8758" w14:textId="77777777" w:rsidR="005E308D" w:rsidRDefault="00945B44">
      <w:pPr>
        <w:pStyle w:val="zhangjiep"/>
        <w:rPr>
          <w:rFonts w:asciiTheme="minorEastAsia" w:eastAsiaTheme="minorEastAsia" w:hAnsiTheme="minorEastAsia" w:cs="Times New Roman" w:hint="eastAsia"/>
          <w:bCs/>
          <w:kern w:val="2"/>
        </w:rPr>
      </w:pPr>
      <w:bookmarkStart w:id="217" w:name="_Toc117173482"/>
      <w:r>
        <w:rPr>
          <w:rFonts w:asciiTheme="minorEastAsia" w:eastAsiaTheme="minorEastAsia" w:hAnsiTheme="minorEastAsia" w:cs="Times New Roman"/>
          <w:bCs/>
          <w:kern w:val="2"/>
        </w:rPr>
        <w:t>4、 报告期末按债券品种分类的债券投资组合</w:t>
      </w:r>
      <w:bookmarkEnd w:id="217"/>
    </w:p>
    <w:p w14:paraId="140DF125"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本基金本报告期末未持有债券。</w:t>
      </w:r>
    </w:p>
    <w:p w14:paraId="75E8D86D" w14:textId="77777777" w:rsidR="005E308D" w:rsidRDefault="005E308D">
      <w:pPr>
        <w:widowControl/>
        <w:jc w:val="left"/>
        <w:rPr>
          <w:rFonts w:asciiTheme="minorEastAsia" w:hAnsiTheme="minorEastAsia" w:cs="Times New Roman" w:hint="eastAsia"/>
          <w:bCs/>
          <w:sz w:val="24"/>
          <w:szCs w:val="24"/>
        </w:rPr>
      </w:pPr>
    </w:p>
    <w:p w14:paraId="00C3D273" w14:textId="77777777" w:rsidR="005E308D" w:rsidRDefault="00945B44">
      <w:pPr>
        <w:pStyle w:val="zhangjiep"/>
        <w:rPr>
          <w:rFonts w:asciiTheme="minorEastAsia" w:eastAsiaTheme="minorEastAsia" w:hAnsiTheme="minorEastAsia" w:cs="Times New Roman" w:hint="eastAsia"/>
          <w:bCs/>
          <w:kern w:val="2"/>
        </w:rPr>
      </w:pPr>
      <w:bookmarkStart w:id="218" w:name="_Toc117173483"/>
      <w:r>
        <w:rPr>
          <w:rFonts w:asciiTheme="minorEastAsia" w:eastAsiaTheme="minorEastAsia" w:hAnsiTheme="minorEastAsia" w:cs="Times New Roman"/>
          <w:bCs/>
          <w:kern w:val="2"/>
        </w:rPr>
        <w:t>5、 报告期末按公允价值占基金资产净值比例大小排序的前五名债券投资明细</w:t>
      </w:r>
      <w:bookmarkEnd w:id="218"/>
    </w:p>
    <w:p w14:paraId="736D3B33"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本基金本报告期末未持有债券。</w:t>
      </w:r>
    </w:p>
    <w:p w14:paraId="408500ED" w14:textId="77777777" w:rsidR="005E308D" w:rsidRDefault="005E308D">
      <w:pPr>
        <w:widowControl/>
        <w:jc w:val="left"/>
        <w:rPr>
          <w:rFonts w:asciiTheme="minorEastAsia" w:hAnsiTheme="minorEastAsia" w:cs="Times New Roman" w:hint="eastAsia"/>
          <w:bCs/>
          <w:sz w:val="24"/>
          <w:szCs w:val="24"/>
        </w:rPr>
      </w:pPr>
    </w:p>
    <w:p w14:paraId="49814A9B" w14:textId="77777777" w:rsidR="005E308D" w:rsidRDefault="00945B44">
      <w:pPr>
        <w:pStyle w:val="zhangjiep"/>
        <w:rPr>
          <w:rFonts w:asciiTheme="minorEastAsia" w:eastAsiaTheme="minorEastAsia" w:hAnsiTheme="minorEastAsia" w:cs="Times New Roman" w:hint="eastAsia"/>
          <w:bCs/>
          <w:kern w:val="2"/>
        </w:rPr>
      </w:pPr>
      <w:bookmarkStart w:id="219" w:name="_Toc117173484"/>
      <w:r>
        <w:rPr>
          <w:rFonts w:asciiTheme="minorEastAsia" w:eastAsiaTheme="minorEastAsia" w:hAnsiTheme="minorEastAsia" w:cs="Times New Roman"/>
          <w:bCs/>
          <w:kern w:val="2"/>
        </w:rPr>
        <w:t>6、 报告期末按公允价值占基金资产净值比例大小排序的前十名资产支持证券投资明细</w:t>
      </w:r>
      <w:bookmarkEnd w:id="219"/>
    </w:p>
    <w:p w14:paraId="0017F33B"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本基金本报告期末未持有资产支持证券。</w:t>
      </w:r>
    </w:p>
    <w:p w14:paraId="31DAC685" w14:textId="77777777" w:rsidR="005E308D" w:rsidRDefault="005E308D">
      <w:pPr>
        <w:widowControl/>
        <w:jc w:val="left"/>
        <w:rPr>
          <w:rFonts w:asciiTheme="minorEastAsia" w:hAnsiTheme="minorEastAsia" w:cs="Times New Roman" w:hint="eastAsia"/>
          <w:bCs/>
          <w:sz w:val="24"/>
          <w:szCs w:val="24"/>
        </w:rPr>
      </w:pPr>
    </w:p>
    <w:p w14:paraId="30FEBCFA" w14:textId="77777777" w:rsidR="005E308D" w:rsidRDefault="00945B44">
      <w:pPr>
        <w:pStyle w:val="zhangjiep"/>
        <w:rPr>
          <w:rFonts w:asciiTheme="minorEastAsia" w:eastAsiaTheme="minorEastAsia" w:hAnsiTheme="minorEastAsia" w:cs="Times New Roman" w:hint="eastAsia"/>
          <w:bCs/>
          <w:kern w:val="2"/>
        </w:rPr>
      </w:pPr>
      <w:bookmarkStart w:id="220" w:name="_Toc117173485"/>
      <w:r>
        <w:rPr>
          <w:rFonts w:asciiTheme="minorEastAsia" w:eastAsiaTheme="minorEastAsia" w:hAnsiTheme="minorEastAsia" w:cs="Times New Roman"/>
          <w:bCs/>
          <w:kern w:val="2"/>
        </w:rPr>
        <w:t>7、 报告期末按公允价值占基金资产净值比例大小排序的前五名贵金属投资明细</w:t>
      </w:r>
      <w:bookmarkEnd w:id="220"/>
    </w:p>
    <w:p w14:paraId="37A49012"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本基金本报告期末未持有贵金属。</w:t>
      </w:r>
    </w:p>
    <w:p w14:paraId="3F37E6CB" w14:textId="77777777" w:rsidR="005E308D" w:rsidRDefault="005E308D">
      <w:pPr>
        <w:widowControl/>
        <w:jc w:val="left"/>
        <w:rPr>
          <w:rFonts w:asciiTheme="minorEastAsia" w:hAnsiTheme="minorEastAsia" w:cs="Times New Roman" w:hint="eastAsia"/>
          <w:bCs/>
          <w:sz w:val="24"/>
          <w:szCs w:val="24"/>
        </w:rPr>
      </w:pPr>
    </w:p>
    <w:p w14:paraId="5E9DD4EF" w14:textId="77777777" w:rsidR="005E308D" w:rsidRDefault="00945B44">
      <w:pPr>
        <w:pStyle w:val="zhangjiep"/>
        <w:rPr>
          <w:rFonts w:asciiTheme="minorEastAsia" w:eastAsiaTheme="minorEastAsia" w:hAnsiTheme="minorEastAsia" w:cs="Times New Roman" w:hint="eastAsia"/>
          <w:bCs/>
          <w:kern w:val="2"/>
        </w:rPr>
      </w:pPr>
      <w:bookmarkStart w:id="221" w:name="_Toc117173486"/>
      <w:r>
        <w:rPr>
          <w:rFonts w:asciiTheme="minorEastAsia" w:eastAsiaTheme="minorEastAsia" w:hAnsiTheme="minorEastAsia" w:cs="Times New Roman"/>
          <w:bCs/>
          <w:kern w:val="2"/>
        </w:rPr>
        <w:t>8、 报告期末按公允价值占基金资产净值比例大小排序的前五名权证投资明细</w:t>
      </w:r>
      <w:bookmarkEnd w:id="221"/>
    </w:p>
    <w:p w14:paraId="67FEB0D6"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本基金本报告期末未持有权证。</w:t>
      </w:r>
    </w:p>
    <w:p w14:paraId="30D2DDAE" w14:textId="77777777" w:rsidR="005E308D" w:rsidRDefault="005E308D">
      <w:pPr>
        <w:widowControl/>
        <w:jc w:val="left"/>
        <w:rPr>
          <w:rFonts w:asciiTheme="minorEastAsia" w:hAnsiTheme="minorEastAsia" w:cs="Times New Roman" w:hint="eastAsia"/>
          <w:bCs/>
          <w:sz w:val="24"/>
          <w:szCs w:val="24"/>
        </w:rPr>
      </w:pPr>
    </w:p>
    <w:p w14:paraId="248F312E" w14:textId="77777777" w:rsidR="005E308D" w:rsidRDefault="00945B44">
      <w:pPr>
        <w:pStyle w:val="zhangjiep"/>
        <w:rPr>
          <w:rFonts w:asciiTheme="minorEastAsia" w:eastAsiaTheme="minorEastAsia" w:hAnsiTheme="minorEastAsia" w:cs="Times New Roman" w:hint="eastAsia"/>
          <w:bCs/>
          <w:kern w:val="2"/>
        </w:rPr>
      </w:pPr>
      <w:bookmarkStart w:id="222" w:name="_Toc117173487"/>
      <w:r>
        <w:rPr>
          <w:rFonts w:asciiTheme="minorEastAsia" w:eastAsiaTheme="minorEastAsia" w:hAnsiTheme="minorEastAsia" w:cs="Times New Roman"/>
          <w:bCs/>
          <w:kern w:val="2"/>
        </w:rPr>
        <w:t>9</w:t>
      </w: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 xml:space="preserve"> 报告期末本基金投资的股指期货交易情况说明</w:t>
      </w:r>
      <w:bookmarkEnd w:id="222"/>
    </w:p>
    <w:p w14:paraId="245E8ACD"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1） 报告期末本基金投资的股指期货持仓和损益明细</w:t>
      </w:r>
    </w:p>
    <w:p w14:paraId="59FFB330"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本基金本报告期末未投资股指期货。</w:t>
      </w:r>
    </w:p>
    <w:p w14:paraId="418A14AD" w14:textId="77777777" w:rsidR="005E308D" w:rsidRDefault="005E308D">
      <w:pPr>
        <w:widowControl/>
        <w:jc w:val="left"/>
        <w:rPr>
          <w:rFonts w:asciiTheme="minorEastAsia" w:hAnsiTheme="minorEastAsia" w:cs="Times New Roman" w:hint="eastAsia"/>
          <w:bCs/>
          <w:sz w:val="24"/>
          <w:szCs w:val="24"/>
        </w:rPr>
      </w:pPr>
    </w:p>
    <w:p w14:paraId="6947FB53"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2） 本基金投资股指期货的投资政策</w:t>
      </w:r>
    </w:p>
    <w:p w14:paraId="09818E20" w14:textId="77777777" w:rsidR="005E308D" w:rsidRDefault="00945B44">
      <w:pPr>
        <w:pStyle w:val="neirong"/>
        <w:spacing w:before="0"/>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本基金本报告期末未投资股指期货。</w:t>
      </w:r>
    </w:p>
    <w:p w14:paraId="4A36157A" w14:textId="77777777" w:rsidR="005E308D" w:rsidRDefault="005E308D">
      <w:pPr>
        <w:widowControl/>
        <w:jc w:val="left"/>
        <w:rPr>
          <w:rFonts w:asciiTheme="minorEastAsia" w:hAnsiTheme="minorEastAsia" w:cs="Times New Roman" w:hint="eastAsia"/>
          <w:bCs/>
          <w:sz w:val="24"/>
          <w:szCs w:val="24"/>
        </w:rPr>
      </w:pPr>
    </w:p>
    <w:p w14:paraId="17E2B779" w14:textId="77777777" w:rsidR="005E308D" w:rsidRDefault="00945B44">
      <w:pPr>
        <w:pStyle w:val="zhangjiep"/>
        <w:rPr>
          <w:rFonts w:asciiTheme="minorEastAsia" w:eastAsiaTheme="minorEastAsia" w:hAnsiTheme="minorEastAsia" w:cs="Times New Roman" w:hint="eastAsia"/>
          <w:bCs/>
          <w:kern w:val="2"/>
        </w:rPr>
      </w:pPr>
      <w:bookmarkStart w:id="223" w:name="_Toc117173488"/>
      <w:r>
        <w:rPr>
          <w:rFonts w:asciiTheme="minorEastAsia" w:eastAsiaTheme="minorEastAsia" w:hAnsiTheme="minorEastAsia" w:cs="Times New Roman"/>
          <w:bCs/>
          <w:kern w:val="2"/>
        </w:rPr>
        <w:t>10、 报告期末本基金投资的国债期货交易情况说明</w:t>
      </w:r>
      <w:bookmarkEnd w:id="223"/>
    </w:p>
    <w:p w14:paraId="6FA561BD"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1） 本期国债期货投资政策</w:t>
      </w:r>
    </w:p>
    <w:p w14:paraId="36A3861F" w14:textId="77777777" w:rsidR="005E308D" w:rsidRDefault="00945B44">
      <w:pPr>
        <w:pStyle w:val="neirong"/>
        <w:spacing w:before="0"/>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本基金本报告期末未投资国债期货。</w:t>
      </w:r>
    </w:p>
    <w:p w14:paraId="3A5D33D8" w14:textId="77777777" w:rsidR="005E308D" w:rsidRDefault="005E308D">
      <w:pPr>
        <w:widowControl/>
        <w:jc w:val="left"/>
        <w:rPr>
          <w:rFonts w:asciiTheme="minorEastAsia" w:hAnsiTheme="minorEastAsia" w:cs="Times New Roman" w:hint="eastAsia"/>
          <w:bCs/>
          <w:sz w:val="24"/>
          <w:szCs w:val="24"/>
        </w:rPr>
      </w:pPr>
    </w:p>
    <w:p w14:paraId="249AC47B"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2） 报告期末本基金投资的国债期货持仓和损益明细</w:t>
      </w:r>
    </w:p>
    <w:p w14:paraId="60706272"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本基金本报告期末未投资国债期货。</w:t>
      </w:r>
    </w:p>
    <w:p w14:paraId="527D9F5B"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lastRenderedPageBreak/>
        <w:t>（</w:t>
      </w:r>
      <w:r>
        <w:rPr>
          <w:rFonts w:asciiTheme="minorEastAsia" w:eastAsiaTheme="minorEastAsia" w:hAnsiTheme="minorEastAsia" w:cs="Times New Roman"/>
          <w:bCs/>
          <w:kern w:val="2"/>
        </w:rPr>
        <w:t>3） 本期国债期货投资评价</w:t>
      </w:r>
    </w:p>
    <w:p w14:paraId="38574E23" w14:textId="77777777" w:rsidR="005E308D" w:rsidRDefault="00945B44">
      <w:pPr>
        <w:pStyle w:val="neirong"/>
        <w:spacing w:before="0"/>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本基金本报告期末未投资国债期货。</w:t>
      </w:r>
    </w:p>
    <w:p w14:paraId="085D53A9" w14:textId="77777777" w:rsidR="005E308D" w:rsidRDefault="005E308D">
      <w:pPr>
        <w:widowControl/>
        <w:jc w:val="left"/>
        <w:rPr>
          <w:rFonts w:asciiTheme="minorEastAsia" w:hAnsiTheme="minorEastAsia" w:cs="Times New Roman" w:hint="eastAsia"/>
          <w:bCs/>
          <w:sz w:val="24"/>
          <w:szCs w:val="24"/>
        </w:rPr>
      </w:pPr>
    </w:p>
    <w:p w14:paraId="7F5F1DAF" w14:textId="77777777" w:rsidR="005E308D" w:rsidRDefault="00945B44">
      <w:pPr>
        <w:pStyle w:val="zhangjiep"/>
        <w:rPr>
          <w:rFonts w:asciiTheme="minorEastAsia" w:eastAsiaTheme="minorEastAsia" w:hAnsiTheme="minorEastAsia" w:cs="Times New Roman" w:hint="eastAsia"/>
          <w:bCs/>
          <w:kern w:val="2"/>
        </w:rPr>
      </w:pPr>
      <w:bookmarkStart w:id="224" w:name="_Toc117173489"/>
      <w:r>
        <w:rPr>
          <w:rFonts w:asciiTheme="minorEastAsia" w:eastAsiaTheme="minorEastAsia" w:hAnsiTheme="minorEastAsia" w:cs="Times New Roman"/>
          <w:bCs/>
          <w:kern w:val="2"/>
        </w:rPr>
        <w:t>11、 投资组合报告附注</w:t>
      </w:r>
      <w:bookmarkEnd w:id="224"/>
      <w:r>
        <w:rPr>
          <w:rFonts w:asciiTheme="minorEastAsia" w:eastAsiaTheme="minorEastAsia" w:hAnsiTheme="minorEastAsia" w:cs="Times New Roman"/>
          <w:bCs/>
          <w:kern w:val="2"/>
        </w:rPr>
        <w:t xml:space="preserve"> </w:t>
      </w:r>
    </w:p>
    <w:p w14:paraId="7F02B19D"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 xml:space="preserve">1） </w:t>
      </w:r>
      <w:r>
        <w:rPr>
          <w:rFonts w:asciiTheme="minorEastAsia" w:eastAsiaTheme="minorEastAsia" w:hAnsiTheme="minorEastAsia" w:cs="Times New Roman" w:hint="eastAsia"/>
          <w:bCs/>
          <w:kern w:val="2"/>
        </w:rPr>
        <w:t>本基金投资的前十名证券的发行主体中，招商银行在报告编制日前一年内因未依法履行其他职责及违反外汇管理规定分别受到国家金融监督管理总局及国家外汇管理局的处罚。</w:t>
      </w:r>
    </w:p>
    <w:p w14:paraId="2564DBBB" w14:textId="77777777" w:rsidR="005E308D" w:rsidRDefault="00945B44" w:rsidP="00686A68">
      <w:pPr>
        <w:pStyle w:val="zhangjiep2"/>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本基金对上述主体发行的相关证券的投资决策程序符合相关法律法规及基金合同的要求。</w:t>
      </w:r>
    </w:p>
    <w:p w14:paraId="294E6CFA" w14:textId="31DFB542" w:rsidR="005E308D" w:rsidRDefault="00945B44" w:rsidP="00686A68">
      <w:pPr>
        <w:pStyle w:val="zhangjiep2"/>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除上述主体外，本基金投资的其他前十名证券的发行主体本期没有出现被监管部门立案调查，或在报告编制日前一年内受到公开谴责、处罚的情形。</w:t>
      </w:r>
    </w:p>
    <w:p w14:paraId="40B776B5" w14:textId="77777777" w:rsidR="005E308D" w:rsidRDefault="005E308D">
      <w:pPr>
        <w:widowControl/>
        <w:jc w:val="left"/>
        <w:rPr>
          <w:rFonts w:asciiTheme="minorEastAsia" w:hAnsiTheme="minorEastAsia" w:cs="Times New Roman" w:hint="eastAsia"/>
          <w:bCs/>
          <w:sz w:val="24"/>
          <w:szCs w:val="24"/>
        </w:rPr>
      </w:pPr>
    </w:p>
    <w:p w14:paraId="5951C6F5"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2） 本基金投资的前十名股票没有超出基金合同规定的备选股票库。</w:t>
      </w:r>
    </w:p>
    <w:p w14:paraId="314A909A" w14:textId="77777777" w:rsidR="005E308D" w:rsidRDefault="005E308D">
      <w:pPr>
        <w:widowControl/>
        <w:jc w:val="left"/>
        <w:rPr>
          <w:rFonts w:asciiTheme="minorEastAsia" w:hAnsiTheme="minorEastAsia" w:cs="Times New Roman" w:hint="eastAsia"/>
          <w:bCs/>
          <w:sz w:val="24"/>
          <w:szCs w:val="24"/>
        </w:rPr>
      </w:pPr>
    </w:p>
    <w:p w14:paraId="149A377E"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3</w:t>
      </w: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 xml:space="preserve"> 其他资产构成</w:t>
      </w:r>
    </w:p>
    <w:tbl>
      <w:tblPr>
        <w:tblW w:w="9045" w:type="dxa"/>
        <w:tblInd w:w="108" w:type="dxa"/>
        <w:tblLook w:val="04A0" w:firstRow="1" w:lastRow="0" w:firstColumn="1" w:lastColumn="0" w:noHBand="0" w:noVBand="1"/>
      </w:tblPr>
      <w:tblGrid>
        <w:gridCol w:w="1276"/>
        <w:gridCol w:w="3709"/>
        <w:gridCol w:w="4060"/>
      </w:tblGrid>
      <w:tr w:rsidR="005E308D" w14:paraId="49F8D3AC"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7B4FA48D"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序号</w:t>
            </w:r>
          </w:p>
        </w:tc>
        <w:tc>
          <w:tcPr>
            <w:tcW w:w="3709" w:type="dxa"/>
            <w:tcBorders>
              <w:top w:val="single" w:sz="8" w:space="0" w:color="000000"/>
              <w:left w:val="single" w:sz="8" w:space="0" w:color="000000"/>
              <w:bottom w:val="single" w:sz="6" w:space="0" w:color="000000"/>
              <w:right w:val="single" w:sz="8" w:space="0" w:color="000000"/>
            </w:tcBorders>
            <w:vAlign w:val="center"/>
          </w:tcPr>
          <w:p w14:paraId="3968B5E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名称</w:t>
            </w:r>
          </w:p>
        </w:tc>
        <w:tc>
          <w:tcPr>
            <w:tcW w:w="4060" w:type="dxa"/>
            <w:tcBorders>
              <w:top w:val="single" w:sz="8" w:space="0" w:color="000000"/>
              <w:left w:val="single" w:sz="8" w:space="0" w:color="000000"/>
              <w:bottom w:val="single" w:sz="6" w:space="0" w:color="000000"/>
              <w:right w:val="single" w:sz="8" w:space="0" w:color="000000"/>
            </w:tcBorders>
            <w:vAlign w:val="center"/>
          </w:tcPr>
          <w:p w14:paraId="0116279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金额</w:t>
            </w:r>
            <w:r>
              <w:rPr>
                <w:rFonts w:asciiTheme="minorEastAsia" w:eastAsiaTheme="minorEastAsia" w:hAnsiTheme="minorEastAsia" w:cs="Times New Roman"/>
                <w:bCs/>
                <w:kern w:val="2"/>
              </w:rPr>
              <w:t>(元)</w:t>
            </w:r>
          </w:p>
        </w:tc>
      </w:tr>
      <w:tr w:rsidR="005E308D" w14:paraId="0B0E5D00"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69DD39D6"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1</w:t>
            </w:r>
          </w:p>
        </w:tc>
        <w:tc>
          <w:tcPr>
            <w:tcW w:w="3709" w:type="dxa"/>
            <w:tcBorders>
              <w:top w:val="single" w:sz="8" w:space="0" w:color="000000"/>
              <w:left w:val="single" w:sz="8" w:space="0" w:color="000000"/>
              <w:bottom w:val="single" w:sz="6" w:space="0" w:color="000000"/>
              <w:right w:val="single" w:sz="8" w:space="0" w:color="000000"/>
            </w:tcBorders>
            <w:vAlign w:val="center"/>
          </w:tcPr>
          <w:p w14:paraId="6700AF91"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存出保证金</w:t>
            </w:r>
          </w:p>
        </w:tc>
        <w:tc>
          <w:tcPr>
            <w:tcW w:w="4060" w:type="dxa"/>
            <w:tcBorders>
              <w:top w:val="single" w:sz="8" w:space="0" w:color="000000"/>
              <w:left w:val="single" w:sz="8" w:space="0" w:color="000000"/>
              <w:bottom w:val="single" w:sz="6" w:space="0" w:color="000000"/>
              <w:right w:val="single" w:sz="8" w:space="0" w:color="000000"/>
            </w:tcBorders>
            <w:vAlign w:val="center"/>
          </w:tcPr>
          <w:p w14:paraId="205C2BF0" w14:textId="6E3962B7" w:rsidR="005E308D" w:rsidRDefault="00945B44">
            <w:pPr>
              <w:pStyle w:val="biaogeright"/>
              <w:wordWrap w:val="0"/>
              <w:rPr>
                <w:rFonts w:asciiTheme="minorEastAsia" w:eastAsiaTheme="minorEastAsia" w:hAnsiTheme="minorEastAsia" w:cs="Times New Roman" w:hint="eastAsia"/>
                <w:bCs/>
                <w:kern w:val="2"/>
              </w:rPr>
            </w:pPr>
            <w:r>
              <w:t>15,698,794.79</w:t>
            </w:r>
          </w:p>
        </w:tc>
      </w:tr>
      <w:tr w:rsidR="005E308D" w14:paraId="0EFAE5D7"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41126F1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w:t>
            </w:r>
          </w:p>
        </w:tc>
        <w:tc>
          <w:tcPr>
            <w:tcW w:w="3709" w:type="dxa"/>
            <w:tcBorders>
              <w:top w:val="single" w:sz="8" w:space="0" w:color="000000"/>
              <w:left w:val="single" w:sz="8" w:space="0" w:color="000000"/>
              <w:bottom w:val="single" w:sz="6" w:space="0" w:color="000000"/>
              <w:right w:val="single" w:sz="8" w:space="0" w:color="000000"/>
            </w:tcBorders>
            <w:vAlign w:val="center"/>
          </w:tcPr>
          <w:p w14:paraId="7B3B9D23"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应收证券清算款</w:t>
            </w:r>
          </w:p>
        </w:tc>
        <w:tc>
          <w:tcPr>
            <w:tcW w:w="4060" w:type="dxa"/>
            <w:tcBorders>
              <w:top w:val="single" w:sz="8" w:space="0" w:color="000000"/>
              <w:left w:val="single" w:sz="8" w:space="0" w:color="000000"/>
              <w:bottom w:val="single" w:sz="6" w:space="0" w:color="000000"/>
              <w:right w:val="single" w:sz="8" w:space="0" w:color="000000"/>
            </w:tcBorders>
            <w:vAlign w:val="center"/>
          </w:tcPr>
          <w:p w14:paraId="3908503C" w14:textId="2A8CFA19"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3D29CEEB"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4A502CFD"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3</w:t>
            </w:r>
          </w:p>
        </w:tc>
        <w:tc>
          <w:tcPr>
            <w:tcW w:w="3709" w:type="dxa"/>
            <w:tcBorders>
              <w:top w:val="single" w:sz="8" w:space="0" w:color="000000"/>
              <w:left w:val="single" w:sz="8" w:space="0" w:color="000000"/>
              <w:bottom w:val="single" w:sz="6" w:space="0" w:color="000000"/>
              <w:right w:val="single" w:sz="8" w:space="0" w:color="000000"/>
            </w:tcBorders>
            <w:vAlign w:val="center"/>
          </w:tcPr>
          <w:p w14:paraId="00DAD57C"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应收股利</w:t>
            </w:r>
          </w:p>
        </w:tc>
        <w:tc>
          <w:tcPr>
            <w:tcW w:w="4060" w:type="dxa"/>
            <w:tcBorders>
              <w:top w:val="single" w:sz="8" w:space="0" w:color="000000"/>
              <w:left w:val="single" w:sz="8" w:space="0" w:color="000000"/>
              <w:bottom w:val="single" w:sz="6" w:space="0" w:color="000000"/>
              <w:right w:val="single" w:sz="8" w:space="0" w:color="000000"/>
            </w:tcBorders>
            <w:vAlign w:val="center"/>
          </w:tcPr>
          <w:p w14:paraId="663C94EA" w14:textId="7D634F0B"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01D95DD1"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07F3E09F"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4</w:t>
            </w:r>
          </w:p>
        </w:tc>
        <w:tc>
          <w:tcPr>
            <w:tcW w:w="3709" w:type="dxa"/>
            <w:tcBorders>
              <w:top w:val="single" w:sz="8" w:space="0" w:color="000000"/>
              <w:left w:val="single" w:sz="8" w:space="0" w:color="000000"/>
              <w:bottom w:val="single" w:sz="6" w:space="0" w:color="000000"/>
              <w:right w:val="single" w:sz="8" w:space="0" w:color="000000"/>
            </w:tcBorders>
            <w:vAlign w:val="center"/>
          </w:tcPr>
          <w:p w14:paraId="31FCDFAC"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应收利息</w:t>
            </w:r>
          </w:p>
        </w:tc>
        <w:tc>
          <w:tcPr>
            <w:tcW w:w="4060" w:type="dxa"/>
            <w:tcBorders>
              <w:top w:val="single" w:sz="8" w:space="0" w:color="000000"/>
              <w:left w:val="single" w:sz="8" w:space="0" w:color="000000"/>
              <w:bottom w:val="single" w:sz="6" w:space="0" w:color="000000"/>
              <w:right w:val="single" w:sz="8" w:space="0" w:color="000000"/>
            </w:tcBorders>
            <w:vAlign w:val="center"/>
          </w:tcPr>
          <w:p w14:paraId="4D1D8DE5" w14:textId="65DC6183"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3C5A79E3"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0AF0C351"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5</w:t>
            </w:r>
          </w:p>
        </w:tc>
        <w:tc>
          <w:tcPr>
            <w:tcW w:w="3709" w:type="dxa"/>
            <w:tcBorders>
              <w:top w:val="single" w:sz="8" w:space="0" w:color="000000"/>
              <w:left w:val="single" w:sz="8" w:space="0" w:color="000000"/>
              <w:bottom w:val="single" w:sz="6" w:space="0" w:color="000000"/>
              <w:right w:val="single" w:sz="8" w:space="0" w:color="000000"/>
            </w:tcBorders>
            <w:vAlign w:val="center"/>
          </w:tcPr>
          <w:p w14:paraId="5181AA3B"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应收申购款</w:t>
            </w:r>
          </w:p>
        </w:tc>
        <w:tc>
          <w:tcPr>
            <w:tcW w:w="4060" w:type="dxa"/>
            <w:tcBorders>
              <w:top w:val="single" w:sz="8" w:space="0" w:color="000000"/>
              <w:left w:val="single" w:sz="8" w:space="0" w:color="000000"/>
              <w:bottom w:val="single" w:sz="6" w:space="0" w:color="000000"/>
              <w:right w:val="single" w:sz="8" w:space="0" w:color="000000"/>
            </w:tcBorders>
            <w:vAlign w:val="center"/>
          </w:tcPr>
          <w:p w14:paraId="766C85EB" w14:textId="5295DCFE"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673E1F54"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7602DA7E"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6</w:t>
            </w:r>
          </w:p>
        </w:tc>
        <w:tc>
          <w:tcPr>
            <w:tcW w:w="3709" w:type="dxa"/>
            <w:tcBorders>
              <w:top w:val="single" w:sz="8" w:space="0" w:color="000000"/>
              <w:left w:val="single" w:sz="8" w:space="0" w:color="000000"/>
              <w:bottom w:val="single" w:sz="6" w:space="0" w:color="000000"/>
              <w:right w:val="single" w:sz="8" w:space="0" w:color="000000"/>
            </w:tcBorders>
            <w:vAlign w:val="center"/>
          </w:tcPr>
          <w:p w14:paraId="66851C97"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其他应收款</w:t>
            </w:r>
          </w:p>
        </w:tc>
        <w:tc>
          <w:tcPr>
            <w:tcW w:w="4060" w:type="dxa"/>
            <w:tcBorders>
              <w:top w:val="single" w:sz="8" w:space="0" w:color="000000"/>
              <w:left w:val="single" w:sz="8" w:space="0" w:color="000000"/>
              <w:bottom w:val="single" w:sz="6" w:space="0" w:color="000000"/>
              <w:right w:val="single" w:sz="8" w:space="0" w:color="000000"/>
            </w:tcBorders>
            <w:vAlign w:val="center"/>
          </w:tcPr>
          <w:p w14:paraId="1BA6C0C6" w14:textId="5A4BE685"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430DF33C"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5544CA95"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7</w:t>
            </w:r>
          </w:p>
        </w:tc>
        <w:tc>
          <w:tcPr>
            <w:tcW w:w="3709" w:type="dxa"/>
            <w:tcBorders>
              <w:top w:val="single" w:sz="8" w:space="0" w:color="000000"/>
              <w:left w:val="single" w:sz="8" w:space="0" w:color="000000"/>
              <w:bottom w:val="single" w:sz="6" w:space="0" w:color="000000"/>
              <w:right w:val="single" w:sz="8" w:space="0" w:color="000000"/>
            </w:tcBorders>
            <w:vAlign w:val="center"/>
          </w:tcPr>
          <w:p w14:paraId="4B1C93A4"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其他</w:t>
            </w:r>
          </w:p>
        </w:tc>
        <w:tc>
          <w:tcPr>
            <w:tcW w:w="4060" w:type="dxa"/>
            <w:tcBorders>
              <w:top w:val="single" w:sz="8" w:space="0" w:color="000000"/>
              <w:left w:val="single" w:sz="8" w:space="0" w:color="000000"/>
              <w:bottom w:val="single" w:sz="6" w:space="0" w:color="000000"/>
              <w:right w:val="single" w:sz="8" w:space="0" w:color="000000"/>
            </w:tcBorders>
            <w:vAlign w:val="center"/>
          </w:tcPr>
          <w:p w14:paraId="2258C86E" w14:textId="2CD76BE3"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31675F1C"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0939256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8</w:t>
            </w:r>
          </w:p>
        </w:tc>
        <w:tc>
          <w:tcPr>
            <w:tcW w:w="3709" w:type="dxa"/>
            <w:tcBorders>
              <w:top w:val="single" w:sz="8" w:space="0" w:color="000000"/>
              <w:left w:val="single" w:sz="8" w:space="0" w:color="000000"/>
              <w:bottom w:val="single" w:sz="6" w:space="0" w:color="000000"/>
              <w:right w:val="single" w:sz="8" w:space="0" w:color="000000"/>
            </w:tcBorders>
            <w:vAlign w:val="center"/>
          </w:tcPr>
          <w:p w14:paraId="705BD93F"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合计</w:t>
            </w:r>
          </w:p>
        </w:tc>
        <w:tc>
          <w:tcPr>
            <w:tcW w:w="4060" w:type="dxa"/>
            <w:tcBorders>
              <w:top w:val="single" w:sz="8" w:space="0" w:color="000000"/>
              <w:left w:val="single" w:sz="8" w:space="0" w:color="000000"/>
              <w:bottom w:val="single" w:sz="6" w:space="0" w:color="000000"/>
              <w:right w:val="single" w:sz="8" w:space="0" w:color="000000"/>
            </w:tcBorders>
            <w:vAlign w:val="center"/>
          </w:tcPr>
          <w:p w14:paraId="0EAA2C04" w14:textId="5F52A8B2" w:rsidR="005E308D" w:rsidRDefault="00945B44">
            <w:pPr>
              <w:pStyle w:val="biaogeright"/>
              <w:wordWrap w:val="0"/>
              <w:rPr>
                <w:rFonts w:asciiTheme="minorEastAsia" w:eastAsiaTheme="minorEastAsia" w:hAnsiTheme="minorEastAsia" w:cs="Times New Roman" w:hint="eastAsia"/>
                <w:bCs/>
                <w:kern w:val="2"/>
              </w:rPr>
            </w:pPr>
            <w:r>
              <w:t>15,698,794.79</w:t>
            </w:r>
          </w:p>
        </w:tc>
      </w:tr>
    </w:tbl>
    <w:p w14:paraId="65B87DDA" w14:textId="77777777" w:rsidR="005E308D" w:rsidRDefault="005E308D">
      <w:pPr>
        <w:widowControl/>
        <w:jc w:val="left"/>
        <w:rPr>
          <w:rFonts w:asciiTheme="minorEastAsia" w:hAnsiTheme="minorEastAsia" w:cs="Times New Roman" w:hint="eastAsia"/>
          <w:bCs/>
          <w:sz w:val="24"/>
          <w:szCs w:val="24"/>
        </w:rPr>
      </w:pPr>
    </w:p>
    <w:p w14:paraId="71C0F560"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4） 报告期末持有的处于转股期的可转换债券明细</w:t>
      </w:r>
    </w:p>
    <w:p w14:paraId="12925445"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本基金本报告期末未持有处于转股期的可转换债券。</w:t>
      </w:r>
    </w:p>
    <w:p w14:paraId="12B7A03A" w14:textId="77777777" w:rsidR="005E308D" w:rsidRDefault="005E308D">
      <w:pPr>
        <w:widowControl/>
        <w:jc w:val="left"/>
        <w:rPr>
          <w:rFonts w:asciiTheme="minorEastAsia" w:hAnsiTheme="minorEastAsia" w:cs="Times New Roman" w:hint="eastAsia"/>
          <w:bCs/>
          <w:sz w:val="24"/>
          <w:szCs w:val="24"/>
        </w:rPr>
      </w:pPr>
    </w:p>
    <w:p w14:paraId="298A9DA6"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5） 报告</w:t>
      </w:r>
      <w:r>
        <w:rPr>
          <w:rFonts w:asciiTheme="minorEastAsia" w:eastAsiaTheme="minorEastAsia" w:hAnsiTheme="minorEastAsia" w:cs="Times New Roman" w:hint="eastAsia"/>
          <w:bCs/>
          <w:kern w:val="2"/>
        </w:rPr>
        <w:t>期末前十名股票中存在流通受限情况的说明</w:t>
      </w:r>
    </w:p>
    <w:p w14:paraId="45CEB535"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本基金本报告期末前十名股票中不存在流通受限股票。</w:t>
      </w:r>
    </w:p>
    <w:p w14:paraId="260A8C2B" w14:textId="77777777" w:rsidR="005E308D" w:rsidRDefault="005E308D">
      <w:pPr>
        <w:widowControl/>
        <w:jc w:val="left"/>
        <w:rPr>
          <w:rFonts w:asciiTheme="minorEastAsia" w:hAnsiTheme="minorEastAsia" w:cs="Times New Roman" w:hint="eastAsia"/>
          <w:bCs/>
          <w:sz w:val="24"/>
          <w:szCs w:val="24"/>
        </w:rPr>
      </w:pPr>
    </w:p>
    <w:p w14:paraId="7DB02642"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6） 投资组合报告附注的其他文字描述部分</w:t>
      </w:r>
    </w:p>
    <w:p w14:paraId="69B8AD9B" w14:textId="77777777" w:rsidR="005E308D" w:rsidRDefault="00945B44">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由于四舍五入原因，分项之和与合计可能有尾差。</w:t>
      </w:r>
    </w:p>
    <w:p w14:paraId="6CE9086B" w14:textId="77777777" w:rsidR="005E308D" w:rsidRDefault="00945B44">
      <w:pPr>
        <w:autoSpaceDE w:val="0"/>
        <w:autoSpaceDN w:val="0"/>
        <w:spacing w:line="360" w:lineRule="auto"/>
        <w:ind w:firstLineChars="200" w:firstLine="482"/>
        <w:textAlignment w:val="bottom"/>
        <w:rPr>
          <w:rFonts w:asciiTheme="minorEastAsia" w:hAnsiTheme="minorEastAsia" w:cs="Times New Roman" w:hint="eastAsia"/>
          <w:b/>
          <w:sz w:val="24"/>
          <w:szCs w:val="24"/>
        </w:rPr>
      </w:pPr>
      <w:r>
        <w:rPr>
          <w:rFonts w:asciiTheme="minorEastAsia" w:hAnsiTheme="minorEastAsia" w:cs="Times New Roman" w:hint="eastAsia"/>
          <w:b/>
          <w:sz w:val="24"/>
          <w:szCs w:val="24"/>
        </w:rPr>
        <w:t>十、基金净值表现</w:t>
      </w:r>
    </w:p>
    <w:p w14:paraId="42F4ED67" w14:textId="77777777" w:rsidR="005E308D" w:rsidRDefault="00945B44">
      <w:pPr>
        <w:pStyle w:val="zhangjiep2"/>
        <w:rPr>
          <w:rFonts w:asciiTheme="minorEastAsia" w:hAnsiTheme="minorEastAsia" w:cs="Times New Roman" w:hint="eastAsia"/>
          <w:bCs/>
        </w:rPr>
      </w:pPr>
      <w:r>
        <w:rPr>
          <w:rFonts w:asciiTheme="minorEastAsia" w:eastAsiaTheme="minorEastAsia" w:hAnsiTheme="minorEastAsia" w:cs="Times New Roman" w:hint="eastAsia"/>
          <w:bCs/>
          <w:kern w:val="2"/>
        </w:rPr>
        <w:lastRenderedPageBreak/>
        <w:t>1、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49445E10" w14:textId="77777777" w:rsidR="005E308D" w:rsidRDefault="005E308D">
      <w:pPr>
        <w:pStyle w:val="zhangjiep2"/>
        <w:ind w:firstLine="420"/>
        <w:rPr>
          <w:rFonts w:asciiTheme="minorEastAsia" w:hAnsiTheme="minorEastAsia" w:cs="Times New Roman" w:hint="eastAsia"/>
          <w:bCs/>
        </w:rPr>
      </w:pPr>
    </w:p>
    <w:p w14:paraId="5ED956E4" w14:textId="77777777" w:rsidR="005E308D" w:rsidRDefault="00945B44">
      <w:pPr>
        <w:pStyle w:val="zhangjiep2"/>
        <w:ind w:left="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1</w:t>
      </w: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富荣福耀混合</w:t>
      </w:r>
      <w:r>
        <w:rPr>
          <w:rFonts w:asciiTheme="minorEastAsia" w:eastAsiaTheme="minorEastAsia" w:hAnsiTheme="minorEastAsia" w:cs="Times New Roman"/>
          <w:bCs/>
          <w:kern w:val="2"/>
        </w:rPr>
        <w:t>A</w:t>
      </w:r>
      <w:r>
        <w:rPr>
          <w:rFonts w:asciiTheme="minorEastAsia" w:eastAsiaTheme="minorEastAsia" w:hAnsiTheme="minorEastAsia" w:cs="Times New Roman" w:hint="eastAsia"/>
          <w:bCs/>
          <w:kern w:val="2"/>
        </w:rPr>
        <w:t>（基金代码：012876）</w:t>
      </w:r>
      <w:r>
        <w:rPr>
          <w:rFonts w:asciiTheme="minorEastAsia" w:eastAsiaTheme="minorEastAsia" w:hAnsiTheme="minorEastAsia" w:cs="Times New Roman"/>
          <w:bCs/>
          <w:kern w:val="2"/>
        </w:rPr>
        <w:t xml:space="preserve"> </w:t>
      </w:r>
    </w:p>
    <w:tbl>
      <w:tblPr>
        <w:tblW w:w="9260" w:type="dxa"/>
        <w:jc w:val="center"/>
        <w:tblLook w:val="04A0" w:firstRow="1" w:lastRow="0" w:firstColumn="1" w:lastColumn="0" w:noHBand="0" w:noVBand="1"/>
      </w:tblPr>
      <w:tblGrid>
        <w:gridCol w:w="1631"/>
        <w:gridCol w:w="1243"/>
        <w:gridCol w:w="1278"/>
        <w:gridCol w:w="1278"/>
        <w:gridCol w:w="1278"/>
        <w:gridCol w:w="1278"/>
        <w:gridCol w:w="1274"/>
      </w:tblGrid>
      <w:tr w:rsidR="005E308D" w14:paraId="531AC447" w14:textId="77777777">
        <w:trPr>
          <w:jc w:val="center"/>
        </w:trPr>
        <w:tc>
          <w:tcPr>
            <w:tcW w:w="881" w:type="pct"/>
            <w:tcBorders>
              <w:top w:val="single" w:sz="8" w:space="0" w:color="000000"/>
              <w:left w:val="single" w:sz="8" w:space="0" w:color="000000"/>
              <w:bottom w:val="single" w:sz="6" w:space="0" w:color="000000"/>
              <w:right w:val="single" w:sz="8" w:space="0" w:color="000000"/>
            </w:tcBorders>
            <w:vAlign w:val="center"/>
          </w:tcPr>
          <w:p w14:paraId="52E742D1"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阶段</w:t>
            </w:r>
          </w:p>
        </w:tc>
        <w:tc>
          <w:tcPr>
            <w:tcW w:w="671" w:type="pct"/>
            <w:tcBorders>
              <w:top w:val="single" w:sz="8" w:space="0" w:color="000000"/>
              <w:left w:val="single" w:sz="8" w:space="0" w:color="000000"/>
              <w:bottom w:val="single" w:sz="6" w:space="0" w:color="000000"/>
              <w:right w:val="single" w:sz="8" w:space="0" w:color="000000"/>
            </w:tcBorders>
            <w:vAlign w:val="center"/>
          </w:tcPr>
          <w:p w14:paraId="0CFB2B8A"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净值增长率①</w:t>
            </w:r>
          </w:p>
        </w:tc>
        <w:tc>
          <w:tcPr>
            <w:tcW w:w="690" w:type="pct"/>
            <w:tcBorders>
              <w:top w:val="single" w:sz="8" w:space="0" w:color="000000"/>
              <w:left w:val="single" w:sz="8" w:space="0" w:color="000000"/>
              <w:bottom w:val="single" w:sz="6" w:space="0" w:color="000000"/>
              <w:right w:val="single" w:sz="8" w:space="0" w:color="000000"/>
            </w:tcBorders>
            <w:vAlign w:val="center"/>
          </w:tcPr>
          <w:p w14:paraId="1AC1F7EB"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净值增长率标准差②</w:t>
            </w:r>
          </w:p>
        </w:tc>
        <w:tc>
          <w:tcPr>
            <w:tcW w:w="690" w:type="pct"/>
            <w:tcBorders>
              <w:top w:val="single" w:sz="8" w:space="0" w:color="000000"/>
              <w:left w:val="single" w:sz="8" w:space="0" w:color="000000"/>
              <w:bottom w:val="single" w:sz="6" w:space="0" w:color="000000"/>
              <w:right w:val="single" w:sz="8" w:space="0" w:color="000000"/>
            </w:tcBorders>
            <w:vAlign w:val="center"/>
          </w:tcPr>
          <w:p w14:paraId="1E50C15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业绩比较基准收益率③</w:t>
            </w:r>
          </w:p>
        </w:tc>
        <w:tc>
          <w:tcPr>
            <w:tcW w:w="690" w:type="pct"/>
            <w:tcBorders>
              <w:top w:val="single" w:sz="8" w:space="0" w:color="000000"/>
              <w:left w:val="single" w:sz="8" w:space="0" w:color="000000"/>
              <w:bottom w:val="single" w:sz="6" w:space="0" w:color="000000"/>
              <w:right w:val="single" w:sz="8" w:space="0" w:color="000000"/>
            </w:tcBorders>
            <w:vAlign w:val="center"/>
          </w:tcPr>
          <w:p w14:paraId="1B16380B"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业绩比较基准收益率标准差④</w:t>
            </w:r>
          </w:p>
        </w:tc>
        <w:tc>
          <w:tcPr>
            <w:tcW w:w="690" w:type="pct"/>
            <w:tcBorders>
              <w:top w:val="single" w:sz="8" w:space="0" w:color="000000"/>
              <w:left w:val="single" w:sz="8" w:space="0" w:color="000000"/>
              <w:bottom w:val="single" w:sz="6" w:space="0" w:color="000000"/>
              <w:right w:val="single" w:sz="8" w:space="0" w:color="000000"/>
            </w:tcBorders>
            <w:vAlign w:val="center"/>
          </w:tcPr>
          <w:p w14:paraId="3E70C72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①</w:t>
            </w:r>
            <w:r>
              <w:rPr>
                <w:rFonts w:asciiTheme="minorEastAsia" w:eastAsiaTheme="minorEastAsia" w:hAnsiTheme="minorEastAsia" w:cs="Times New Roman"/>
                <w:bCs/>
                <w:kern w:val="2"/>
              </w:rPr>
              <w:t>-③</w:t>
            </w:r>
          </w:p>
        </w:tc>
        <w:tc>
          <w:tcPr>
            <w:tcW w:w="688" w:type="pct"/>
            <w:tcBorders>
              <w:top w:val="single" w:sz="8" w:space="0" w:color="000000"/>
              <w:left w:val="single" w:sz="8" w:space="0" w:color="000000"/>
              <w:bottom w:val="single" w:sz="6" w:space="0" w:color="000000"/>
              <w:right w:val="single" w:sz="8" w:space="0" w:color="000000"/>
            </w:tcBorders>
            <w:vAlign w:val="center"/>
          </w:tcPr>
          <w:p w14:paraId="0793FB4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②</w:t>
            </w:r>
            <w:r>
              <w:rPr>
                <w:rFonts w:asciiTheme="minorEastAsia" w:eastAsiaTheme="minorEastAsia" w:hAnsiTheme="minorEastAsia" w:cs="Times New Roman"/>
                <w:bCs/>
                <w:kern w:val="2"/>
              </w:rPr>
              <w:t>-④</w:t>
            </w:r>
          </w:p>
        </w:tc>
      </w:tr>
      <w:tr w:rsidR="005E308D" w14:paraId="4F9267AC" w14:textId="77777777">
        <w:trPr>
          <w:jc w:val="center"/>
        </w:trPr>
        <w:tc>
          <w:tcPr>
            <w:tcW w:w="881" w:type="pct"/>
            <w:tcBorders>
              <w:top w:val="single" w:sz="8" w:space="0" w:color="000000"/>
              <w:left w:val="single" w:sz="8" w:space="0" w:color="000000"/>
              <w:bottom w:val="single" w:sz="6" w:space="0" w:color="000000"/>
              <w:right w:val="single" w:sz="8" w:space="0" w:color="000000"/>
            </w:tcBorders>
            <w:vAlign w:val="center"/>
          </w:tcPr>
          <w:p w14:paraId="44E8C590"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2021.12.27-2021.12.31</w:t>
            </w:r>
          </w:p>
        </w:tc>
        <w:tc>
          <w:tcPr>
            <w:tcW w:w="671" w:type="pct"/>
            <w:tcBorders>
              <w:top w:val="single" w:sz="8" w:space="0" w:color="000000"/>
              <w:left w:val="single" w:sz="8" w:space="0" w:color="000000"/>
              <w:bottom w:val="single" w:sz="6" w:space="0" w:color="000000"/>
              <w:right w:val="single" w:sz="8" w:space="0" w:color="000000"/>
            </w:tcBorders>
            <w:vAlign w:val="center"/>
          </w:tcPr>
          <w:p w14:paraId="30F0032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0.02</w:t>
            </w:r>
            <w:r>
              <w:rPr>
                <w:rFonts w:asciiTheme="minorEastAsia" w:eastAsiaTheme="minorEastAsia" w:hAnsiTheme="minorEastAsia" w:cs="Times New Roman"/>
                <w:bCs/>
                <w:kern w:val="2"/>
              </w:rPr>
              <w:t>%</w:t>
            </w:r>
          </w:p>
        </w:tc>
        <w:tc>
          <w:tcPr>
            <w:tcW w:w="690" w:type="pct"/>
            <w:tcBorders>
              <w:top w:val="single" w:sz="8" w:space="0" w:color="000000"/>
              <w:left w:val="single" w:sz="8" w:space="0" w:color="000000"/>
              <w:bottom w:val="single" w:sz="6" w:space="0" w:color="000000"/>
              <w:right w:val="single" w:sz="8" w:space="0" w:color="000000"/>
            </w:tcBorders>
            <w:vAlign w:val="center"/>
          </w:tcPr>
          <w:p w14:paraId="02B4A5FD"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0.01</w:t>
            </w:r>
            <w:r>
              <w:rPr>
                <w:rFonts w:asciiTheme="minorEastAsia" w:eastAsiaTheme="minorEastAsia" w:hAnsiTheme="minorEastAsia" w:cs="Times New Roman"/>
                <w:bCs/>
                <w:kern w:val="2"/>
              </w:rPr>
              <w:t>%</w:t>
            </w:r>
          </w:p>
        </w:tc>
        <w:tc>
          <w:tcPr>
            <w:tcW w:w="690" w:type="pct"/>
            <w:tcBorders>
              <w:top w:val="single" w:sz="8" w:space="0" w:color="000000"/>
              <w:left w:val="single" w:sz="8" w:space="0" w:color="000000"/>
              <w:bottom w:val="single" w:sz="6" w:space="0" w:color="000000"/>
              <w:right w:val="single" w:sz="8" w:space="0" w:color="000000"/>
            </w:tcBorders>
            <w:vAlign w:val="center"/>
          </w:tcPr>
          <w:p w14:paraId="675099B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0.34</w:t>
            </w:r>
            <w:r>
              <w:rPr>
                <w:rFonts w:asciiTheme="minorEastAsia" w:eastAsiaTheme="minorEastAsia" w:hAnsiTheme="minorEastAsia" w:cs="Times New Roman"/>
                <w:bCs/>
                <w:kern w:val="2"/>
              </w:rPr>
              <w:t>%</w:t>
            </w:r>
          </w:p>
        </w:tc>
        <w:tc>
          <w:tcPr>
            <w:tcW w:w="690" w:type="pct"/>
            <w:tcBorders>
              <w:top w:val="single" w:sz="8" w:space="0" w:color="000000"/>
              <w:left w:val="single" w:sz="8" w:space="0" w:color="000000"/>
              <w:bottom w:val="single" w:sz="6" w:space="0" w:color="000000"/>
              <w:right w:val="single" w:sz="8" w:space="0" w:color="000000"/>
            </w:tcBorders>
            <w:vAlign w:val="center"/>
          </w:tcPr>
          <w:p w14:paraId="1A254A1D"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0.6</w:t>
            </w:r>
            <w:r>
              <w:rPr>
                <w:rFonts w:asciiTheme="minorEastAsia" w:eastAsiaTheme="minorEastAsia" w:hAnsiTheme="minorEastAsia" w:cs="Times New Roman" w:hint="eastAsia"/>
                <w:bCs/>
                <w:kern w:val="2"/>
              </w:rPr>
              <w:t>5</w:t>
            </w:r>
            <w:r>
              <w:rPr>
                <w:rFonts w:asciiTheme="minorEastAsia" w:eastAsiaTheme="minorEastAsia" w:hAnsiTheme="minorEastAsia" w:cs="Times New Roman"/>
                <w:bCs/>
                <w:kern w:val="2"/>
              </w:rPr>
              <w:t>%</w:t>
            </w:r>
          </w:p>
        </w:tc>
        <w:tc>
          <w:tcPr>
            <w:tcW w:w="690" w:type="pct"/>
            <w:tcBorders>
              <w:top w:val="single" w:sz="8" w:space="0" w:color="000000"/>
              <w:left w:val="single" w:sz="8" w:space="0" w:color="000000"/>
              <w:bottom w:val="single" w:sz="6" w:space="0" w:color="000000"/>
              <w:right w:val="single" w:sz="8" w:space="0" w:color="000000"/>
            </w:tcBorders>
            <w:vAlign w:val="center"/>
          </w:tcPr>
          <w:p w14:paraId="2398FC19" w14:textId="77777777" w:rsidR="005E308D" w:rsidRDefault="00945B44">
            <w:pPr>
              <w:pStyle w:val="biaogecenter"/>
              <w:wordWrap w:val="0"/>
              <w:rPr>
                <w:rFonts w:asciiTheme="minorEastAsia" w:eastAsiaTheme="minorEastAsia" w:hAnsiTheme="minorEastAsia" w:cs="Times New Roman" w:hint="eastAsia"/>
                <w:bCs/>
                <w:kern w:val="2"/>
              </w:rPr>
            </w:pPr>
            <w:r>
              <w:rPr>
                <w:rFonts w:hint="eastAsia"/>
                <w:color w:val="000000"/>
                <w:sz w:val="22"/>
                <w:szCs w:val="22"/>
              </w:rPr>
              <w:t>-0.32%</w:t>
            </w:r>
          </w:p>
        </w:tc>
        <w:tc>
          <w:tcPr>
            <w:tcW w:w="688" w:type="pct"/>
            <w:tcBorders>
              <w:top w:val="single" w:sz="8" w:space="0" w:color="000000"/>
              <w:left w:val="single" w:sz="8" w:space="0" w:color="000000"/>
              <w:bottom w:val="single" w:sz="6" w:space="0" w:color="000000"/>
              <w:right w:val="single" w:sz="8" w:space="0" w:color="000000"/>
            </w:tcBorders>
            <w:vAlign w:val="center"/>
          </w:tcPr>
          <w:p w14:paraId="3F0C2273" w14:textId="77777777" w:rsidR="005E308D" w:rsidRDefault="00945B44">
            <w:pPr>
              <w:pStyle w:val="biaogecenter"/>
              <w:wordWrap w:val="0"/>
              <w:rPr>
                <w:rFonts w:asciiTheme="minorEastAsia" w:eastAsiaTheme="minorEastAsia" w:hAnsiTheme="minorEastAsia" w:cs="Times New Roman" w:hint="eastAsia"/>
                <w:bCs/>
                <w:kern w:val="2"/>
              </w:rPr>
            </w:pPr>
            <w:r>
              <w:rPr>
                <w:rFonts w:hint="eastAsia"/>
                <w:color w:val="000000"/>
                <w:sz w:val="22"/>
                <w:szCs w:val="22"/>
              </w:rPr>
              <w:t>-0.64%</w:t>
            </w:r>
          </w:p>
        </w:tc>
      </w:tr>
      <w:tr w:rsidR="005E308D" w14:paraId="60C72038" w14:textId="77777777">
        <w:trPr>
          <w:jc w:val="center"/>
        </w:trPr>
        <w:tc>
          <w:tcPr>
            <w:tcW w:w="881" w:type="pct"/>
            <w:tcBorders>
              <w:top w:val="single" w:sz="8" w:space="0" w:color="000000"/>
              <w:left w:val="single" w:sz="8" w:space="0" w:color="000000"/>
              <w:bottom w:val="single" w:sz="6" w:space="0" w:color="000000"/>
              <w:right w:val="single" w:sz="8" w:space="0" w:color="000000"/>
            </w:tcBorders>
            <w:vAlign w:val="center"/>
          </w:tcPr>
          <w:p w14:paraId="3EA01FC7"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202</w:t>
            </w:r>
            <w:r>
              <w:rPr>
                <w:rFonts w:asciiTheme="minorEastAsia" w:eastAsiaTheme="minorEastAsia" w:hAnsiTheme="minorEastAsia" w:cs="Times New Roman" w:hint="eastAsia"/>
                <w:bCs/>
                <w:kern w:val="2"/>
              </w:rPr>
              <w:t>2</w:t>
            </w: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01</w:t>
            </w: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01</w:t>
            </w:r>
            <w:r>
              <w:rPr>
                <w:rFonts w:asciiTheme="minorEastAsia" w:eastAsiaTheme="minorEastAsia" w:hAnsiTheme="minorEastAsia" w:cs="Times New Roman"/>
                <w:bCs/>
                <w:kern w:val="2"/>
              </w:rPr>
              <w:t>-202</w:t>
            </w:r>
            <w:r>
              <w:rPr>
                <w:rFonts w:asciiTheme="minorEastAsia" w:eastAsiaTheme="minorEastAsia" w:hAnsiTheme="minorEastAsia" w:cs="Times New Roman" w:hint="eastAsia"/>
                <w:bCs/>
                <w:kern w:val="2"/>
              </w:rPr>
              <w:t>2</w:t>
            </w:r>
            <w:r>
              <w:rPr>
                <w:rFonts w:asciiTheme="minorEastAsia" w:eastAsiaTheme="minorEastAsia" w:hAnsiTheme="minorEastAsia" w:cs="Times New Roman"/>
                <w:bCs/>
                <w:kern w:val="2"/>
              </w:rPr>
              <w:t>.12.31</w:t>
            </w:r>
          </w:p>
        </w:tc>
        <w:tc>
          <w:tcPr>
            <w:tcW w:w="671" w:type="pct"/>
            <w:tcBorders>
              <w:top w:val="single" w:sz="8" w:space="0" w:color="000000"/>
              <w:left w:val="single" w:sz="8" w:space="0" w:color="000000"/>
              <w:bottom w:val="single" w:sz="6" w:space="0" w:color="000000"/>
              <w:right w:val="single" w:sz="8" w:space="0" w:color="000000"/>
            </w:tcBorders>
            <w:vAlign w:val="center"/>
          </w:tcPr>
          <w:p w14:paraId="1FEFFD85"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-12.88%</w:t>
            </w:r>
          </w:p>
        </w:tc>
        <w:tc>
          <w:tcPr>
            <w:tcW w:w="690" w:type="pct"/>
            <w:tcBorders>
              <w:top w:val="single" w:sz="8" w:space="0" w:color="000000"/>
              <w:left w:val="single" w:sz="8" w:space="0" w:color="000000"/>
              <w:bottom w:val="single" w:sz="6" w:space="0" w:color="000000"/>
              <w:right w:val="single" w:sz="8" w:space="0" w:color="000000"/>
            </w:tcBorders>
            <w:vAlign w:val="center"/>
          </w:tcPr>
          <w:p w14:paraId="54DDA431"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0.78%</w:t>
            </w:r>
          </w:p>
        </w:tc>
        <w:tc>
          <w:tcPr>
            <w:tcW w:w="690" w:type="pct"/>
            <w:tcBorders>
              <w:top w:val="single" w:sz="8" w:space="0" w:color="000000"/>
              <w:left w:val="single" w:sz="8" w:space="0" w:color="000000"/>
              <w:bottom w:val="single" w:sz="6" w:space="0" w:color="000000"/>
              <w:right w:val="single" w:sz="8" w:space="0" w:color="000000"/>
            </w:tcBorders>
            <w:vAlign w:val="center"/>
          </w:tcPr>
          <w:p w14:paraId="55F0D393"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-15.20%</w:t>
            </w:r>
          </w:p>
        </w:tc>
        <w:tc>
          <w:tcPr>
            <w:tcW w:w="690" w:type="pct"/>
            <w:tcBorders>
              <w:top w:val="single" w:sz="8" w:space="0" w:color="000000"/>
              <w:left w:val="single" w:sz="8" w:space="0" w:color="000000"/>
              <w:bottom w:val="single" w:sz="6" w:space="0" w:color="000000"/>
              <w:right w:val="single" w:sz="8" w:space="0" w:color="000000"/>
            </w:tcBorders>
            <w:vAlign w:val="center"/>
          </w:tcPr>
          <w:p w14:paraId="12F19E33"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0.90%</w:t>
            </w:r>
          </w:p>
        </w:tc>
        <w:tc>
          <w:tcPr>
            <w:tcW w:w="690" w:type="pct"/>
            <w:tcBorders>
              <w:top w:val="single" w:sz="8" w:space="0" w:color="000000"/>
              <w:left w:val="single" w:sz="8" w:space="0" w:color="000000"/>
              <w:bottom w:val="single" w:sz="6" w:space="0" w:color="000000"/>
              <w:right w:val="single" w:sz="8" w:space="0" w:color="000000"/>
            </w:tcBorders>
            <w:vAlign w:val="center"/>
          </w:tcPr>
          <w:p w14:paraId="5A4EBE4D" w14:textId="77777777" w:rsidR="005E308D" w:rsidRDefault="00945B44">
            <w:pPr>
              <w:pStyle w:val="biaogecenter"/>
              <w:wordWrap w:val="0"/>
              <w:rPr>
                <w:rFonts w:hint="eastAsia"/>
                <w:color w:val="000000"/>
                <w:sz w:val="22"/>
                <w:szCs w:val="22"/>
              </w:rPr>
            </w:pPr>
            <w:r>
              <w:rPr>
                <w:rFonts w:hAnsi="等线"/>
                <w:color w:val="000000"/>
              </w:rPr>
              <w:t>2.32%</w:t>
            </w:r>
          </w:p>
        </w:tc>
        <w:tc>
          <w:tcPr>
            <w:tcW w:w="688" w:type="pct"/>
            <w:tcBorders>
              <w:top w:val="single" w:sz="8" w:space="0" w:color="000000"/>
              <w:left w:val="single" w:sz="8" w:space="0" w:color="000000"/>
              <w:bottom w:val="single" w:sz="6" w:space="0" w:color="000000"/>
              <w:right w:val="single" w:sz="8" w:space="0" w:color="000000"/>
            </w:tcBorders>
            <w:vAlign w:val="center"/>
          </w:tcPr>
          <w:p w14:paraId="19E77D85" w14:textId="77777777" w:rsidR="005E308D" w:rsidRDefault="00945B44">
            <w:pPr>
              <w:pStyle w:val="biaogecenter"/>
              <w:wordWrap w:val="0"/>
              <w:rPr>
                <w:rFonts w:hint="eastAsia"/>
                <w:color w:val="000000"/>
                <w:sz w:val="22"/>
                <w:szCs w:val="22"/>
              </w:rPr>
            </w:pPr>
            <w:r>
              <w:rPr>
                <w:rFonts w:hAnsi="等线"/>
                <w:color w:val="000000"/>
              </w:rPr>
              <w:t>-0.12%</w:t>
            </w:r>
          </w:p>
        </w:tc>
      </w:tr>
      <w:tr w:rsidR="005E308D" w14:paraId="56F13F02" w14:textId="77777777">
        <w:trPr>
          <w:jc w:val="center"/>
        </w:trPr>
        <w:tc>
          <w:tcPr>
            <w:tcW w:w="881" w:type="pct"/>
            <w:tcBorders>
              <w:top w:val="single" w:sz="8" w:space="0" w:color="000000"/>
              <w:left w:val="single" w:sz="8" w:space="0" w:color="000000"/>
              <w:bottom w:val="single" w:sz="6" w:space="0" w:color="000000"/>
              <w:right w:val="single" w:sz="8" w:space="0" w:color="000000"/>
            </w:tcBorders>
            <w:vAlign w:val="center"/>
          </w:tcPr>
          <w:p w14:paraId="522BFA6E"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2023.01.01-2023.12.31</w:t>
            </w:r>
          </w:p>
        </w:tc>
        <w:tc>
          <w:tcPr>
            <w:tcW w:w="671" w:type="pct"/>
            <w:tcBorders>
              <w:top w:val="single" w:sz="8" w:space="0" w:color="000000"/>
              <w:left w:val="single" w:sz="8" w:space="0" w:color="000000"/>
              <w:bottom w:val="single" w:sz="6" w:space="0" w:color="000000"/>
              <w:right w:val="single" w:sz="8" w:space="0" w:color="000000"/>
            </w:tcBorders>
            <w:vAlign w:val="center"/>
          </w:tcPr>
          <w:p w14:paraId="7C3331FD" w14:textId="77777777" w:rsidR="005E308D" w:rsidRDefault="00945B44">
            <w:pPr>
              <w:pStyle w:val="biaogecenter"/>
              <w:wordWrap w:val="0"/>
              <w:rPr>
                <w:rFonts w:hAnsi="等线" w:hint="eastAsia"/>
                <w:color w:val="000000"/>
              </w:rPr>
            </w:pPr>
            <w:r>
              <w:rPr>
                <w:rFonts w:hAnsi="等线"/>
                <w:color w:val="000000"/>
              </w:rPr>
              <w:t>-9.55%</w:t>
            </w:r>
          </w:p>
        </w:tc>
        <w:tc>
          <w:tcPr>
            <w:tcW w:w="690" w:type="pct"/>
            <w:tcBorders>
              <w:top w:val="single" w:sz="8" w:space="0" w:color="000000"/>
              <w:left w:val="single" w:sz="8" w:space="0" w:color="000000"/>
              <w:bottom w:val="single" w:sz="6" w:space="0" w:color="000000"/>
              <w:right w:val="single" w:sz="8" w:space="0" w:color="000000"/>
            </w:tcBorders>
            <w:vAlign w:val="center"/>
          </w:tcPr>
          <w:p w14:paraId="5311A38E" w14:textId="77777777" w:rsidR="005E308D" w:rsidRDefault="00945B44">
            <w:pPr>
              <w:pStyle w:val="biaogecenter"/>
              <w:wordWrap w:val="0"/>
              <w:rPr>
                <w:rFonts w:hAnsi="等线" w:hint="eastAsia"/>
                <w:color w:val="000000"/>
              </w:rPr>
            </w:pPr>
            <w:r>
              <w:rPr>
                <w:rFonts w:hAnsi="等线"/>
                <w:color w:val="000000"/>
              </w:rPr>
              <w:t>0.73%</w:t>
            </w:r>
          </w:p>
        </w:tc>
        <w:tc>
          <w:tcPr>
            <w:tcW w:w="690" w:type="pct"/>
            <w:tcBorders>
              <w:top w:val="single" w:sz="8" w:space="0" w:color="000000"/>
              <w:left w:val="single" w:sz="8" w:space="0" w:color="000000"/>
              <w:bottom w:val="single" w:sz="6" w:space="0" w:color="000000"/>
              <w:right w:val="single" w:sz="8" w:space="0" w:color="000000"/>
            </w:tcBorders>
            <w:vAlign w:val="center"/>
          </w:tcPr>
          <w:p w14:paraId="66BC671C" w14:textId="77777777" w:rsidR="005E308D" w:rsidRDefault="00945B44">
            <w:pPr>
              <w:pStyle w:val="biaogecenter"/>
              <w:wordWrap w:val="0"/>
              <w:rPr>
                <w:rFonts w:hAnsi="等线" w:hint="eastAsia"/>
                <w:color w:val="000000"/>
              </w:rPr>
            </w:pPr>
            <w:r>
              <w:rPr>
                <w:rFonts w:hAnsi="等线"/>
                <w:color w:val="000000"/>
              </w:rPr>
              <w:t>-7.37%</w:t>
            </w:r>
          </w:p>
        </w:tc>
        <w:tc>
          <w:tcPr>
            <w:tcW w:w="690" w:type="pct"/>
            <w:tcBorders>
              <w:top w:val="single" w:sz="8" w:space="0" w:color="000000"/>
              <w:left w:val="single" w:sz="8" w:space="0" w:color="000000"/>
              <w:bottom w:val="single" w:sz="6" w:space="0" w:color="000000"/>
              <w:right w:val="single" w:sz="8" w:space="0" w:color="000000"/>
            </w:tcBorders>
            <w:vAlign w:val="center"/>
          </w:tcPr>
          <w:p w14:paraId="64CC85EB" w14:textId="77777777" w:rsidR="005E308D" w:rsidRDefault="00945B44">
            <w:pPr>
              <w:pStyle w:val="biaogecenter"/>
              <w:wordWrap w:val="0"/>
              <w:rPr>
                <w:rFonts w:hAnsi="等线" w:hint="eastAsia"/>
                <w:color w:val="000000"/>
              </w:rPr>
            </w:pPr>
            <w:r>
              <w:rPr>
                <w:rFonts w:hAnsi="等线"/>
                <w:color w:val="000000"/>
              </w:rPr>
              <w:t>0.59%</w:t>
            </w:r>
          </w:p>
        </w:tc>
        <w:tc>
          <w:tcPr>
            <w:tcW w:w="690" w:type="pct"/>
            <w:tcBorders>
              <w:top w:val="single" w:sz="8" w:space="0" w:color="000000"/>
              <w:left w:val="single" w:sz="8" w:space="0" w:color="000000"/>
              <w:bottom w:val="single" w:sz="6" w:space="0" w:color="000000"/>
              <w:right w:val="single" w:sz="8" w:space="0" w:color="000000"/>
            </w:tcBorders>
            <w:vAlign w:val="center"/>
          </w:tcPr>
          <w:p w14:paraId="153A8607" w14:textId="77777777" w:rsidR="005E308D" w:rsidRDefault="00945B44">
            <w:pPr>
              <w:pStyle w:val="biaogecenter"/>
              <w:wordWrap w:val="0"/>
              <w:rPr>
                <w:rFonts w:hAnsi="等线" w:hint="eastAsia"/>
                <w:color w:val="000000"/>
              </w:rPr>
            </w:pPr>
            <w:r>
              <w:rPr>
                <w:rFonts w:hAnsi="等线"/>
                <w:color w:val="000000"/>
              </w:rPr>
              <w:t>-2.18%</w:t>
            </w:r>
          </w:p>
        </w:tc>
        <w:tc>
          <w:tcPr>
            <w:tcW w:w="688" w:type="pct"/>
            <w:tcBorders>
              <w:top w:val="single" w:sz="8" w:space="0" w:color="000000"/>
              <w:left w:val="single" w:sz="8" w:space="0" w:color="000000"/>
              <w:bottom w:val="single" w:sz="6" w:space="0" w:color="000000"/>
              <w:right w:val="single" w:sz="8" w:space="0" w:color="000000"/>
            </w:tcBorders>
            <w:vAlign w:val="center"/>
          </w:tcPr>
          <w:p w14:paraId="0134857A" w14:textId="77777777" w:rsidR="005E308D" w:rsidRDefault="00945B44">
            <w:pPr>
              <w:pStyle w:val="biaogecenter"/>
              <w:wordWrap w:val="0"/>
              <w:rPr>
                <w:rFonts w:hAnsi="等线" w:hint="eastAsia"/>
                <w:color w:val="000000"/>
              </w:rPr>
            </w:pPr>
            <w:r>
              <w:rPr>
                <w:rFonts w:hAnsi="等线"/>
                <w:color w:val="000000"/>
              </w:rPr>
              <w:t>0.14%</w:t>
            </w:r>
          </w:p>
        </w:tc>
      </w:tr>
      <w:tr w:rsidR="005E308D" w14:paraId="4CC84479" w14:textId="77777777">
        <w:trPr>
          <w:jc w:val="center"/>
        </w:trPr>
        <w:tc>
          <w:tcPr>
            <w:tcW w:w="881" w:type="pct"/>
            <w:tcBorders>
              <w:top w:val="single" w:sz="8" w:space="0" w:color="000000"/>
              <w:left w:val="single" w:sz="8" w:space="0" w:color="000000"/>
              <w:bottom w:val="single" w:sz="6" w:space="0" w:color="000000"/>
              <w:right w:val="single" w:sz="8" w:space="0" w:color="000000"/>
            </w:tcBorders>
            <w:vAlign w:val="center"/>
          </w:tcPr>
          <w:p w14:paraId="000B1795" w14:textId="3F03EE68"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自基金合同生效日至</w:t>
            </w:r>
            <w:r>
              <w:rPr>
                <w:rFonts w:asciiTheme="minorEastAsia" w:eastAsiaTheme="minorEastAsia" w:hAnsiTheme="minorEastAsia" w:cs="Times New Roman"/>
                <w:bCs/>
                <w:kern w:val="2"/>
              </w:rPr>
              <w:t>20</w:t>
            </w:r>
            <w:r>
              <w:rPr>
                <w:rFonts w:asciiTheme="minorEastAsia" w:eastAsiaTheme="minorEastAsia" w:hAnsiTheme="minorEastAsia" w:cs="Times New Roman" w:hint="eastAsia"/>
                <w:bCs/>
                <w:kern w:val="2"/>
              </w:rPr>
              <w:t>24</w:t>
            </w:r>
            <w:r>
              <w:rPr>
                <w:rFonts w:asciiTheme="minorEastAsia" w:eastAsiaTheme="minorEastAsia" w:hAnsiTheme="minorEastAsia" w:cs="Times New Roman"/>
                <w:bCs/>
                <w:kern w:val="2"/>
              </w:rPr>
              <w:t>.09.30</w:t>
            </w:r>
          </w:p>
        </w:tc>
        <w:tc>
          <w:tcPr>
            <w:tcW w:w="671" w:type="pct"/>
            <w:tcBorders>
              <w:top w:val="single" w:sz="8" w:space="0" w:color="000000"/>
              <w:left w:val="single" w:sz="8" w:space="0" w:color="000000"/>
              <w:bottom w:val="single" w:sz="6" w:space="0" w:color="000000"/>
              <w:right w:val="single" w:sz="8" w:space="0" w:color="000000"/>
            </w:tcBorders>
            <w:vAlign w:val="center"/>
          </w:tcPr>
          <w:p w14:paraId="449464A1" w14:textId="14DDDB22"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-29.88%</w:t>
            </w:r>
          </w:p>
        </w:tc>
        <w:tc>
          <w:tcPr>
            <w:tcW w:w="690" w:type="pct"/>
            <w:tcBorders>
              <w:top w:val="single" w:sz="8" w:space="0" w:color="000000"/>
              <w:left w:val="single" w:sz="8" w:space="0" w:color="000000"/>
              <w:bottom w:val="single" w:sz="6" w:space="0" w:color="000000"/>
              <w:right w:val="single" w:sz="8" w:space="0" w:color="000000"/>
            </w:tcBorders>
            <w:vAlign w:val="center"/>
          </w:tcPr>
          <w:p w14:paraId="0BE5427E" w14:textId="1E2C688B"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1.27%</w:t>
            </w:r>
          </w:p>
        </w:tc>
        <w:tc>
          <w:tcPr>
            <w:tcW w:w="690" w:type="pct"/>
            <w:tcBorders>
              <w:top w:val="single" w:sz="8" w:space="0" w:color="000000"/>
              <w:left w:val="single" w:sz="8" w:space="0" w:color="000000"/>
              <w:bottom w:val="single" w:sz="6" w:space="0" w:color="000000"/>
              <w:right w:val="single" w:sz="8" w:space="0" w:color="000000"/>
            </w:tcBorders>
            <w:vAlign w:val="center"/>
          </w:tcPr>
          <w:p w14:paraId="7534A041" w14:textId="28B35106"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-11.02%</w:t>
            </w:r>
          </w:p>
        </w:tc>
        <w:tc>
          <w:tcPr>
            <w:tcW w:w="690" w:type="pct"/>
            <w:tcBorders>
              <w:top w:val="single" w:sz="8" w:space="0" w:color="000000"/>
              <w:left w:val="single" w:sz="8" w:space="0" w:color="000000"/>
              <w:bottom w:val="single" w:sz="6" w:space="0" w:color="000000"/>
              <w:right w:val="single" w:sz="8" w:space="0" w:color="000000"/>
            </w:tcBorders>
            <w:vAlign w:val="center"/>
          </w:tcPr>
          <w:p w14:paraId="7EF4DE90" w14:textId="02381353"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0.77%</w:t>
            </w:r>
          </w:p>
        </w:tc>
        <w:tc>
          <w:tcPr>
            <w:tcW w:w="690" w:type="pct"/>
            <w:tcBorders>
              <w:top w:val="single" w:sz="8" w:space="0" w:color="000000"/>
              <w:left w:val="single" w:sz="8" w:space="0" w:color="000000"/>
              <w:bottom w:val="single" w:sz="6" w:space="0" w:color="000000"/>
              <w:right w:val="single" w:sz="8" w:space="0" w:color="000000"/>
            </w:tcBorders>
            <w:vAlign w:val="center"/>
          </w:tcPr>
          <w:p w14:paraId="130B2B62" w14:textId="3C49F6D9"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-18.86%</w:t>
            </w:r>
          </w:p>
        </w:tc>
        <w:tc>
          <w:tcPr>
            <w:tcW w:w="688" w:type="pct"/>
            <w:tcBorders>
              <w:top w:val="single" w:sz="8" w:space="0" w:color="000000"/>
              <w:left w:val="single" w:sz="8" w:space="0" w:color="000000"/>
              <w:bottom w:val="single" w:sz="6" w:space="0" w:color="000000"/>
              <w:right w:val="single" w:sz="8" w:space="0" w:color="000000"/>
            </w:tcBorders>
            <w:vAlign w:val="center"/>
          </w:tcPr>
          <w:p w14:paraId="2E8C05D3" w14:textId="7C8FB64D"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0.50%</w:t>
            </w:r>
          </w:p>
        </w:tc>
      </w:tr>
    </w:tbl>
    <w:p w14:paraId="39F7A11C" w14:textId="77777777" w:rsidR="005E308D" w:rsidRDefault="00945B44">
      <w:pPr>
        <w:pStyle w:val="biaogeleft"/>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2</w:t>
      </w: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富荣福耀混合C（基金代码：012877）</w:t>
      </w:r>
    </w:p>
    <w:tbl>
      <w:tblPr>
        <w:tblW w:w="9261" w:type="dxa"/>
        <w:jc w:val="center"/>
        <w:tblLook w:val="04A0" w:firstRow="1" w:lastRow="0" w:firstColumn="1" w:lastColumn="0" w:noHBand="0" w:noVBand="1"/>
      </w:tblPr>
      <w:tblGrid>
        <w:gridCol w:w="1601"/>
        <w:gridCol w:w="1277"/>
        <w:gridCol w:w="1277"/>
        <w:gridCol w:w="1277"/>
        <w:gridCol w:w="1277"/>
        <w:gridCol w:w="1276"/>
        <w:gridCol w:w="1276"/>
      </w:tblGrid>
      <w:tr w:rsidR="005E308D" w14:paraId="58F79D9F" w14:textId="77777777">
        <w:trPr>
          <w:jc w:val="center"/>
        </w:trPr>
        <w:tc>
          <w:tcPr>
            <w:tcW w:w="864" w:type="pct"/>
            <w:tcBorders>
              <w:top w:val="single" w:sz="8" w:space="0" w:color="000000"/>
              <w:left w:val="single" w:sz="8" w:space="0" w:color="000000"/>
              <w:bottom w:val="single" w:sz="6" w:space="0" w:color="000000"/>
              <w:right w:val="single" w:sz="8" w:space="0" w:color="000000"/>
            </w:tcBorders>
            <w:vAlign w:val="center"/>
          </w:tcPr>
          <w:p w14:paraId="6BEC9020"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阶段</w:t>
            </w:r>
          </w:p>
        </w:tc>
        <w:tc>
          <w:tcPr>
            <w:tcW w:w="689" w:type="pct"/>
            <w:tcBorders>
              <w:top w:val="single" w:sz="8" w:space="0" w:color="000000"/>
              <w:left w:val="single" w:sz="8" w:space="0" w:color="000000"/>
              <w:bottom w:val="single" w:sz="6" w:space="0" w:color="000000"/>
              <w:right w:val="single" w:sz="8" w:space="0" w:color="000000"/>
            </w:tcBorders>
            <w:vAlign w:val="center"/>
          </w:tcPr>
          <w:p w14:paraId="6D621D7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净值增长率①</w:t>
            </w:r>
          </w:p>
        </w:tc>
        <w:tc>
          <w:tcPr>
            <w:tcW w:w="689" w:type="pct"/>
            <w:tcBorders>
              <w:top w:val="single" w:sz="8" w:space="0" w:color="000000"/>
              <w:left w:val="single" w:sz="8" w:space="0" w:color="000000"/>
              <w:bottom w:val="single" w:sz="6" w:space="0" w:color="000000"/>
              <w:right w:val="single" w:sz="8" w:space="0" w:color="000000"/>
            </w:tcBorders>
            <w:vAlign w:val="center"/>
          </w:tcPr>
          <w:p w14:paraId="6811A2EA"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净值增长率标准差②</w:t>
            </w:r>
          </w:p>
        </w:tc>
        <w:tc>
          <w:tcPr>
            <w:tcW w:w="689" w:type="pct"/>
            <w:tcBorders>
              <w:top w:val="single" w:sz="8" w:space="0" w:color="000000"/>
              <w:left w:val="single" w:sz="8" w:space="0" w:color="000000"/>
              <w:bottom w:val="single" w:sz="6" w:space="0" w:color="000000"/>
              <w:right w:val="single" w:sz="8" w:space="0" w:color="000000"/>
            </w:tcBorders>
            <w:vAlign w:val="center"/>
          </w:tcPr>
          <w:p w14:paraId="07A3E3DF"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业绩比较基准收益率③</w:t>
            </w:r>
          </w:p>
        </w:tc>
        <w:tc>
          <w:tcPr>
            <w:tcW w:w="689" w:type="pct"/>
            <w:tcBorders>
              <w:top w:val="single" w:sz="8" w:space="0" w:color="000000"/>
              <w:left w:val="single" w:sz="8" w:space="0" w:color="000000"/>
              <w:bottom w:val="single" w:sz="6" w:space="0" w:color="000000"/>
              <w:right w:val="single" w:sz="8" w:space="0" w:color="000000"/>
            </w:tcBorders>
            <w:vAlign w:val="center"/>
          </w:tcPr>
          <w:p w14:paraId="356994F7"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业绩比较基准收益率标准差④</w:t>
            </w:r>
          </w:p>
        </w:tc>
        <w:tc>
          <w:tcPr>
            <w:tcW w:w="689" w:type="pct"/>
            <w:tcBorders>
              <w:top w:val="single" w:sz="8" w:space="0" w:color="000000"/>
              <w:left w:val="single" w:sz="8" w:space="0" w:color="000000"/>
              <w:bottom w:val="single" w:sz="6" w:space="0" w:color="000000"/>
              <w:right w:val="single" w:sz="8" w:space="0" w:color="000000"/>
            </w:tcBorders>
            <w:vAlign w:val="center"/>
          </w:tcPr>
          <w:p w14:paraId="2E848EFD"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①</w:t>
            </w:r>
            <w:r>
              <w:rPr>
                <w:rFonts w:asciiTheme="minorEastAsia" w:eastAsiaTheme="minorEastAsia" w:hAnsiTheme="minorEastAsia" w:cs="Times New Roman"/>
                <w:bCs/>
                <w:kern w:val="2"/>
              </w:rPr>
              <w:t>-③</w:t>
            </w:r>
          </w:p>
        </w:tc>
        <w:tc>
          <w:tcPr>
            <w:tcW w:w="689" w:type="pct"/>
            <w:tcBorders>
              <w:top w:val="single" w:sz="8" w:space="0" w:color="000000"/>
              <w:left w:val="single" w:sz="8" w:space="0" w:color="000000"/>
              <w:bottom w:val="single" w:sz="6" w:space="0" w:color="000000"/>
              <w:right w:val="single" w:sz="8" w:space="0" w:color="000000"/>
            </w:tcBorders>
            <w:vAlign w:val="center"/>
          </w:tcPr>
          <w:p w14:paraId="2E6E4FC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②</w:t>
            </w:r>
            <w:r>
              <w:rPr>
                <w:rFonts w:asciiTheme="minorEastAsia" w:eastAsiaTheme="minorEastAsia" w:hAnsiTheme="minorEastAsia" w:cs="Times New Roman"/>
                <w:bCs/>
                <w:kern w:val="2"/>
              </w:rPr>
              <w:t>-④</w:t>
            </w:r>
          </w:p>
        </w:tc>
      </w:tr>
      <w:tr w:rsidR="005E308D" w14:paraId="2958EC33" w14:textId="77777777">
        <w:trPr>
          <w:jc w:val="center"/>
        </w:trPr>
        <w:tc>
          <w:tcPr>
            <w:tcW w:w="864" w:type="pct"/>
            <w:tcBorders>
              <w:top w:val="single" w:sz="8" w:space="0" w:color="000000"/>
              <w:left w:val="single" w:sz="8" w:space="0" w:color="000000"/>
              <w:bottom w:val="single" w:sz="6" w:space="0" w:color="000000"/>
              <w:right w:val="single" w:sz="8" w:space="0" w:color="000000"/>
            </w:tcBorders>
            <w:vAlign w:val="center"/>
          </w:tcPr>
          <w:p w14:paraId="2E66C12B"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2021.12.27-2021.12.31</w:t>
            </w:r>
          </w:p>
        </w:tc>
        <w:tc>
          <w:tcPr>
            <w:tcW w:w="689" w:type="pct"/>
            <w:tcBorders>
              <w:top w:val="single" w:sz="8" w:space="0" w:color="000000"/>
              <w:left w:val="single" w:sz="8" w:space="0" w:color="000000"/>
              <w:bottom w:val="single" w:sz="6" w:space="0" w:color="000000"/>
              <w:right w:val="single" w:sz="8" w:space="0" w:color="000000"/>
            </w:tcBorders>
            <w:vAlign w:val="center"/>
          </w:tcPr>
          <w:p w14:paraId="370D516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0.02%</w:t>
            </w:r>
          </w:p>
        </w:tc>
        <w:tc>
          <w:tcPr>
            <w:tcW w:w="689" w:type="pct"/>
            <w:tcBorders>
              <w:top w:val="single" w:sz="8" w:space="0" w:color="000000"/>
              <w:left w:val="single" w:sz="8" w:space="0" w:color="000000"/>
              <w:bottom w:val="single" w:sz="6" w:space="0" w:color="000000"/>
              <w:right w:val="single" w:sz="8" w:space="0" w:color="000000"/>
            </w:tcBorders>
            <w:vAlign w:val="center"/>
          </w:tcPr>
          <w:p w14:paraId="14F7F06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0.01%</w:t>
            </w:r>
          </w:p>
        </w:tc>
        <w:tc>
          <w:tcPr>
            <w:tcW w:w="689" w:type="pct"/>
            <w:tcBorders>
              <w:top w:val="single" w:sz="8" w:space="0" w:color="000000"/>
              <w:left w:val="single" w:sz="8" w:space="0" w:color="000000"/>
              <w:bottom w:val="single" w:sz="6" w:space="0" w:color="000000"/>
              <w:right w:val="single" w:sz="8" w:space="0" w:color="000000"/>
            </w:tcBorders>
            <w:vAlign w:val="center"/>
          </w:tcPr>
          <w:p w14:paraId="06CD4934"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0.34%</w:t>
            </w:r>
          </w:p>
        </w:tc>
        <w:tc>
          <w:tcPr>
            <w:tcW w:w="689" w:type="pct"/>
            <w:tcBorders>
              <w:top w:val="single" w:sz="8" w:space="0" w:color="000000"/>
              <w:left w:val="single" w:sz="8" w:space="0" w:color="000000"/>
              <w:bottom w:val="single" w:sz="6" w:space="0" w:color="000000"/>
              <w:right w:val="single" w:sz="8" w:space="0" w:color="000000"/>
            </w:tcBorders>
            <w:vAlign w:val="center"/>
          </w:tcPr>
          <w:p w14:paraId="0C7DF775"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0.65%</w:t>
            </w:r>
          </w:p>
        </w:tc>
        <w:tc>
          <w:tcPr>
            <w:tcW w:w="689" w:type="pct"/>
            <w:tcBorders>
              <w:top w:val="single" w:sz="8" w:space="0" w:color="000000"/>
              <w:left w:val="single" w:sz="8" w:space="0" w:color="000000"/>
              <w:bottom w:val="single" w:sz="6" w:space="0" w:color="000000"/>
              <w:right w:val="single" w:sz="8" w:space="0" w:color="000000"/>
            </w:tcBorders>
            <w:vAlign w:val="center"/>
          </w:tcPr>
          <w:p w14:paraId="578AF362" w14:textId="77777777" w:rsidR="005E308D" w:rsidRDefault="00945B44">
            <w:pPr>
              <w:pStyle w:val="biaogecenter"/>
              <w:wordWrap w:val="0"/>
              <w:rPr>
                <w:rFonts w:asciiTheme="minorEastAsia" w:eastAsiaTheme="minorEastAsia" w:hAnsiTheme="minorEastAsia" w:cs="Times New Roman" w:hint="eastAsia"/>
                <w:bCs/>
                <w:kern w:val="2"/>
              </w:rPr>
            </w:pPr>
            <w:r>
              <w:rPr>
                <w:rFonts w:hint="eastAsia"/>
                <w:color w:val="000000"/>
                <w:sz w:val="22"/>
                <w:szCs w:val="22"/>
              </w:rPr>
              <w:t>-0.32%</w:t>
            </w:r>
          </w:p>
        </w:tc>
        <w:tc>
          <w:tcPr>
            <w:tcW w:w="689" w:type="pct"/>
            <w:tcBorders>
              <w:top w:val="single" w:sz="8" w:space="0" w:color="000000"/>
              <w:left w:val="single" w:sz="8" w:space="0" w:color="000000"/>
              <w:bottom w:val="single" w:sz="6" w:space="0" w:color="000000"/>
              <w:right w:val="single" w:sz="8" w:space="0" w:color="000000"/>
            </w:tcBorders>
            <w:vAlign w:val="center"/>
          </w:tcPr>
          <w:p w14:paraId="08A7D311" w14:textId="77777777" w:rsidR="005E308D" w:rsidRDefault="00945B44">
            <w:pPr>
              <w:pStyle w:val="biaogecenter"/>
              <w:wordWrap w:val="0"/>
              <w:rPr>
                <w:rFonts w:asciiTheme="minorEastAsia" w:eastAsiaTheme="minorEastAsia" w:hAnsiTheme="minorEastAsia" w:cs="Times New Roman" w:hint="eastAsia"/>
                <w:bCs/>
                <w:kern w:val="2"/>
              </w:rPr>
            </w:pPr>
            <w:r>
              <w:rPr>
                <w:rFonts w:hint="eastAsia"/>
                <w:color w:val="000000"/>
                <w:sz w:val="22"/>
                <w:szCs w:val="22"/>
              </w:rPr>
              <w:t>-0.64%</w:t>
            </w:r>
          </w:p>
        </w:tc>
      </w:tr>
      <w:tr w:rsidR="005E308D" w14:paraId="68C678C4" w14:textId="77777777">
        <w:trPr>
          <w:jc w:val="center"/>
        </w:trPr>
        <w:tc>
          <w:tcPr>
            <w:tcW w:w="864" w:type="pct"/>
            <w:tcBorders>
              <w:top w:val="single" w:sz="8" w:space="0" w:color="000000"/>
              <w:left w:val="single" w:sz="8" w:space="0" w:color="000000"/>
              <w:bottom w:val="single" w:sz="6" w:space="0" w:color="000000"/>
              <w:right w:val="single" w:sz="8" w:space="0" w:color="000000"/>
            </w:tcBorders>
            <w:vAlign w:val="center"/>
          </w:tcPr>
          <w:p w14:paraId="536A1CC5"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202</w:t>
            </w:r>
            <w:r>
              <w:rPr>
                <w:rFonts w:asciiTheme="minorEastAsia" w:eastAsiaTheme="minorEastAsia" w:hAnsiTheme="minorEastAsia" w:cs="Times New Roman" w:hint="eastAsia"/>
                <w:bCs/>
                <w:kern w:val="2"/>
              </w:rPr>
              <w:t>2</w:t>
            </w: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01</w:t>
            </w: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01</w:t>
            </w:r>
            <w:r>
              <w:rPr>
                <w:rFonts w:asciiTheme="minorEastAsia" w:eastAsiaTheme="minorEastAsia" w:hAnsiTheme="minorEastAsia" w:cs="Times New Roman"/>
                <w:bCs/>
                <w:kern w:val="2"/>
              </w:rPr>
              <w:t>-202</w:t>
            </w:r>
            <w:r>
              <w:rPr>
                <w:rFonts w:asciiTheme="minorEastAsia" w:eastAsiaTheme="minorEastAsia" w:hAnsiTheme="minorEastAsia" w:cs="Times New Roman" w:hint="eastAsia"/>
                <w:bCs/>
                <w:kern w:val="2"/>
              </w:rPr>
              <w:t>2</w:t>
            </w:r>
            <w:r>
              <w:rPr>
                <w:rFonts w:asciiTheme="minorEastAsia" w:eastAsiaTheme="minorEastAsia" w:hAnsiTheme="minorEastAsia" w:cs="Times New Roman"/>
                <w:bCs/>
                <w:kern w:val="2"/>
              </w:rPr>
              <w:t>.12.31</w:t>
            </w:r>
          </w:p>
        </w:tc>
        <w:tc>
          <w:tcPr>
            <w:tcW w:w="689" w:type="pct"/>
            <w:tcBorders>
              <w:top w:val="single" w:sz="8" w:space="0" w:color="000000"/>
              <w:left w:val="single" w:sz="8" w:space="0" w:color="000000"/>
              <w:bottom w:val="single" w:sz="6" w:space="0" w:color="000000"/>
              <w:right w:val="single" w:sz="8" w:space="0" w:color="000000"/>
            </w:tcBorders>
            <w:vAlign w:val="center"/>
          </w:tcPr>
          <w:p w14:paraId="28DE8CE8"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-13.23%</w:t>
            </w:r>
          </w:p>
        </w:tc>
        <w:tc>
          <w:tcPr>
            <w:tcW w:w="689" w:type="pct"/>
            <w:tcBorders>
              <w:top w:val="single" w:sz="8" w:space="0" w:color="000000"/>
              <w:left w:val="single" w:sz="8" w:space="0" w:color="000000"/>
              <w:bottom w:val="single" w:sz="6" w:space="0" w:color="000000"/>
              <w:right w:val="single" w:sz="8" w:space="0" w:color="000000"/>
            </w:tcBorders>
            <w:vAlign w:val="center"/>
          </w:tcPr>
          <w:p w14:paraId="7CD063DD"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0.78%</w:t>
            </w:r>
          </w:p>
        </w:tc>
        <w:tc>
          <w:tcPr>
            <w:tcW w:w="689" w:type="pct"/>
            <w:tcBorders>
              <w:top w:val="single" w:sz="8" w:space="0" w:color="000000"/>
              <w:left w:val="single" w:sz="8" w:space="0" w:color="000000"/>
              <w:bottom w:val="single" w:sz="6" w:space="0" w:color="000000"/>
              <w:right w:val="single" w:sz="8" w:space="0" w:color="000000"/>
            </w:tcBorders>
            <w:vAlign w:val="center"/>
          </w:tcPr>
          <w:p w14:paraId="61940F57"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-15.20%</w:t>
            </w:r>
          </w:p>
        </w:tc>
        <w:tc>
          <w:tcPr>
            <w:tcW w:w="689" w:type="pct"/>
            <w:tcBorders>
              <w:top w:val="single" w:sz="8" w:space="0" w:color="000000"/>
              <w:left w:val="single" w:sz="8" w:space="0" w:color="000000"/>
              <w:bottom w:val="single" w:sz="6" w:space="0" w:color="000000"/>
              <w:right w:val="single" w:sz="8" w:space="0" w:color="000000"/>
            </w:tcBorders>
            <w:vAlign w:val="center"/>
          </w:tcPr>
          <w:p w14:paraId="081D78C4"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0.90%</w:t>
            </w:r>
          </w:p>
        </w:tc>
        <w:tc>
          <w:tcPr>
            <w:tcW w:w="689" w:type="pct"/>
            <w:tcBorders>
              <w:top w:val="single" w:sz="8" w:space="0" w:color="000000"/>
              <w:left w:val="single" w:sz="8" w:space="0" w:color="000000"/>
              <w:bottom w:val="single" w:sz="6" w:space="0" w:color="000000"/>
              <w:right w:val="single" w:sz="8" w:space="0" w:color="000000"/>
            </w:tcBorders>
            <w:vAlign w:val="center"/>
          </w:tcPr>
          <w:p w14:paraId="6DAEA9DA" w14:textId="77777777" w:rsidR="005E308D" w:rsidRDefault="00945B44">
            <w:pPr>
              <w:pStyle w:val="biaogecenter"/>
              <w:wordWrap w:val="0"/>
              <w:rPr>
                <w:rFonts w:hint="eastAsia"/>
                <w:color w:val="000000"/>
                <w:sz w:val="22"/>
                <w:szCs w:val="22"/>
              </w:rPr>
            </w:pPr>
            <w:r>
              <w:rPr>
                <w:rFonts w:hAnsi="等线"/>
                <w:color w:val="000000"/>
              </w:rPr>
              <w:t>1.97%</w:t>
            </w:r>
          </w:p>
        </w:tc>
        <w:tc>
          <w:tcPr>
            <w:tcW w:w="689" w:type="pct"/>
            <w:tcBorders>
              <w:top w:val="single" w:sz="8" w:space="0" w:color="000000"/>
              <w:left w:val="single" w:sz="8" w:space="0" w:color="000000"/>
              <w:bottom w:val="single" w:sz="6" w:space="0" w:color="000000"/>
              <w:right w:val="single" w:sz="8" w:space="0" w:color="000000"/>
            </w:tcBorders>
            <w:vAlign w:val="center"/>
          </w:tcPr>
          <w:p w14:paraId="60B7084E" w14:textId="77777777" w:rsidR="005E308D" w:rsidRDefault="00945B44">
            <w:pPr>
              <w:pStyle w:val="biaogecenter"/>
              <w:wordWrap w:val="0"/>
              <w:rPr>
                <w:rFonts w:hint="eastAsia"/>
                <w:color w:val="000000"/>
                <w:sz w:val="22"/>
                <w:szCs w:val="22"/>
              </w:rPr>
            </w:pPr>
            <w:r>
              <w:rPr>
                <w:rFonts w:hAnsi="等线"/>
                <w:color w:val="000000"/>
              </w:rPr>
              <w:t>-0.12%</w:t>
            </w:r>
          </w:p>
        </w:tc>
      </w:tr>
      <w:tr w:rsidR="005E308D" w14:paraId="47C288EF" w14:textId="77777777">
        <w:trPr>
          <w:jc w:val="center"/>
        </w:trPr>
        <w:tc>
          <w:tcPr>
            <w:tcW w:w="864" w:type="pct"/>
            <w:tcBorders>
              <w:top w:val="single" w:sz="8" w:space="0" w:color="000000"/>
              <w:left w:val="single" w:sz="8" w:space="0" w:color="000000"/>
              <w:bottom w:val="single" w:sz="6" w:space="0" w:color="000000"/>
              <w:right w:val="single" w:sz="8" w:space="0" w:color="000000"/>
            </w:tcBorders>
            <w:vAlign w:val="center"/>
          </w:tcPr>
          <w:p w14:paraId="2113EEA4"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2023.01.01-2023.12.31</w:t>
            </w:r>
          </w:p>
        </w:tc>
        <w:tc>
          <w:tcPr>
            <w:tcW w:w="689" w:type="pct"/>
            <w:tcBorders>
              <w:top w:val="single" w:sz="8" w:space="0" w:color="000000"/>
              <w:left w:val="single" w:sz="8" w:space="0" w:color="000000"/>
              <w:bottom w:val="single" w:sz="6" w:space="0" w:color="000000"/>
              <w:right w:val="single" w:sz="8" w:space="0" w:color="000000"/>
            </w:tcBorders>
            <w:vAlign w:val="center"/>
          </w:tcPr>
          <w:p w14:paraId="14B6D196" w14:textId="77777777" w:rsidR="005E308D" w:rsidRDefault="00945B44">
            <w:pPr>
              <w:pStyle w:val="biaogecenter"/>
              <w:wordWrap w:val="0"/>
              <w:rPr>
                <w:rFonts w:hAnsi="等线" w:hint="eastAsia"/>
                <w:color w:val="000000"/>
              </w:rPr>
            </w:pPr>
            <w:r>
              <w:rPr>
                <w:rFonts w:hAnsi="等线"/>
                <w:color w:val="000000"/>
              </w:rPr>
              <w:t>-9.93%</w:t>
            </w:r>
          </w:p>
        </w:tc>
        <w:tc>
          <w:tcPr>
            <w:tcW w:w="689" w:type="pct"/>
            <w:tcBorders>
              <w:top w:val="single" w:sz="8" w:space="0" w:color="000000"/>
              <w:left w:val="single" w:sz="8" w:space="0" w:color="000000"/>
              <w:bottom w:val="single" w:sz="6" w:space="0" w:color="000000"/>
              <w:right w:val="single" w:sz="8" w:space="0" w:color="000000"/>
            </w:tcBorders>
            <w:vAlign w:val="center"/>
          </w:tcPr>
          <w:p w14:paraId="44933053" w14:textId="77777777" w:rsidR="005E308D" w:rsidRDefault="00945B44">
            <w:pPr>
              <w:pStyle w:val="biaogecenter"/>
              <w:wordWrap w:val="0"/>
              <w:rPr>
                <w:rFonts w:hAnsi="等线" w:hint="eastAsia"/>
                <w:color w:val="000000"/>
              </w:rPr>
            </w:pPr>
            <w:r>
              <w:rPr>
                <w:rFonts w:hAnsi="等线"/>
                <w:color w:val="000000"/>
              </w:rPr>
              <w:t>0.73%</w:t>
            </w:r>
          </w:p>
        </w:tc>
        <w:tc>
          <w:tcPr>
            <w:tcW w:w="689" w:type="pct"/>
            <w:tcBorders>
              <w:top w:val="single" w:sz="8" w:space="0" w:color="000000"/>
              <w:left w:val="single" w:sz="8" w:space="0" w:color="000000"/>
              <w:bottom w:val="single" w:sz="6" w:space="0" w:color="000000"/>
              <w:right w:val="single" w:sz="8" w:space="0" w:color="000000"/>
            </w:tcBorders>
            <w:vAlign w:val="center"/>
          </w:tcPr>
          <w:p w14:paraId="5DB1A8E8" w14:textId="77777777" w:rsidR="005E308D" w:rsidRDefault="00945B44">
            <w:pPr>
              <w:pStyle w:val="biaogecenter"/>
              <w:wordWrap w:val="0"/>
              <w:rPr>
                <w:rFonts w:hAnsi="等线" w:hint="eastAsia"/>
                <w:color w:val="000000"/>
              </w:rPr>
            </w:pPr>
            <w:r>
              <w:rPr>
                <w:rFonts w:hAnsi="等线"/>
                <w:color w:val="000000"/>
              </w:rPr>
              <w:t>-7.37%</w:t>
            </w:r>
          </w:p>
        </w:tc>
        <w:tc>
          <w:tcPr>
            <w:tcW w:w="689" w:type="pct"/>
            <w:tcBorders>
              <w:top w:val="single" w:sz="8" w:space="0" w:color="000000"/>
              <w:left w:val="single" w:sz="8" w:space="0" w:color="000000"/>
              <w:bottom w:val="single" w:sz="6" w:space="0" w:color="000000"/>
              <w:right w:val="single" w:sz="8" w:space="0" w:color="000000"/>
            </w:tcBorders>
            <w:vAlign w:val="center"/>
          </w:tcPr>
          <w:p w14:paraId="03A9B470" w14:textId="77777777" w:rsidR="005E308D" w:rsidRDefault="00945B44">
            <w:pPr>
              <w:pStyle w:val="biaogecenter"/>
              <w:wordWrap w:val="0"/>
              <w:rPr>
                <w:rFonts w:hAnsi="等线" w:hint="eastAsia"/>
                <w:color w:val="000000"/>
              </w:rPr>
            </w:pPr>
            <w:r>
              <w:rPr>
                <w:rFonts w:hAnsi="等线"/>
                <w:color w:val="000000"/>
              </w:rPr>
              <w:t>0.59%</w:t>
            </w:r>
          </w:p>
        </w:tc>
        <w:tc>
          <w:tcPr>
            <w:tcW w:w="689" w:type="pct"/>
            <w:tcBorders>
              <w:top w:val="single" w:sz="8" w:space="0" w:color="000000"/>
              <w:left w:val="single" w:sz="8" w:space="0" w:color="000000"/>
              <w:bottom w:val="single" w:sz="6" w:space="0" w:color="000000"/>
              <w:right w:val="single" w:sz="8" w:space="0" w:color="000000"/>
            </w:tcBorders>
            <w:vAlign w:val="center"/>
          </w:tcPr>
          <w:p w14:paraId="207BCC3C" w14:textId="77777777" w:rsidR="005E308D" w:rsidRDefault="00945B44">
            <w:pPr>
              <w:pStyle w:val="biaogecenter"/>
              <w:wordWrap w:val="0"/>
              <w:rPr>
                <w:rFonts w:hAnsi="等线" w:hint="eastAsia"/>
                <w:color w:val="000000"/>
              </w:rPr>
            </w:pPr>
            <w:r>
              <w:rPr>
                <w:rFonts w:hAnsi="等线"/>
                <w:color w:val="000000"/>
              </w:rPr>
              <w:t>-2.56%</w:t>
            </w:r>
          </w:p>
        </w:tc>
        <w:tc>
          <w:tcPr>
            <w:tcW w:w="689" w:type="pct"/>
            <w:tcBorders>
              <w:top w:val="single" w:sz="8" w:space="0" w:color="000000"/>
              <w:left w:val="single" w:sz="8" w:space="0" w:color="000000"/>
              <w:bottom w:val="single" w:sz="6" w:space="0" w:color="000000"/>
              <w:right w:val="single" w:sz="8" w:space="0" w:color="000000"/>
            </w:tcBorders>
            <w:vAlign w:val="center"/>
          </w:tcPr>
          <w:p w14:paraId="4856DF55" w14:textId="77777777" w:rsidR="005E308D" w:rsidRDefault="00945B44">
            <w:pPr>
              <w:pStyle w:val="biaogecenter"/>
              <w:wordWrap w:val="0"/>
              <w:rPr>
                <w:rFonts w:hAnsi="等线" w:hint="eastAsia"/>
                <w:color w:val="000000"/>
              </w:rPr>
            </w:pPr>
            <w:r>
              <w:rPr>
                <w:rFonts w:hAnsi="等线"/>
                <w:color w:val="000000"/>
              </w:rPr>
              <w:t>0.14%</w:t>
            </w:r>
          </w:p>
        </w:tc>
      </w:tr>
      <w:tr w:rsidR="005E308D" w14:paraId="28CF9E6E" w14:textId="77777777">
        <w:trPr>
          <w:jc w:val="center"/>
        </w:trPr>
        <w:tc>
          <w:tcPr>
            <w:tcW w:w="864" w:type="pct"/>
            <w:tcBorders>
              <w:top w:val="single" w:sz="8" w:space="0" w:color="000000"/>
              <w:left w:val="single" w:sz="8" w:space="0" w:color="000000"/>
              <w:bottom w:val="single" w:sz="6" w:space="0" w:color="000000"/>
              <w:right w:val="single" w:sz="8" w:space="0" w:color="000000"/>
            </w:tcBorders>
            <w:vAlign w:val="center"/>
          </w:tcPr>
          <w:p w14:paraId="0D0C167D" w14:textId="73333700"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自基金合同生效日至</w:t>
            </w:r>
            <w:r>
              <w:rPr>
                <w:rFonts w:asciiTheme="minorEastAsia" w:eastAsiaTheme="minorEastAsia" w:hAnsiTheme="minorEastAsia" w:cs="Times New Roman"/>
                <w:bCs/>
                <w:kern w:val="2"/>
              </w:rPr>
              <w:t>202</w:t>
            </w:r>
            <w:r>
              <w:rPr>
                <w:rFonts w:asciiTheme="minorEastAsia" w:eastAsiaTheme="minorEastAsia" w:hAnsiTheme="minorEastAsia" w:cs="Times New Roman" w:hint="eastAsia"/>
                <w:bCs/>
                <w:kern w:val="2"/>
              </w:rPr>
              <w:t>4</w:t>
            </w:r>
            <w:r>
              <w:rPr>
                <w:rFonts w:asciiTheme="minorEastAsia" w:eastAsiaTheme="minorEastAsia" w:hAnsiTheme="minorEastAsia" w:cs="Times New Roman"/>
                <w:bCs/>
                <w:kern w:val="2"/>
              </w:rPr>
              <w:t>.09.30</w:t>
            </w:r>
          </w:p>
        </w:tc>
        <w:tc>
          <w:tcPr>
            <w:tcW w:w="689" w:type="pct"/>
            <w:tcBorders>
              <w:top w:val="single" w:sz="8" w:space="0" w:color="000000"/>
              <w:left w:val="single" w:sz="8" w:space="0" w:color="000000"/>
              <w:bottom w:val="single" w:sz="6" w:space="0" w:color="000000"/>
              <w:right w:val="single" w:sz="8" w:space="0" w:color="000000"/>
            </w:tcBorders>
            <w:vAlign w:val="center"/>
          </w:tcPr>
          <w:p w14:paraId="23C76ED6" w14:textId="0ED1FF7A"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-30.66%</w:t>
            </w:r>
          </w:p>
        </w:tc>
        <w:tc>
          <w:tcPr>
            <w:tcW w:w="689" w:type="pct"/>
            <w:tcBorders>
              <w:top w:val="single" w:sz="8" w:space="0" w:color="000000"/>
              <w:left w:val="single" w:sz="8" w:space="0" w:color="000000"/>
              <w:bottom w:val="single" w:sz="6" w:space="0" w:color="000000"/>
              <w:right w:val="single" w:sz="8" w:space="0" w:color="000000"/>
            </w:tcBorders>
            <w:vAlign w:val="center"/>
          </w:tcPr>
          <w:p w14:paraId="34F3CEC6" w14:textId="2942A431"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1.27%</w:t>
            </w:r>
          </w:p>
        </w:tc>
        <w:tc>
          <w:tcPr>
            <w:tcW w:w="689" w:type="pct"/>
            <w:tcBorders>
              <w:top w:val="single" w:sz="8" w:space="0" w:color="000000"/>
              <w:left w:val="single" w:sz="8" w:space="0" w:color="000000"/>
              <w:bottom w:val="single" w:sz="6" w:space="0" w:color="000000"/>
              <w:right w:val="single" w:sz="8" w:space="0" w:color="000000"/>
            </w:tcBorders>
            <w:vAlign w:val="center"/>
          </w:tcPr>
          <w:p w14:paraId="08506344" w14:textId="7CA1C077"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-11.02%</w:t>
            </w:r>
          </w:p>
        </w:tc>
        <w:tc>
          <w:tcPr>
            <w:tcW w:w="689" w:type="pct"/>
            <w:tcBorders>
              <w:top w:val="single" w:sz="8" w:space="0" w:color="000000"/>
              <w:left w:val="single" w:sz="8" w:space="0" w:color="000000"/>
              <w:bottom w:val="single" w:sz="6" w:space="0" w:color="000000"/>
              <w:right w:val="single" w:sz="8" w:space="0" w:color="000000"/>
            </w:tcBorders>
            <w:vAlign w:val="center"/>
          </w:tcPr>
          <w:p w14:paraId="0EFCD94F" w14:textId="64619F2C"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0.77%</w:t>
            </w:r>
          </w:p>
        </w:tc>
        <w:tc>
          <w:tcPr>
            <w:tcW w:w="689" w:type="pct"/>
            <w:tcBorders>
              <w:top w:val="single" w:sz="8" w:space="0" w:color="000000"/>
              <w:left w:val="single" w:sz="8" w:space="0" w:color="000000"/>
              <w:bottom w:val="single" w:sz="6" w:space="0" w:color="000000"/>
              <w:right w:val="single" w:sz="8" w:space="0" w:color="000000"/>
            </w:tcBorders>
            <w:vAlign w:val="center"/>
          </w:tcPr>
          <w:p w14:paraId="1529689E" w14:textId="10244443"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-19.64%</w:t>
            </w:r>
          </w:p>
        </w:tc>
        <w:tc>
          <w:tcPr>
            <w:tcW w:w="689" w:type="pct"/>
            <w:tcBorders>
              <w:top w:val="single" w:sz="8" w:space="0" w:color="000000"/>
              <w:left w:val="single" w:sz="8" w:space="0" w:color="000000"/>
              <w:bottom w:val="single" w:sz="6" w:space="0" w:color="000000"/>
              <w:right w:val="single" w:sz="8" w:space="0" w:color="000000"/>
            </w:tcBorders>
            <w:vAlign w:val="center"/>
          </w:tcPr>
          <w:p w14:paraId="709F42B9" w14:textId="5A5B79AF"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0.50%</w:t>
            </w:r>
          </w:p>
        </w:tc>
      </w:tr>
    </w:tbl>
    <w:p w14:paraId="3FFDB91A" w14:textId="77777777" w:rsidR="005E308D" w:rsidRDefault="00945B44">
      <w:pPr>
        <w:widowControl/>
        <w:spacing w:after="24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注：本基金的业绩比较基准为：沪深</w:t>
      </w:r>
      <w:r>
        <w:rPr>
          <w:rFonts w:asciiTheme="minorEastAsia" w:hAnsiTheme="minorEastAsia" w:cs="Times New Roman"/>
          <w:bCs/>
          <w:sz w:val="24"/>
          <w:szCs w:val="24"/>
        </w:rPr>
        <w:t>300指数收益率×70%+中</w:t>
      </w:r>
      <w:r>
        <w:rPr>
          <w:rFonts w:asciiTheme="minorEastAsia" w:hAnsiTheme="minorEastAsia" w:cs="Times New Roman" w:hint="eastAsia"/>
          <w:bCs/>
          <w:sz w:val="24"/>
          <w:szCs w:val="24"/>
        </w:rPr>
        <w:t>债综合指数收益率×</w:t>
      </w:r>
      <w:r>
        <w:rPr>
          <w:rFonts w:asciiTheme="minorEastAsia" w:hAnsiTheme="minorEastAsia" w:cs="Times New Roman"/>
          <w:bCs/>
          <w:sz w:val="24"/>
          <w:szCs w:val="24"/>
        </w:rPr>
        <w:t>30% </w:t>
      </w:r>
    </w:p>
    <w:p w14:paraId="03B2FDCE"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lastRenderedPageBreak/>
        <w:t xml:space="preserve">2、 </w:t>
      </w:r>
      <w:r>
        <w:rPr>
          <w:rFonts w:asciiTheme="minorEastAsia" w:eastAsiaTheme="minorEastAsia" w:hAnsiTheme="minorEastAsia" w:cs="Times New Roman" w:hint="eastAsia"/>
          <w:bCs/>
          <w:kern w:val="2"/>
        </w:rPr>
        <w:t>自基金合同生效以来基金累计净值增长率变动及其与同期业绩比较基准收益率变动的比较</w:t>
      </w:r>
    </w:p>
    <w:p w14:paraId="04BF75C5" w14:textId="02580306" w:rsidR="005E308D" w:rsidRDefault="00945B44">
      <w:pPr>
        <w:pStyle w:val="biaogeleft"/>
        <w:rPr>
          <w:rFonts w:hint="eastAsia"/>
        </w:rPr>
      </w:pPr>
      <w:r>
        <w:rPr>
          <w:rFonts w:hAnsi="Calibri"/>
          <w:noProof/>
          <w:color w:val="000000"/>
        </w:rPr>
        <w:drawing>
          <wp:inline distT="0" distB="0" distL="0" distR="0" wp14:anchorId="32667E82" wp14:editId="21101599">
            <wp:extent cx="5429885" cy="3527425"/>
            <wp:effectExtent l="0" t="0" r="0" b="0"/>
            <wp:docPr id="1" name="图片 1" descr="说明: D:\GZ\Bin\Bin\MOD\TMP\CN_51130000_012876_FB030030_2024000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09977" name="图片 1" descr="说明: D:\GZ\Bin\Bin\MOD\TMP\CN_51130000_012876_FB030030_20240006_2.jpg"/>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a:xfrm>
                      <a:off x="0" y="0"/>
                      <a:ext cx="5429885" cy="3527425"/>
                    </a:xfrm>
                    <a:prstGeom prst="rect">
                      <a:avLst/>
                    </a:prstGeom>
                    <a:noFill/>
                    <a:ln>
                      <a:noFill/>
                    </a:ln>
                  </pic:spPr>
                </pic:pic>
              </a:graphicData>
            </a:graphic>
          </wp:inline>
        </w:drawing>
      </w:r>
    </w:p>
    <w:p w14:paraId="4015C74E" w14:textId="77777777" w:rsidR="005E308D" w:rsidRDefault="00945B44">
      <w:pPr>
        <w:pStyle w:val="biaogeleft"/>
        <w:rPr>
          <w:rFonts w:hint="eastAsia"/>
        </w:rPr>
      </w:pPr>
      <w:r>
        <w:rPr>
          <w:rFonts w:hAnsi="Calibri"/>
          <w:noProof/>
          <w:color w:val="000000"/>
        </w:rPr>
        <w:drawing>
          <wp:inline distT="0" distB="0" distL="0" distR="0" wp14:anchorId="3AE32C22" wp14:editId="3820E01B">
            <wp:extent cx="5429885" cy="3527425"/>
            <wp:effectExtent l="0" t="0" r="0" b="0"/>
            <wp:docPr id="2" name="图片 2" descr="说明: D:\GZ\Bin\Bin\MOD\TMP\CN_51130000_012876_FB030030_2024000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29307" name="图片 2" descr="说明: D:\GZ\Bin\Bin\MOD\TMP\CN_51130000_012876_FB030030_20240006_3.jpg"/>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a:xfrm>
                      <a:off x="0" y="0"/>
                      <a:ext cx="5429885" cy="3527425"/>
                    </a:xfrm>
                    <a:prstGeom prst="rect">
                      <a:avLst/>
                    </a:prstGeom>
                    <a:noFill/>
                    <a:ln>
                      <a:noFill/>
                    </a:ln>
                  </pic:spPr>
                </pic:pic>
              </a:graphicData>
            </a:graphic>
          </wp:inline>
        </w:drawing>
      </w:r>
    </w:p>
    <w:p w14:paraId="7521F528" w14:textId="77777777" w:rsidR="005E308D" w:rsidRDefault="005E308D">
      <w:pPr>
        <w:pStyle w:val="biaogeleft"/>
        <w:rPr>
          <w:rFonts w:hint="eastAsia"/>
        </w:rPr>
      </w:pPr>
    </w:p>
    <w:p w14:paraId="32C6E9B5" w14:textId="4E0B5CFC" w:rsidR="005E308D" w:rsidRDefault="005E308D">
      <w:pPr>
        <w:spacing w:line="360" w:lineRule="auto"/>
        <w:rPr>
          <w:rFonts w:asciiTheme="minorEastAsia" w:hAnsiTheme="minorEastAsia" w:cs="Times New Roman" w:hint="eastAsia"/>
          <w:bCs/>
          <w:sz w:val="24"/>
          <w:szCs w:val="24"/>
        </w:rPr>
      </w:pPr>
    </w:p>
    <w:p w14:paraId="14008712" w14:textId="77777777" w:rsidR="005E308D" w:rsidRDefault="00945B44">
      <w:pPr>
        <w:pStyle w:val="1"/>
        <w:jc w:val="center"/>
        <w:rPr>
          <w:sz w:val="30"/>
          <w:szCs w:val="30"/>
        </w:rPr>
      </w:pPr>
      <w:bookmarkStart w:id="225" w:name="_Toc119568466"/>
      <w:bookmarkStart w:id="226" w:name="_Toc416264546"/>
      <w:bookmarkStart w:id="227" w:name="_Toc68266297"/>
      <w:bookmarkStart w:id="228" w:name="_Toc79392624"/>
      <w:bookmarkStart w:id="229" w:name="_Toc123112239"/>
      <w:bookmarkStart w:id="230" w:name="_Toc2255"/>
      <w:bookmarkStart w:id="231" w:name="_Toc123102458"/>
      <w:bookmarkStart w:id="232" w:name="_Toc14725"/>
      <w:bookmarkStart w:id="233" w:name="_Toc48649710"/>
      <w:bookmarkStart w:id="234" w:name="_Toc123051457"/>
      <w:bookmarkStart w:id="235" w:name="_Toc352229757"/>
      <w:bookmarkStart w:id="236" w:name="_Toc139991741"/>
      <w:bookmarkStart w:id="237" w:name="_Toc3244"/>
      <w:bookmarkStart w:id="238" w:name="_Toc21886"/>
      <w:bookmarkStart w:id="239" w:name="_Toc26152"/>
      <w:bookmarkStart w:id="240" w:name="_Toc141703891"/>
      <w:bookmarkStart w:id="241" w:name="_Toc98560357"/>
      <w:bookmarkStart w:id="242" w:name="_Toc26383"/>
      <w:bookmarkStart w:id="243" w:name="_Toc19520"/>
      <w:bookmarkStart w:id="244" w:name="_Toc16789"/>
      <w:bookmarkStart w:id="245" w:name="_Toc22674"/>
      <w:bookmarkStart w:id="246" w:name="_Toc26084"/>
      <w:bookmarkStart w:id="247" w:name="_Toc3146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sz w:val="30"/>
          <w:szCs w:val="30"/>
        </w:rPr>
        <w:lastRenderedPageBreak/>
        <w:t>第十部分</w:t>
      </w:r>
      <w:r>
        <w:rPr>
          <w:sz w:val="30"/>
          <w:szCs w:val="30"/>
        </w:rPr>
        <w:t xml:space="preserve">  </w:t>
      </w:r>
      <w:r>
        <w:rPr>
          <w:rFonts w:hint="eastAsia"/>
          <w:sz w:val="30"/>
          <w:szCs w:val="30"/>
        </w:rPr>
        <w:t>基金的财产</w:t>
      </w:r>
      <w:bookmarkEnd w:id="225"/>
      <w:bookmarkEnd w:id="226"/>
      <w:bookmarkEnd w:id="227"/>
    </w:p>
    <w:p w14:paraId="734A677F" w14:textId="77777777" w:rsidR="005E308D" w:rsidRDefault="00945B44">
      <w:pPr>
        <w:autoSpaceDE w:val="0"/>
        <w:autoSpaceDN w:val="0"/>
        <w:spacing w:line="360" w:lineRule="auto"/>
        <w:ind w:firstLineChars="200" w:firstLine="480"/>
        <w:textAlignment w:val="bottom"/>
        <w:rPr>
          <w:bCs/>
          <w:sz w:val="24"/>
        </w:rPr>
      </w:pPr>
      <w:bookmarkStart w:id="248" w:name="_Toc214873600"/>
      <w:bookmarkStart w:id="249" w:name="_Toc416264547"/>
      <w:bookmarkStart w:id="250" w:name="_Toc263092319"/>
      <w:bookmarkStart w:id="251" w:name="_Toc801"/>
      <w:bookmarkStart w:id="252" w:name="_Toc22538"/>
      <w:bookmarkStart w:id="253" w:name="_Toc2981"/>
      <w:bookmarkStart w:id="254" w:name="_Toc352229758"/>
      <w:bookmarkStart w:id="255" w:name="_Toc11351"/>
      <w:bookmarkStart w:id="256" w:name="_Toc11395"/>
      <w:bookmarkStart w:id="257" w:name="_Toc16437"/>
      <w:bookmarkStart w:id="258" w:name="_Toc3872"/>
      <w:bookmarkStart w:id="259" w:name="_Toc13343"/>
      <w:bookmarkStart w:id="260" w:name="_Toc578"/>
      <w:bookmarkStart w:id="261" w:name="_Toc21917"/>
      <w:bookmarkStart w:id="262" w:name="_Toc547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bCs/>
          <w:sz w:val="24"/>
        </w:rPr>
        <w:t>一、基金资产总值</w:t>
      </w:r>
    </w:p>
    <w:p w14:paraId="0871688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基金资产总值是指基金拥有的各类有价证券、银行存款本息、基金应收款项及其他资产的价值总和。</w:t>
      </w:r>
    </w:p>
    <w:p w14:paraId="01C4B4F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二、基金资产净值</w:t>
      </w:r>
    </w:p>
    <w:p w14:paraId="725FA6C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基金资产净值是指基金资产总值减去基金负债后的价值。</w:t>
      </w:r>
    </w:p>
    <w:p w14:paraId="5A8EC0F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三、基金财产的账户</w:t>
      </w:r>
    </w:p>
    <w:p w14:paraId="318EBBC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BC74DB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四、基金财产的保管和处分</w:t>
      </w:r>
    </w:p>
    <w:p w14:paraId="37FC24D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财产独立于基金管理人、基金托管人和基金销售机构的财产，并由基金托管人保管。基金管理人、基金托管人、基金份额登记机构和基金销售机构以其自有的财产承担其自身的法律责任，其债权人不得对本基金财产行使请求冻结、扣押或其他权利。除依法律法规和《基金合同》的规定处分外，基金财产不得被处分。</w:t>
      </w:r>
    </w:p>
    <w:p w14:paraId="5F1E260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2A56675" w14:textId="77777777" w:rsidR="005E308D" w:rsidRDefault="00945B44">
      <w:pPr>
        <w:widowControl/>
        <w:jc w:val="left"/>
        <w:rPr>
          <w:bCs/>
          <w:sz w:val="24"/>
        </w:rPr>
      </w:pPr>
      <w:r>
        <w:rPr>
          <w:bCs/>
          <w:sz w:val="24"/>
        </w:rPr>
        <w:br w:type="page"/>
      </w:r>
    </w:p>
    <w:p w14:paraId="3E586BC6" w14:textId="77777777" w:rsidR="005E308D" w:rsidRDefault="00945B44">
      <w:pPr>
        <w:pStyle w:val="1"/>
        <w:jc w:val="center"/>
        <w:rPr>
          <w:sz w:val="30"/>
          <w:szCs w:val="30"/>
        </w:rPr>
      </w:pPr>
      <w:bookmarkStart w:id="263" w:name="_Toc68266298"/>
      <w:bookmarkStart w:id="264" w:name="_Toc119568467"/>
      <w:r>
        <w:rPr>
          <w:rFonts w:hint="eastAsia"/>
          <w:sz w:val="30"/>
          <w:szCs w:val="30"/>
        </w:rPr>
        <w:lastRenderedPageBreak/>
        <w:t>第十一部分</w:t>
      </w:r>
      <w:r>
        <w:rPr>
          <w:sz w:val="30"/>
          <w:szCs w:val="30"/>
        </w:rPr>
        <w:t xml:space="preserve">  </w:t>
      </w:r>
      <w:r>
        <w:rPr>
          <w:rFonts w:hint="eastAsia"/>
          <w:sz w:val="30"/>
          <w:szCs w:val="30"/>
        </w:rPr>
        <w:t>基金资产的估值</w:t>
      </w:r>
      <w:bookmarkEnd w:id="248"/>
      <w:bookmarkEnd w:id="249"/>
      <w:bookmarkEnd w:id="250"/>
      <w:bookmarkEnd w:id="263"/>
      <w:bookmarkEnd w:id="264"/>
    </w:p>
    <w:p w14:paraId="612B5987"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一、估值日</w:t>
      </w:r>
    </w:p>
    <w:p w14:paraId="57167EA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本基金的估值日为本基金相关的证券、期货交易场所的交易日以及国家法律法规规定需要对外披露基金净值的非交易日。</w:t>
      </w:r>
    </w:p>
    <w:p w14:paraId="150510F4"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二、估值对象</w:t>
      </w:r>
    </w:p>
    <w:p w14:paraId="7E681D0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基金所拥有的股票、存托凭证、股指期货合约、国债期货合约、债券和银行存款本息、资产支持证券、应收款项、其它投资、股票期权合约等资产及负债。</w:t>
      </w:r>
    </w:p>
    <w:p w14:paraId="7B2EA52D"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三、估值原则</w:t>
      </w:r>
    </w:p>
    <w:p w14:paraId="4783B77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基金管理人在确定相关金融资产和金融负债的公允价值时，应符合《企业会计准则》、监管部门有关规定。</w:t>
      </w:r>
    </w:p>
    <w:p w14:paraId="2323384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93233D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5FC70B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07DD92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66FF91FD"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四、估值方法</w:t>
      </w:r>
    </w:p>
    <w:p w14:paraId="7590904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、证券交易所上市的有价证券的估值</w:t>
      </w:r>
    </w:p>
    <w:p w14:paraId="45FC70FA"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086F7A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交易所上市实行净价交易的债券按估值日第三方估值机构提供的相应品种的净价进行估值；如最近交易日后经济环境发生了重大变化的，可参考类似投资品种的现行市价及重大变化因素，调整最近交易市价，确定公允价值；</w:t>
      </w:r>
    </w:p>
    <w:p w14:paraId="54D8349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经与托管人协商一致，基金管理人可采用第三方估值机构提供的相关数据作为估值依据；</w:t>
      </w:r>
    </w:p>
    <w:p w14:paraId="056633B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4</w:t>
      </w:r>
      <w:r>
        <w:rPr>
          <w:rFonts w:hint="eastAsia"/>
          <w:bCs/>
          <w:sz w:val="24"/>
        </w:rPr>
        <w:t>）交易所上市交易的可转换债券以每日收盘价作为估值全价；</w:t>
      </w:r>
    </w:p>
    <w:p w14:paraId="3CD9BA0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5</w:t>
      </w:r>
      <w:r>
        <w:rPr>
          <w:rFonts w:hint="eastAsia"/>
          <w:bCs/>
          <w:sz w:val="24"/>
        </w:rPr>
        <w:t>）交易所上市不存在活跃市场的非固定收益类有价证券，采用估值技术确定公允价值。交易所市场挂牌转让的资产支持证券，采用估值技术确定公允价值，在估值技术难以可靠计量公允价值的情况下，按成本估值</w:t>
      </w:r>
      <w:r>
        <w:rPr>
          <w:bCs/>
          <w:sz w:val="24"/>
        </w:rPr>
        <w:t>；</w:t>
      </w:r>
    </w:p>
    <w:p w14:paraId="07C2AF9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2D799F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、处于未上市期间的有价证券应区分如下情况处理：</w:t>
      </w:r>
    </w:p>
    <w:p w14:paraId="343A453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3A7F0AF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36D40BA8"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w:t>
      </w:r>
      <w:r>
        <w:rPr>
          <w:rFonts w:hint="eastAsia"/>
          <w:bCs/>
          <w:sz w:val="24"/>
        </w:rPr>
        <w:t>3</w:t>
      </w:r>
      <w:r>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FCFFDC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、全国银行间债券市场交易的债券、资产支持证券等固定收益品种，以第三方估值机构提供的价格数据估值。</w:t>
      </w:r>
    </w:p>
    <w:p w14:paraId="69479BA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、同一证券同时在两个或两个以上市场交易的，按证券所处的市场分别估值。</w:t>
      </w:r>
    </w:p>
    <w:p w14:paraId="7B2B1FE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、本基金投资国债期货合约、股指期货合约、股票期权合约，一般以估值当日结算价进行估值，估值当日无结算价的，且最近交易日后经济环境未发生重大变化的，采用最近交易日结算价估值。</w:t>
      </w:r>
    </w:p>
    <w:p w14:paraId="40747ACC" w14:textId="77777777" w:rsidR="005E308D" w:rsidRDefault="00945B44">
      <w:pPr>
        <w:autoSpaceDE w:val="0"/>
        <w:autoSpaceDN w:val="0"/>
        <w:spacing w:line="360" w:lineRule="auto"/>
        <w:ind w:firstLineChars="200" w:firstLine="480"/>
        <w:textAlignment w:val="bottom"/>
        <w:rPr>
          <w:bCs/>
          <w:sz w:val="24"/>
        </w:rPr>
      </w:pPr>
      <w:r>
        <w:rPr>
          <w:bCs/>
          <w:sz w:val="24"/>
        </w:rPr>
        <w:t>6</w:t>
      </w:r>
      <w:r>
        <w:rPr>
          <w:rFonts w:hint="eastAsia"/>
          <w:bCs/>
          <w:sz w:val="24"/>
        </w:rPr>
        <w:t>、本基金投资存托凭证的估值核算，依照境内上市交易的股票执行。</w:t>
      </w:r>
    </w:p>
    <w:p w14:paraId="4F97CAD6" w14:textId="77777777" w:rsidR="005E308D" w:rsidRDefault="00945B44">
      <w:pPr>
        <w:autoSpaceDE w:val="0"/>
        <w:autoSpaceDN w:val="0"/>
        <w:spacing w:line="360" w:lineRule="auto"/>
        <w:ind w:firstLineChars="200" w:firstLine="480"/>
        <w:textAlignment w:val="bottom"/>
        <w:rPr>
          <w:bCs/>
          <w:sz w:val="24"/>
        </w:rPr>
      </w:pPr>
      <w:r>
        <w:rPr>
          <w:bCs/>
          <w:sz w:val="24"/>
        </w:rPr>
        <w:t>7</w:t>
      </w:r>
      <w:r>
        <w:rPr>
          <w:rFonts w:hint="eastAsia"/>
          <w:bCs/>
          <w:sz w:val="24"/>
        </w:rPr>
        <w:t>、其他资产按法律法规或监管机构有关规定进行估值。</w:t>
      </w:r>
    </w:p>
    <w:p w14:paraId="0D4D4EB5" w14:textId="77777777" w:rsidR="005E308D" w:rsidRDefault="00945B44">
      <w:pPr>
        <w:autoSpaceDE w:val="0"/>
        <w:autoSpaceDN w:val="0"/>
        <w:spacing w:line="360" w:lineRule="auto"/>
        <w:ind w:firstLineChars="200" w:firstLine="480"/>
        <w:textAlignment w:val="bottom"/>
        <w:rPr>
          <w:bCs/>
          <w:sz w:val="24"/>
        </w:rPr>
      </w:pPr>
      <w:r>
        <w:rPr>
          <w:bCs/>
          <w:sz w:val="24"/>
        </w:rPr>
        <w:t>8</w:t>
      </w:r>
      <w:r>
        <w:rPr>
          <w:rFonts w:hint="eastAsia"/>
          <w:bCs/>
          <w:sz w:val="24"/>
        </w:rPr>
        <w:t>、如有确凿证据表明按上述方法进行估值不能客观反映其公允价值的，基金管理人可根据具体情况与基金托管人商定后，按最能反映公允价值的方法估值。</w:t>
      </w:r>
    </w:p>
    <w:p w14:paraId="69D13CDC" w14:textId="77777777" w:rsidR="005E308D" w:rsidRDefault="00945B44">
      <w:pPr>
        <w:autoSpaceDE w:val="0"/>
        <w:autoSpaceDN w:val="0"/>
        <w:spacing w:line="360" w:lineRule="auto"/>
        <w:ind w:firstLineChars="200" w:firstLine="480"/>
        <w:textAlignment w:val="bottom"/>
        <w:rPr>
          <w:bCs/>
          <w:sz w:val="24"/>
        </w:rPr>
      </w:pPr>
      <w:r>
        <w:rPr>
          <w:bCs/>
          <w:sz w:val="24"/>
        </w:rPr>
        <w:t>9</w:t>
      </w:r>
      <w:r>
        <w:rPr>
          <w:rFonts w:hint="eastAsia"/>
          <w:bCs/>
          <w:sz w:val="24"/>
        </w:rPr>
        <w:t>、当本基金发生大额申购或赎回情形时，基金管理人可以对本基金采用摆动定价机制，以确保基金估值的公平性。</w:t>
      </w:r>
    </w:p>
    <w:p w14:paraId="1B18AC3A" w14:textId="77777777" w:rsidR="005E308D" w:rsidRDefault="00945B44">
      <w:pPr>
        <w:autoSpaceDE w:val="0"/>
        <w:autoSpaceDN w:val="0"/>
        <w:spacing w:line="360" w:lineRule="auto"/>
        <w:ind w:firstLineChars="200" w:firstLine="480"/>
        <w:textAlignment w:val="bottom"/>
        <w:rPr>
          <w:bCs/>
          <w:sz w:val="24"/>
        </w:rPr>
      </w:pPr>
      <w:r>
        <w:rPr>
          <w:bCs/>
          <w:sz w:val="24"/>
        </w:rPr>
        <w:t>10</w:t>
      </w:r>
      <w:r>
        <w:rPr>
          <w:rFonts w:hint="eastAsia"/>
          <w:bCs/>
          <w:sz w:val="24"/>
        </w:rPr>
        <w:t>、相关法律法规以及监管部门有强制规定的，从其规定。如有新增事项，按国家最新规定估值。</w:t>
      </w:r>
    </w:p>
    <w:p w14:paraId="1C93DA8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3436E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根据有关法律法规，基金资产净值计算和基金会计核算的义务由基金管理人承担，基金托管人承担复核责任。本基金的基金会计主责任方由基金管理人担任，因此，就与本基金有关的会计问题，如经相关各方在平等基础上充分讨论后，仍无法达成一致的意见，按照基金管理人对基金净值信息的计算结果对外予以公布，由此给基金份额持有人和基金造成的损失以及因该交易日基金资产净值计算顺延错误而引起的损失，由基金管理人负责赔付。</w:t>
      </w:r>
    </w:p>
    <w:p w14:paraId="412A1F8B"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五、估值程序</w:t>
      </w:r>
    </w:p>
    <w:p w14:paraId="0808EE3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、各类基金份额净值是按照每个工作日闭市后，该类基金资产净值除以当日</w:t>
      </w:r>
      <w:r>
        <w:rPr>
          <w:rFonts w:hint="eastAsia"/>
          <w:bCs/>
          <w:sz w:val="24"/>
        </w:rPr>
        <w:lastRenderedPageBreak/>
        <w:t>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位四舍五入，由此产生的收益或损失由基金财产承担。基金管理人可以设立大额赎回情形下的净值精度应急调整机制。国家另有规定的，从其规定。</w:t>
      </w:r>
    </w:p>
    <w:p w14:paraId="59A6875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基金管理人每个工作日计算基金资产净值及各类基金份额净值，经基金托管人复核，并按规定公告。</w:t>
      </w:r>
    </w:p>
    <w:p w14:paraId="64A327F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6241F9C3"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六、估值错误的处理</w:t>
      </w:r>
    </w:p>
    <w:p w14:paraId="18179A6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基金管理人和基金托管人将采取必要、适当、合理的措施确保基金资产估值的准确性、及时性。当任一类基金份额净值小数点后</w:t>
      </w:r>
      <w:r>
        <w:rPr>
          <w:rFonts w:hint="eastAsia"/>
          <w:bCs/>
          <w:sz w:val="24"/>
        </w:rPr>
        <w:t>4</w:t>
      </w:r>
      <w:r>
        <w:rPr>
          <w:rFonts w:hint="eastAsia"/>
          <w:bCs/>
          <w:sz w:val="24"/>
        </w:rPr>
        <w:t>位以内</w:t>
      </w:r>
      <w:r>
        <w:rPr>
          <w:rFonts w:hint="eastAsia"/>
          <w:bCs/>
          <w:sz w:val="24"/>
        </w:rPr>
        <w:t>(</w:t>
      </w:r>
      <w:r>
        <w:rPr>
          <w:rFonts w:hint="eastAsia"/>
          <w:bCs/>
          <w:sz w:val="24"/>
        </w:rPr>
        <w:t>含第</w:t>
      </w:r>
      <w:r>
        <w:rPr>
          <w:rFonts w:hint="eastAsia"/>
          <w:bCs/>
          <w:sz w:val="24"/>
        </w:rPr>
        <w:t>4</w:t>
      </w:r>
      <w:r>
        <w:rPr>
          <w:rFonts w:hint="eastAsia"/>
          <w:bCs/>
          <w:sz w:val="24"/>
        </w:rPr>
        <w:t>位</w:t>
      </w:r>
      <w:r>
        <w:rPr>
          <w:rFonts w:hint="eastAsia"/>
          <w:bCs/>
          <w:sz w:val="24"/>
        </w:rPr>
        <w:t>)</w:t>
      </w:r>
      <w:r>
        <w:rPr>
          <w:rFonts w:hint="eastAsia"/>
          <w:bCs/>
          <w:sz w:val="24"/>
        </w:rPr>
        <w:t>发生估值错误时，视为该类基金份额净值错误。</w:t>
      </w:r>
    </w:p>
    <w:p w14:paraId="5C8B8F8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基金合同的当事人应按照以下约定处理：</w:t>
      </w:r>
    </w:p>
    <w:p w14:paraId="710EF32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、估值错误类型</w:t>
      </w:r>
    </w:p>
    <w:p w14:paraId="659324B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运作过程中，如果由于基金管理人或基金托管人、或登记机构、或证券经纪机构、或销售机构、或投资人自身的过错造成估值错误，导致其他当事人遭受损失的，过错的责任人应当对由于该估值错误遭受损失当事人</w:t>
      </w:r>
      <w:r>
        <w:rPr>
          <w:rFonts w:hint="eastAsia"/>
          <w:bCs/>
          <w:sz w:val="24"/>
        </w:rPr>
        <w:t>(</w:t>
      </w:r>
      <w:r>
        <w:rPr>
          <w:rFonts w:hint="eastAsia"/>
          <w:bCs/>
          <w:sz w:val="24"/>
        </w:rPr>
        <w:t>“受损方”</w:t>
      </w:r>
      <w:r>
        <w:rPr>
          <w:rFonts w:hint="eastAsia"/>
          <w:bCs/>
          <w:sz w:val="24"/>
        </w:rPr>
        <w:t>)</w:t>
      </w:r>
      <w:r>
        <w:rPr>
          <w:rFonts w:hint="eastAsia"/>
          <w:bCs/>
          <w:sz w:val="24"/>
        </w:rPr>
        <w:t>的直接损失按下述“估值错误处理原则”给予赔偿，承担赔偿责任。</w:t>
      </w:r>
    </w:p>
    <w:p w14:paraId="58F3682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上述估值错误的主要类型包括但不限于：资料申报差错、数据传输差错、数据计算差错、系统故障差错、下达指令差错等。</w:t>
      </w:r>
    </w:p>
    <w:p w14:paraId="0CEF6F7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、估值错误处理原则</w:t>
      </w:r>
    </w:p>
    <w:p w14:paraId="589322A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FA47FD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）估值错误的责任方对有关当事人的直接损失负责，不对间接损失负责，</w:t>
      </w:r>
      <w:r>
        <w:rPr>
          <w:rFonts w:hint="eastAsia"/>
          <w:bCs/>
          <w:sz w:val="24"/>
        </w:rPr>
        <w:lastRenderedPageBreak/>
        <w:t>并且仅对估值错误的有关直接当事人负责，不对第三方负责。</w:t>
      </w:r>
    </w:p>
    <w:p w14:paraId="04CA010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rFonts w:hint="eastAsia"/>
          <w:bCs/>
          <w:sz w:val="24"/>
        </w:rPr>
        <w:t>“受损方”</w:t>
      </w:r>
      <w:r>
        <w:rPr>
          <w:rFonts w:hint="eastAsia"/>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97194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4</w:t>
      </w:r>
      <w:r>
        <w:rPr>
          <w:rFonts w:hint="eastAsia"/>
          <w:bCs/>
          <w:sz w:val="24"/>
        </w:rPr>
        <w:t>）估值错误调整采用尽量恢复至假设未发生估值错误的正确情形的方式。</w:t>
      </w:r>
    </w:p>
    <w:p w14:paraId="43B2870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、估值错误处理程序</w:t>
      </w:r>
    </w:p>
    <w:p w14:paraId="32F3BCA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估值错误被发现后，有关的当事人应当及时进行处理，处理的程序如下：</w:t>
      </w:r>
    </w:p>
    <w:p w14:paraId="4B998F6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）查明估值错误发生的原因，列明所有的当事人，并根据估值错误发生的原因确定估值错误的责任方；</w:t>
      </w:r>
    </w:p>
    <w:p w14:paraId="5D1F9E3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）根据估值错误处理原则或当事人协商的方法对因估值错误造成的损失进行评估；</w:t>
      </w:r>
    </w:p>
    <w:p w14:paraId="2104789F"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）根据估值错误处理原则或当事人协商的方法由估值错误的责任方进行更正和赔偿损失；</w:t>
      </w:r>
    </w:p>
    <w:p w14:paraId="439435C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4</w:t>
      </w:r>
      <w:r>
        <w:rPr>
          <w:rFonts w:hint="eastAsia"/>
          <w:bCs/>
          <w:sz w:val="24"/>
        </w:rPr>
        <w:t>）根据估值错误处理的方法，需要修改基金份额登记机构交易数据的，由基金份额登记机构进行更正，并就估值错误的更正向有关当事人进行确认。</w:t>
      </w:r>
    </w:p>
    <w:p w14:paraId="27E071E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、基金份额净值估值错误处理的方法如下：</w:t>
      </w:r>
    </w:p>
    <w:p w14:paraId="687E9DD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）基金份额净值计算出现错误时，基金管理人应当立即予以纠正，通报基金托管人，并采取合理的措施防止损失进一步扩大。</w:t>
      </w:r>
    </w:p>
    <w:p w14:paraId="5C7ACCD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）错误偏差达到某类基金份额净值的</w:t>
      </w:r>
      <w:r>
        <w:rPr>
          <w:rFonts w:hint="eastAsia"/>
          <w:bCs/>
          <w:sz w:val="24"/>
        </w:rPr>
        <w:t>0.25%</w:t>
      </w:r>
      <w:r>
        <w:rPr>
          <w:rFonts w:hint="eastAsia"/>
          <w:bCs/>
          <w:sz w:val="24"/>
        </w:rPr>
        <w:t>时，基金管理人应当通报基金托管人并报中国证监会备案；错误偏差达到某类基金份额净值的</w:t>
      </w:r>
      <w:r>
        <w:rPr>
          <w:rFonts w:hint="eastAsia"/>
          <w:bCs/>
          <w:sz w:val="24"/>
        </w:rPr>
        <w:t>0.5%</w:t>
      </w:r>
      <w:r>
        <w:rPr>
          <w:rFonts w:hint="eastAsia"/>
          <w:bCs/>
          <w:sz w:val="24"/>
        </w:rPr>
        <w:t>时，基金管理人应当公告，并报中国证监会备案。</w:t>
      </w:r>
    </w:p>
    <w:p w14:paraId="6E10949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）前述内容如法律法规或监管机关另有规定的，从其规定处理。</w:t>
      </w:r>
    </w:p>
    <w:p w14:paraId="0D205752"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七、暂停估值的情形</w:t>
      </w:r>
    </w:p>
    <w:p w14:paraId="2CC293C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、基金投资所涉及的证券、期货交易市场遇法定节假日或因其他原因暂停营业时；</w:t>
      </w:r>
    </w:p>
    <w:p w14:paraId="3FABC223"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2</w:t>
      </w:r>
      <w:r>
        <w:rPr>
          <w:rFonts w:hint="eastAsia"/>
          <w:bCs/>
          <w:sz w:val="24"/>
        </w:rPr>
        <w:t>、因不可抗力或其他情形致使基金管理人、基金托管人无法准确评估基金资产价值时；</w:t>
      </w:r>
    </w:p>
    <w:p w14:paraId="3B437CD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以上的，经与基金托管人协商确认后，基金管理人应当暂停基金估值；</w:t>
      </w:r>
    </w:p>
    <w:p w14:paraId="271888C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、法律法规、中国证监会和基金合同认定的其它情形。</w:t>
      </w:r>
    </w:p>
    <w:p w14:paraId="73438012"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八、基金净值的确认</w:t>
      </w:r>
    </w:p>
    <w:p w14:paraId="7F952D9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规定对基金净值予以公布。</w:t>
      </w:r>
    </w:p>
    <w:p w14:paraId="19021DC5"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九、特殊情形的处理</w:t>
      </w:r>
    </w:p>
    <w:p w14:paraId="013CDF6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、基金管理人、基金托管人按估值方法的第</w:t>
      </w:r>
      <w:r>
        <w:rPr>
          <w:bCs/>
          <w:sz w:val="24"/>
        </w:rPr>
        <w:t>8</w:t>
      </w:r>
      <w:r>
        <w:rPr>
          <w:rFonts w:hint="eastAsia"/>
          <w:bCs/>
          <w:sz w:val="24"/>
        </w:rPr>
        <w:t>项进行估值时，所造成的误差不作为基金资产估值错误处理。</w:t>
      </w:r>
    </w:p>
    <w:p w14:paraId="1753BEF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由于不可抗力原因，或由于证券、期货交易所、证券经纪机构或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02D22BA8"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十、实施侧袋机制期间的基金资产估值</w:t>
      </w:r>
    </w:p>
    <w:p w14:paraId="53E178C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本基金实施侧袋机制的，应根据本部分的约定对主袋账户资产进行估值并披露主袋账户的基金净值信息，暂停披露侧袋账户的基金净值信息。</w:t>
      </w:r>
    </w:p>
    <w:p w14:paraId="0BE42B7B" w14:textId="77777777" w:rsidR="005E308D" w:rsidRDefault="00945B44">
      <w:pPr>
        <w:widowControl/>
        <w:jc w:val="left"/>
        <w:rPr>
          <w:bCs/>
          <w:sz w:val="24"/>
        </w:rPr>
      </w:pPr>
      <w:r>
        <w:rPr>
          <w:bCs/>
          <w:sz w:val="24"/>
        </w:rPr>
        <w:br w:type="page"/>
      </w:r>
    </w:p>
    <w:p w14:paraId="4B64B5B2" w14:textId="77777777" w:rsidR="005E308D" w:rsidRDefault="00945B44">
      <w:pPr>
        <w:pStyle w:val="1"/>
        <w:jc w:val="center"/>
        <w:rPr>
          <w:sz w:val="30"/>
          <w:szCs w:val="30"/>
        </w:rPr>
      </w:pPr>
      <w:bookmarkStart w:id="265" w:name="_Toc416264548"/>
      <w:bookmarkStart w:id="266" w:name="_Toc68266299"/>
      <w:bookmarkStart w:id="267" w:name="_Toc119568468"/>
      <w:bookmarkStart w:id="268" w:name="_Toc263092320"/>
      <w:bookmarkEnd w:id="251"/>
      <w:bookmarkEnd w:id="252"/>
      <w:bookmarkEnd w:id="253"/>
      <w:bookmarkEnd w:id="254"/>
      <w:bookmarkEnd w:id="255"/>
      <w:bookmarkEnd w:id="256"/>
      <w:bookmarkEnd w:id="257"/>
      <w:bookmarkEnd w:id="258"/>
      <w:bookmarkEnd w:id="259"/>
      <w:bookmarkEnd w:id="260"/>
      <w:bookmarkEnd w:id="261"/>
      <w:bookmarkEnd w:id="262"/>
      <w:r>
        <w:rPr>
          <w:rFonts w:hint="eastAsia"/>
          <w:sz w:val="30"/>
          <w:szCs w:val="30"/>
        </w:rPr>
        <w:lastRenderedPageBreak/>
        <w:t>第十二部分</w:t>
      </w:r>
      <w:r>
        <w:rPr>
          <w:sz w:val="30"/>
          <w:szCs w:val="30"/>
        </w:rPr>
        <w:t xml:space="preserve">  </w:t>
      </w:r>
      <w:r>
        <w:rPr>
          <w:rFonts w:hint="eastAsia"/>
          <w:sz w:val="30"/>
          <w:szCs w:val="30"/>
        </w:rPr>
        <w:t>基金的收益分配</w:t>
      </w:r>
      <w:bookmarkEnd w:id="265"/>
      <w:bookmarkEnd w:id="266"/>
      <w:bookmarkEnd w:id="267"/>
      <w:bookmarkEnd w:id="268"/>
    </w:p>
    <w:p w14:paraId="719B475A" w14:textId="77777777" w:rsidR="005E308D" w:rsidRDefault="00945B44">
      <w:pPr>
        <w:autoSpaceDE w:val="0"/>
        <w:autoSpaceDN w:val="0"/>
        <w:spacing w:line="360" w:lineRule="auto"/>
        <w:ind w:firstLineChars="200" w:firstLine="480"/>
        <w:textAlignment w:val="bottom"/>
        <w:rPr>
          <w:bCs/>
          <w:sz w:val="24"/>
        </w:rPr>
      </w:pPr>
      <w:bookmarkStart w:id="269" w:name="_Toc21073401"/>
      <w:bookmarkStart w:id="270" w:name="_Toc416264549"/>
      <w:bookmarkStart w:id="271" w:name="_Toc147463128"/>
      <w:bookmarkStart w:id="272" w:name="_Toc214873602"/>
      <w:bookmarkStart w:id="273" w:name="_Toc263092321"/>
      <w:bookmarkStart w:id="274" w:name="_Toc12357181"/>
      <w:bookmarkStart w:id="275" w:name="_Toc352229760"/>
      <w:bookmarkStart w:id="276" w:name="_Toc141703894"/>
      <w:bookmarkStart w:id="277" w:name="_Toc2623"/>
      <w:bookmarkStart w:id="278" w:name="_Toc19714"/>
      <w:bookmarkStart w:id="279" w:name="_Toc31917"/>
      <w:bookmarkStart w:id="280" w:name="_Toc139991744"/>
      <w:bookmarkStart w:id="281" w:name="_Toc7802"/>
      <w:bookmarkStart w:id="282" w:name="_Toc17782"/>
      <w:bookmarkStart w:id="283" w:name="_Toc871"/>
      <w:bookmarkStart w:id="284" w:name="_Toc27832"/>
      <w:r>
        <w:rPr>
          <w:rFonts w:hint="eastAsia"/>
          <w:bCs/>
          <w:sz w:val="24"/>
        </w:rPr>
        <w:t>一、基金利润的构成</w:t>
      </w:r>
    </w:p>
    <w:p w14:paraId="6D0D31C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2E3C1A6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二、基金可供分配利润</w:t>
      </w:r>
    </w:p>
    <w:p w14:paraId="52CCC8C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基金可供分配利润指截至收益分配基准日基金未分配利润与未分配利润中已实现收益的孰低数。</w:t>
      </w:r>
    </w:p>
    <w:p w14:paraId="153FC72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三、基金收益分配原则</w:t>
      </w:r>
    </w:p>
    <w:p w14:paraId="4AC7C78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6D3DA3B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、本基金收益分配方式分两种：现金分红与红利再投资，投资者可选择现金红利或将现金红利自动转为该类别基金份额进行再投资；若投资者不选择，本基金默认的收益分配方式是现金分红；基金份额持有人可对</w:t>
      </w:r>
      <w:r>
        <w:rPr>
          <w:rFonts w:hint="eastAsia"/>
          <w:bCs/>
          <w:sz w:val="24"/>
        </w:rPr>
        <w:t xml:space="preserve">A </w:t>
      </w:r>
      <w:r>
        <w:rPr>
          <w:rFonts w:hint="eastAsia"/>
          <w:bCs/>
          <w:sz w:val="24"/>
        </w:rPr>
        <w:t>类和</w:t>
      </w:r>
      <w:r>
        <w:rPr>
          <w:rFonts w:hint="eastAsia"/>
          <w:bCs/>
          <w:sz w:val="24"/>
        </w:rPr>
        <w:t>C</w:t>
      </w:r>
      <w:r>
        <w:rPr>
          <w:rFonts w:hint="eastAsia"/>
          <w:bCs/>
          <w:sz w:val="24"/>
        </w:rPr>
        <w:t>类基金份额分别选择不同的分红方式；同一投资人持有的同一类别的基金份额只能选择一种分红方式，如投资人在不同销售机构选择的分红方式不同，则基金份额登记机构将以投资人最后一次选择的分红方式为准；</w:t>
      </w:r>
    </w:p>
    <w:p w14:paraId="70BF578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、基金收益分配后各类基金份额净值不能低于面值，即基金收益分配基准日的各类基金份额净值减去每单位该类别基金份额收益分配金额后不能低于面值；</w:t>
      </w:r>
    </w:p>
    <w:p w14:paraId="778D0BF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、由于本基金</w:t>
      </w:r>
      <w:r>
        <w:rPr>
          <w:rFonts w:hint="eastAsia"/>
          <w:bCs/>
          <w:sz w:val="24"/>
        </w:rPr>
        <w:t xml:space="preserve">A </w:t>
      </w:r>
      <w:r>
        <w:rPr>
          <w:rFonts w:hint="eastAsia"/>
          <w:bCs/>
          <w:sz w:val="24"/>
        </w:rPr>
        <w:t>类基金份额不收取销售服务费，</w:t>
      </w:r>
      <w:r>
        <w:rPr>
          <w:rFonts w:hint="eastAsia"/>
          <w:bCs/>
          <w:sz w:val="24"/>
        </w:rPr>
        <w:t xml:space="preserve">C </w:t>
      </w:r>
      <w:r>
        <w:rPr>
          <w:rFonts w:hint="eastAsia"/>
          <w:bCs/>
          <w:sz w:val="24"/>
        </w:rPr>
        <w:t>类基金份额收取销售服务费，各基金份额类别对应的可分配收益将有所不同，本基金同一基金份额类别内的每一基金份额享有同等分配权；</w:t>
      </w:r>
    </w:p>
    <w:p w14:paraId="790FDDCF" w14:textId="77777777" w:rsidR="005E308D" w:rsidRDefault="00945B44">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、法律法规或监管机关另有规定的，从其规定。</w:t>
      </w:r>
    </w:p>
    <w:p w14:paraId="70BD567E" w14:textId="77777777" w:rsidR="005E308D" w:rsidRDefault="00945B44">
      <w:pPr>
        <w:spacing w:line="360" w:lineRule="auto"/>
        <w:ind w:firstLineChars="225" w:firstLine="540"/>
        <w:rPr>
          <w:bCs/>
          <w:sz w:val="24"/>
        </w:rPr>
      </w:pPr>
      <w:r>
        <w:rPr>
          <w:rFonts w:hint="eastAsia"/>
          <w:bCs/>
          <w:sz w:val="24"/>
        </w:rPr>
        <w:t>在法律法规、基金合同的约定的范围内以及对基金份额持有人利益无实质不利影响的前提下，基金管理人可对基金收益分配原则进行调整，不需召开基金份额持有人大会。</w:t>
      </w:r>
    </w:p>
    <w:p w14:paraId="2AAC093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四、收益分配方案</w:t>
      </w:r>
    </w:p>
    <w:p w14:paraId="24E9B2E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基金收益分配方案中应载明截止收益分配基准日的可供分配利润、基金收益分配对象、分配时间、分配数额及比例、分配方式等内容。</w:t>
      </w:r>
    </w:p>
    <w:p w14:paraId="34805B46"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五、收益分配方案的确定、公告与实施</w:t>
      </w:r>
    </w:p>
    <w:p w14:paraId="3B3A57B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本基金收益分配方案由基金管理人拟定，并由基金托管人复核，依照《信息披露办法》的有关规定在规定媒介公告。</w:t>
      </w:r>
    </w:p>
    <w:p w14:paraId="48448FD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六、基金收益分配中发生的费用</w:t>
      </w:r>
    </w:p>
    <w:p w14:paraId="094E8B4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该类别基金份额。红利再投资的计算方法，依照《业务规则》执行。</w:t>
      </w:r>
    </w:p>
    <w:p w14:paraId="25415B9D"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七、实施侧袋机制期间的收益分配</w:t>
      </w:r>
    </w:p>
    <w:p w14:paraId="57645A72"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本基金实施侧袋机制的，侧袋账户不进行收益分配。</w:t>
      </w:r>
    </w:p>
    <w:p w14:paraId="3FEE9B09" w14:textId="77777777" w:rsidR="005E308D" w:rsidRDefault="005E308D">
      <w:pPr>
        <w:autoSpaceDE w:val="0"/>
        <w:autoSpaceDN w:val="0"/>
        <w:spacing w:line="360" w:lineRule="auto"/>
        <w:ind w:firstLineChars="200" w:firstLine="480"/>
        <w:textAlignment w:val="bottom"/>
        <w:rPr>
          <w:bCs/>
          <w:sz w:val="24"/>
        </w:rPr>
      </w:pPr>
    </w:p>
    <w:p w14:paraId="3FBE7705" w14:textId="77777777" w:rsidR="005E308D" w:rsidRDefault="00945B44">
      <w:pPr>
        <w:widowControl/>
        <w:jc w:val="left"/>
        <w:rPr>
          <w:bCs/>
          <w:sz w:val="24"/>
        </w:rPr>
      </w:pPr>
      <w:r>
        <w:rPr>
          <w:bCs/>
          <w:sz w:val="24"/>
        </w:rPr>
        <w:br w:type="page"/>
      </w:r>
    </w:p>
    <w:p w14:paraId="08E8D0FD" w14:textId="77777777" w:rsidR="005E308D" w:rsidRDefault="00945B44">
      <w:pPr>
        <w:pStyle w:val="1"/>
        <w:jc w:val="center"/>
        <w:rPr>
          <w:sz w:val="30"/>
          <w:szCs w:val="30"/>
        </w:rPr>
      </w:pPr>
      <w:bookmarkStart w:id="285" w:name="_Toc68266300"/>
      <w:bookmarkStart w:id="286" w:name="_Toc119568469"/>
      <w:r>
        <w:rPr>
          <w:rFonts w:hint="eastAsia"/>
          <w:sz w:val="30"/>
          <w:szCs w:val="30"/>
        </w:rPr>
        <w:lastRenderedPageBreak/>
        <w:t>第十三部分</w:t>
      </w:r>
      <w:r>
        <w:rPr>
          <w:sz w:val="30"/>
          <w:szCs w:val="30"/>
        </w:rPr>
        <w:t xml:space="preserve">  </w:t>
      </w:r>
      <w:r>
        <w:rPr>
          <w:rFonts w:hint="eastAsia"/>
          <w:sz w:val="30"/>
          <w:szCs w:val="30"/>
        </w:rPr>
        <w:t>基金费用与税收</w:t>
      </w:r>
      <w:bookmarkEnd w:id="269"/>
      <w:bookmarkEnd w:id="270"/>
      <w:bookmarkEnd w:id="271"/>
      <w:bookmarkEnd w:id="272"/>
      <w:bookmarkEnd w:id="273"/>
      <w:bookmarkEnd w:id="274"/>
      <w:bookmarkEnd w:id="285"/>
      <w:bookmarkEnd w:id="286"/>
    </w:p>
    <w:p w14:paraId="66A6290A" w14:textId="77777777" w:rsidR="005E308D" w:rsidRDefault="00945B44">
      <w:pPr>
        <w:autoSpaceDE w:val="0"/>
        <w:autoSpaceDN w:val="0"/>
        <w:spacing w:line="360" w:lineRule="auto"/>
        <w:ind w:firstLineChars="200" w:firstLine="480"/>
        <w:textAlignment w:val="bottom"/>
        <w:rPr>
          <w:bCs/>
          <w:sz w:val="24"/>
        </w:rPr>
      </w:pPr>
      <w:bookmarkStart w:id="287" w:name="_Toc416264550"/>
      <w:bookmarkStart w:id="288" w:name="_Toc263092322"/>
      <w:bookmarkStart w:id="289" w:name="_Toc214873603"/>
      <w:bookmarkStart w:id="290" w:name="_Toc19706"/>
      <w:bookmarkStart w:id="291" w:name="_Toc32041"/>
      <w:bookmarkStart w:id="292" w:name="_Toc13987"/>
      <w:bookmarkStart w:id="293" w:name="_Toc6493"/>
      <w:bookmarkStart w:id="294" w:name="_Toc12105"/>
      <w:bookmarkStart w:id="295" w:name="_Toc139991745"/>
      <w:bookmarkStart w:id="296" w:name="_Toc32227"/>
      <w:bookmarkStart w:id="297" w:name="_Toc24601"/>
      <w:bookmarkStart w:id="298" w:name="_Toc352229761"/>
      <w:bookmarkStart w:id="299" w:name="_Toc15779"/>
      <w:bookmarkStart w:id="300" w:name="_Toc141703895"/>
      <w:bookmarkStart w:id="301" w:name="_Toc32046"/>
      <w:bookmarkStart w:id="302" w:name="_Toc3365"/>
      <w:bookmarkStart w:id="303" w:name="_Toc19752"/>
      <w:bookmarkEnd w:id="275"/>
      <w:bookmarkEnd w:id="276"/>
      <w:bookmarkEnd w:id="277"/>
      <w:bookmarkEnd w:id="278"/>
      <w:bookmarkEnd w:id="279"/>
      <w:bookmarkEnd w:id="280"/>
      <w:bookmarkEnd w:id="281"/>
      <w:bookmarkEnd w:id="282"/>
      <w:bookmarkEnd w:id="283"/>
      <w:bookmarkEnd w:id="284"/>
      <w:r>
        <w:rPr>
          <w:rFonts w:hint="eastAsia"/>
          <w:bCs/>
          <w:sz w:val="24"/>
        </w:rPr>
        <w:t>一、基金费用的种类</w:t>
      </w:r>
    </w:p>
    <w:p w14:paraId="0F81482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、基金管理人的管理费；</w:t>
      </w:r>
    </w:p>
    <w:p w14:paraId="6DB948F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、基金托管人的托管费；</w:t>
      </w:r>
    </w:p>
    <w:p w14:paraId="78304AC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6FB1664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、除法律法规、中国证监会另有规定外，《基金合同》生效后与基金相关的信息披露费用；</w:t>
      </w:r>
    </w:p>
    <w:p w14:paraId="03AD44E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、《基金合同》生效后与基金相关的会计师费、律师费、诉讼费和仲裁费；</w:t>
      </w:r>
    </w:p>
    <w:p w14:paraId="293911AF" w14:textId="77777777" w:rsidR="005E308D" w:rsidRDefault="00945B44">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、基金份额持有人大会费用；</w:t>
      </w:r>
    </w:p>
    <w:p w14:paraId="0D68302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7</w:t>
      </w:r>
      <w:r>
        <w:rPr>
          <w:rFonts w:hint="eastAsia"/>
          <w:bCs/>
          <w:sz w:val="24"/>
        </w:rPr>
        <w:t>、基金的证券、期货、期权交易费用；</w:t>
      </w:r>
    </w:p>
    <w:p w14:paraId="710C303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8</w:t>
      </w:r>
      <w:r>
        <w:rPr>
          <w:rFonts w:hint="eastAsia"/>
          <w:bCs/>
          <w:sz w:val="24"/>
        </w:rPr>
        <w:t>、基金的银行汇划费用；</w:t>
      </w:r>
    </w:p>
    <w:p w14:paraId="7BA39FD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9</w:t>
      </w:r>
      <w:r>
        <w:rPr>
          <w:rFonts w:hint="eastAsia"/>
          <w:bCs/>
          <w:sz w:val="24"/>
        </w:rPr>
        <w:t>、基金的相关账户的开户及维护费用；</w:t>
      </w:r>
    </w:p>
    <w:p w14:paraId="4F3751A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bCs/>
          <w:sz w:val="24"/>
        </w:rPr>
        <w:t>0</w:t>
      </w:r>
      <w:r>
        <w:rPr>
          <w:rFonts w:hint="eastAsia"/>
          <w:bCs/>
          <w:sz w:val="24"/>
        </w:rPr>
        <w:t>、按照国家有关规定和《基金合同》约定，可以在基金财产中列支的其他费用。</w:t>
      </w:r>
    </w:p>
    <w:p w14:paraId="1844FC3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二、基金费用计提方法、计提标准和支付方式</w:t>
      </w:r>
    </w:p>
    <w:p w14:paraId="298D985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、基金管理人的管理费</w:t>
      </w:r>
      <w:r>
        <w:rPr>
          <w:rFonts w:hint="eastAsia"/>
          <w:bCs/>
          <w:sz w:val="24"/>
        </w:rPr>
        <w:t xml:space="preserve"> </w:t>
      </w:r>
    </w:p>
    <w:p w14:paraId="3818FAF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本基金的管理费按前一日基金资产净值的</w:t>
      </w:r>
      <w:r>
        <w:rPr>
          <w:rFonts w:hint="eastAsia"/>
          <w:bCs/>
          <w:sz w:val="24"/>
        </w:rPr>
        <w:t>0.6%</w:t>
      </w:r>
      <w:r>
        <w:rPr>
          <w:rFonts w:hint="eastAsia"/>
          <w:bCs/>
          <w:sz w:val="24"/>
        </w:rPr>
        <w:t>的年费率计提。管理费的计算方法如下：</w:t>
      </w:r>
    </w:p>
    <w:p w14:paraId="3160E7F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w:t>
      </w:r>
      <w:r>
        <w:rPr>
          <w:rFonts w:hint="eastAsia"/>
          <w:bCs/>
          <w:sz w:val="24"/>
        </w:rPr>
        <w:t>÷当年天数</w:t>
      </w:r>
    </w:p>
    <w:p w14:paraId="6DB0C45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为每日应计提的基金管理费</w:t>
      </w:r>
    </w:p>
    <w:p w14:paraId="3168A82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E</w:t>
      </w:r>
      <w:r>
        <w:rPr>
          <w:rFonts w:hint="eastAsia"/>
          <w:bCs/>
          <w:sz w:val="24"/>
        </w:rPr>
        <w:t>为前一日的基金资产净值</w:t>
      </w:r>
    </w:p>
    <w:p w14:paraId="1708A24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基金管理费每日计提，逐日累计至每月月末，按月支付。由基金管理人授权基金托管人于次月第</w:t>
      </w:r>
      <w:r>
        <w:rPr>
          <w:rFonts w:hint="eastAsia"/>
          <w:bCs/>
          <w:sz w:val="24"/>
        </w:rPr>
        <w:t>5</w:t>
      </w:r>
      <w:r>
        <w:rPr>
          <w:rFonts w:hint="eastAsia"/>
          <w:bCs/>
          <w:sz w:val="24"/>
        </w:rPr>
        <w:t>个工作日自动从基金资产中一次性支付给基金管理人。若遇法定节假日、休息日或不可抗力致使无法按时支付的，</w:t>
      </w:r>
      <w:r>
        <w:rPr>
          <w:rFonts w:ascii="宋体" w:hAnsi="宋体" w:hint="eastAsia"/>
          <w:color w:val="000000"/>
          <w:kern w:val="0"/>
          <w:sz w:val="24"/>
        </w:rPr>
        <w:t>顺延至最近可支付日支付</w:t>
      </w:r>
      <w:r>
        <w:rPr>
          <w:rFonts w:ascii="宋体" w:hAnsi="宋体" w:hint="eastAsia"/>
          <w:kern w:val="0"/>
          <w:sz w:val="24"/>
        </w:rPr>
        <w:t>。</w:t>
      </w:r>
    </w:p>
    <w:p w14:paraId="41469F7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、基金托管人的托管费</w:t>
      </w:r>
    </w:p>
    <w:p w14:paraId="4D61578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本基金的托管费按前一日基金资产净值的</w:t>
      </w:r>
      <w:r>
        <w:rPr>
          <w:rFonts w:hint="eastAsia"/>
          <w:bCs/>
          <w:sz w:val="24"/>
        </w:rPr>
        <w:t>0.20%</w:t>
      </w:r>
      <w:r>
        <w:rPr>
          <w:rFonts w:hint="eastAsia"/>
          <w:bCs/>
          <w:sz w:val="24"/>
        </w:rPr>
        <w:t>的年费率计提。托管费的计算方法如下：</w:t>
      </w:r>
    </w:p>
    <w:p w14:paraId="2A66A23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0.20%</w:t>
      </w:r>
      <w:r>
        <w:rPr>
          <w:rFonts w:hint="eastAsia"/>
          <w:bCs/>
          <w:sz w:val="24"/>
        </w:rPr>
        <w:t>÷当年天数</w:t>
      </w:r>
    </w:p>
    <w:p w14:paraId="3E69F43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为每日应计提的基金托管费</w:t>
      </w:r>
    </w:p>
    <w:p w14:paraId="01CAD2D4"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E</w:t>
      </w:r>
      <w:r>
        <w:rPr>
          <w:rFonts w:hint="eastAsia"/>
          <w:bCs/>
          <w:sz w:val="24"/>
        </w:rPr>
        <w:t>为前一日的基金资产净值</w:t>
      </w:r>
    </w:p>
    <w:p w14:paraId="5D06B14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基金托管费每日计提，逐日累计至每月月末，按月支付。由基金管理人授权基金托管人于次月第</w:t>
      </w:r>
      <w:r>
        <w:rPr>
          <w:rFonts w:hint="eastAsia"/>
          <w:bCs/>
          <w:sz w:val="24"/>
        </w:rPr>
        <w:t>5</w:t>
      </w:r>
      <w:r>
        <w:rPr>
          <w:rFonts w:hint="eastAsia"/>
          <w:bCs/>
          <w:sz w:val="24"/>
        </w:rPr>
        <w:t>个工作日自动从基金资产中一次性支付给基金托管人。若遇法定节假日、休息日或不可抗力致使无法按时支付的，</w:t>
      </w:r>
      <w:r>
        <w:rPr>
          <w:rFonts w:ascii="宋体" w:hAnsi="宋体" w:hint="eastAsia"/>
          <w:color w:val="000000"/>
          <w:kern w:val="0"/>
          <w:sz w:val="24"/>
        </w:rPr>
        <w:t>顺延至最近可支付日支付</w:t>
      </w:r>
      <w:r>
        <w:rPr>
          <w:rFonts w:ascii="宋体" w:hAnsi="宋体" w:hint="eastAsia"/>
          <w:kern w:val="0"/>
          <w:sz w:val="24"/>
        </w:rPr>
        <w:t>。</w:t>
      </w:r>
    </w:p>
    <w:p w14:paraId="64CB0B3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5C793BF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 xml:space="preserve">0.40% </w:t>
      </w:r>
      <w:r>
        <w:rPr>
          <w:rFonts w:hint="eastAsia"/>
          <w:bCs/>
          <w:sz w:val="24"/>
        </w:rPr>
        <w:t>。销售服务费的计算方法如下：</w:t>
      </w:r>
    </w:p>
    <w:p w14:paraId="31FDE1B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 xml:space="preserve">0.40% </w:t>
      </w:r>
      <w:r>
        <w:rPr>
          <w:rFonts w:hint="eastAsia"/>
          <w:bCs/>
          <w:sz w:val="24"/>
        </w:rPr>
        <w:t>÷当年天数</w:t>
      </w:r>
    </w:p>
    <w:p w14:paraId="73C9472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0BBA9D6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E</w:t>
      </w:r>
      <w:r>
        <w:rPr>
          <w:rFonts w:hint="eastAsia"/>
          <w:bCs/>
          <w:sz w:val="24"/>
        </w:rPr>
        <w:t>为前一日</w:t>
      </w:r>
      <w:r>
        <w:rPr>
          <w:rFonts w:hint="eastAsia"/>
          <w:bCs/>
          <w:sz w:val="24"/>
        </w:rPr>
        <w:t>C</w:t>
      </w:r>
      <w:r>
        <w:rPr>
          <w:rFonts w:hint="eastAsia"/>
          <w:bCs/>
          <w:sz w:val="24"/>
        </w:rPr>
        <w:t>类基金份额的基金资产净值</w:t>
      </w:r>
    </w:p>
    <w:p w14:paraId="1136096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C</w:t>
      </w:r>
      <w:r>
        <w:rPr>
          <w:rFonts w:hint="eastAsia"/>
          <w:bCs/>
          <w:sz w:val="24"/>
        </w:rPr>
        <w:t>类基金份额的销售服务费每日计提，逐日累计至每月月末，按月支付。由基金管理人授权基金托管人于次月第</w:t>
      </w:r>
      <w:r>
        <w:rPr>
          <w:rFonts w:hint="eastAsia"/>
          <w:bCs/>
          <w:sz w:val="24"/>
        </w:rPr>
        <w:t>5</w:t>
      </w:r>
      <w:r>
        <w:rPr>
          <w:rFonts w:hint="eastAsia"/>
          <w:bCs/>
          <w:sz w:val="24"/>
        </w:rPr>
        <w:t>个工作日自动从基金资产中一次性支付给登记机构，由登记机构分别支付给销售机构。若遇法定节假日、休息日或不可抗力致使无法按时支付的，支付日期顺延。</w:t>
      </w:r>
    </w:p>
    <w:p w14:paraId="6112C39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w:t>
      </w:r>
      <w:r>
        <w:rPr>
          <w:bCs/>
          <w:sz w:val="24"/>
        </w:rPr>
        <w:t>0</w:t>
      </w:r>
      <w:r>
        <w:rPr>
          <w:rFonts w:hint="eastAsia"/>
          <w:bCs/>
          <w:sz w:val="24"/>
        </w:rPr>
        <w:t>项费用，根据有关法规及相应协议规定，按费用实际支出金额列入当期费用，由基金托管人根据基金管理人指令并参照行业惯例从基金财产中支付。</w:t>
      </w:r>
    </w:p>
    <w:p w14:paraId="27E5C97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三、不列入基金费用的项目</w:t>
      </w:r>
    </w:p>
    <w:p w14:paraId="356F167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下列费用不列入基金费用：</w:t>
      </w:r>
    </w:p>
    <w:p w14:paraId="01BD1E6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4F44537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、基金管理人和基金托管人处理与基金运作无关的事项发生的费用；</w:t>
      </w:r>
    </w:p>
    <w:p w14:paraId="0B422A3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、《基金合同》生效前的相关费用；</w:t>
      </w:r>
    </w:p>
    <w:p w14:paraId="045941E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、其他根据相关法律法规及中国证监会的有关规定不得列入基金费用的项目。</w:t>
      </w:r>
    </w:p>
    <w:p w14:paraId="6F41821F" w14:textId="77777777" w:rsidR="005E308D" w:rsidRDefault="00945B44">
      <w:pPr>
        <w:spacing w:line="360" w:lineRule="auto"/>
        <w:ind w:firstLineChars="200" w:firstLine="480"/>
        <w:rPr>
          <w:bCs/>
          <w:sz w:val="24"/>
        </w:rPr>
      </w:pPr>
      <w:r>
        <w:rPr>
          <w:rFonts w:hint="eastAsia"/>
          <w:bCs/>
          <w:sz w:val="24"/>
        </w:rPr>
        <w:t>四、实施侧袋机制期间的基金费用</w:t>
      </w:r>
    </w:p>
    <w:p w14:paraId="3F29C53D" w14:textId="77777777" w:rsidR="005E308D" w:rsidRDefault="00945B44">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其他费用详见招募说明书“侧袋机制”部分或相关公告的规定。</w:t>
      </w:r>
    </w:p>
    <w:p w14:paraId="4080973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五、基金税收</w:t>
      </w:r>
    </w:p>
    <w:p w14:paraId="2036F673"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本基金运作过程中涉及的各纳税主体，其纳税义务按国家税收法律、法规执行。</w:t>
      </w:r>
    </w:p>
    <w:p w14:paraId="779953D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基金财产投资的相关税收，由基金份额持有人承担，基金管理人或者其他扣缴义务人按照国家有关税收征收的规定代扣代缴。</w:t>
      </w:r>
    </w:p>
    <w:p w14:paraId="50327CE7" w14:textId="77777777" w:rsidR="005E308D" w:rsidRDefault="005E308D">
      <w:pPr>
        <w:autoSpaceDE w:val="0"/>
        <w:autoSpaceDN w:val="0"/>
        <w:spacing w:line="360" w:lineRule="auto"/>
        <w:ind w:firstLineChars="200" w:firstLine="480"/>
        <w:textAlignment w:val="bottom"/>
        <w:rPr>
          <w:bCs/>
          <w:sz w:val="24"/>
        </w:rPr>
      </w:pPr>
    </w:p>
    <w:p w14:paraId="3BEE9870" w14:textId="77777777" w:rsidR="005E308D" w:rsidRDefault="00945B44">
      <w:pPr>
        <w:widowControl/>
        <w:jc w:val="left"/>
        <w:rPr>
          <w:bCs/>
          <w:sz w:val="24"/>
        </w:rPr>
      </w:pPr>
      <w:r>
        <w:rPr>
          <w:bCs/>
          <w:sz w:val="24"/>
        </w:rPr>
        <w:br w:type="page"/>
      </w:r>
    </w:p>
    <w:p w14:paraId="4B5AD774" w14:textId="77777777" w:rsidR="005E308D" w:rsidRDefault="00945B44">
      <w:pPr>
        <w:pStyle w:val="1"/>
        <w:jc w:val="center"/>
        <w:rPr>
          <w:sz w:val="30"/>
          <w:szCs w:val="30"/>
        </w:rPr>
      </w:pPr>
      <w:bookmarkStart w:id="304" w:name="_Toc119568470"/>
      <w:bookmarkStart w:id="305" w:name="_Toc68266301"/>
      <w:r>
        <w:rPr>
          <w:rFonts w:hint="eastAsia"/>
          <w:sz w:val="30"/>
          <w:szCs w:val="30"/>
        </w:rPr>
        <w:lastRenderedPageBreak/>
        <w:t>第十四部分</w:t>
      </w:r>
      <w:r>
        <w:rPr>
          <w:sz w:val="30"/>
          <w:szCs w:val="30"/>
        </w:rPr>
        <w:t xml:space="preserve">  </w:t>
      </w:r>
      <w:r>
        <w:rPr>
          <w:rFonts w:hint="eastAsia"/>
          <w:sz w:val="30"/>
          <w:szCs w:val="30"/>
        </w:rPr>
        <w:t>基金的会计与审计</w:t>
      </w:r>
      <w:bookmarkEnd w:id="287"/>
      <w:bookmarkEnd w:id="288"/>
      <w:bookmarkEnd w:id="289"/>
      <w:bookmarkEnd w:id="304"/>
      <w:bookmarkEnd w:id="305"/>
    </w:p>
    <w:p w14:paraId="7708640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一、基金会计政策</w:t>
      </w:r>
    </w:p>
    <w:p w14:paraId="17F1D65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、基金管理人为本基金的基金会计责任方；</w:t>
      </w:r>
    </w:p>
    <w:p w14:paraId="33B91FE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、基金的会计年度为公历年度的</w:t>
      </w:r>
      <w:r>
        <w:rPr>
          <w:rFonts w:hint="eastAsia"/>
          <w:bCs/>
          <w:sz w:val="24"/>
        </w:rPr>
        <w:t>1</w:t>
      </w:r>
      <w:r>
        <w:rPr>
          <w:rFonts w:hint="eastAsia"/>
          <w:bCs/>
          <w:sz w:val="24"/>
        </w:rPr>
        <w:t>月</w:t>
      </w:r>
      <w:r>
        <w:rPr>
          <w:rFonts w:hint="eastAsia"/>
          <w:bCs/>
          <w:sz w:val="24"/>
        </w:rPr>
        <w:t>1</w:t>
      </w:r>
      <w:r>
        <w:rPr>
          <w:rFonts w:hint="eastAsia"/>
          <w:bCs/>
          <w:sz w:val="24"/>
        </w:rPr>
        <w:t>日至</w:t>
      </w:r>
      <w:r>
        <w:rPr>
          <w:rFonts w:hint="eastAsia"/>
          <w:bCs/>
          <w:sz w:val="24"/>
        </w:rPr>
        <w:t>12</w:t>
      </w:r>
      <w:r>
        <w:rPr>
          <w:rFonts w:hint="eastAsia"/>
          <w:bCs/>
          <w:sz w:val="24"/>
        </w:rPr>
        <w:t>月</w:t>
      </w:r>
      <w:r>
        <w:rPr>
          <w:rFonts w:hint="eastAsia"/>
          <w:bCs/>
          <w:sz w:val="24"/>
        </w:rPr>
        <w:t>31</w:t>
      </w:r>
      <w:r>
        <w:rPr>
          <w:rFonts w:hint="eastAsia"/>
          <w:bCs/>
          <w:sz w:val="24"/>
        </w:rPr>
        <w:t>日；基金首次募集的会计年度按如下原则：如果《基金合同》生效少于</w:t>
      </w:r>
      <w:r>
        <w:rPr>
          <w:rFonts w:hint="eastAsia"/>
          <w:bCs/>
          <w:sz w:val="24"/>
        </w:rPr>
        <w:t>2</w:t>
      </w:r>
      <w:r>
        <w:rPr>
          <w:rFonts w:hint="eastAsia"/>
          <w:bCs/>
          <w:sz w:val="24"/>
        </w:rPr>
        <w:t>个月，可以并入下一个会计年度披露；</w:t>
      </w:r>
    </w:p>
    <w:p w14:paraId="600A89C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、基金核算以人民币为记账本位币，以人民币元为记账单位；</w:t>
      </w:r>
    </w:p>
    <w:p w14:paraId="0F54B0D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、会计制度执行国家有关会计制度；</w:t>
      </w:r>
    </w:p>
    <w:p w14:paraId="3F10491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、本基金独立建账、独立核算；</w:t>
      </w:r>
    </w:p>
    <w:p w14:paraId="6ED111A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、基金管理人及基金托管人各自保留完整的会计账目、凭证并进行日常的会计核算，按照有关规定编制基金会计报表；</w:t>
      </w:r>
    </w:p>
    <w:p w14:paraId="659E4D9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7</w:t>
      </w:r>
      <w:r>
        <w:rPr>
          <w:rFonts w:hint="eastAsia"/>
          <w:bCs/>
          <w:sz w:val="24"/>
        </w:rPr>
        <w:t>、基金托管人每月与基金管理人就基金的会计核算、报表编制等进行核对并以书面方式确认。</w:t>
      </w:r>
    </w:p>
    <w:p w14:paraId="0514714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二、基金的年度审计</w:t>
      </w:r>
    </w:p>
    <w:p w14:paraId="7C498FB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、基金管理人聘请与基金管理人、基金托管人相互独立的符合《中华人民共和国证券法》规定的会计师事务所及其注册会计师对本基金的年度财务报表进行审计。</w:t>
      </w:r>
    </w:p>
    <w:p w14:paraId="2D1A8BA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、会计师事务所更换经办注册会计师，应事先征得基金管理人同意。</w:t>
      </w:r>
    </w:p>
    <w:p w14:paraId="6E6BBC5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、基金管理人认为有充足理由更换会计师事务所，须通报基金托管人。更换会计师事务所需依照《信息披露办法》的有关规定在规定媒介公告。</w:t>
      </w:r>
    </w:p>
    <w:p w14:paraId="36242992" w14:textId="77777777" w:rsidR="005E308D" w:rsidRDefault="00945B44">
      <w:pPr>
        <w:widowControl/>
        <w:jc w:val="left"/>
        <w:rPr>
          <w:bCs/>
          <w:sz w:val="24"/>
        </w:rPr>
      </w:pPr>
      <w:r>
        <w:rPr>
          <w:bCs/>
          <w:sz w:val="24"/>
        </w:rPr>
        <w:br w:type="page"/>
      </w:r>
    </w:p>
    <w:p w14:paraId="245B9E15" w14:textId="77777777" w:rsidR="005E308D" w:rsidRDefault="00945B44">
      <w:pPr>
        <w:pStyle w:val="1"/>
        <w:jc w:val="center"/>
        <w:rPr>
          <w:sz w:val="30"/>
          <w:szCs w:val="30"/>
        </w:rPr>
      </w:pPr>
      <w:bookmarkStart w:id="306" w:name="_Toc68266302"/>
      <w:bookmarkStart w:id="307" w:name="_Toc416264551"/>
      <w:bookmarkStart w:id="308" w:name="_Toc214873604"/>
      <w:bookmarkStart w:id="309" w:name="_Toc119568471"/>
      <w:bookmarkStart w:id="310" w:name="_Toc263092323"/>
      <w:bookmarkStart w:id="311" w:name="_Toc79978642"/>
      <w:bookmarkStart w:id="312" w:name="_Toc21829"/>
      <w:bookmarkStart w:id="313" w:name="_Toc19558"/>
      <w:bookmarkStart w:id="314" w:name="_Toc12761"/>
      <w:bookmarkStart w:id="315" w:name="_Toc92662707"/>
      <w:bookmarkStart w:id="316" w:name="_Toc3656"/>
      <w:bookmarkStart w:id="317" w:name="_Toc352229762"/>
      <w:bookmarkStart w:id="318" w:name="_Toc178"/>
      <w:bookmarkStart w:id="319" w:name="_Toc15351"/>
      <w:bookmarkStart w:id="320" w:name="_Toc128310499"/>
      <w:bookmarkStart w:id="321" w:name="_Toc139991746"/>
      <w:bookmarkStart w:id="322" w:name="_Toc141703896"/>
      <w:bookmarkStart w:id="323" w:name="_Toc15525"/>
      <w:bookmarkStart w:id="324" w:name="_Toc25883"/>
      <w:bookmarkStart w:id="325" w:name="_Toc20052"/>
      <w:bookmarkStart w:id="326" w:name="_Toc22552"/>
      <w:bookmarkStart w:id="327" w:name="_Toc1617"/>
      <w:bookmarkStart w:id="328" w:name="_Toc9322614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hint="eastAsia"/>
          <w:sz w:val="30"/>
          <w:szCs w:val="30"/>
        </w:rPr>
        <w:lastRenderedPageBreak/>
        <w:t>第十五部分</w:t>
      </w:r>
      <w:r>
        <w:rPr>
          <w:sz w:val="30"/>
          <w:szCs w:val="30"/>
        </w:rPr>
        <w:t xml:space="preserve">  </w:t>
      </w:r>
      <w:r>
        <w:rPr>
          <w:rFonts w:hint="eastAsia"/>
          <w:sz w:val="30"/>
          <w:szCs w:val="30"/>
        </w:rPr>
        <w:t>基金的信息披露</w:t>
      </w:r>
      <w:bookmarkEnd w:id="306"/>
      <w:bookmarkEnd w:id="307"/>
      <w:bookmarkEnd w:id="308"/>
      <w:bookmarkEnd w:id="309"/>
      <w:bookmarkEnd w:id="310"/>
      <w:bookmarkEnd w:id="311"/>
    </w:p>
    <w:p w14:paraId="69CC4F8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一、本基金的信息披露应符合《基金法》、《运作办法》、《流动性风险管理规定》、《信息披露办法》、《基金合同》及其他有关规定。相关法律法规关于信息披露的规定发生变化时，本基金从其最新规定。</w:t>
      </w:r>
    </w:p>
    <w:p w14:paraId="5E13442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二、信息披露义务人</w:t>
      </w:r>
    </w:p>
    <w:p w14:paraId="242A9E2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本基金信息披露义务人包括基金管理人、基金托管人、召集基金份额持有人大会的基金份额持有人等法律、行政法规和中国证监会规定的自然人、法人和非法人组织。</w:t>
      </w:r>
    </w:p>
    <w:p w14:paraId="12012B8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1EFEE8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7C9F718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三、本基金信息披露义务人承诺公开披露的基金信息，不得有下列行为：</w:t>
      </w:r>
    </w:p>
    <w:p w14:paraId="0BD283B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、虚假记载、误导性陈述或者重大遗漏；</w:t>
      </w:r>
    </w:p>
    <w:p w14:paraId="26139DC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、对证券投资业绩进行预测；</w:t>
      </w:r>
    </w:p>
    <w:p w14:paraId="5998D22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、违规承诺收益或者承担损失；</w:t>
      </w:r>
    </w:p>
    <w:p w14:paraId="56C218F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、诋毁其他基金管理人、基金托管人或者基金销售机构；</w:t>
      </w:r>
    </w:p>
    <w:p w14:paraId="6F44F24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、登载任何自然人、法人和非法人组织的祝贺性、恭维性或推荐性的文字；</w:t>
      </w:r>
    </w:p>
    <w:p w14:paraId="430E93B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、中国证监会禁止的其他行为。</w:t>
      </w:r>
    </w:p>
    <w:p w14:paraId="2146715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四、本基金公开披露的信息应采用中文文本。同时采用外文文本的，基金信息披露义务人应保证不同文本的内容一致。不同文本之间发生歧义的，以中文文本为准。</w:t>
      </w:r>
    </w:p>
    <w:p w14:paraId="2676A22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本基金公开披露的信息采用阿拉伯数字；除特别说明外，货币单位为人民币元。</w:t>
      </w:r>
    </w:p>
    <w:p w14:paraId="30373E3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五、公开披露的基金信息</w:t>
      </w:r>
    </w:p>
    <w:p w14:paraId="525B40A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公开披露的基金信息包括：</w:t>
      </w:r>
    </w:p>
    <w:p w14:paraId="11CB99F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（一）基金招募说明书、《基金合同》、基金托管协议、基金产品资料概要</w:t>
      </w:r>
    </w:p>
    <w:p w14:paraId="4ADD552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、《基金合同》是界定《基金合同》当事人的各项权利、义务关系，明确基金</w:t>
      </w:r>
      <w:r>
        <w:rPr>
          <w:rFonts w:hint="eastAsia"/>
          <w:bCs/>
          <w:sz w:val="24"/>
        </w:rPr>
        <w:lastRenderedPageBreak/>
        <w:t>份额持有人大会召开的规则及具体程序，说明基金产品的特性等涉及基金投资者重大利益的事项的法律文件。</w:t>
      </w:r>
    </w:p>
    <w:p w14:paraId="2819295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852C1F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49E8341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C24216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募集申请经中国证监会注册后，基金管理人在基金份额发售的三日前，将基金份额发售公告、基金招募说明书提示性公告、《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4121BF8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（二）基金份额发售公告</w:t>
      </w:r>
    </w:p>
    <w:p w14:paraId="46BDCC4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基金管理人应当就基金份额发售的具体事宜编制基金份额发售公告，并在披露招募说明书的当日登载于规定媒介上。</w:t>
      </w:r>
    </w:p>
    <w:p w14:paraId="7A51992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（三）《基金合同》生效公告</w:t>
      </w:r>
    </w:p>
    <w:p w14:paraId="276D483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基金管理人应当在收到中国证监会确认文件的次日在规定媒介上登载《基金合同》生效公告。</w:t>
      </w:r>
    </w:p>
    <w:p w14:paraId="2677E76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（四）基金净值信息</w:t>
      </w:r>
    </w:p>
    <w:p w14:paraId="60F5459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《基金合同》生效后，在开始办理基金份额申购或者赎回前，基金管理人应当</w:t>
      </w:r>
      <w:r>
        <w:rPr>
          <w:rFonts w:hint="eastAsia"/>
          <w:bCs/>
          <w:sz w:val="24"/>
        </w:rPr>
        <w:lastRenderedPageBreak/>
        <w:t>至少每周在规定网站披露一次各类基金份额净值和各类基金份额累计净值。</w:t>
      </w:r>
    </w:p>
    <w:p w14:paraId="3C7A9BC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在开始办理基金份额申购或者赎回后，基金管理人应当在不晚于每个开放日的次日，通过规定网站、基金销售机构网站或营业网点披露开放日的各类基金份额净值和各类基金份额累计净值。</w:t>
      </w:r>
    </w:p>
    <w:p w14:paraId="46B6DB7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基金管理人应在不晚于半年度和年度最后一日的次日，在规定网站披露半年度和年度最后一日的各类基金份额净值和各类基金份额累计净值。</w:t>
      </w:r>
    </w:p>
    <w:p w14:paraId="700D2FB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（五）基金份额申购、赎回价格</w:t>
      </w:r>
    </w:p>
    <w:p w14:paraId="44ECDCD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DE02DA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（六）基金定期报告，包括基金年度报告、基金中期报告和基金季度报告</w:t>
      </w:r>
    </w:p>
    <w:p w14:paraId="2C43E61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43DFB1D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77B64DA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基金管理人应当在每个季度结束之日起</w:t>
      </w:r>
      <w:r>
        <w:rPr>
          <w:rFonts w:hint="eastAsia"/>
          <w:bCs/>
          <w:sz w:val="24"/>
        </w:rPr>
        <w:t>15</w:t>
      </w:r>
      <w:r>
        <w:rPr>
          <w:rFonts w:hint="eastAsia"/>
          <w:bCs/>
          <w:sz w:val="24"/>
        </w:rPr>
        <w:t>个工作日内，编制完成基金季度报告，将季度报告登载在规定网站上，并将季度报告提示性公告登载在规定报刊上。</w:t>
      </w:r>
    </w:p>
    <w:p w14:paraId="27CD397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0722363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4686A75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基金管理人应当在基金年度报告和中期报告中披露基金组合资产情况及其流动性风险分析等。</w:t>
      </w:r>
    </w:p>
    <w:p w14:paraId="36CF43E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（七）临时报告</w:t>
      </w:r>
    </w:p>
    <w:p w14:paraId="486D83D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本基金发生重大事件，有关信息披露义务人应当依照《信息披露办法》的有关</w:t>
      </w:r>
      <w:r>
        <w:rPr>
          <w:rFonts w:hint="eastAsia"/>
          <w:bCs/>
          <w:sz w:val="24"/>
        </w:rPr>
        <w:lastRenderedPageBreak/>
        <w:t>规定编制临时报告书，并登载在规定报刊和规定网站上。</w:t>
      </w:r>
    </w:p>
    <w:p w14:paraId="2C68619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前款所称重大事件，是指可能对基金份额持有人权益或者基金份额的价格产生重大影响的下列事件：</w:t>
      </w:r>
    </w:p>
    <w:p w14:paraId="3B73DEE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、基金份额持有人大会的召开及决定的事项；</w:t>
      </w:r>
    </w:p>
    <w:p w14:paraId="673C0F7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、基金合同终止、基金清算；</w:t>
      </w:r>
    </w:p>
    <w:p w14:paraId="062A8BF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、转换基金运作方式、基金合并；</w:t>
      </w:r>
    </w:p>
    <w:p w14:paraId="2947877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、更换基金管理人、基金托管人、基金份额登记机构，基金改聘会计师事务所；</w:t>
      </w:r>
    </w:p>
    <w:p w14:paraId="38250E8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00AAA47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、基金管理人、基金托管人的法定名称、住所发生变更；</w:t>
      </w:r>
    </w:p>
    <w:p w14:paraId="2D7419C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7</w:t>
      </w:r>
      <w:r>
        <w:rPr>
          <w:rFonts w:hint="eastAsia"/>
          <w:bCs/>
          <w:sz w:val="24"/>
        </w:rPr>
        <w:t>、基金管理人变更持有百分之五以上股权的股东、基金管理人的实际控制人变更；</w:t>
      </w:r>
    </w:p>
    <w:p w14:paraId="5A0E027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8</w:t>
      </w:r>
      <w:r>
        <w:rPr>
          <w:rFonts w:hint="eastAsia"/>
          <w:bCs/>
          <w:sz w:val="24"/>
        </w:rPr>
        <w:t>、基金募集期延长或提前结束募集；</w:t>
      </w:r>
    </w:p>
    <w:p w14:paraId="6681A1C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9</w:t>
      </w:r>
      <w:r>
        <w:rPr>
          <w:rFonts w:hint="eastAsia"/>
          <w:bCs/>
          <w:sz w:val="24"/>
        </w:rPr>
        <w:t>、基金管理人高级管理人员、基金经理和基金托管人专门基金托管部门负责人发生变动；</w:t>
      </w:r>
    </w:p>
    <w:p w14:paraId="1627375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7982D05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11</w:t>
      </w:r>
      <w:r>
        <w:rPr>
          <w:rFonts w:hint="eastAsia"/>
          <w:bCs/>
          <w:sz w:val="24"/>
        </w:rPr>
        <w:t>、涉及基金财产、基金管理业务、基金托管业务的诉讼或仲裁；</w:t>
      </w:r>
    </w:p>
    <w:p w14:paraId="2A80256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1279B1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7757D7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14</w:t>
      </w:r>
      <w:r>
        <w:rPr>
          <w:rFonts w:hint="eastAsia"/>
          <w:bCs/>
          <w:sz w:val="24"/>
        </w:rPr>
        <w:t>、基金收益分配事项；</w:t>
      </w:r>
    </w:p>
    <w:p w14:paraId="315A722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15</w:t>
      </w:r>
      <w:r>
        <w:rPr>
          <w:rFonts w:hint="eastAsia"/>
          <w:bCs/>
          <w:sz w:val="24"/>
        </w:rPr>
        <w:t>、管理费、托管费、销售服务费、申购费、赎回费等费用计提标准、计提方式和费率发生变更；</w:t>
      </w:r>
    </w:p>
    <w:p w14:paraId="75DB1A8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16</w:t>
      </w:r>
      <w:r>
        <w:rPr>
          <w:rFonts w:hint="eastAsia"/>
          <w:bCs/>
          <w:sz w:val="24"/>
        </w:rPr>
        <w:t>、某一类基金份额净值计价错误达该类基金份额净值百分之零点五；</w:t>
      </w:r>
    </w:p>
    <w:p w14:paraId="7195F313"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17</w:t>
      </w:r>
      <w:r>
        <w:rPr>
          <w:rFonts w:hint="eastAsia"/>
          <w:bCs/>
          <w:sz w:val="24"/>
        </w:rPr>
        <w:t>、本基金开始办理申购、赎回；</w:t>
      </w:r>
    </w:p>
    <w:p w14:paraId="209B231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18</w:t>
      </w:r>
      <w:r>
        <w:rPr>
          <w:rFonts w:hint="eastAsia"/>
          <w:bCs/>
          <w:sz w:val="24"/>
        </w:rPr>
        <w:t>、本基金发生巨额赎回并延期办理；</w:t>
      </w:r>
    </w:p>
    <w:p w14:paraId="7A9E786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19</w:t>
      </w:r>
      <w:r>
        <w:rPr>
          <w:rFonts w:hint="eastAsia"/>
          <w:bCs/>
          <w:sz w:val="24"/>
        </w:rPr>
        <w:t>、本基金连续发生巨额赎回并暂停接受赎回申请或延缓支付赎回款项；</w:t>
      </w:r>
    </w:p>
    <w:p w14:paraId="2C7D1C9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20</w:t>
      </w:r>
      <w:r>
        <w:rPr>
          <w:rFonts w:hint="eastAsia"/>
          <w:bCs/>
          <w:sz w:val="24"/>
        </w:rPr>
        <w:t>、本基金暂停接受申购、赎回申请或重新接受申购、赎回申请；</w:t>
      </w:r>
    </w:p>
    <w:p w14:paraId="56BDE64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21</w:t>
      </w:r>
      <w:r>
        <w:rPr>
          <w:rFonts w:hint="eastAsia"/>
          <w:bCs/>
          <w:sz w:val="24"/>
        </w:rPr>
        <w:t>、在发生涉及基金申购、赎回事项调整或潜在影响投资者赎回等重大事项时；</w:t>
      </w:r>
    </w:p>
    <w:p w14:paraId="4E38187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22</w:t>
      </w:r>
      <w:r>
        <w:rPr>
          <w:rFonts w:hint="eastAsia"/>
          <w:bCs/>
          <w:sz w:val="24"/>
        </w:rPr>
        <w:t>、基金管理人采用摆动定价机制进行估值；</w:t>
      </w:r>
    </w:p>
    <w:p w14:paraId="590EA16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23</w:t>
      </w:r>
      <w:r>
        <w:rPr>
          <w:rFonts w:hint="eastAsia"/>
          <w:bCs/>
          <w:sz w:val="24"/>
        </w:rPr>
        <w:t>、调整基金份额类别设置；</w:t>
      </w:r>
    </w:p>
    <w:p w14:paraId="2153046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bCs/>
          <w:sz w:val="24"/>
        </w:rPr>
        <w:t>4</w:t>
      </w:r>
      <w:r>
        <w:rPr>
          <w:rFonts w:hint="eastAsia"/>
          <w:bCs/>
          <w:sz w:val="24"/>
        </w:rPr>
        <w:t>、基金信息披露义务人认为可能对基金份额持有人权益或者基金份额的价格产生重大影响的其他事项或中国证监会规定的其他事项。</w:t>
      </w:r>
    </w:p>
    <w:p w14:paraId="08DB987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（八）澄清公告</w:t>
      </w:r>
    </w:p>
    <w:p w14:paraId="6B73D80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563462F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（九）基金份额持有人大会决议</w:t>
      </w:r>
    </w:p>
    <w:p w14:paraId="32C6258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基金份额持有人大会决定的事项，应当依法报中国证监会备案，并予以公告。</w:t>
      </w:r>
    </w:p>
    <w:p w14:paraId="769B816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（十）清算报告</w:t>
      </w:r>
    </w:p>
    <w:p w14:paraId="46C0AEA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基金终止运作的，基金管理人应当依法组织基金财产清算小组对基金财产进行清算并作出清算报告。基金财产清算小组应当将清算报告登载在规定网站上，并将清算报告提示性公告登载在规定报刊上。</w:t>
      </w:r>
    </w:p>
    <w:p w14:paraId="68F8185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（十一）实施侧袋机制期间的信息披露</w:t>
      </w:r>
    </w:p>
    <w:p w14:paraId="10CB019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本基金实施侧袋机制的，相关信息披露义务人应当根据法律法规、基金合同和招募说明书的规定进行信息披露，详见招募说明书的规定。</w:t>
      </w:r>
    </w:p>
    <w:p w14:paraId="570825D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（十二）中国证监会规定的其他信息。</w:t>
      </w:r>
    </w:p>
    <w:p w14:paraId="6E9F8C5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79D8593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基金管理人应当在季度报告、中期报告、年度报告等定期报告和招募说明书（更新）等文件中披露国债期货交易情况，包括投资政策、持仓情况、损益情况、风险</w:t>
      </w:r>
      <w:r>
        <w:rPr>
          <w:rFonts w:hint="eastAsia"/>
          <w:bCs/>
          <w:sz w:val="24"/>
        </w:rPr>
        <w:lastRenderedPageBreak/>
        <w:t>指标等，并充分揭示国债期货交易对本基金总体风险的影响以及是否符合既定的投资政策和投资目标。</w:t>
      </w:r>
    </w:p>
    <w:p w14:paraId="7BE2C0C8" w14:textId="77777777" w:rsidR="005E308D" w:rsidRDefault="00945B44">
      <w:pPr>
        <w:spacing w:line="360" w:lineRule="auto"/>
        <w:ind w:firstLineChars="200" w:firstLine="480"/>
        <w:rPr>
          <w:bCs/>
          <w:sz w:val="24"/>
        </w:rPr>
      </w:pPr>
      <w:r>
        <w:rPr>
          <w:rFonts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450AAEF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5E732B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基金管理人在本基金投资非公开发行股票后两个交易日内，在中国证监会规定媒介披露所投资非公开发行股票的名称、数量、总成本、账面价值，以及总成本和账面价值占基金资产净值的比例、锁定期等信息。</w:t>
      </w:r>
    </w:p>
    <w:p w14:paraId="519263E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六、信息披露事务管理</w:t>
      </w:r>
    </w:p>
    <w:p w14:paraId="780FC70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基金管理人、基金托管人应当建立健全信息披露管理制度，指定专门部门及高级管理人员负责管理信息披露事务。</w:t>
      </w:r>
    </w:p>
    <w:p w14:paraId="105301C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基金信息披露义务人公开披露基金信息，应当符合中国证监会相关基金信息披露内容与格式准则等法规的规定。</w:t>
      </w:r>
    </w:p>
    <w:p w14:paraId="5B79006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托管人应当按照相关法律法规、行政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4C11043F"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3DCD1C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0967D666"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98AF2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4F83D8B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七、信息披露文件的存放与查阅</w:t>
      </w:r>
    </w:p>
    <w:p w14:paraId="101E8A6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依法必须披露的信息发布后，基金管理人、基金托管人应当按照相关法律法规规定将信息置备于公司住所，供社会公众查阅、复制。</w:t>
      </w:r>
    </w:p>
    <w:p w14:paraId="7EB1412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八、暂停或延迟信息披露的情形</w:t>
      </w:r>
    </w:p>
    <w:p w14:paraId="711E436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、不可抗力；</w:t>
      </w:r>
    </w:p>
    <w:p w14:paraId="310D6B9D" w14:textId="77777777" w:rsidR="005E308D" w:rsidRDefault="00945B44">
      <w:pPr>
        <w:spacing w:line="360" w:lineRule="auto"/>
        <w:ind w:firstLineChars="200" w:firstLine="480"/>
        <w:rPr>
          <w:bCs/>
          <w:sz w:val="24"/>
        </w:rPr>
      </w:pPr>
      <w:r>
        <w:rPr>
          <w:bCs/>
          <w:sz w:val="24"/>
        </w:rPr>
        <w:t>2</w:t>
      </w:r>
      <w:r>
        <w:rPr>
          <w:bCs/>
          <w:sz w:val="24"/>
        </w:rPr>
        <w:t>、</w:t>
      </w:r>
      <w:r>
        <w:rPr>
          <w:rFonts w:hint="eastAsia"/>
          <w:bCs/>
          <w:sz w:val="24"/>
        </w:rPr>
        <w:t>发生暂停估值的情形；</w:t>
      </w:r>
    </w:p>
    <w:p w14:paraId="6AE636BB" w14:textId="77777777" w:rsidR="005E308D" w:rsidRDefault="00945B44">
      <w:pPr>
        <w:autoSpaceDE w:val="0"/>
        <w:autoSpaceDN w:val="0"/>
        <w:spacing w:line="360" w:lineRule="auto"/>
        <w:ind w:firstLineChars="200" w:firstLine="480"/>
        <w:textAlignment w:val="bottom"/>
        <w:rPr>
          <w:bCs/>
          <w:sz w:val="24"/>
        </w:rPr>
      </w:pPr>
      <w:r>
        <w:rPr>
          <w:bCs/>
          <w:sz w:val="24"/>
        </w:rPr>
        <w:t>3</w:t>
      </w:r>
      <w:r>
        <w:rPr>
          <w:rFonts w:hint="eastAsia"/>
          <w:bCs/>
          <w:sz w:val="24"/>
        </w:rPr>
        <w:t>、法律法规、中国证监会规定或基金合同认定的其他情形。</w:t>
      </w:r>
    </w:p>
    <w:p w14:paraId="1CCE95D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九、本基金信息披露事项以法律法规规定及本章节约定的内容为准。</w:t>
      </w:r>
    </w:p>
    <w:p w14:paraId="3C569D17" w14:textId="77777777" w:rsidR="005E308D" w:rsidRDefault="005E308D">
      <w:pPr>
        <w:autoSpaceDE w:val="0"/>
        <w:autoSpaceDN w:val="0"/>
        <w:spacing w:line="360" w:lineRule="auto"/>
        <w:ind w:firstLineChars="200" w:firstLine="480"/>
        <w:textAlignment w:val="bottom"/>
        <w:rPr>
          <w:bCs/>
          <w:sz w:val="24"/>
        </w:rPr>
      </w:pPr>
    </w:p>
    <w:p w14:paraId="61D5423C" w14:textId="77777777" w:rsidR="005E308D" w:rsidRDefault="00945B44">
      <w:pPr>
        <w:pStyle w:val="1"/>
        <w:spacing w:before="240" w:after="240"/>
        <w:jc w:val="center"/>
        <w:rPr>
          <w:rFonts w:cs="Arial"/>
          <w:b w:val="0"/>
          <w:sz w:val="30"/>
          <w:szCs w:val="30"/>
        </w:rPr>
      </w:pPr>
      <w:r>
        <w:rPr>
          <w:bCs/>
        </w:rPr>
        <w:br w:type="page"/>
      </w:r>
      <w:bookmarkStart w:id="329" w:name="_Toc49433828"/>
      <w:bookmarkStart w:id="330" w:name="_Toc16224"/>
      <w:bookmarkStart w:id="331" w:name="_Toc119568472"/>
      <w:bookmarkStart w:id="332" w:name="_Toc68266303"/>
      <w:bookmarkStart w:id="333" w:name="_Toc63866832"/>
      <w:r>
        <w:rPr>
          <w:rFonts w:cs="Arial" w:hint="eastAsia"/>
          <w:sz w:val="30"/>
          <w:szCs w:val="30"/>
        </w:rPr>
        <w:lastRenderedPageBreak/>
        <w:t>第十六部分 侧袋机制</w:t>
      </w:r>
      <w:bookmarkEnd w:id="329"/>
      <w:bookmarkEnd w:id="330"/>
      <w:bookmarkEnd w:id="331"/>
      <w:bookmarkEnd w:id="332"/>
      <w:bookmarkEnd w:id="333"/>
    </w:p>
    <w:p w14:paraId="4D5AF18E"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一、侧袋机制的实施条件</w:t>
      </w:r>
    </w:p>
    <w:p w14:paraId="34F1B4CB"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37B1B247"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基金管理人应当在启用侧袋机制后及时发布临时公告，并及时聘请侧袋机制启用日发表意见且符合《中华人民共和国证券法》规定的会计师事务所进行审计并披露专项审计意见。</w:t>
      </w:r>
    </w:p>
    <w:p w14:paraId="3711222A"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二、实施侧袋机制期间基金份额的申购与赎回</w:t>
      </w:r>
    </w:p>
    <w:p w14:paraId="27586CF7"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1</w:t>
      </w:r>
      <w:r>
        <w:rPr>
          <w:rFonts w:cs="Arial" w:hint="eastAsia"/>
          <w:color w:val="000000"/>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0659130E"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2</w:t>
      </w:r>
      <w:r>
        <w:rPr>
          <w:rFonts w:cs="Arial" w:hint="eastAsia"/>
          <w:color w:val="000000"/>
          <w:sz w:val="24"/>
        </w:rPr>
        <w:t>、实施侧袋机制期间，基金管理人应对侧袋账户份额实行独立管理，主袋账户沿用原基金代码，侧袋账户使用独立的基金代码。基金管理人不办理侧袋账户份额的申购、赎回和转换；同时，基金管理人按照基金合同和招募说明书的约定办理主袋账户份额的赎回，并根据主袋账户运作情况确定是否暂停申购，具体事项届时将由基金管理人在相关公告中规定。</w:t>
      </w:r>
    </w:p>
    <w:p w14:paraId="223CB2F7"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3</w:t>
      </w:r>
      <w:r>
        <w:rPr>
          <w:rFonts w:cs="Arial" w:hint="eastAsia"/>
          <w:color w:val="000000"/>
          <w:sz w:val="24"/>
        </w:rPr>
        <w:t>、基金管理人应按照主袋账户的份额净值办理主袋账户份额的申购和赎回。本招募说明书“基金份额的申购与赎回”部分的申购、赎回规定适用于主袋账户份额。巨额赎回按照单个开放日内主袋账户份额净赎回申请超过前一开放日的主袋账户总份额的</w:t>
      </w:r>
      <w:r>
        <w:rPr>
          <w:rFonts w:cs="Arial" w:hint="eastAsia"/>
          <w:color w:val="000000"/>
          <w:sz w:val="24"/>
        </w:rPr>
        <w:t>10%</w:t>
      </w:r>
      <w:r>
        <w:rPr>
          <w:rFonts w:cs="Arial" w:hint="eastAsia"/>
          <w:color w:val="000000"/>
          <w:sz w:val="24"/>
        </w:rPr>
        <w:t>认定。</w:t>
      </w:r>
    </w:p>
    <w:p w14:paraId="0DAA6E06"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三、实施侧袋机制期间的基金投资及业绩</w:t>
      </w:r>
    </w:p>
    <w:p w14:paraId="5E4B89CF"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12F2BBCB"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基金管理人原则上应当在侧袋机制启用后</w:t>
      </w:r>
      <w:r>
        <w:rPr>
          <w:rFonts w:cs="Arial" w:hint="eastAsia"/>
          <w:color w:val="000000"/>
          <w:sz w:val="24"/>
        </w:rPr>
        <w:t>20</w:t>
      </w:r>
      <w:r>
        <w:rPr>
          <w:rFonts w:cs="Arial" w:hint="eastAsia"/>
          <w:color w:val="000000"/>
          <w:sz w:val="24"/>
        </w:rPr>
        <w:t>个交易日内完成对主袋账户投资</w:t>
      </w:r>
      <w:r>
        <w:rPr>
          <w:rFonts w:cs="Arial" w:hint="eastAsia"/>
          <w:color w:val="000000"/>
          <w:sz w:val="24"/>
        </w:rPr>
        <w:lastRenderedPageBreak/>
        <w:t>组合的调整，因资产流动性受限等中国证监会规定的情形除外。</w:t>
      </w:r>
    </w:p>
    <w:p w14:paraId="051B1C50"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基金管理人不得在侧袋账户中进行除特定资产处置变现以外的其他投资操作。</w:t>
      </w:r>
    </w:p>
    <w:p w14:paraId="7C19DA10"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侧袋机制实施期间，基金管理人、基金服务机构在计算基金业绩相关指标时仅考虑主袋账户资产，分割侧袋账户资产导致的基金净资产减少在计算基金业绩相关指标时按投资损失处理。基金管理人、基金服务机构在展示基金业绩时，应当就前述情况进行充分的解释说明，避免引起投资者误解。</w:t>
      </w:r>
    </w:p>
    <w:p w14:paraId="06CF9014"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四、实施侧袋机制期间的基金估值与会计核算</w:t>
      </w:r>
    </w:p>
    <w:p w14:paraId="63D6F0E8"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本基金实施侧袋机制的，基金管理人和基金托管人应对主袋账户资产进行估值并披露主袋账户的基金净值信息，暂停披露侧袋账户的基金净值信息。侧袋机制实施期间，基金管理人应对侧袋账户单独设置账套，实行独立核算。如果本基金同时存在多个侧袋账户，不同侧袋账户应分开进行核算。侧袋账户的会计核算应符合《企业会计准则》的相关要求。</w:t>
      </w:r>
    </w:p>
    <w:p w14:paraId="47E4E37A"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五、实施侧袋机制期间的基金费用</w:t>
      </w:r>
    </w:p>
    <w:p w14:paraId="32F78814"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本基金实施侧袋机制的，主袋账户的管理费和托管费按主袋账户基金资产净值作为基数计提；主袋账户的</w:t>
      </w:r>
      <w:r>
        <w:rPr>
          <w:rFonts w:cs="Arial" w:hint="eastAsia"/>
          <w:color w:val="000000"/>
          <w:sz w:val="24"/>
        </w:rPr>
        <w:t>C</w:t>
      </w:r>
      <w:r>
        <w:rPr>
          <w:rFonts w:cs="Arial" w:hint="eastAsia"/>
          <w:color w:val="000000"/>
          <w:sz w:val="24"/>
        </w:rPr>
        <w:t>类基金份额的销售服务费仍按主袋账户</w:t>
      </w:r>
      <w:r>
        <w:rPr>
          <w:rFonts w:cs="Arial" w:hint="eastAsia"/>
          <w:color w:val="000000"/>
          <w:sz w:val="24"/>
        </w:rPr>
        <w:t>C</w:t>
      </w:r>
      <w:r>
        <w:rPr>
          <w:rFonts w:cs="Arial" w:hint="eastAsia"/>
          <w:color w:val="000000"/>
          <w:sz w:val="24"/>
        </w:rPr>
        <w:t>类基金份额的基金资产净值作为基数计提。与侧袋账户有关的费用可从侧袋账户中列支，但应待侧袋账户资产变现后方可列支，有关费用可酌情收取或减免，但不得收取管理费，其他费用详见相关公告的规定。因启用侧袋机制产生的咨询、审计费用等由基金管理人承担。</w:t>
      </w:r>
    </w:p>
    <w:p w14:paraId="5D2C290D"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六、侧袋账户中特定资产的处置变现和支付</w:t>
      </w:r>
    </w:p>
    <w:p w14:paraId="022FC400"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7D7ED32B"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0578080C"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侧袋账户资产全部完成变现并终止侧袋机制后，基金管理人应及时聘请符合《中华人民共和国证券法》规定的会计师事务所进行审计并披露专项审计意见。</w:t>
      </w:r>
    </w:p>
    <w:p w14:paraId="68D95C4B"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lastRenderedPageBreak/>
        <w:t>侧袋账户资产完全清算后，基金管理人应注销侧袋账户。</w:t>
      </w:r>
    </w:p>
    <w:p w14:paraId="75B6A254"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七、侧袋机制的信息披露</w:t>
      </w:r>
    </w:p>
    <w:p w14:paraId="7A7E5EBB"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1</w:t>
      </w:r>
      <w:r>
        <w:rPr>
          <w:rFonts w:cs="Arial" w:hint="eastAsia"/>
          <w:color w:val="000000"/>
          <w:sz w:val="24"/>
        </w:rPr>
        <w:t>、临时公告</w:t>
      </w:r>
    </w:p>
    <w:p w14:paraId="5D0533A1"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在启用侧袋机制、处置特定资产、终止侧袋机制以及发生其他可能对投资者利益产生重大影响的事项后基金管理人应及时发布临时公告。</w:t>
      </w:r>
    </w:p>
    <w:p w14:paraId="2B9A7F88"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2</w:t>
      </w:r>
      <w:r>
        <w:rPr>
          <w:rFonts w:cs="Arial" w:hint="eastAsia"/>
          <w:color w:val="000000"/>
          <w:sz w:val="24"/>
        </w:rPr>
        <w:t>、基金净值信息</w:t>
      </w:r>
    </w:p>
    <w:p w14:paraId="611B484A"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基金管理人应按照招募说明书“基金的信息披露”部分规定的基金净值信息披露方式和频率披露主袋账户份额的基金份额净值和基金份额累计净值。实施侧袋机制期间，本基金暂停披露侧袋账户的基金净值信息。</w:t>
      </w:r>
    </w:p>
    <w:p w14:paraId="6EB12E73"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3</w:t>
      </w:r>
      <w:r>
        <w:rPr>
          <w:rFonts w:cs="Arial" w:hint="eastAsia"/>
          <w:color w:val="000000"/>
          <w:sz w:val="24"/>
        </w:rPr>
        <w:t>、定期报告</w:t>
      </w:r>
    </w:p>
    <w:p w14:paraId="1E4FDD60"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侧袋机制实施期间，基金管理人应当在基金定期报告中披露报告期内侧袋账户相关信息，基金定期报告中的基金会计报表仅需针对主袋账户进行编制。侧袋账户相关信息在定期报告中单独进行披露。会计师事务所对基金年度报告进行审计时，应对报告期内基金侧袋机制运行相关的会计核算和年度报告披露，执行适当程序并发表审计意见。</w:t>
      </w:r>
    </w:p>
    <w:p w14:paraId="78EC7F6B"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八、本部分关于侧袋机制的相关规定，凡是直接引用法律法规或监管规则的部分，如将来法律法规或监管规则修改导致相关内容被取消或变更的，或将来法律法规或监管规则针对侧袋机制的内容有进一步规定的，基金管理人经与基金托管人协商一致并履行适当程序后，在对基金份额持有人利益无实质性不利影响的前提下，可直接对本部分内容进行修改和调整，无需召开基金份额持有人大会审议。</w:t>
      </w:r>
    </w:p>
    <w:p w14:paraId="23E11A05" w14:textId="77777777" w:rsidR="005E308D" w:rsidRDefault="005E308D">
      <w:pPr>
        <w:autoSpaceDE w:val="0"/>
        <w:autoSpaceDN w:val="0"/>
        <w:adjustRightInd w:val="0"/>
        <w:spacing w:line="360" w:lineRule="auto"/>
        <w:ind w:firstLineChars="200" w:firstLine="480"/>
        <w:rPr>
          <w:rFonts w:cs="Arial"/>
          <w:color w:val="000000"/>
          <w:sz w:val="24"/>
        </w:rPr>
        <w:sectPr w:rsidR="005E308D">
          <w:headerReference w:type="even" r:id="rId56"/>
          <w:footerReference w:type="default" r:id="rId57"/>
          <w:headerReference w:type="first" r:id="rId58"/>
          <w:footerReference w:type="first" r:id="rId59"/>
          <w:pgSz w:w="11907" w:h="16840"/>
          <w:pgMar w:top="1440" w:right="1559" w:bottom="1440" w:left="1797" w:header="907" w:footer="964" w:gutter="0"/>
          <w:pgNumType w:chapStyle="1"/>
          <w:cols w:space="425"/>
          <w:titlePg/>
          <w:docGrid w:type="lines" w:linePitch="312"/>
        </w:sectPr>
      </w:pPr>
    </w:p>
    <w:p w14:paraId="0DAFE5E5" w14:textId="77777777" w:rsidR="005E308D" w:rsidRDefault="005E308D">
      <w:pPr>
        <w:widowControl/>
        <w:jc w:val="left"/>
        <w:rPr>
          <w:bCs/>
          <w:sz w:val="24"/>
        </w:rPr>
      </w:pPr>
    </w:p>
    <w:p w14:paraId="30133EE2" w14:textId="77777777" w:rsidR="005E308D" w:rsidRDefault="00945B44">
      <w:pPr>
        <w:pStyle w:val="1"/>
        <w:jc w:val="center"/>
        <w:rPr>
          <w:sz w:val="30"/>
          <w:szCs w:val="30"/>
        </w:rPr>
      </w:pPr>
      <w:bookmarkStart w:id="334" w:name="_Toc214873605"/>
      <w:bookmarkStart w:id="335" w:name="_Toc119568473"/>
      <w:bookmarkStart w:id="336" w:name="_Toc12357178"/>
      <w:bookmarkStart w:id="337" w:name="_Toc416264552"/>
      <w:bookmarkStart w:id="338" w:name="_Toc147463125"/>
      <w:bookmarkStart w:id="339" w:name="_Toc68266304"/>
      <w:bookmarkStart w:id="340" w:name="_Toc21073398"/>
      <w:bookmarkStart w:id="341" w:name="_Toc263092324"/>
      <w:bookmarkStart w:id="342" w:name="_Toc92662708"/>
      <w:bookmarkStart w:id="343" w:name="_Toc93226150"/>
      <w:bookmarkStart w:id="344" w:name="_Toc128310500"/>
      <w:bookmarkStart w:id="345" w:name="_Toc18007"/>
      <w:bookmarkStart w:id="346" w:name="_Toc10894"/>
      <w:bookmarkStart w:id="347" w:name="_Toc18747"/>
      <w:bookmarkStart w:id="348" w:name="_Toc21206"/>
      <w:bookmarkStart w:id="349" w:name="_Toc1043"/>
      <w:bookmarkStart w:id="350" w:name="_Toc141703897"/>
      <w:bookmarkStart w:id="351" w:name="_Toc23859"/>
      <w:bookmarkStart w:id="352" w:name="_Toc17499"/>
      <w:bookmarkStart w:id="353" w:name="_Toc13255"/>
      <w:bookmarkStart w:id="354" w:name="_Toc352229763"/>
      <w:bookmarkStart w:id="355" w:name="_Toc29695"/>
      <w:bookmarkStart w:id="356" w:name="_Toc139991747"/>
      <w:bookmarkStart w:id="357" w:name="_Toc31736"/>
      <w:bookmarkStart w:id="358" w:name="_Toc2896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sz w:val="30"/>
          <w:szCs w:val="30"/>
        </w:rPr>
        <w:t>第十七部分</w:t>
      </w:r>
      <w:r>
        <w:rPr>
          <w:sz w:val="30"/>
          <w:szCs w:val="30"/>
        </w:rPr>
        <w:t xml:space="preserve">  </w:t>
      </w:r>
      <w:r>
        <w:rPr>
          <w:rFonts w:hint="eastAsia"/>
          <w:sz w:val="30"/>
          <w:szCs w:val="30"/>
        </w:rPr>
        <w:t>风险揭示</w:t>
      </w:r>
      <w:bookmarkEnd w:id="334"/>
      <w:bookmarkEnd w:id="335"/>
      <w:bookmarkEnd w:id="336"/>
      <w:bookmarkEnd w:id="337"/>
      <w:bookmarkEnd w:id="338"/>
      <w:bookmarkEnd w:id="339"/>
      <w:bookmarkEnd w:id="340"/>
      <w:bookmarkEnd w:id="341"/>
    </w:p>
    <w:p w14:paraId="6D6042E2"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Times New Roman" w:hint="eastAsia"/>
          <w:sz w:val="24"/>
          <w:szCs w:val="24"/>
        </w:rPr>
        <w:t>一、投资于本基金的主要风险</w:t>
      </w:r>
    </w:p>
    <w:p w14:paraId="20F2CFB0"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、市场风险</w:t>
      </w:r>
    </w:p>
    <w:p w14:paraId="1E1668E2"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证券市场价格受到各种因素的影响，导致基金收益水平变化而产生风险，主要包括：</w:t>
      </w:r>
    </w:p>
    <w:p w14:paraId="5CC266B0"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w:t>
      </w:r>
      <w:r>
        <w:rPr>
          <w:rFonts w:asciiTheme="minorEastAsia" w:hAnsiTheme="minorEastAsia" w:cs="Arial" w:hint="eastAsia"/>
          <w:bCs/>
          <w:sz w:val="24"/>
          <w:szCs w:val="24"/>
        </w:rPr>
        <w:t>）政策风险。因国家宏观政策（如货币政策、财政政策、行业政策、地区发展政策等）发生变化，导致市场价格波动而产生风险。</w:t>
      </w:r>
    </w:p>
    <w:p w14:paraId="28EA5DCF"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2</w:t>
      </w:r>
      <w:r>
        <w:rPr>
          <w:rFonts w:asciiTheme="minorEastAsia" w:hAnsiTheme="minorEastAsia" w:cs="Arial" w:hint="eastAsia"/>
          <w:bCs/>
          <w:sz w:val="24"/>
          <w:szCs w:val="24"/>
        </w:rPr>
        <w:t>）经济周期风险。随着经济运行的周期性变化，证券市场的收益水平也呈周期性变化。本基金主要投资于债券，收益水平也会随之变化，从而产生风险。</w:t>
      </w:r>
    </w:p>
    <w:p w14:paraId="421D88F1"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w:t>
      </w:r>
      <w:r>
        <w:rPr>
          <w:rFonts w:asciiTheme="minorEastAsia" w:hAnsiTheme="minorEastAsia" w:cs="Arial" w:hint="eastAsia"/>
          <w:bCs/>
          <w:sz w:val="24"/>
          <w:szCs w:val="24"/>
        </w:rPr>
        <w:t>）利率风险。金融市场利率的波动会导致证券市场价格和收益率的变动。</w:t>
      </w:r>
    </w:p>
    <w:p w14:paraId="021B6EFB"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4</w:t>
      </w:r>
      <w:r>
        <w:rPr>
          <w:rFonts w:asciiTheme="minorEastAsia" w:hAnsiTheme="minorEastAsia" w:cs="Arial" w:hint="eastAsia"/>
          <w:bCs/>
          <w:sz w:val="24"/>
          <w:szCs w:val="24"/>
        </w:rPr>
        <w:t>）通货膨胀风险。如果发生通货膨胀，基金投资于证券所获得的收益可能会被通货膨胀抵消，从而影响基金资产的保值增值。</w:t>
      </w:r>
    </w:p>
    <w:p w14:paraId="717D3619"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5</w:t>
      </w:r>
      <w:r>
        <w:rPr>
          <w:rFonts w:asciiTheme="minorEastAsia" w:hAnsiTheme="minorEastAsia" w:cs="Arial" w:hint="eastAsia"/>
          <w:bCs/>
          <w:sz w:val="24"/>
          <w:szCs w:val="24"/>
        </w:rPr>
        <w:t>）再投资风险。再投资风险反映了利率下降对固定收益证券利息收入再投资收益的影响，这与利率上升所带来的价格风险（即利率风险）互为消长。</w:t>
      </w:r>
    </w:p>
    <w:p w14:paraId="6B914FA6"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、信用风险</w:t>
      </w:r>
    </w:p>
    <w:p w14:paraId="40A979BB"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信用风险主要指债券、资产支持证券等信用证券发行主体信用状况恶化，导致信用评级下降甚至到期不能履行合约进行兑付的风险，另外，信用风险也包括证券交易对手因违约而产生的证券交割风险。</w:t>
      </w:r>
    </w:p>
    <w:p w14:paraId="40AFE076"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、流动性风险</w:t>
      </w:r>
    </w:p>
    <w:p w14:paraId="3642ED6D"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流动性风险是指因证券市场交易量不足，导致证券不能迅速、低成本地变现的风险。流动性风险还包括基金出现巨额赎回，致使没有足够的现金应付赎回支付所引致的风险。</w:t>
      </w:r>
    </w:p>
    <w:p w14:paraId="409B5147"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（1）拟投资市场、行业及资产的流动性风险评估</w:t>
      </w:r>
    </w:p>
    <w:p w14:paraId="2189F31A"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投资市场主要为证券交易所、全国银行间债券市场等流动性较好的规范型交易场所，主要投资对象为具有良好流动性的金融工具（包括国内依法发行上市的股票、存托凭证、债券和货币市场工具等），同时本基金基于分散投资的原则在行业和个券方面未有高集中度的特征，综合评估在正常市场环境下本基金的流动性风险适中。</w:t>
      </w:r>
    </w:p>
    <w:p w14:paraId="443FEBE9"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 xml:space="preserve">（2）巨额赎回情形下的流动性风险管理措施 </w:t>
      </w:r>
    </w:p>
    <w:p w14:paraId="634A1DB6"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或延缓支付赎回款项的措施。</w:t>
      </w:r>
    </w:p>
    <w:p w14:paraId="2D62C7AE"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（3）实施备用的流动性风险管理工具的情形、程序及对投资者的潜在影响</w:t>
      </w:r>
    </w:p>
    <w:p w14:paraId="41931BA7"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4398AD69" w14:textId="77777777" w:rsidR="005E308D" w:rsidRDefault="00945B44">
      <w:pPr>
        <w:adjustRightInd w:val="0"/>
        <w:snapToGrid w:val="0"/>
        <w:spacing w:line="360" w:lineRule="auto"/>
        <w:ind w:firstLineChars="200" w:firstLine="480"/>
        <w:rPr>
          <w:rFonts w:ascii="宋体" w:hAnsi="宋体" w:cs="Arial" w:hint="eastAsia"/>
          <w:kern w:val="0"/>
          <w:sz w:val="24"/>
          <w:szCs w:val="24"/>
        </w:rPr>
      </w:pPr>
      <w:r>
        <w:rPr>
          <w:rFonts w:ascii="宋体" w:hAnsi="宋体" w:cs="Arial" w:hint="eastAsia"/>
          <w:kern w:val="0"/>
          <w:sz w:val="24"/>
          <w:szCs w:val="24"/>
        </w:rPr>
        <w:t>（4）实施侧袋机制对投资者的影响</w:t>
      </w:r>
    </w:p>
    <w:p w14:paraId="53416385" w14:textId="77777777" w:rsidR="005E308D" w:rsidRDefault="00945B44">
      <w:pPr>
        <w:adjustRightInd w:val="0"/>
        <w:snapToGrid w:val="0"/>
        <w:spacing w:line="360" w:lineRule="auto"/>
        <w:ind w:firstLineChars="200" w:firstLine="480"/>
        <w:rPr>
          <w:rFonts w:ascii="宋体" w:hAnsi="宋体" w:cs="Arial" w:hint="eastAsia"/>
          <w:kern w:val="0"/>
          <w:sz w:val="24"/>
          <w:szCs w:val="24"/>
        </w:rPr>
      </w:pPr>
      <w:r>
        <w:rPr>
          <w:rFonts w:ascii="宋体" w:hAnsi="宋体" w:cs="Arial"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按规定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0E93BF02" w14:textId="77777777" w:rsidR="005E308D" w:rsidRDefault="00945B44">
      <w:pPr>
        <w:adjustRightInd w:val="0"/>
        <w:snapToGrid w:val="0"/>
        <w:spacing w:line="360" w:lineRule="auto"/>
        <w:ind w:firstLineChars="200" w:firstLine="480"/>
        <w:rPr>
          <w:rFonts w:ascii="宋体" w:hAnsi="宋体" w:cs="Arial" w:hint="eastAsia"/>
          <w:kern w:val="0"/>
          <w:sz w:val="24"/>
          <w:szCs w:val="24"/>
        </w:rPr>
      </w:pPr>
      <w:r>
        <w:rPr>
          <w:rFonts w:ascii="宋体" w:hAnsi="宋体" w:cs="Arial" w:hint="eastAsia"/>
          <w:kern w:val="0"/>
          <w:sz w:val="24"/>
          <w:szCs w:val="24"/>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55137376" w14:textId="77777777" w:rsidR="005E308D" w:rsidRDefault="00945B44">
      <w:pPr>
        <w:adjustRightInd w:val="0"/>
        <w:snapToGrid w:val="0"/>
        <w:spacing w:line="360" w:lineRule="auto"/>
        <w:ind w:firstLineChars="200" w:firstLine="480"/>
        <w:rPr>
          <w:rFonts w:ascii="宋体" w:hAnsi="宋体" w:cs="Arial" w:hint="eastAsia"/>
          <w:kern w:val="0"/>
          <w:sz w:val="24"/>
          <w:szCs w:val="24"/>
        </w:rPr>
      </w:pPr>
      <w:r>
        <w:rPr>
          <w:rFonts w:ascii="宋体" w:hAnsi="宋体" w:cs="Arial" w:hint="eastAsia"/>
          <w:kern w:val="0"/>
          <w:sz w:val="24"/>
          <w:szCs w:val="24"/>
        </w:rPr>
        <w:lastRenderedPageBreak/>
        <w:t>基金管理人将根据主袋账户运作情况合理确定申购政策，因此实施侧袋机制后主袋账户份额存在暂停申购的可能。</w:t>
      </w:r>
    </w:p>
    <w:p w14:paraId="6641577F"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w:t>
      </w:r>
      <w:r>
        <w:rPr>
          <w:rFonts w:asciiTheme="minorEastAsia" w:hAnsiTheme="minorEastAsia" w:cs="Arial" w:hint="eastAsia"/>
          <w:bCs/>
          <w:sz w:val="24"/>
          <w:szCs w:val="24"/>
        </w:rPr>
        <w:t>、操作风险</w:t>
      </w:r>
    </w:p>
    <w:p w14:paraId="73C696F9"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操作风险是指基金运作过程中，因内部控制存在缺陷或者人为因素造成操作失误或违反操作规程等引致的风险，例如，越权违规交易、会计部门欺诈、交易错误、</w:t>
      </w:r>
      <w:r>
        <w:rPr>
          <w:rFonts w:asciiTheme="minorEastAsia" w:hAnsiTheme="minorEastAsia" w:cs="Arial"/>
          <w:bCs/>
          <w:sz w:val="24"/>
          <w:szCs w:val="24"/>
        </w:rPr>
        <w:t>IT</w:t>
      </w:r>
      <w:r>
        <w:rPr>
          <w:rFonts w:asciiTheme="minorEastAsia" w:hAnsiTheme="minorEastAsia" w:cs="Arial" w:hint="eastAsia"/>
          <w:bCs/>
          <w:sz w:val="24"/>
          <w:szCs w:val="24"/>
        </w:rPr>
        <w:t>系统故障等风险。</w:t>
      </w:r>
    </w:p>
    <w:p w14:paraId="249AC79E"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5</w:t>
      </w:r>
      <w:r>
        <w:rPr>
          <w:rFonts w:asciiTheme="minorEastAsia" w:hAnsiTheme="minorEastAsia" w:cs="Arial" w:hint="eastAsia"/>
          <w:bCs/>
          <w:sz w:val="24"/>
          <w:szCs w:val="24"/>
        </w:rPr>
        <w:t>、管理风险</w:t>
      </w:r>
    </w:p>
    <w:p w14:paraId="60E8C74C"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5D3292B6"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6</w:t>
      </w:r>
      <w:r>
        <w:rPr>
          <w:rFonts w:asciiTheme="minorEastAsia" w:hAnsiTheme="minorEastAsia" w:cs="Arial" w:hint="eastAsia"/>
          <w:bCs/>
          <w:sz w:val="24"/>
          <w:szCs w:val="24"/>
        </w:rPr>
        <w:t>、合规风险</w:t>
      </w:r>
    </w:p>
    <w:p w14:paraId="783343BA"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合规风险指基金管理或运作过程中，违反国家法律、法规的规定，或者违反《基金合同》有关规定的风险。</w:t>
      </w:r>
    </w:p>
    <w:p w14:paraId="61BA4130"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二、投资于本基金的特有风险</w:t>
      </w:r>
    </w:p>
    <w:p w14:paraId="4163A9C6"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本基金为混合型证券投资基金，存在大类资产配置风险，有可能因为受到经济周期、市场环境或管理人能力等因素的影响，导致基金的大类资产配置比例偏离最优化水平，给基金投资组合的绩效带来风险。同时，本基金在股票投资方面采取自下而上的方法，以深入的基本面研究为基础，精选成长与价值特性突出的上市公司股票，这种对股票的评估具有一定的主观性，将在个股投资决策中给基金带来一定的不确定性，因而存在个股选择风险。</w:t>
      </w:r>
    </w:p>
    <w:p w14:paraId="2774FAE1"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、股指期货、国债期货等金融衍生品投资风险</w:t>
      </w:r>
    </w:p>
    <w:p w14:paraId="4DC95D6F"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4112410B"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股指期货、国债期货采用保证金交易制度，由于保证金交易具有杠杆性，当出现不利行情时，股价、指数微小的变动就可能会使投资者权益遭受较大损失。</w:t>
      </w:r>
      <w:r>
        <w:rPr>
          <w:rFonts w:asciiTheme="minorEastAsia" w:hAnsiTheme="minorEastAsia" w:cs="Arial" w:hint="eastAsia"/>
          <w:bCs/>
          <w:sz w:val="24"/>
          <w:szCs w:val="24"/>
        </w:rPr>
        <w:lastRenderedPageBreak/>
        <w:t>股指期货、国债期货采用每日无负债结算制度，如果没有在规定的时间内补足保证金，按规定将被强制平仓，可能给投资带来重大损失。</w:t>
      </w:r>
    </w:p>
    <w:p w14:paraId="7456150A"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3、资产支持证券投资风险</w:t>
      </w:r>
    </w:p>
    <w:p w14:paraId="25721CDE"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投资资产支持证券，资产支持证券（ABS）或资产支持票据（ABN）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25CA2A6C"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4、股票期权投资风险</w:t>
      </w:r>
    </w:p>
    <w:p w14:paraId="57CA266F"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本基金可投资于股票期权，投资股票期权主要存在市场风险、流动性风险、保证金风险、信用风险、操作风险等风险，极端情况下会给投资组合带来较大损失。</w:t>
      </w:r>
    </w:p>
    <w:p w14:paraId="013148D2"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5、存托凭证投资风险</w:t>
      </w:r>
    </w:p>
    <w:p w14:paraId="5AC34142"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资产可投资于存托凭证，会面临与创新企业、境外发行人、中国存托凭证发行机制以及交易机制等差异带来的特有风险，包括但不限于创新企业业务持续能力和盈利能力等经营风险，存托凭证持有人与境外基础证券发行人的股东在法律地位、享有权利等方面存在差异可能引发的风险；存托协议自动约束存托凭证持有人的风险；存托凭证持有人在分红派息、行使表决权等方面的特殊安排可能引发的风险；存托凭证退市的风险；因多地上市造成存托凭证价格差异以及受境外市场影响交易价格大幅波动的风险；存托凭证持有人权益被摊薄的风险；已在境外上市的基础证券发行人，在持续信息披露监管方面与境内可能存在差异的风险；境内外法律制度、监管环境差异可能导致的其他风险等本基金可投资存托凭证，基金净值可能受到存托凭证的境外基础证券价格波动影响，存托凭证的境外基础证券的相关风险可能直接或间接成为本基金的风险。</w:t>
      </w:r>
    </w:p>
    <w:p w14:paraId="0FAB57D3"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三、其他风险</w:t>
      </w:r>
    </w:p>
    <w:p w14:paraId="3B54E63C"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、技术风险</w:t>
      </w:r>
    </w:p>
    <w:p w14:paraId="4311688F"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在开放式基金的各种交易行为或者后台运作中，可能因为技术系统的故障或</w:t>
      </w:r>
      <w:r>
        <w:rPr>
          <w:rFonts w:asciiTheme="minorEastAsia" w:hAnsiTheme="minorEastAsia" w:cs="Arial" w:hint="eastAsia"/>
          <w:bCs/>
          <w:sz w:val="24"/>
          <w:szCs w:val="24"/>
        </w:rPr>
        <w:lastRenderedPageBreak/>
        <w:t>者差错而影响交易的正常进行或者导致投资者的利益受到影响。这种技术风险可能来自基金管理公司、登记机构、销售机构、证券交易所、证券登记结算机构等等。</w:t>
      </w:r>
    </w:p>
    <w:p w14:paraId="0DE50AD9"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、法律风险</w:t>
      </w:r>
    </w:p>
    <w:p w14:paraId="26DDD298"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由于法律法规方面的原因，某些市场行为受到限制或合同不能正常执行，导致基金资产的损失。</w:t>
      </w:r>
    </w:p>
    <w:p w14:paraId="26E4C7B2"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、其他风险</w:t>
      </w:r>
    </w:p>
    <w:p w14:paraId="31CDAD2A"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14:paraId="3A78F242" w14:textId="77777777" w:rsidR="005E308D" w:rsidRDefault="00945B44">
      <w:pPr>
        <w:widowControl/>
        <w:spacing w:line="360" w:lineRule="auto"/>
        <w:ind w:firstLine="420"/>
        <w:jc w:val="left"/>
        <w:rPr>
          <w:rFonts w:asciiTheme="minorEastAsia" w:hAnsiTheme="minorEastAsia" w:cs="Arial" w:hint="eastAsia"/>
          <w:bCs/>
          <w:sz w:val="24"/>
          <w:szCs w:val="24"/>
        </w:rPr>
      </w:pPr>
      <w:r>
        <w:rPr>
          <w:rFonts w:asciiTheme="minorEastAsia" w:hAnsiTheme="minorEastAsia" w:cs="Arial"/>
          <w:bCs/>
          <w:sz w:val="24"/>
          <w:szCs w:val="24"/>
        </w:rPr>
        <w:t>4、基金管理人职责终止风险</w:t>
      </w:r>
    </w:p>
    <w:p w14:paraId="4CF2AB30" w14:textId="77777777" w:rsidR="005E308D" w:rsidRDefault="00945B44">
      <w:pPr>
        <w:widowControl/>
        <w:spacing w:line="360" w:lineRule="auto"/>
        <w:ind w:firstLine="420"/>
        <w:jc w:val="left"/>
        <w:rPr>
          <w:rFonts w:asciiTheme="minorEastAsia" w:hAnsiTheme="minorEastAsia" w:cs="Arial" w:hint="eastAsia"/>
          <w:bCs/>
          <w:sz w:val="24"/>
          <w:szCs w:val="24"/>
        </w:rPr>
        <w:sectPr w:rsidR="005E308D">
          <w:headerReference w:type="even" r:id="rId60"/>
          <w:headerReference w:type="default" r:id="rId61"/>
          <w:footerReference w:type="default" r:id="rId62"/>
          <w:headerReference w:type="first" r:id="rId63"/>
          <w:pgSz w:w="11906" w:h="16838"/>
          <w:pgMar w:top="1440" w:right="1800" w:bottom="1440" w:left="1800" w:header="851" w:footer="992" w:gutter="0"/>
          <w:pgNumType w:chapStyle="1"/>
          <w:cols w:space="720"/>
          <w:docGrid w:type="lines" w:linePitch="312"/>
        </w:sectPr>
      </w:pPr>
      <w:r>
        <w:rPr>
          <w:rFonts w:asciiTheme="minorEastAsia" w:hAnsiTheme="minorEastAsia" w:cs="Arial" w:hint="eastAsia"/>
          <w:bCs/>
          <w:sz w:val="24"/>
          <w:szCs w:val="24"/>
        </w:rPr>
        <w:t>因违法经营或者出现重大风险等情况，可能发生基金管理人被依法取消基金管理资格或依法解散、被依法撤销或者被依法宣告破产等情况。在基金管理人职责终止情况下，投资者面临基金管理人变更或基金合同终止的风险。基金管理人职责终止，涉及基金管理人、临时基金管理人、新任基金管理人之间责任划分的，相关基金管理人对各自履职行为依法承担责任。</w:t>
      </w:r>
    </w:p>
    <w:p w14:paraId="149E28C8" w14:textId="77777777" w:rsidR="005E308D" w:rsidRDefault="00945B44">
      <w:pPr>
        <w:pStyle w:val="1"/>
        <w:ind w:firstLine="600"/>
        <w:jc w:val="center"/>
      </w:pPr>
      <w:bookmarkStart w:id="359" w:name="_Toc119568474"/>
      <w:bookmarkStart w:id="360" w:name="_Toc68266305"/>
      <w:r>
        <w:rPr>
          <w:rFonts w:hint="eastAsia"/>
          <w:sz w:val="30"/>
          <w:szCs w:val="30"/>
        </w:rPr>
        <w:lastRenderedPageBreak/>
        <w:t>第十八部分</w:t>
      </w:r>
      <w:r>
        <w:rPr>
          <w:sz w:val="30"/>
          <w:szCs w:val="30"/>
        </w:rPr>
        <w:t xml:space="preserve">  </w:t>
      </w:r>
      <w:bookmarkEnd w:id="342"/>
      <w:bookmarkEnd w:id="343"/>
      <w:r>
        <w:rPr>
          <w:rFonts w:hint="eastAsia"/>
          <w:sz w:val="30"/>
          <w:szCs w:val="30"/>
        </w:rPr>
        <w:t>基金合同的变更、终止与基金财产的清算</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128F3A0E" w14:textId="77777777" w:rsidR="005E308D" w:rsidRDefault="00945B44">
      <w:pPr>
        <w:autoSpaceDE w:val="0"/>
        <w:autoSpaceDN w:val="0"/>
        <w:spacing w:line="360" w:lineRule="auto"/>
        <w:ind w:firstLineChars="200" w:firstLine="480"/>
        <w:textAlignment w:val="bottom"/>
        <w:rPr>
          <w:bCs/>
          <w:sz w:val="24"/>
        </w:rPr>
      </w:pPr>
      <w:bookmarkStart w:id="361" w:name="_Toc79392639"/>
      <w:bookmarkStart w:id="362" w:name="_Toc8512"/>
      <w:bookmarkStart w:id="363" w:name="_Toc1421"/>
      <w:bookmarkStart w:id="364" w:name="_Toc352229764"/>
      <w:bookmarkStart w:id="365" w:name="_Toc139991748"/>
      <w:bookmarkStart w:id="366" w:name="_Toc3056"/>
      <w:bookmarkStart w:id="367" w:name="_Toc141703898"/>
      <w:bookmarkStart w:id="368" w:name="_Toc1173"/>
      <w:bookmarkStart w:id="369" w:name="_Toc31866"/>
      <w:bookmarkStart w:id="370" w:name="_Toc93226151"/>
      <w:bookmarkStart w:id="371" w:name="_Toc11049"/>
      <w:bookmarkStart w:id="372" w:name="_Toc29289"/>
      <w:bookmarkStart w:id="373" w:name="_Toc21351"/>
      <w:bookmarkStart w:id="374" w:name="_Toc12028"/>
      <w:bookmarkStart w:id="375" w:name="_Toc193"/>
      <w:bookmarkStart w:id="376" w:name="_Toc128310501"/>
      <w:bookmarkStart w:id="377" w:name="_Toc92662709"/>
      <w:bookmarkStart w:id="378" w:name="_Toc11802"/>
      <w:r>
        <w:rPr>
          <w:bCs/>
          <w:sz w:val="24"/>
        </w:rPr>
        <w:t>一、《基金合同》的变更</w:t>
      </w:r>
      <w:bookmarkEnd w:id="361"/>
    </w:p>
    <w:p w14:paraId="1BB2E3CF" w14:textId="77777777" w:rsidR="005E308D" w:rsidRDefault="00945B44">
      <w:pPr>
        <w:autoSpaceDE w:val="0"/>
        <w:autoSpaceDN w:val="0"/>
        <w:spacing w:line="360" w:lineRule="auto"/>
        <w:ind w:firstLineChars="200" w:firstLine="480"/>
        <w:textAlignment w:val="bottom"/>
        <w:rPr>
          <w:bCs/>
          <w:sz w:val="24"/>
        </w:rPr>
      </w:pPr>
      <w:r>
        <w:rPr>
          <w:bCs/>
          <w:sz w:val="24"/>
        </w:rPr>
        <w:t>1</w:t>
      </w:r>
      <w:r>
        <w:rPr>
          <w:bCs/>
          <w:sz w:val="24"/>
        </w:rPr>
        <w:t>、变更基金合同</w:t>
      </w:r>
      <w:r>
        <w:rPr>
          <w:rFonts w:hint="eastAsia"/>
          <w:bCs/>
          <w:sz w:val="24"/>
        </w:rPr>
        <w:t>涉及</w:t>
      </w:r>
      <w:r>
        <w:rPr>
          <w:bCs/>
          <w:sz w:val="24"/>
        </w:rPr>
        <w:t>法律法规规定或</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38DA42EF" w14:textId="77777777" w:rsidR="005E308D" w:rsidRDefault="00945B44">
      <w:pPr>
        <w:autoSpaceDE w:val="0"/>
        <w:autoSpaceDN w:val="0"/>
        <w:spacing w:line="360" w:lineRule="auto"/>
        <w:ind w:firstLineChars="200" w:firstLine="480"/>
        <w:textAlignment w:val="bottom"/>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自表决通过之日起生效，并自决议生效后依照《信息披露办法》的有关规定在</w:t>
      </w:r>
      <w:r>
        <w:rPr>
          <w:bCs/>
          <w:sz w:val="24"/>
        </w:rPr>
        <w:t>规定媒介公告。</w:t>
      </w:r>
    </w:p>
    <w:p w14:paraId="28469049" w14:textId="77777777" w:rsidR="005E308D" w:rsidRDefault="00945B44">
      <w:pPr>
        <w:autoSpaceDE w:val="0"/>
        <w:autoSpaceDN w:val="0"/>
        <w:spacing w:line="360" w:lineRule="auto"/>
        <w:ind w:firstLineChars="200" w:firstLine="480"/>
        <w:textAlignment w:val="bottom"/>
        <w:rPr>
          <w:bCs/>
          <w:sz w:val="24"/>
        </w:rPr>
      </w:pPr>
      <w:r>
        <w:rPr>
          <w:bCs/>
          <w:sz w:val="24"/>
        </w:rPr>
        <w:t>二、《基金合同》的终止事由</w:t>
      </w:r>
    </w:p>
    <w:p w14:paraId="361A029B" w14:textId="77777777" w:rsidR="005E308D" w:rsidRDefault="00945B44">
      <w:pPr>
        <w:autoSpaceDE w:val="0"/>
        <w:autoSpaceDN w:val="0"/>
        <w:spacing w:line="360" w:lineRule="auto"/>
        <w:ind w:firstLineChars="200" w:firstLine="480"/>
        <w:textAlignment w:val="bottom"/>
        <w:rPr>
          <w:bCs/>
          <w:sz w:val="24"/>
        </w:rPr>
      </w:pPr>
      <w:r>
        <w:rPr>
          <w:bCs/>
          <w:sz w:val="24"/>
        </w:rPr>
        <w:t>有下列情形之一的，</w:t>
      </w:r>
      <w:r>
        <w:rPr>
          <w:rFonts w:hint="eastAsia"/>
          <w:bCs/>
          <w:sz w:val="24"/>
        </w:rPr>
        <w:t>经履行相关程序后，</w:t>
      </w:r>
      <w:r>
        <w:rPr>
          <w:bCs/>
          <w:sz w:val="24"/>
        </w:rPr>
        <w:t>《基金合同》应当终止：</w:t>
      </w:r>
    </w:p>
    <w:p w14:paraId="1EE2D618" w14:textId="77777777" w:rsidR="005E308D" w:rsidRDefault="00945B44">
      <w:pPr>
        <w:autoSpaceDE w:val="0"/>
        <w:autoSpaceDN w:val="0"/>
        <w:spacing w:line="360" w:lineRule="auto"/>
        <w:ind w:firstLineChars="200" w:firstLine="480"/>
        <w:textAlignment w:val="bottom"/>
        <w:rPr>
          <w:bCs/>
          <w:sz w:val="24"/>
        </w:rPr>
      </w:pPr>
      <w:r>
        <w:rPr>
          <w:bCs/>
          <w:sz w:val="24"/>
        </w:rPr>
        <w:t>1</w:t>
      </w:r>
      <w:r>
        <w:rPr>
          <w:bCs/>
          <w:sz w:val="24"/>
        </w:rPr>
        <w:t>、基金份额持有人大会决定终止的；</w:t>
      </w:r>
    </w:p>
    <w:p w14:paraId="7F3C0BC4" w14:textId="77777777" w:rsidR="005E308D" w:rsidRDefault="00945B44">
      <w:pPr>
        <w:autoSpaceDE w:val="0"/>
        <w:autoSpaceDN w:val="0"/>
        <w:spacing w:line="360" w:lineRule="auto"/>
        <w:ind w:firstLineChars="200" w:firstLine="480"/>
        <w:textAlignment w:val="bottom"/>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D9C4F1F"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bCs/>
          <w:sz w:val="24"/>
        </w:rPr>
        <w:t>、《基金合同》约定的其他情形；</w:t>
      </w:r>
    </w:p>
    <w:p w14:paraId="309427E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bCs/>
          <w:sz w:val="24"/>
        </w:rPr>
        <w:t>、相关法律法规和中国证监会规定的其他情况。</w:t>
      </w:r>
    </w:p>
    <w:p w14:paraId="3ECBF2B5" w14:textId="77777777" w:rsidR="005E308D" w:rsidRDefault="00945B44">
      <w:pPr>
        <w:autoSpaceDE w:val="0"/>
        <w:autoSpaceDN w:val="0"/>
        <w:spacing w:line="360" w:lineRule="auto"/>
        <w:ind w:firstLineChars="200" w:firstLine="480"/>
        <w:textAlignment w:val="bottom"/>
        <w:rPr>
          <w:bCs/>
          <w:sz w:val="24"/>
        </w:rPr>
      </w:pPr>
      <w:r>
        <w:rPr>
          <w:bCs/>
          <w:sz w:val="24"/>
        </w:rPr>
        <w:t>三、基金财产的清算</w:t>
      </w:r>
    </w:p>
    <w:p w14:paraId="312AD429" w14:textId="77777777" w:rsidR="005E308D" w:rsidRDefault="00945B44">
      <w:pPr>
        <w:autoSpaceDE w:val="0"/>
        <w:autoSpaceDN w:val="0"/>
        <w:spacing w:line="360" w:lineRule="auto"/>
        <w:ind w:firstLineChars="200" w:firstLine="480"/>
        <w:textAlignment w:val="bottom"/>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w:t>
      </w:r>
      <w:r>
        <w:rPr>
          <w:rFonts w:hint="eastAsia"/>
          <w:bCs/>
          <w:sz w:val="24"/>
        </w:rPr>
        <w:t>或临时基金管理人</w:t>
      </w:r>
      <w:r>
        <w:rPr>
          <w:bCs/>
          <w:sz w:val="24"/>
        </w:rPr>
        <w:t>组织基金财产清算小组并在中国证监会的监督下进行基金清算。</w:t>
      </w:r>
    </w:p>
    <w:p w14:paraId="5319EA88" w14:textId="77777777" w:rsidR="005E308D" w:rsidRDefault="00945B44">
      <w:pPr>
        <w:autoSpaceDE w:val="0"/>
        <w:autoSpaceDN w:val="0"/>
        <w:spacing w:line="360" w:lineRule="auto"/>
        <w:ind w:firstLineChars="200" w:firstLine="480"/>
        <w:textAlignment w:val="bottom"/>
        <w:rPr>
          <w:bCs/>
          <w:sz w:val="24"/>
        </w:rPr>
      </w:pPr>
      <w:r>
        <w:rPr>
          <w:bCs/>
          <w:sz w:val="24"/>
        </w:rPr>
        <w:t>2</w:t>
      </w:r>
      <w:r>
        <w:rPr>
          <w:bCs/>
          <w:sz w:val="24"/>
        </w:rPr>
        <w:t>、基金财产清算小组组成：基金财产清算小组成员由基金管理人</w:t>
      </w:r>
      <w:r>
        <w:rPr>
          <w:rFonts w:hint="eastAsia"/>
          <w:bCs/>
          <w:sz w:val="24"/>
        </w:rPr>
        <w:t>或临时基金管理人</w:t>
      </w:r>
      <w:r>
        <w:rPr>
          <w:bCs/>
          <w:sz w:val="24"/>
        </w:rPr>
        <w:t>、基金托管人、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244741BE" w14:textId="77777777" w:rsidR="005E308D" w:rsidRDefault="00945B44">
      <w:pPr>
        <w:autoSpaceDE w:val="0"/>
        <w:autoSpaceDN w:val="0"/>
        <w:spacing w:line="360" w:lineRule="auto"/>
        <w:ind w:firstLineChars="200" w:firstLine="480"/>
        <w:textAlignment w:val="bottom"/>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CB1E3CC" w14:textId="77777777" w:rsidR="005E308D" w:rsidRDefault="00945B44">
      <w:pPr>
        <w:autoSpaceDE w:val="0"/>
        <w:autoSpaceDN w:val="0"/>
        <w:spacing w:line="360" w:lineRule="auto"/>
        <w:ind w:firstLineChars="200" w:firstLine="480"/>
        <w:textAlignment w:val="bottom"/>
        <w:rPr>
          <w:bCs/>
          <w:sz w:val="24"/>
        </w:rPr>
      </w:pPr>
      <w:r>
        <w:rPr>
          <w:bCs/>
          <w:sz w:val="24"/>
        </w:rPr>
        <w:t>4</w:t>
      </w:r>
      <w:r>
        <w:rPr>
          <w:bCs/>
          <w:sz w:val="24"/>
        </w:rPr>
        <w:t>、基金财产清算程序：</w:t>
      </w:r>
    </w:p>
    <w:p w14:paraId="2F7CF7C8" w14:textId="77777777" w:rsidR="005E308D" w:rsidRDefault="00945B44">
      <w:pPr>
        <w:autoSpaceDE w:val="0"/>
        <w:autoSpaceDN w:val="0"/>
        <w:spacing w:line="360" w:lineRule="auto"/>
        <w:ind w:firstLineChars="200" w:firstLine="480"/>
        <w:textAlignment w:val="bottom"/>
        <w:rPr>
          <w:bCs/>
          <w:sz w:val="24"/>
        </w:rPr>
      </w:pPr>
      <w:r>
        <w:rPr>
          <w:bCs/>
          <w:sz w:val="24"/>
        </w:rPr>
        <w:t>（</w:t>
      </w:r>
      <w:r>
        <w:rPr>
          <w:bCs/>
          <w:sz w:val="24"/>
        </w:rPr>
        <w:t>1</w:t>
      </w:r>
      <w:r>
        <w:rPr>
          <w:bCs/>
          <w:sz w:val="24"/>
        </w:rPr>
        <w:t>）《基金合同》终止情形出现时，由基金财产清算小组统一接管基金；</w:t>
      </w:r>
    </w:p>
    <w:p w14:paraId="683A71FF" w14:textId="77777777" w:rsidR="005E308D" w:rsidRDefault="00945B44">
      <w:pPr>
        <w:autoSpaceDE w:val="0"/>
        <w:autoSpaceDN w:val="0"/>
        <w:spacing w:line="360" w:lineRule="auto"/>
        <w:ind w:firstLineChars="200" w:firstLine="480"/>
        <w:textAlignment w:val="bottom"/>
        <w:rPr>
          <w:bCs/>
          <w:sz w:val="24"/>
        </w:rPr>
      </w:pPr>
      <w:r>
        <w:rPr>
          <w:bCs/>
          <w:sz w:val="24"/>
        </w:rPr>
        <w:t>（</w:t>
      </w:r>
      <w:r>
        <w:rPr>
          <w:bCs/>
          <w:sz w:val="24"/>
        </w:rPr>
        <w:t>2</w:t>
      </w:r>
      <w:r>
        <w:rPr>
          <w:bCs/>
          <w:sz w:val="24"/>
        </w:rPr>
        <w:t>）对基金财产和债权债务进行清理和确认；</w:t>
      </w:r>
    </w:p>
    <w:p w14:paraId="25342246" w14:textId="77777777" w:rsidR="005E308D" w:rsidRDefault="00945B44">
      <w:pPr>
        <w:autoSpaceDE w:val="0"/>
        <w:autoSpaceDN w:val="0"/>
        <w:spacing w:line="360" w:lineRule="auto"/>
        <w:ind w:firstLineChars="200" w:firstLine="480"/>
        <w:textAlignment w:val="bottom"/>
        <w:rPr>
          <w:bCs/>
          <w:sz w:val="24"/>
        </w:rPr>
      </w:pPr>
      <w:r>
        <w:rPr>
          <w:bCs/>
          <w:sz w:val="24"/>
        </w:rPr>
        <w:t>（</w:t>
      </w:r>
      <w:r>
        <w:rPr>
          <w:bCs/>
          <w:sz w:val="24"/>
        </w:rPr>
        <w:t>3</w:t>
      </w:r>
      <w:r>
        <w:rPr>
          <w:bCs/>
          <w:sz w:val="24"/>
        </w:rPr>
        <w:t>）对基金财产进行估值和变现；</w:t>
      </w:r>
    </w:p>
    <w:p w14:paraId="5C139AB7" w14:textId="77777777" w:rsidR="005E308D" w:rsidRDefault="00945B44">
      <w:pPr>
        <w:autoSpaceDE w:val="0"/>
        <w:autoSpaceDN w:val="0"/>
        <w:spacing w:line="360" w:lineRule="auto"/>
        <w:ind w:firstLineChars="200" w:firstLine="480"/>
        <w:textAlignment w:val="bottom"/>
        <w:rPr>
          <w:bCs/>
          <w:sz w:val="24"/>
        </w:rPr>
      </w:pPr>
      <w:r>
        <w:rPr>
          <w:bCs/>
          <w:sz w:val="24"/>
        </w:rPr>
        <w:lastRenderedPageBreak/>
        <w:t>（</w:t>
      </w:r>
      <w:r>
        <w:rPr>
          <w:bCs/>
          <w:sz w:val="24"/>
        </w:rPr>
        <w:t>4</w:t>
      </w:r>
      <w:r>
        <w:rPr>
          <w:bCs/>
          <w:sz w:val="24"/>
        </w:rPr>
        <w:t>）制作清算报告；</w:t>
      </w:r>
    </w:p>
    <w:p w14:paraId="77233CAA" w14:textId="77777777" w:rsidR="005E308D" w:rsidRDefault="00945B44">
      <w:pPr>
        <w:autoSpaceDE w:val="0"/>
        <w:autoSpaceDN w:val="0"/>
        <w:spacing w:line="360" w:lineRule="auto"/>
        <w:ind w:firstLineChars="200" w:firstLine="480"/>
        <w:textAlignment w:val="bottom"/>
        <w:rPr>
          <w:bCs/>
          <w:sz w:val="24"/>
        </w:rPr>
      </w:pPr>
      <w:r>
        <w:rPr>
          <w:bCs/>
          <w:sz w:val="24"/>
        </w:rPr>
        <w:t>（</w:t>
      </w:r>
      <w:r>
        <w:rPr>
          <w:bCs/>
          <w:sz w:val="24"/>
        </w:rPr>
        <w:t>5</w:t>
      </w:r>
      <w:r>
        <w:rPr>
          <w:bCs/>
          <w:sz w:val="24"/>
        </w:rPr>
        <w:t>）聘请符合《中华人民共和国证券法》规定</w:t>
      </w:r>
      <w:r>
        <w:rPr>
          <w:rFonts w:hint="eastAsia"/>
          <w:bCs/>
          <w:sz w:val="24"/>
        </w:rPr>
        <w:t>的</w:t>
      </w:r>
      <w:r>
        <w:rPr>
          <w:bCs/>
          <w:sz w:val="24"/>
        </w:rPr>
        <w:t>会计师事务所对清算报告进行外部审计，聘请律师事务所对清算报告出具法律意见书；</w:t>
      </w:r>
    </w:p>
    <w:p w14:paraId="1DDB2BF6" w14:textId="77777777" w:rsidR="005E308D" w:rsidRDefault="00945B44">
      <w:pPr>
        <w:autoSpaceDE w:val="0"/>
        <w:autoSpaceDN w:val="0"/>
        <w:spacing w:line="360" w:lineRule="auto"/>
        <w:ind w:firstLineChars="200" w:firstLine="480"/>
        <w:textAlignment w:val="bottom"/>
        <w:rPr>
          <w:bCs/>
          <w:sz w:val="24"/>
        </w:rPr>
      </w:pPr>
      <w:r>
        <w:rPr>
          <w:bCs/>
          <w:sz w:val="24"/>
        </w:rPr>
        <w:t>（</w:t>
      </w:r>
      <w:r>
        <w:rPr>
          <w:bCs/>
          <w:sz w:val="24"/>
        </w:rPr>
        <w:t>6</w:t>
      </w:r>
      <w:r>
        <w:rPr>
          <w:bCs/>
          <w:sz w:val="24"/>
        </w:rPr>
        <w:t>）将清算报告报中国证监会备案并公告</w:t>
      </w:r>
      <w:r>
        <w:rPr>
          <w:rFonts w:hint="eastAsia"/>
          <w:bCs/>
          <w:sz w:val="24"/>
        </w:rPr>
        <w:t>；</w:t>
      </w:r>
    </w:p>
    <w:p w14:paraId="7C324CE9" w14:textId="77777777" w:rsidR="005E308D" w:rsidRDefault="00945B44">
      <w:pPr>
        <w:autoSpaceDE w:val="0"/>
        <w:autoSpaceDN w:val="0"/>
        <w:spacing w:line="360" w:lineRule="auto"/>
        <w:ind w:firstLineChars="200" w:firstLine="480"/>
        <w:textAlignment w:val="bottom"/>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0BD90F7" w14:textId="77777777" w:rsidR="005E308D" w:rsidRDefault="00945B4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但因本基金所持证券的流动性受到限制而不能及时变现的，清算期限可相应顺延</w:t>
      </w:r>
      <w:r>
        <w:rPr>
          <w:bCs/>
          <w:sz w:val="24"/>
        </w:rPr>
        <w:t>。</w:t>
      </w:r>
    </w:p>
    <w:p w14:paraId="736F1331" w14:textId="77777777" w:rsidR="005E308D" w:rsidRDefault="00945B44">
      <w:pPr>
        <w:autoSpaceDE w:val="0"/>
        <w:autoSpaceDN w:val="0"/>
        <w:spacing w:line="360" w:lineRule="auto"/>
        <w:ind w:firstLineChars="200" w:firstLine="480"/>
        <w:textAlignment w:val="bottom"/>
        <w:rPr>
          <w:bCs/>
          <w:sz w:val="24"/>
        </w:rPr>
      </w:pPr>
      <w:r>
        <w:rPr>
          <w:bCs/>
          <w:sz w:val="24"/>
        </w:rPr>
        <w:t>四、清算费用</w:t>
      </w:r>
    </w:p>
    <w:p w14:paraId="0740393D" w14:textId="77777777" w:rsidR="005E308D" w:rsidRDefault="00945B44">
      <w:pPr>
        <w:autoSpaceDE w:val="0"/>
        <w:autoSpaceDN w:val="0"/>
        <w:spacing w:line="360" w:lineRule="auto"/>
        <w:ind w:firstLineChars="200" w:firstLine="480"/>
        <w:textAlignment w:val="bottom"/>
        <w:rPr>
          <w:bCs/>
          <w:sz w:val="24"/>
        </w:rPr>
      </w:pPr>
      <w:r>
        <w:rPr>
          <w:bCs/>
          <w:sz w:val="24"/>
        </w:rPr>
        <w:t>清算费用是指基金财产清算小组在进行基金清算过程中发生的所有合理费用，清算费用由基金财产清算小组优先从基金财产中支付。</w:t>
      </w:r>
    </w:p>
    <w:p w14:paraId="45E08525" w14:textId="77777777" w:rsidR="005E308D" w:rsidRDefault="00945B44">
      <w:pPr>
        <w:autoSpaceDE w:val="0"/>
        <w:autoSpaceDN w:val="0"/>
        <w:spacing w:line="360" w:lineRule="auto"/>
        <w:ind w:firstLineChars="200" w:firstLine="480"/>
        <w:textAlignment w:val="bottom"/>
        <w:rPr>
          <w:bCs/>
          <w:sz w:val="24"/>
        </w:rPr>
      </w:pPr>
      <w:r>
        <w:rPr>
          <w:bCs/>
          <w:sz w:val="24"/>
        </w:rPr>
        <w:t>五、基金财产清算剩余资产的分配</w:t>
      </w:r>
    </w:p>
    <w:p w14:paraId="5160A7D2" w14:textId="77777777" w:rsidR="005E308D" w:rsidRDefault="00945B44">
      <w:pPr>
        <w:autoSpaceDE w:val="0"/>
        <w:autoSpaceDN w:val="0"/>
        <w:spacing w:line="360" w:lineRule="auto"/>
        <w:ind w:firstLineChars="200" w:firstLine="480"/>
        <w:textAlignment w:val="bottom"/>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412F2CB" w14:textId="77777777" w:rsidR="005E308D" w:rsidRDefault="00945B44">
      <w:pPr>
        <w:autoSpaceDE w:val="0"/>
        <w:autoSpaceDN w:val="0"/>
        <w:spacing w:line="360" w:lineRule="auto"/>
        <w:ind w:firstLineChars="200" w:firstLine="480"/>
        <w:textAlignment w:val="bottom"/>
        <w:rPr>
          <w:bCs/>
          <w:sz w:val="24"/>
        </w:rPr>
      </w:pPr>
      <w:r>
        <w:rPr>
          <w:bCs/>
          <w:sz w:val="24"/>
        </w:rPr>
        <w:t>六、基金财产清算的公告</w:t>
      </w:r>
    </w:p>
    <w:p w14:paraId="65F8FE81" w14:textId="77777777" w:rsidR="005E308D" w:rsidRDefault="00945B44">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w:t>
      </w:r>
      <w:r>
        <w:rPr>
          <w:bCs/>
          <w:sz w:val="24"/>
        </w:rPr>
        <w:t>规定</w:t>
      </w:r>
      <w:r>
        <w:rPr>
          <w:rFonts w:hint="eastAsia"/>
          <w:bCs/>
          <w:sz w:val="24"/>
        </w:rPr>
        <w:t>网站上，并将清算报告提示性公告登载在规定报刊上</w:t>
      </w:r>
      <w:r>
        <w:rPr>
          <w:bCs/>
          <w:sz w:val="24"/>
        </w:rPr>
        <w:t>。</w:t>
      </w:r>
    </w:p>
    <w:p w14:paraId="1C4893E0" w14:textId="77777777" w:rsidR="005E308D" w:rsidRDefault="00945B44">
      <w:pPr>
        <w:autoSpaceDE w:val="0"/>
        <w:autoSpaceDN w:val="0"/>
        <w:spacing w:line="360" w:lineRule="auto"/>
        <w:ind w:firstLineChars="200" w:firstLine="480"/>
        <w:textAlignment w:val="bottom"/>
        <w:rPr>
          <w:bCs/>
          <w:sz w:val="24"/>
        </w:rPr>
      </w:pPr>
      <w:r>
        <w:rPr>
          <w:bCs/>
          <w:sz w:val="24"/>
        </w:rPr>
        <w:t>七、基金财产清算账册及文件的保存</w:t>
      </w:r>
    </w:p>
    <w:p w14:paraId="275DB94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bCs/>
          <w:sz w:val="24"/>
        </w:rPr>
        <w:t>基金财产清算账册及有关文件由基金托管人保存，保存期限不低于法律法规</w:t>
      </w:r>
      <w:r>
        <w:rPr>
          <w:rFonts w:hint="eastAsia"/>
          <w:bCs/>
          <w:sz w:val="24"/>
        </w:rPr>
        <w:t>规定</w:t>
      </w:r>
      <w:r>
        <w:rPr>
          <w:bCs/>
          <w:sz w:val="24"/>
        </w:rPr>
        <w:t>的最低期限。</w:t>
      </w:r>
      <w:r>
        <w:rPr>
          <w:rFonts w:asciiTheme="minorEastAsia" w:hAnsiTheme="minorEastAsia" w:cs="Times New Roman"/>
          <w:sz w:val="24"/>
          <w:szCs w:val="24"/>
        </w:rPr>
        <w:br w:type="page"/>
      </w:r>
    </w:p>
    <w:p w14:paraId="519924B8" w14:textId="77777777" w:rsidR="005E308D" w:rsidRDefault="005E308D">
      <w:pPr>
        <w:adjustRightInd w:val="0"/>
        <w:snapToGrid w:val="0"/>
        <w:spacing w:line="360" w:lineRule="auto"/>
        <w:ind w:firstLineChars="200" w:firstLine="480"/>
        <w:rPr>
          <w:rFonts w:asciiTheme="minorEastAsia" w:hAnsiTheme="minorEastAsia" w:cs="Times New Roman" w:hint="eastAsia"/>
          <w:sz w:val="24"/>
          <w:szCs w:val="24"/>
        </w:rPr>
      </w:pPr>
    </w:p>
    <w:p w14:paraId="7B227777" w14:textId="77777777" w:rsidR="005E308D" w:rsidRDefault="00945B44">
      <w:pPr>
        <w:pStyle w:val="1"/>
        <w:jc w:val="center"/>
        <w:rPr>
          <w:sz w:val="30"/>
          <w:szCs w:val="30"/>
        </w:rPr>
      </w:pPr>
      <w:bookmarkStart w:id="379" w:name="_Toc263092326"/>
      <w:bookmarkStart w:id="380" w:name="_Toc214873607"/>
      <w:bookmarkStart w:id="381" w:name="_Toc119568475"/>
      <w:bookmarkStart w:id="382" w:name="_Toc416264553"/>
      <w:bookmarkStart w:id="383" w:name="_Toc123112247"/>
      <w:bookmarkStart w:id="384" w:name="_Toc25647"/>
      <w:bookmarkStart w:id="385" w:name="_Toc8059"/>
      <w:bookmarkStart w:id="386" w:name="_Toc141703899"/>
      <w:bookmarkStart w:id="387" w:name="_Toc123102466"/>
      <w:bookmarkStart w:id="388" w:name="_Toc352229765"/>
      <w:bookmarkStart w:id="389" w:name="_Toc9005"/>
      <w:bookmarkStart w:id="390" w:name="_Toc27464"/>
      <w:bookmarkStart w:id="391" w:name="_Toc98560364"/>
      <w:bookmarkStart w:id="392" w:name="_Toc10006"/>
      <w:bookmarkStart w:id="393" w:name="_Toc7170"/>
      <w:bookmarkStart w:id="394" w:name="_Toc139991749"/>
      <w:bookmarkStart w:id="395" w:name="_Toc123051465"/>
      <w:bookmarkStart w:id="396" w:name="_Toc29891"/>
      <w:bookmarkStart w:id="397" w:name="_Toc6237"/>
      <w:bookmarkStart w:id="398" w:name="_Toc11113"/>
      <w:bookmarkStart w:id="399" w:name="_Toc22978"/>
      <w:bookmarkStart w:id="400" w:name="_Toc8049"/>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Fonts w:hint="eastAsia"/>
          <w:sz w:val="30"/>
          <w:szCs w:val="30"/>
        </w:rPr>
        <w:t>第十九部分</w:t>
      </w:r>
      <w:r>
        <w:rPr>
          <w:sz w:val="30"/>
          <w:szCs w:val="30"/>
        </w:rPr>
        <w:t xml:space="preserve">  </w:t>
      </w:r>
      <w:r>
        <w:rPr>
          <w:rFonts w:hint="eastAsia"/>
          <w:sz w:val="30"/>
          <w:szCs w:val="30"/>
        </w:rPr>
        <w:t>基金合同的内容摘要</w:t>
      </w:r>
      <w:bookmarkEnd w:id="379"/>
      <w:bookmarkEnd w:id="380"/>
      <w:bookmarkEnd w:id="381"/>
      <w:bookmarkEnd w:id="382"/>
    </w:p>
    <w:p w14:paraId="744DFB2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一、基金份额持有人、基金管理人和基金托管人的权利、义务</w:t>
      </w:r>
    </w:p>
    <w:p w14:paraId="6EA8E8C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w:t>
      </w:r>
      <w:r>
        <w:rPr>
          <w:rFonts w:asciiTheme="minorEastAsia" w:hAnsiTheme="minorEastAsia" w:cs="Times New Roman" w:hint="eastAsia"/>
          <w:bCs/>
          <w:sz w:val="24"/>
          <w:szCs w:val="24"/>
        </w:rPr>
        <w:tab/>
        <w:t>基金管理人的权利与义务</w:t>
      </w:r>
    </w:p>
    <w:p w14:paraId="60F7CE0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1、根据《基金法》、《运作办法》及其他有关规定，基金管理人的权利包括但不限于：</w:t>
      </w:r>
    </w:p>
    <w:p w14:paraId="1DA7960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（1）依法募集资金；</w:t>
      </w:r>
    </w:p>
    <w:p w14:paraId="41330F7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（2）自《基金合同》生效之日起，根据法律法规和《基金合同》独立运用并管理基金财产；</w:t>
      </w:r>
    </w:p>
    <w:p w14:paraId="5EE607C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（3）依照《基金合同》收取基金管理费以及法律法规规定或中国证监会批准的其他费用；</w:t>
      </w:r>
    </w:p>
    <w:p w14:paraId="39C611B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（4）销售基金份额；</w:t>
      </w:r>
    </w:p>
    <w:p w14:paraId="7EA1CBC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（5）按照规定召集基金份额持有人大会；</w:t>
      </w:r>
    </w:p>
    <w:p w14:paraId="201383A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27ADBEE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（7）在基金托管人更换时，提名新的基金托管人；</w:t>
      </w:r>
    </w:p>
    <w:p w14:paraId="4F80C68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（8）选择、更换基金销售机构，对基金销售机构的相关行为进行监督和处理； </w:t>
      </w:r>
    </w:p>
    <w:p w14:paraId="1A4E295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（9）担任或委托其他符合条件的机构担任基金登记机构办理基金登记业务并获得《基金合同》规定的费用； </w:t>
      </w:r>
    </w:p>
    <w:p w14:paraId="43952D8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（10）依据《基金合同》及有关法律规定决定基金收益的分配方案；</w:t>
      </w:r>
      <w:r>
        <w:rPr>
          <w:rFonts w:asciiTheme="minorEastAsia" w:hAnsiTheme="minorEastAsia" w:cs="Times New Roman" w:hint="eastAsia"/>
          <w:bCs/>
          <w:sz w:val="24"/>
          <w:szCs w:val="24"/>
        </w:rPr>
        <w:tab/>
      </w:r>
    </w:p>
    <w:p w14:paraId="4D0040A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（11）在《基金合同》约定的范围内，拒绝或暂停受理申购、赎回或转换申请； </w:t>
      </w:r>
    </w:p>
    <w:p w14:paraId="1DBC16E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（12）依照法律法规为基金的利益对被投资公司行使股东权利，为基金的利益行使因基金财产投资于证券所产生的权利；</w:t>
      </w:r>
      <w:r>
        <w:rPr>
          <w:rFonts w:asciiTheme="minorEastAsia" w:hAnsiTheme="minorEastAsia" w:cs="Times New Roman" w:hint="eastAsia"/>
          <w:bCs/>
          <w:sz w:val="24"/>
          <w:szCs w:val="24"/>
        </w:rPr>
        <w:tab/>
      </w:r>
    </w:p>
    <w:p w14:paraId="53C6D75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（13）在法律法规允许的前提下，为基金的利益依法为基金进行融资；</w:t>
      </w:r>
    </w:p>
    <w:p w14:paraId="0E40B68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（14）以基金管理人的名义，代表基金份额持有人的利益行使诉讼权利或者实施其他法律行为；</w:t>
      </w:r>
      <w:r>
        <w:rPr>
          <w:rFonts w:asciiTheme="minorEastAsia" w:hAnsiTheme="minorEastAsia" w:cs="Times New Roman" w:hint="eastAsia"/>
          <w:bCs/>
          <w:sz w:val="24"/>
          <w:szCs w:val="24"/>
        </w:rPr>
        <w:tab/>
      </w:r>
    </w:p>
    <w:p w14:paraId="63A7CF5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（15）选择、更换律师事务所、会计师事务所、证券/期货经纪商或其他为基金提供服务的外部机构；</w:t>
      </w:r>
      <w:r>
        <w:rPr>
          <w:rFonts w:asciiTheme="minorEastAsia" w:hAnsiTheme="minorEastAsia" w:cs="Times New Roman" w:hint="eastAsia"/>
          <w:bCs/>
          <w:sz w:val="24"/>
          <w:szCs w:val="24"/>
        </w:rPr>
        <w:tab/>
      </w:r>
    </w:p>
    <w:p w14:paraId="37C9CBB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（16）在符合有关法律、法规的前提下，制订和调整有关基金认购、申购、赎回、转换、非交易过户、转托管和收益分配等的业务规则；</w:t>
      </w:r>
    </w:p>
    <w:p w14:paraId="539A060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（17）法律法规及中国证监会规定的和《基金合同》约定的其他权利。</w:t>
      </w:r>
    </w:p>
    <w:p w14:paraId="56E5F16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2、根据《基金法》、《运作办法》及其他有关规定，基金管理人的义务包括但不限于：</w:t>
      </w:r>
    </w:p>
    <w:p w14:paraId="4E6A61A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（1）依法募集资金，办理或者委托经中国证监会认定的其他机构代为办理基金份额的发售、申购、赎回和登记事宜；</w:t>
      </w:r>
    </w:p>
    <w:p w14:paraId="6231BCE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（2）办理基金备案手续；</w:t>
      </w:r>
    </w:p>
    <w:p w14:paraId="2927E2D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（3）自《基金合同》生效之日起,以诚实信用、谨慎勤勉的原则管理和运用基金财产；</w:t>
      </w:r>
    </w:p>
    <w:p w14:paraId="7A357F6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（4）配备足够的具有专业资格的人员进行基金投资分析、决策，以专业化的经营方式管理和运作基金财产；</w:t>
      </w:r>
    </w:p>
    <w:p w14:paraId="7164BE6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（5）建立健全内部风险控制、监察与稽核、财务管理及人事管理等制度，保证所管理的基金财产和基金管理人的财产相互独立,对所管理的不同基金分别管理，分别记账，进行证券投资；</w:t>
      </w:r>
    </w:p>
    <w:p w14:paraId="40EA1DC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（6）除依据《基金法》、《基金合同》及其他有关规定外,不得利用基金财产为自己及任何第三人谋取利益，不得委托第三人运作基金财产；</w:t>
      </w:r>
    </w:p>
    <w:p w14:paraId="7084844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（7）依法接受基金托管人的监督；</w:t>
      </w:r>
    </w:p>
    <w:p w14:paraId="26D45C3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（8）采取适当合理的措施使计算基金份额认购、申购、赎回和注销价格的方法符合《基金合同》等法律文件的规定，按有关规定计算并公告基金净值信息，确定基金份额申购、赎回的价格；</w:t>
      </w:r>
    </w:p>
    <w:p w14:paraId="3BE330C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（9）进行基金会计核算并编制基金财务会计报告；</w:t>
      </w:r>
    </w:p>
    <w:p w14:paraId="15D2367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（10）编制季度报告、中期报告和年度报告；</w:t>
      </w:r>
    </w:p>
    <w:p w14:paraId="3C80C26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（11）严格按照《基金法》、《基金合同》及其他有关规定，履行信息披露及报告义务；</w:t>
      </w:r>
    </w:p>
    <w:p w14:paraId="32AEF2B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7CA11AC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（13）按《基金合同》的约定确定基金收益分配方案，及时向基金份额持有人分配基金收益；</w:t>
      </w:r>
    </w:p>
    <w:p w14:paraId="4B8D6A7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（14）按规定受理申购与赎回申请，及时、足额支付赎回款项；</w:t>
      </w:r>
    </w:p>
    <w:p w14:paraId="0B3AEC6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（15）依据《基金法》、《基金合同》及其他有关规定召集基金份额持有人大会或配合基金托管人、基金份额持有人依法召集基金份额持有人大会；</w:t>
      </w:r>
    </w:p>
    <w:p w14:paraId="6E8B8DE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（16）按规定保存基金财产管理业务活动的会计账册、报表、记录和其他相关资料，保存期限不低于法律法规规定的最低期限；</w:t>
      </w:r>
    </w:p>
    <w:p w14:paraId="7ACF74A9"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BB7BF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（18）组织并参加基金财产清算小组,参与基金财产的保管、清理、估价、变现和分配；</w:t>
      </w:r>
    </w:p>
    <w:p w14:paraId="4A8EB2D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（19）面临解散、依法被撤销或者被依法宣告破产时，及时报告中国证监会并通知基金托管人；</w:t>
      </w:r>
    </w:p>
    <w:p w14:paraId="5F6F468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（20）因违反《基金合同》导致基金财产的损失或损害基金份额持有人合法权益时，应当承担赔偿责任，其赔偿责任不因其退任而免除；</w:t>
      </w:r>
    </w:p>
    <w:p w14:paraId="4AF1AF3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（21）监督基金托管人按法律法规和《基金合同》规定履行自己的义务，基金托管人违反《基金合同》造成基金财产损失时，基金管理人应为基金份额持有人利益向基金托管人追偿；</w:t>
      </w:r>
    </w:p>
    <w:p w14:paraId="34DC9D3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（22）当基金管理人将其义务委托第三方处理时，应当对第三方处理有关基金事务的行为承担责任；</w:t>
      </w:r>
    </w:p>
    <w:p w14:paraId="0E88099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（23）以基金管理人名义，代表基金份额持有人利益行使诉讼权利或实施其他法律行为；</w:t>
      </w:r>
      <w:r>
        <w:rPr>
          <w:rFonts w:asciiTheme="minorEastAsia" w:hAnsiTheme="minorEastAsia" w:cs="Times New Roman" w:hint="eastAsia"/>
          <w:bCs/>
          <w:sz w:val="24"/>
          <w:szCs w:val="24"/>
        </w:rPr>
        <w:tab/>
      </w:r>
    </w:p>
    <w:p w14:paraId="13E4D20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（24）基金管理人在募集期间未能达到基金的备案条件，《基金合同》不能生效，基金管理人承担全部募集费用，将已募集资金并加计银行同期存款利息在基金募集期结束后30日内退还基金认购人；</w:t>
      </w:r>
    </w:p>
    <w:p w14:paraId="4C5B21A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（25）执行生效的基金份额持有人大会的决议；</w:t>
      </w:r>
    </w:p>
    <w:p w14:paraId="5F26D0D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（26）建立并保存基金份额持有人名册；</w:t>
      </w:r>
    </w:p>
    <w:p w14:paraId="6F26CBC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（27）法律法规及中国证监会规定的和《基金合同》约定的其他义务。</w:t>
      </w:r>
    </w:p>
    <w:p w14:paraId="3E638A6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w:t>
      </w:r>
      <w:r>
        <w:rPr>
          <w:rFonts w:asciiTheme="minorEastAsia" w:hAnsiTheme="minorEastAsia" w:cs="Times New Roman" w:hint="eastAsia"/>
          <w:bCs/>
          <w:sz w:val="24"/>
          <w:szCs w:val="24"/>
        </w:rPr>
        <w:tab/>
        <w:t>基金托管人的权利与义务</w:t>
      </w:r>
    </w:p>
    <w:p w14:paraId="0BC22CE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1、根据《基金法》、《运作办法》及其他有关规定，基金托管人的权利包括但不限于：</w:t>
      </w:r>
    </w:p>
    <w:p w14:paraId="33404679"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（1）自《基金合同》生效之日起，依法律法规和《基金合同》的规定安全保管基金财产；</w:t>
      </w:r>
    </w:p>
    <w:p w14:paraId="43DC532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（2）依《基金合同》约定获得基金托管费以及法律法规规定或监管部门批准的其他费用；</w:t>
      </w:r>
    </w:p>
    <w:p w14:paraId="766F6FD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C224F1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（4）根据相关市场规则，为基金开设托管账户、证券账户及其他投资所需账户，为基金办理证券、期货交易资金清算；</w:t>
      </w:r>
    </w:p>
    <w:p w14:paraId="3B400F6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（5）提议召开或召集基金份额持有人大会；</w:t>
      </w:r>
    </w:p>
    <w:p w14:paraId="239C90A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（6）在基金管理人更换时，提名新的基金管理人；</w:t>
      </w:r>
    </w:p>
    <w:p w14:paraId="4867330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（7）法律法规及中国证监会规定的和《基金合同》约定的其他权利。</w:t>
      </w:r>
    </w:p>
    <w:p w14:paraId="3A1CBEB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2、根据《基金法》、《运作办法》及其他有关规定，基金托管人的义务包括但不限于：</w:t>
      </w:r>
    </w:p>
    <w:p w14:paraId="7BCDA7B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（1）以诚实信用、勤勉尽责的原则持有并安全保管基金财产；</w:t>
      </w:r>
    </w:p>
    <w:p w14:paraId="1BA899B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（2）设立专门的基金托管部门，具有符合要求的营业场所，配备足够的、合格的熟悉基金托管业务的专职人员，负责基金财产托管事宜；</w:t>
      </w:r>
    </w:p>
    <w:p w14:paraId="2E1CA60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（3）建立健全内部风险控制、监察与稽核、财务管理及人事管理等制度，确保基金财产的安全，保证其托管的基金财产与基金托管人自有财产以及不同的</w:t>
      </w:r>
      <w:r>
        <w:rPr>
          <w:rFonts w:asciiTheme="minorEastAsia" w:hAnsiTheme="minorEastAsia" w:cs="Times New Roman" w:hint="eastAsia"/>
          <w:bCs/>
          <w:sz w:val="24"/>
          <w:szCs w:val="24"/>
        </w:rPr>
        <w:lastRenderedPageBreak/>
        <w:t>基金财产相互独立；对所托管的不同的基金分别设置账户，独立核算，分账管理，保证不同基金之间在账户设置、资金划拨、账册记录等方面相互独立；</w:t>
      </w:r>
    </w:p>
    <w:p w14:paraId="1C19C05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（4）除依据《基金法》、《基金合同》、《托管协议》及其他有关规定外，不得利用基金财产为自己及任何第三人谋取利益，不得委托第三人托管基金财产；</w:t>
      </w:r>
    </w:p>
    <w:p w14:paraId="22F3CD9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（5）保管由基金管理人代表基金签订的与基金有关的重大合同及有关凭证；</w:t>
      </w:r>
    </w:p>
    <w:p w14:paraId="7E234F2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（6）按规定开设基金财产的托管账户和证券账户等投资所需账户，按照《基金合同》、《托管协议》的约定，根据基金管理人的投资指令，及时办理清算、交割事宜；</w:t>
      </w:r>
    </w:p>
    <w:p w14:paraId="2BA1876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保守基金商业秘密，除《基金法》、《基金合同》、《托管协议》及其他有关规定另有规定外，在基金信息公开披露前予以保密，不得向他人泄露，但依法向监管机构、司法机关及审计、法律等外部专业顾问提供的除外；</w:t>
      </w:r>
    </w:p>
    <w:p w14:paraId="6ED55A3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（8）复核、审查基金管理人计算的基金资产净值、基金份额净值、基金份额申购、赎回价格；</w:t>
      </w:r>
    </w:p>
    <w:p w14:paraId="09F2758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（9）办理与基金托管业务活动有关的信息披露事项；</w:t>
      </w:r>
    </w:p>
    <w:p w14:paraId="3593809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14:paraId="76B9758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（11）保存基金托管业务活动的记录、账册、报表和其他相关资料不低于法律法规规定的最低期限；</w:t>
      </w:r>
    </w:p>
    <w:p w14:paraId="43DD9C5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（12）从基金管理人或其委托的登记机构处接收并保存基金份额持有人名册；</w:t>
      </w:r>
    </w:p>
    <w:p w14:paraId="27C4BF8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（13）按规定制作相关账册并与基金管理人核对；</w:t>
      </w:r>
    </w:p>
    <w:p w14:paraId="41F38D4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（14）依据基金管理人的指令或有关规定向基金份额持有人支付基金收益和赎回款项；</w:t>
      </w:r>
    </w:p>
    <w:p w14:paraId="377FDFB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（15）依据《基金法》、《基金合同》及其他有关规定，召集基金份额持有人大会或配合基金管理人、基金份额持有人依法召集基金份额持有人大会；</w:t>
      </w:r>
    </w:p>
    <w:p w14:paraId="3FB56FA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（16）按照法律法规和《基金合同》及《托管协议》的规定监督基金管理人的投资运作；</w:t>
      </w:r>
    </w:p>
    <w:p w14:paraId="2E89382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（17）参加基金财产清算小组，参与基金财产的保管、清理、估价、变现和分配；</w:t>
      </w:r>
    </w:p>
    <w:p w14:paraId="613C0BE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（18）面临解散、依法被撤销或者被依法宣告破产时，及时报告中国证监会，并通知基金管理人；</w:t>
      </w:r>
    </w:p>
    <w:p w14:paraId="57A09D2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（19）因违反《基金合同》及《托管协议》导致基金财产损失时，应承担赔偿责任，其赔偿责任不因其退任而免除；</w:t>
      </w:r>
    </w:p>
    <w:p w14:paraId="47BA39B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（20）按规定监督基金管理人按法律法规和《基金合同》规定履行自己的义务，基金管理人因违反《基金合同》造成基金财产损失时，应为基金份额持有人利益向基金管理人追偿；</w:t>
      </w:r>
    </w:p>
    <w:p w14:paraId="4E44D2B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（21）执行生效的基金份额持有人大会的决议；</w:t>
      </w:r>
    </w:p>
    <w:p w14:paraId="4154508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（22）法律法规及中国证监会规定的和《基金合同》约定的其他义务。</w:t>
      </w:r>
    </w:p>
    <w:p w14:paraId="5AA3398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（三）基金份额持有人的权利与义务</w:t>
      </w:r>
    </w:p>
    <w:p w14:paraId="42E2664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27B80A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除法律法规另有规定或基金合同另有约定外，同一类别每份基金份额具有同等的合法权益。</w:t>
      </w:r>
    </w:p>
    <w:p w14:paraId="570330A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1、根据《基金法》、《运作办法》及其他有关规定，基金份额持有人的权利包括但不限于：</w:t>
      </w:r>
    </w:p>
    <w:p w14:paraId="306D5F8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（1）分享基金财产收益；</w:t>
      </w:r>
    </w:p>
    <w:p w14:paraId="6EF713D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（2）参与分配清算后的剩余基金财产；</w:t>
      </w:r>
    </w:p>
    <w:p w14:paraId="17BFF4D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（3）依照法律及基金合同的约定转让或者申请赎回其持有的基金份额；</w:t>
      </w:r>
    </w:p>
    <w:p w14:paraId="3A21CE7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（4）按照规定要求召开基金份额持有人大会或者召集基金份额持有人大会；</w:t>
      </w:r>
    </w:p>
    <w:p w14:paraId="3DFAF26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（5）出席或者委派代表出席基金份额持有人大会，对基金份额持有人大会审议事项行使表决权；</w:t>
      </w:r>
    </w:p>
    <w:p w14:paraId="5F31B88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（6）查阅或者复制公开披露的基金信息资料；</w:t>
      </w:r>
    </w:p>
    <w:p w14:paraId="1180D07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（7）监督基金管理人的投资运作；</w:t>
      </w:r>
    </w:p>
    <w:p w14:paraId="15CAFCC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（8）对基金管理人、基金托管人、基金服务机构损害其合法权益的行为依法提起诉讼或仲裁；</w:t>
      </w:r>
    </w:p>
    <w:p w14:paraId="27509FC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（9）法律法规及中国证监会规定的和《基金合同》约定的其他权利。</w:t>
      </w:r>
    </w:p>
    <w:p w14:paraId="5B0DAF2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2、根据《基金法》、《运作办法》及其他有关规定，基金份额持有人的义务包括但不限于：</w:t>
      </w:r>
    </w:p>
    <w:p w14:paraId="3705C85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（1）认真阅读并遵守《基金合同》、招募说明书等信息披露文件；</w:t>
      </w:r>
    </w:p>
    <w:p w14:paraId="73E42CB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（2）了解所投资基金产品，了解自身风险承受能力，自主判断基金的投资价值，自主做出投资决策，自行承担投资风险；</w:t>
      </w:r>
    </w:p>
    <w:p w14:paraId="13934FC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（3）关注基金信息披露，及时行使权利和履行义务；</w:t>
      </w:r>
    </w:p>
    <w:p w14:paraId="1568583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（4）交纳基金认购、申购款项及法律法规和《基金合同》所规定的费用；</w:t>
      </w:r>
    </w:p>
    <w:p w14:paraId="5F0DF8E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（5）在其持有的基金份额范围内，承担基金亏损或者《基金合同》终止的有限责任；</w:t>
      </w:r>
    </w:p>
    <w:p w14:paraId="36134AA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（6）不从事任何有损基金及其他《基金合同》当事人合法权益的活动；</w:t>
      </w:r>
    </w:p>
    <w:p w14:paraId="1D22D49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（7）执行生效的基金份额持有人大会的决议；</w:t>
      </w:r>
    </w:p>
    <w:p w14:paraId="5C43418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（8）返还在基金交易过程中因任何原因获得的不当得利；</w:t>
      </w:r>
    </w:p>
    <w:p w14:paraId="1B34F41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w:t>
      </w:r>
      <w:r>
        <w:rPr>
          <w:rFonts w:asciiTheme="minorEastAsia" w:hAnsiTheme="minorEastAsia" w:cs="Times New Roman" w:hint="eastAsia"/>
          <w:bCs/>
          <w:sz w:val="24"/>
          <w:szCs w:val="24"/>
        </w:rPr>
        <w:t>9）遵守基金管理人、基金托管人、销售机构和登记机构的相关交易及业务规则；</w:t>
      </w:r>
    </w:p>
    <w:p w14:paraId="5984E45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（10）提供基金管理人和监管机构依法要求提供的信息，以及不时的更新和补充，并保证其真实性；</w:t>
      </w:r>
    </w:p>
    <w:p w14:paraId="5A39544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11</w:t>
      </w:r>
      <w:r>
        <w:rPr>
          <w:rFonts w:asciiTheme="minorEastAsia" w:hAnsiTheme="minorEastAsia" w:cs="Times New Roman" w:hint="eastAsia"/>
          <w:bCs/>
          <w:sz w:val="24"/>
          <w:szCs w:val="24"/>
        </w:rPr>
        <w:t>）法律法规及中国证监会规定的和《基金合同》约定的其他义务。</w:t>
      </w:r>
    </w:p>
    <w:p w14:paraId="6462B36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二、基金份额持有人大会召集、议事及表决的程序和规则</w:t>
      </w:r>
    </w:p>
    <w:p w14:paraId="39897C8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6A7B993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本基金基金份额持有人大会不设立日常机构。</w:t>
      </w:r>
    </w:p>
    <w:p w14:paraId="22B1C01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（一）召开事由</w:t>
      </w:r>
    </w:p>
    <w:p w14:paraId="182284B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1、除法律法规、中国证监会另有规定或基金合同另有约定的以外，当出现或需要决定下列事由之一的，应当召开基金份额持有人大会：</w:t>
      </w:r>
    </w:p>
    <w:p w14:paraId="7F4A95A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（1）终止基金合同；</w:t>
      </w:r>
    </w:p>
    <w:p w14:paraId="6B5C2FC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（2）更换基金管理人；</w:t>
      </w:r>
    </w:p>
    <w:p w14:paraId="4AA31A0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（3）更换基金托管人；</w:t>
      </w:r>
    </w:p>
    <w:p w14:paraId="6E2B365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（4）转换基金运作方式；</w:t>
      </w:r>
    </w:p>
    <w:p w14:paraId="0ACFBA3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（5）调整基金管理人、基金托管人的报酬标准或提高销售服务费率；</w:t>
      </w:r>
    </w:p>
    <w:p w14:paraId="5E277BF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（6）变更基金类别；</w:t>
      </w:r>
    </w:p>
    <w:p w14:paraId="2BCB7E1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（7）本基金与其他基金的合并；</w:t>
      </w:r>
    </w:p>
    <w:p w14:paraId="38B1C7A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（8）变更基金投资目标、范围或策略；</w:t>
      </w:r>
    </w:p>
    <w:p w14:paraId="1745E09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（9）变更基金份额持有人大会程序；</w:t>
      </w:r>
    </w:p>
    <w:p w14:paraId="6EC6935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（10）基金管理人或基金托管人要求召开基金份额持有人大会；</w:t>
      </w:r>
    </w:p>
    <w:p w14:paraId="530E71A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（11）单独或合计持有本基金总份额10%以上（含10%）基金份额的基金份额持有人（以基金管理人收到提议当日的基金份额计算，下同）就同一事项书面要求召开基金份额持有人大会；</w:t>
      </w:r>
    </w:p>
    <w:p w14:paraId="6C2BDF6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（12）对基金合同当事人权利和义务产生重大影响的其他事项；</w:t>
      </w:r>
    </w:p>
    <w:p w14:paraId="6A25446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（13）法律法规、《基金合同》或中国证监会规定的其他应当召开基金份额持有人大会的事项。</w:t>
      </w:r>
    </w:p>
    <w:p w14:paraId="32BF392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2、在法律法规规定和《基金合同》约定的范围内且对基金份额持有人利益无实质性不利影响的前提下，以下情况可由基金管理人和基金托管人协商后修改，不需召开基金份额持有人大会：</w:t>
      </w:r>
    </w:p>
    <w:p w14:paraId="6D007D6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（1）法律法规要求增加的基金费用的收取；</w:t>
      </w:r>
    </w:p>
    <w:p w14:paraId="46D802B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（2）在法律法规和《基金合同》规定的范围内调整本基金的申购费率、调低赎回费率、调低销售服务费率或变更收费方式；</w:t>
      </w:r>
    </w:p>
    <w:p w14:paraId="67ED94D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（3）因相应的法律法规发生变动而应当对《基金合同》进行修改；</w:t>
      </w:r>
    </w:p>
    <w:p w14:paraId="20735B2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（4）对《基金合同》的修改对基金份额持有人利益无实质性不利影响或修改不涉及《基金合同》当事人权利义务关系发生重大变化；</w:t>
      </w:r>
    </w:p>
    <w:p w14:paraId="047C2A8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（5）增加新的基金份额类别或者停止现有基金份额类别的销售等，或对基金份额分类办法及规则进行调整；</w:t>
      </w:r>
    </w:p>
    <w:p w14:paraId="2A793F1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（6）基金管理人、销售机构、登记机构调整有关基金认购、申购、赎回、转换、非交易过户、转托管等业务的规则；</w:t>
      </w:r>
    </w:p>
    <w:p w14:paraId="0875FCF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（7）在法律法规允许的情况下，且在对现有基金份额持有人利益无实质性不利影响的前提下，推出新业务或服务；</w:t>
      </w:r>
    </w:p>
    <w:p w14:paraId="3177797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（8）按照法律法规和《基金合同》规定不需召开基金份额持有人大会的其他情形。</w:t>
      </w:r>
    </w:p>
    <w:p w14:paraId="4F7C626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（二）会议召集人及召集方式</w:t>
      </w:r>
    </w:p>
    <w:p w14:paraId="71D74FB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1、除法律法规规定或《基金合同》另有约定外，基金份额持有人大会由基金管理人召集；</w:t>
      </w:r>
    </w:p>
    <w:p w14:paraId="6C1A4B4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2、基金管理人未按规定召集或不能召集时，由基金托管人召集；</w:t>
      </w:r>
    </w:p>
    <w:p w14:paraId="47C7430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2643C9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 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A7531C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D03F06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6、基金份额持有人会议的召集人负责选择确定开会时间、地点、方式和权益登记日。</w:t>
      </w:r>
    </w:p>
    <w:p w14:paraId="3B2B112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（三）召开基金份额持有人大会的通知时间、通知内容、通知方式</w:t>
      </w:r>
    </w:p>
    <w:p w14:paraId="7E3D448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1、召开基金份额持有人大会，召集人应于会议召开前30日，依据有关规定进行公告。基金份额持有人大会通知应至少载明以下内容：</w:t>
      </w:r>
    </w:p>
    <w:p w14:paraId="0F79EC1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（1）会议召开的时间、地点和会议形式；</w:t>
      </w:r>
    </w:p>
    <w:p w14:paraId="536234E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（2）会议拟审议的事项、议事程序和表决方式；</w:t>
      </w:r>
    </w:p>
    <w:p w14:paraId="7994248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（3）有权出席基金份额持有人大会的基金份额持有人的权益登记日；</w:t>
      </w:r>
    </w:p>
    <w:p w14:paraId="434A727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（4）授权委托证明的内容要求（包括但不限于代理人身份，代理权限和代理有效期限等）、送达时间和地点；</w:t>
      </w:r>
    </w:p>
    <w:p w14:paraId="1A15F8D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（5）会务常设联系人姓名及联系电话；</w:t>
      </w:r>
    </w:p>
    <w:p w14:paraId="57F890D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（6）出席会议者必须准备的文件和必须履行的手续；</w:t>
      </w:r>
    </w:p>
    <w:p w14:paraId="75D8A90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（7）召集人需要通知的其他事项。</w:t>
      </w:r>
    </w:p>
    <w:p w14:paraId="13D911C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98B43E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EB7C0A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（四）基金份额持有人出席会议的方式</w:t>
      </w:r>
    </w:p>
    <w:p w14:paraId="2A662C5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基金份额持有人大会可通过现场开会方式、通讯开会方式或法律法规、监管机构允许的其他方式召开，会议的召开方式由会议召集人确定。</w:t>
      </w:r>
    </w:p>
    <w:p w14:paraId="2CC0F55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1916A6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2AC53D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（2）经核对，汇总到会者出示的在权益登记日持有基金份额的凭证显示，有效的基金份额不少于本基金在权益登记日基金总份额的二分之一（含二分之一）。</w:t>
      </w:r>
    </w:p>
    <w:p w14:paraId="6819A8E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B70F7D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通讯开会系指基金份额持有人将其对表决事项的投票以书面形式或会议通知载明的其他方式在表决截止日以前送达至召集人指定的地址或系统。通讯开会应以书面方式或会议通知载明的其他方式进行表决。</w:t>
      </w:r>
    </w:p>
    <w:p w14:paraId="77E0B1B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在同时符合以下条件时，通讯开会的方式视为有效：</w:t>
      </w:r>
    </w:p>
    <w:p w14:paraId="020FC089"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（1）会议召集人按《基金合同》约定公布会议通知后，在2个工作日内连续公布相关提示性公告；</w:t>
      </w:r>
    </w:p>
    <w:p w14:paraId="3159FAA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3F1729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（3）本人直接出具表决意见或授权他人代表出具表决意见的，基金份额持有人所持有的基金份额不小于在权益登记日基金总份额的二分之一（含二分之一）；</w:t>
      </w:r>
    </w:p>
    <w:p w14:paraId="40C61C3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w:t>
      </w:r>
      <w:r>
        <w:rPr>
          <w:rFonts w:asciiTheme="minorEastAsia" w:hAnsiTheme="minorEastAsia" w:cs="Times New Roman" w:hint="eastAsia"/>
          <w:bCs/>
          <w:sz w:val="24"/>
          <w:szCs w:val="24"/>
        </w:rPr>
        <w:lastRenderedPageBreak/>
        <w:t>重新召集基金份额持有人大会。重新召集的基金份额持有人大会应当有代表三分之一以上（含三分之一）基金份额的持有人直接出具表决意见或授权他人代表出具表决意见；</w:t>
      </w:r>
    </w:p>
    <w:p w14:paraId="0B35528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7AB079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3、在法律法规和监管机关允许的情况下，本基金的基金份额持有人亦可采用其他非书面方式授权其代理人出席基金份额持有人大会并行使表决权，具体方式由会议召集人确定并在会议通知中列明。</w:t>
      </w:r>
    </w:p>
    <w:p w14:paraId="174FE95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在会议召开方式上，本基金亦可采用其他非现场方式或者以现场方式与非现场方式相结合的方式召开基金份额持有人大会，会议程序比照现场开会和通讯方式开会的程序进行，具体方式由会议召集人确定并在会议通知中列明。</w:t>
      </w:r>
    </w:p>
    <w:p w14:paraId="6FB7067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（五）议事内容与程序</w:t>
      </w:r>
    </w:p>
    <w:p w14:paraId="5B7F0F7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1、议事内容及提案权</w:t>
      </w:r>
    </w:p>
    <w:p w14:paraId="3481302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B2145E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基金份额持有人大会的召集人发出召集会议的通知后，对原有提案的修改应当在基金份额持有人大会召开前及时公告。</w:t>
      </w:r>
    </w:p>
    <w:p w14:paraId="26835A7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基金份额持有人大会不得对未事先公告的议事内容进行表决。</w:t>
      </w:r>
    </w:p>
    <w:p w14:paraId="1831DC1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2、议事程序</w:t>
      </w:r>
    </w:p>
    <w:p w14:paraId="4BD486C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w:t>
      </w:r>
    </w:p>
    <w:p w14:paraId="3342DA1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w:t>
      </w:r>
      <w:r>
        <w:rPr>
          <w:rFonts w:asciiTheme="minorEastAsia" w:hAnsiTheme="minorEastAsia" w:cs="Times New Roman" w:hint="eastAsia"/>
          <w:bCs/>
          <w:sz w:val="24"/>
          <w:szCs w:val="24"/>
        </w:rPr>
        <w:lastRenderedPageBreak/>
        <w:t>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6B5190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0C8E846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w:t>
      </w:r>
    </w:p>
    <w:p w14:paraId="527B23B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在通讯开会的情况下，首先由召集人提前30日公布提案，在所通知的表决截止日期后2个工作日内在公证机关监督下由召集人统计全部有效表决，在公证机关监督下形成决议。</w:t>
      </w:r>
    </w:p>
    <w:p w14:paraId="5916D0D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（六）表决</w:t>
      </w:r>
    </w:p>
    <w:p w14:paraId="5B56B75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基金份额持有人所持每份基金份额有一票表决权。</w:t>
      </w:r>
    </w:p>
    <w:p w14:paraId="28C5AD9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基金份额持有人大会决议分为一般决议和特别决议：</w:t>
      </w:r>
    </w:p>
    <w:p w14:paraId="42A1AA9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F1B0F5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特别决议，特别决议应当经参加大会的基金份额持有人或其代理人所持表决权的三分之二以上（含三分之二）通过方可做出。除法律法规、中国证监会另有规定或基金合同另有约定的以外，转换基金运作方式、更换基金管理人或者基金托管人、终止《基金合同》、本基金与其他基金合并以特别决议通过方为有效。</w:t>
      </w:r>
    </w:p>
    <w:p w14:paraId="5C277EC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基金份额持有人大会采取记名方式进行投票表决。</w:t>
      </w:r>
    </w:p>
    <w:p w14:paraId="7238594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6C6250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基金份额持有人大会的各项提案或同一项提案内并列的各项议题应当分开审议、逐项表决。</w:t>
      </w:r>
    </w:p>
    <w:p w14:paraId="2A88545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（七）计票</w:t>
      </w:r>
    </w:p>
    <w:p w14:paraId="4B1867B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w:t>
      </w:r>
    </w:p>
    <w:p w14:paraId="0250D19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18496F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（2）监票人应当在基金份额持有人表决后立即进行清点并由大会主持人当场公布计票结果。</w:t>
      </w:r>
    </w:p>
    <w:p w14:paraId="069F91A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32A3155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（4）计票过程应由公证机关予以公证,基金管理人或基金托管人拒不出席大会的，不影响计票的效力。</w:t>
      </w:r>
    </w:p>
    <w:p w14:paraId="3575D55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w:t>
      </w:r>
    </w:p>
    <w:p w14:paraId="0486295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9EC09E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（八）生效与公告</w:t>
      </w:r>
    </w:p>
    <w:p w14:paraId="5F44B7F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基金份额持有人大会的决议，召集人应当自通过之日起5日内报中国证监会备案。</w:t>
      </w:r>
    </w:p>
    <w:p w14:paraId="6A52386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基金份额持有人大会的决议自表决通过之日起生效。</w:t>
      </w:r>
    </w:p>
    <w:p w14:paraId="6F4B823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3ECE6E6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106E9F7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（九）实施侧袋机制期间基金份额持有人大会的特殊约定</w:t>
      </w:r>
    </w:p>
    <w:p w14:paraId="7EE8729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6810D4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1、基金份额持有人行使提议权、召集权、提名权所需单独或合计代表相关基金份额10%以上（含10%）；</w:t>
      </w:r>
    </w:p>
    <w:p w14:paraId="0FE84C5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2、现场开会的到会者在权益登记日代表的基金份额不少于本基金在权益登记日相关基金份额的二分之一（含二分之一）；</w:t>
      </w:r>
    </w:p>
    <w:p w14:paraId="5DC4973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3、通讯开会的直接出具表决意见或授权他人代表出具表决意见的基金份额持有人所持有的基金份额不小于在权益登记日相关基金份额的二分之一（含二分之一）；</w:t>
      </w:r>
    </w:p>
    <w:p w14:paraId="59EAFAD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若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6A6EC3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5、现场开会由出席大会的基金份额持有人和代理人所持表决权的二分之一以上（含二分之一）选举产生一名基金份额持有人作为该次基金份额持有人大会的主持人；</w:t>
      </w:r>
    </w:p>
    <w:p w14:paraId="6CC0E47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6、一般决议须经参加大会的基金份额持有人或其代理人所持表决权的二分之一以上（含二分之一）通过；</w:t>
      </w:r>
    </w:p>
    <w:p w14:paraId="3F09144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7、特别决议应当经参加大会的基金份额持有人或其代理人所持表决权的三分之二以上（含三分之二）通过。</w:t>
      </w:r>
    </w:p>
    <w:p w14:paraId="5A5ABA7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侧袋机制实施期间，基金份额持有人大会审议事项涉及主袋账户和侧袋账户的，应分别由主袋账户、侧袋账户的基金份额持有人进行表决，同一主侧袋账户</w:t>
      </w:r>
      <w:r>
        <w:rPr>
          <w:rFonts w:asciiTheme="minorEastAsia" w:hAnsiTheme="minorEastAsia" w:cs="Times New Roman" w:hint="eastAsia"/>
          <w:bCs/>
          <w:sz w:val="24"/>
          <w:szCs w:val="24"/>
        </w:rPr>
        <w:lastRenderedPageBreak/>
        <w:t>内的每份基金份额具有平等的表决权。表决事项未涉及侧袋账户的，侧袋账户份额无表决权。</w:t>
      </w:r>
    </w:p>
    <w:p w14:paraId="65B0FBB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侧袋机制实施期间，关于基金份额持有人大会的相关规定以本节特殊约定内容为准，本节没有规定的适用本部分的相关规定。</w:t>
      </w:r>
    </w:p>
    <w:p w14:paraId="51B57F0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3AD84BA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三、基金合同解除和终止的事由、程序以及基金财产清算方式</w:t>
      </w:r>
    </w:p>
    <w:p w14:paraId="16DAFA0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（一）《基金合同》的变更</w:t>
      </w:r>
    </w:p>
    <w:p w14:paraId="69B7508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89A729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2、关于《基金合同》变更的基金份额持有人大会决议自表决通过之日起生效，并自决议生效后依照《信息披露办法》的有关规定在规定媒介公告。</w:t>
      </w:r>
    </w:p>
    <w:p w14:paraId="182BC3C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（二）《基金合同》的终止事由</w:t>
      </w:r>
    </w:p>
    <w:p w14:paraId="6201B15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有下列情形之一的，经履行相关程序后，《基金合同》应当终止：</w:t>
      </w:r>
    </w:p>
    <w:p w14:paraId="75FCEB2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1、基金份额持有人大会决定终止的；</w:t>
      </w:r>
    </w:p>
    <w:p w14:paraId="02D56EB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2、基金管理人、基金托管人职责终止，在6个月内没有新基金管理人、新基金托管人承接的；</w:t>
      </w:r>
    </w:p>
    <w:p w14:paraId="5105239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3、《基金合同》约定的其他情形；</w:t>
      </w:r>
    </w:p>
    <w:p w14:paraId="4D33522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4、相关法律法规和中国证监会规定的其他情况。</w:t>
      </w:r>
    </w:p>
    <w:p w14:paraId="44E30A5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（三）基金财产的清算</w:t>
      </w:r>
    </w:p>
    <w:p w14:paraId="55108E9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1、基金财产清算小组：自出现《基金合同》终止事由之日起30个工作日内成立清算小组，基金管理人或临时基金管理人组织基金财产清算小组并在中国证监会的监督下进行基金清算。</w:t>
      </w:r>
    </w:p>
    <w:p w14:paraId="773AE84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29EEF40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3、基金财产清算小组职责：基金财产清算小组负责基金财产的保管、清理、估价、变现和分配。基金财产清算小组可以依法进行必要的民事活动。</w:t>
      </w:r>
    </w:p>
    <w:p w14:paraId="4F151FA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4、基金财产清算程序：</w:t>
      </w:r>
    </w:p>
    <w:p w14:paraId="786BA1A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（1）《基金合同》终止情形出现时，由基金财产清算小组统一接管基金；</w:t>
      </w:r>
    </w:p>
    <w:p w14:paraId="5425840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（2）对基金财产和债权债务进行清理和确认；</w:t>
      </w:r>
    </w:p>
    <w:p w14:paraId="3E46938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（3）对基金财产进行估值和变现；</w:t>
      </w:r>
    </w:p>
    <w:p w14:paraId="34956D9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（4）制作清算报告；</w:t>
      </w:r>
    </w:p>
    <w:p w14:paraId="639B114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（5）聘请会计师事务所对清算报告进行外部审计，聘请律师事务所对清算报告出具法律意见书；</w:t>
      </w:r>
    </w:p>
    <w:p w14:paraId="4EF1AFB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（6）将清算报告报中国证监会备案并公告；</w:t>
      </w:r>
    </w:p>
    <w:p w14:paraId="28EE2BA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（7）对基金剩余财产进行分配。</w:t>
      </w:r>
    </w:p>
    <w:p w14:paraId="540CDC3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5、基金财产清算的期限为6个月，但因本基金所持证券的流动性受到限制而不能及时变现的，清算期限可相应顺延。</w:t>
      </w:r>
    </w:p>
    <w:p w14:paraId="0C69E9B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（四）清算费用</w:t>
      </w:r>
    </w:p>
    <w:p w14:paraId="5637543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清算费用是指基金财产清算小组在进行基金清算过程中发生的所有合理费用，清算费用由基金财产清算小组优先从基金财产中支付。</w:t>
      </w:r>
    </w:p>
    <w:p w14:paraId="23A59F5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（五）基金财产清算剩余资产的分配</w:t>
      </w:r>
    </w:p>
    <w:p w14:paraId="23DD8CC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14:paraId="056EFB3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（六）基金财产清算的公告</w:t>
      </w:r>
    </w:p>
    <w:p w14:paraId="0DA88B6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5F7E1A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（七）基金财产清算账册及文件的保存</w:t>
      </w:r>
    </w:p>
    <w:p w14:paraId="6197ABB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基金财产清算账册及有关文件由基金托管人保存，保存期限不低于法律法规规定的最低期限。</w:t>
      </w:r>
    </w:p>
    <w:p w14:paraId="12A3573C" w14:textId="77777777" w:rsidR="005E308D" w:rsidRDefault="00945B44">
      <w:pPr>
        <w:widowControl/>
        <w:jc w:val="left"/>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1F5664C7" w14:textId="77777777" w:rsidR="005E308D" w:rsidRDefault="00945B44">
      <w:pPr>
        <w:pStyle w:val="1"/>
        <w:jc w:val="center"/>
        <w:rPr>
          <w:sz w:val="30"/>
          <w:szCs w:val="30"/>
        </w:rPr>
      </w:pPr>
      <w:bookmarkStart w:id="401" w:name="_Toc263092327"/>
      <w:bookmarkStart w:id="402" w:name="_Toc416264554"/>
      <w:bookmarkStart w:id="403" w:name="_Toc214873614"/>
      <w:bookmarkStart w:id="404" w:name="_Toc68266307"/>
      <w:bookmarkStart w:id="405" w:name="_Toc119568476"/>
      <w:bookmarkStart w:id="406" w:name="_Toc48649720"/>
      <w:bookmarkStart w:id="407" w:name="_Toc7367"/>
      <w:bookmarkStart w:id="408" w:name="_Toc79392641"/>
      <w:bookmarkStart w:id="409" w:name="_Toc123112248"/>
      <w:bookmarkStart w:id="410" w:name="_Toc12191"/>
      <w:bookmarkStart w:id="411" w:name="_Toc13398"/>
      <w:bookmarkStart w:id="412" w:name="_Toc8710"/>
      <w:bookmarkStart w:id="413" w:name="_Toc352229766"/>
      <w:bookmarkStart w:id="414" w:name="_Toc123051466"/>
      <w:bookmarkStart w:id="415" w:name="_Toc139991750"/>
      <w:bookmarkStart w:id="416" w:name="_Toc23022"/>
      <w:bookmarkStart w:id="417" w:name="_Toc98560365"/>
      <w:bookmarkStart w:id="418" w:name="_Toc141703901"/>
      <w:bookmarkStart w:id="419" w:name="_Toc123102467"/>
      <w:bookmarkStart w:id="420" w:name="_Toc9708"/>
      <w:bookmarkStart w:id="421" w:name="_Toc27058"/>
      <w:bookmarkStart w:id="422" w:name="_Toc30645"/>
      <w:bookmarkStart w:id="423" w:name="_Toc28549"/>
      <w:bookmarkStart w:id="424" w:name="_Toc21240"/>
      <w:bookmarkStart w:id="425" w:name="_Toc23166"/>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hint="eastAsia"/>
          <w:sz w:val="30"/>
          <w:szCs w:val="30"/>
        </w:rPr>
        <w:lastRenderedPageBreak/>
        <w:t>第二十部分</w:t>
      </w:r>
      <w:r>
        <w:rPr>
          <w:sz w:val="30"/>
          <w:szCs w:val="30"/>
        </w:rPr>
        <w:t xml:space="preserve">  </w:t>
      </w:r>
      <w:r>
        <w:rPr>
          <w:rFonts w:hint="eastAsia"/>
          <w:sz w:val="30"/>
          <w:szCs w:val="30"/>
        </w:rPr>
        <w:t>基金托管协议的内容摘要</w:t>
      </w:r>
      <w:bookmarkEnd w:id="401"/>
      <w:bookmarkEnd w:id="402"/>
      <w:bookmarkEnd w:id="403"/>
      <w:bookmarkEnd w:id="404"/>
      <w:bookmarkEnd w:id="405"/>
    </w:p>
    <w:p w14:paraId="5064E0D0"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托管协议当事人</w:t>
      </w:r>
    </w:p>
    <w:p w14:paraId="49116015"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（一）基金管理人（或简称“管理人”）</w:t>
      </w:r>
    </w:p>
    <w:p w14:paraId="3A9FDB46"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名称：富荣基金管理有限公司</w:t>
      </w:r>
    </w:p>
    <w:p w14:paraId="21ABD783"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住所：</w:t>
      </w:r>
      <w:r>
        <w:rPr>
          <w:rFonts w:asciiTheme="minorEastAsia" w:hAnsiTheme="minorEastAsia" w:hint="eastAsia"/>
          <w:kern w:val="0"/>
          <w:sz w:val="24"/>
        </w:rPr>
        <w:t>广东省广州市南沙区横沥镇汇通二街2号3110房</w:t>
      </w:r>
    </w:p>
    <w:p w14:paraId="58777037" w14:textId="77777777" w:rsidR="005E308D" w:rsidRDefault="00945B44">
      <w:pPr>
        <w:adjustRightInd w:val="0"/>
        <w:snapToGrid w:val="0"/>
        <w:spacing w:line="360" w:lineRule="auto"/>
        <w:ind w:left="840" w:hanging="420"/>
        <w:rPr>
          <w:rFonts w:asciiTheme="minorEastAsia" w:hAnsiTheme="minorEastAsia" w:cs="Times New Roman" w:hint="eastAsia"/>
          <w:kern w:val="0"/>
          <w:sz w:val="24"/>
          <w:szCs w:val="24"/>
        </w:rPr>
      </w:pPr>
      <w:r>
        <w:rPr>
          <w:rFonts w:asciiTheme="minorEastAsia" w:hAnsiTheme="minorEastAsia" w:cs="Arial" w:hint="eastAsia"/>
          <w:kern w:val="0"/>
          <w:sz w:val="24"/>
          <w:szCs w:val="24"/>
        </w:rPr>
        <w:t>办公地址：广东省</w:t>
      </w:r>
      <w:r>
        <w:rPr>
          <w:rFonts w:asciiTheme="minorEastAsia" w:hAnsiTheme="minorEastAsia" w:cs="Times New Roman" w:hint="eastAsia"/>
          <w:kern w:val="0"/>
          <w:sz w:val="24"/>
          <w:szCs w:val="24"/>
        </w:rPr>
        <w:t>深圳市福田区八卦四路52号安吉尔大厦24层</w:t>
      </w:r>
    </w:p>
    <w:p w14:paraId="7918CD96"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法定代表人：王亦伟</w:t>
      </w:r>
    </w:p>
    <w:p w14:paraId="4793EB01"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成立时间：2016年1月25日</w:t>
      </w:r>
      <w:r>
        <w:rPr>
          <w:rFonts w:asciiTheme="minorEastAsia" w:hAnsiTheme="minorEastAsia" w:cs="Arial" w:hint="eastAsia"/>
          <w:kern w:val="0"/>
          <w:sz w:val="24"/>
          <w:szCs w:val="24"/>
        </w:rPr>
        <w:tab/>
      </w:r>
    </w:p>
    <w:p w14:paraId="10AB546A"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批准设立机关：中国证监会</w:t>
      </w:r>
    </w:p>
    <w:p w14:paraId="5ED8E79B" w14:textId="77777777" w:rsidR="00686A68" w:rsidRDefault="00945B44" w:rsidP="00686A68">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批准设立文号：证监许可【2015】3118号</w:t>
      </w:r>
    </w:p>
    <w:p w14:paraId="75DC2072" w14:textId="38D502CB" w:rsidR="005E308D" w:rsidRDefault="00945B44" w:rsidP="00686A68">
      <w:pPr>
        <w:adjustRightInd w:val="0"/>
        <w:snapToGrid w:val="0"/>
        <w:spacing w:line="360" w:lineRule="auto"/>
        <w:ind w:left="420"/>
        <w:rPr>
          <w:rFonts w:asciiTheme="minorEastAsia" w:hAnsiTheme="minorEastAsia" w:cs="Arial" w:hint="eastAsia"/>
          <w:kern w:val="0"/>
          <w:sz w:val="24"/>
          <w:szCs w:val="24"/>
        </w:rPr>
      </w:pPr>
      <w:r>
        <w:rPr>
          <w:rFonts w:asciiTheme="minorEastAsia" w:hAnsiTheme="minorEastAsia" w:cs="Arial" w:hint="eastAsia"/>
          <w:kern w:val="0"/>
          <w:sz w:val="24"/>
          <w:szCs w:val="24"/>
        </w:rPr>
        <w:t>经营范围：基金销售;基金募集;特定客户资产管理业务以及中国证监会许可的其他业务;资产管理（不含许可审批项目）</w:t>
      </w:r>
    </w:p>
    <w:p w14:paraId="18D59A6C"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注册资本：</w:t>
      </w:r>
      <w:r>
        <w:rPr>
          <w:rFonts w:asciiTheme="minorEastAsia" w:hAnsiTheme="minorEastAsia" w:cs="Arial"/>
          <w:kern w:val="0"/>
          <w:sz w:val="24"/>
          <w:szCs w:val="24"/>
        </w:rPr>
        <w:t>2</w:t>
      </w:r>
      <w:r>
        <w:rPr>
          <w:rFonts w:asciiTheme="minorEastAsia" w:hAnsiTheme="minorEastAsia" w:cs="Arial" w:hint="eastAsia"/>
          <w:kern w:val="0"/>
          <w:sz w:val="24"/>
          <w:szCs w:val="24"/>
        </w:rPr>
        <w:t>亿元人民币</w:t>
      </w:r>
    </w:p>
    <w:p w14:paraId="5591CF04"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组织形式：有限责任公司</w:t>
      </w:r>
    </w:p>
    <w:p w14:paraId="55BFA59E"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存续期间：永续经营</w:t>
      </w:r>
    </w:p>
    <w:p w14:paraId="34417E15"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（二）基金托管人</w:t>
      </w:r>
    </w:p>
    <w:p w14:paraId="21D92922" w14:textId="561F7E68"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名称：国泰海通证券股份有限公司</w:t>
      </w:r>
    </w:p>
    <w:p w14:paraId="230BD1A6"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住所：中国（上海）自由贸易试验区商城路618号</w:t>
      </w:r>
    </w:p>
    <w:p w14:paraId="17768E0C"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法定代表人：朱健</w:t>
      </w:r>
    </w:p>
    <w:p w14:paraId="3A341370"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成立时间：1999年8月18日</w:t>
      </w:r>
    </w:p>
    <w:p w14:paraId="7ADA888D"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批准设立机关：中国证监会</w:t>
      </w:r>
    </w:p>
    <w:p w14:paraId="2CB57366"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批准设立文号：证监机构字[1999]77号</w:t>
      </w:r>
    </w:p>
    <w:p w14:paraId="4818D25E"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组织形式：其他股份有限公司（上市）</w:t>
      </w:r>
    </w:p>
    <w:p w14:paraId="7B4B3078"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注册资本：人民币 17,629,708,696 元整</w:t>
      </w:r>
    </w:p>
    <w:p w14:paraId="0E8F6102"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存续期间：持续经营</w:t>
      </w:r>
    </w:p>
    <w:p w14:paraId="2D89557B"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基金托管资格批文及文号：证监许可[2014]511号</w:t>
      </w:r>
    </w:p>
    <w:p w14:paraId="08A11BAA"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联系人：丛艳</w:t>
      </w:r>
    </w:p>
    <w:p w14:paraId="27AF0347"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通讯地址：上海市静安区新闸路669号博华广场19楼</w:t>
      </w:r>
    </w:p>
    <w:p w14:paraId="65997AC5" w14:textId="20FB87AB" w:rsidR="005E308D" w:rsidRDefault="00945B44">
      <w:pPr>
        <w:adjustRightInd w:val="0"/>
        <w:snapToGrid w:val="0"/>
        <w:spacing w:line="360" w:lineRule="auto"/>
        <w:ind w:firstLineChars="200" w:firstLine="480"/>
        <w:rPr>
          <w:rFonts w:ascii="宋体" w:hAnsi="宋体" w:hint="eastAsia"/>
          <w:color w:val="000000"/>
          <w:sz w:val="24"/>
        </w:rPr>
      </w:pPr>
      <w:r w:rsidRPr="00945B44">
        <w:rPr>
          <w:rFonts w:ascii="宋体" w:hAnsi="宋体" w:hint="eastAsia"/>
          <w:color w:val="000000"/>
          <w:sz w:val="24"/>
        </w:rPr>
        <w:t>联系电话：021-38677336</w:t>
      </w:r>
    </w:p>
    <w:p w14:paraId="4C07B9CC"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lastRenderedPageBreak/>
        <w:t>基金托管人对基金管理人的业务监督和核查</w:t>
      </w:r>
    </w:p>
    <w:p w14:paraId="5F6FA5F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（一）基金托管人对基金管理人的投资行为行使监督权</w:t>
      </w:r>
    </w:p>
    <w:p w14:paraId="593EF34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1、基金托管人根据有关法律法规的规定及《基金合同》和本协议的约定，对基金的投资范围、投资对象进行监督。</w:t>
      </w:r>
    </w:p>
    <w:p w14:paraId="5F08095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的投资范围为具有良好流动性的金融工具，包括国内依法发行上市的股票（含主板、创业板及其他经中国证监会允许投资的股票）、存托凭证、债券（包括国债、央行票据、金融债券、企业债券、公司债券、中期票据、短期融资券、超短期融资券、次级债券、政府支持债券、地方政府债券、可转换债券、可交换债券及其他经中国证监会允许投资的债券）、资产支持证券、债券回购、同业存单、银行存款（包括协议存款、定期存款及其他银行存款）、货币市场工具、股指期货、国债期货、股票期权以及法律法规或中国证监会允许基金投资的其他金融工具(但须符合中国证监会相关规定)。</w:t>
      </w:r>
    </w:p>
    <w:p w14:paraId="525B35EE"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本基金将根据法律法规的规定参与融资业务。</w:t>
      </w:r>
    </w:p>
    <w:p w14:paraId="1030D7C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如果法律法规或监管机构以后允许基金投资其他品种，基金管理人在履行适当程序后，可以将其纳入投资范围。</w:t>
      </w:r>
    </w:p>
    <w:p w14:paraId="3CD3ECB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的投资组合比例为：股票资产占基金资产的比例为60%-95%。每个交易日日终在扣除股指期货、国债期货、股票期权合约需缴纳的交易保证金以后，基金保留的现金或投资于到期日在一年以内的政府债券的比例合计不低于基金资产净值的5%，本基金所指的现金不包括结算备付金、存出保证金、应收申购款等。股指期货、国债期货、股票期权及其他金融工具的投资比例依照法律法规或监管机构的规定执行。</w:t>
      </w:r>
    </w:p>
    <w:p w14:paraId="292C7A5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如果法律法规或中国证监会变更投资品种的投资比例限制，基金管理人在履行适当程序后，可以调整上述投资品种的投资比例。</w:t>
      </w:r>
    </w:p>
    <w:p w14:paraId="2A5DA03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2、基金托管人根据有关法律法规的规定及《基金合同》和本协议的约定，对基金投资、融资比例进行监督。</w:t>
      </w:r>
    </w:p>
    <w:p w14:paraId="64D729B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（1）根据法律法规的规定及《基金合同》的约定，本基金投资组合遵循以下投资限制：  </w:t>
      </w:r>
    </w:p>
    <w:p w14:paraId="2D67B72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1）股票资产占基金资产的比例为60%-95%；</w:t>
      </w:r>
    </w:p>
    <w:p w14:paraId="7EEB42EA"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2）每个交易日日终在扣除国债期货、股指期货、股票期权合约需缴纳的交</w:t>
      </w:r>
      <w:r>
        <w:rPr>
          <w:rFonts w:asciiTheme="minorEastAsia" w:hAnsiTheme="minorEastAsia" w:cs="Arial" w:hint="eastAsia"/>
          <w:color w:val="000000"/>
          <w:sz w:val="24"/>
          <w:szCs w:val="24"/>
        </w:rPr>
        <w:lastRenderedPageBreak/>
        <w:t>易保证金后，本基金保持不低于基金资产净值5%的现金或者到期日在一年以内的政府债券，其中，现金不包括结算备付金、存出保证金、应收申购款等；</w:t>
      </w:r>
    </w:p>
    <w:p w14:paraId="2272F7BB"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3）本基金持有一家公司发行的证券，其市值不超过基金资产净值的10％；</w:t>
      </w:r>
    </w:p>
    <w:p w14:paraId="2F9689FD"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4）本基金管理人管理的全部基金持有一家公司发行的证券，不超过该证券的10％；</w:t>
      </w:r>
    </w:p>
    <w:p w14:paraId="3D388C92"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5）本基金投资于同一原始权益人的各类资产支持证券的比例，不得超过基金资产净值的10%；</w:t>
      </w:r>
    </w:p>
    <w:p w14:paraId="3D7598D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6）本基金持有的全部资产支持证券，其市值不得超过基金资产净值的20%；</w:t>
      </w:r>
    </w:p>
    <w:p w14:paraId="6374C40C"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7）本基金持有的同一(指同一信用级别)资产支持证券的比例，不得超过该资产支持证券规模的10%；</w:t>
      </w:r>
    </w:p>
    <w:p w14:paraId="1191E1B2"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8）本基金管理人管理的全部证券投资基金投资于同一原始权益人的各类资产支持证券，不得超过其各类资产支持证券合计规模的10%；</w:t>
      </w:r>
    </w:p>
    <w:p w14:paraId="248C1B45"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2DFEE2FC"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10）基金财产参与股票发行申购，本基金所申报的金额不超过本基金的总资产，本基金所申报的股票数量不超过拟发行股票公司本次发行股票的总量；</w:t>
      </w:r>
    </w:p>
    <w:p w14:paraId="2656AAE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11）本基金进入全国银行间同业市场进行债券回购的资金余额不得超过基金资产净值的40%；本基金在全国银行间同业市场的债券回购最长期限为1年，债券回购到期后不得展期；</w:t>
      </w:r>
    </w:p>
    <w:p w14:paraId="65E6183B"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12）本基金参与股指期货、国债期货交易依据下列标准建构组合：</w:t>
      </w:r>
    </w:p>
    <w:p w14:paraId="473C8CDD"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①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78F4D6AB"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②在任何交易日日终，持有的买入股指期货合约价值，不得超过基金资产净值的10%；在任何交易日日终，持有的买入国债期货合约价值，不得超过基金资产净值的15%；</w:t>
      </w:r>
    </w:p>
    <w:p w14:paraId="63DC5CE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③在任何交易日日终，持有的卖出股指期货合约价值不得超过基金持有的股</w:t>
      </w:r>
      <w:r>
        <w:rPr>
          <w:rFonts w:asciiTheme="minorEastAsia" w:hAnsiTheme="minorEastAsia" w:cs="Arial" w:hint="eastAsia"/>
          <w:color w:val="000000"/>
          <w:sz w:val="24"/>
          <w:szCs w:val="24"/>
        </w:rPr>
        <w:lastRenderedPageBreak/>
        <w:t>票总市值的20%；在任何交易日日终，持有的卖出国债期货合约价值不得超过基金持有的债券总市值的30%；</w:t>
      </w:r>
    </w:p>
    <w:p w14:paraId="17E4CA49"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④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3F31071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⑤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56EAF75E"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13）本基金投资流通受限证券，基金管理人应事先根据中国证监会相关规定，在首次投资前与基金托管人签订风险控制补充协议，并明确基金投资流通受限证券的比例，根据比例进行投资；</w:t>
      </w:r>
    </w:p>
    <w:p w14:paraId="0F20B97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14）基金资产总值不得超过基金资产净值的140%；</w:t>
      </w:r>
    </w:p>
    <w:p w14:paraId="7577449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7B906B6A"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16）本基金主动投资于流动性受限资产的市值合计不得超过基金资产净值的15%；</w:t>
      </w:r>
    </w:p>
    <w:p w14:paraId="6E75B1D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因证券市场波动、上市公司股票停牌、基金规模变动等基金管理人之外的因素致使基金不符合前款所规定比例限制的，基金管理人不得主动新增流动性受限资产的投资；</w:t>
      </w:r>
    </w:p>
    <w:p w14:paraId="3433D04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17）本基金与私募类证券资管产品及中国证监会认定的其他主体为交易对手开展逆回购交易的，可接受质押品的资质要求应当与基金合同约定的投资范围保持一致；</w:t>
      </w:r>
    </w:p>
    <w:p w14:paraId="42CA31E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18）本基金参与股票期权交易的，需遵守下列投资比例限制：</w:t>
      </w:r>
    </w:p>
    <w:p w14:paraId="61E912EE"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①本基金因未平仓的期权合约支付和收取的权利金总额不得超过基金资产净值的10%；</w:t>
      </w:r>
    </w:p>
    <w:p w14:paraId="45880E2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②本基金开仓卖出认购期权的，应持有足额标的证券；开仓卖出认沽期权的，应持有合约行权所需的全额现金或交易所规则认可的可冲抵期权保证金的现金</w:t>
      </w:r>
      <w:r>
        <w:rPr>
          <w:rFonts w:asciiTheme="minorEastAsia" w:hAnsiTheme="minorEastAsia" w:cs="Arial" w:hint="eastAsia"/>
          <w:color w:val="000000"/>
          <w:sz w:val="24"/>
          <w:szCs w:val="24"/>
        </w:rPr>
        <w:lastRenderedPageBreak/>
        <w:t>等价物；</w:t>
      </w:r>
    </w:p>
    <w:p w14:paraId="0F93B1E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③本基金未平仓的期权合约面值不得超过基金资产净值的20%。其中，合约面值按照行权价乘以合约乘数计算；</w:t>
      </w:r>
    </w:p>
    <w:p w14:paraId="301CCC8D"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19</w:t>
      </w:r>
      <w:r>
        <w:rPr>
          <w:rFonts w:asciiTheme="minorEastAsia" w:hAnsiTheme="minorEastAsia" w:cs="Arial" w:hint="eastAsia"/>
          <w:color w:val="000000"/>
          <w:sz w:val="24"/>
          <w:szCs w:val="24"/>
        </w:rPr>
        <w:t>）本基金投资存托凭证的比例限制依照境内上市交易的股票执行，与境内上市交易的股票合并计算；</w:t>
      </w:r>
    </w:p>
    <w:p w14:paraId="5BE00AB2"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20</w:t>
      </w:r>
      <w:r>
        <w:rPr>
          <w:rFonts w:asciiTheme="minorEastAsia" w:hAnsiTheme="minorEastAsia" w:cs="Arial" w:hint="eastAsia"/>
          <w:color w:val="000000"/>
          <w:sz w:val="24"/>
          <w:szCs w:val="24"/>
        </w:rPr>
        <w:t>）本基金参与融资的，每个交易日日终，本基金持有的融资买入股票与其他有价证券市值之和，不得超过基金资产净值的95%；</w:t>
      </w:r>
    </w:p>
    <w:p w14:paraId="3D0747D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21</w:t>
      </w:r>
      <w:r>
        <w:rPr>
          <w:rFonts w:asciiTheme="minorEastAsia" w:hAnsiTheme="minorEastAsia" w:cs="Arial" w:hint="eastAsia"/>
          <w:color w:val="000000"/>
          <w:sz w:val="24"/>
          <w:szCs w:val="24"/>
        </w:rPr>
        <w:t>）法律法规及中国证监会规定的和《基金合同》约定的其他投资限制。</w:t>
      </w:r>
    </w:p>
    <w:p w14:paraId="5B5B387A"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除上述第2）、9）、13）、16）、17）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55927D75"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当自基金合同生效之日起6个月内使基金的投资组合比例符合基金合同的有关约定。在此期间，基金的投资范围、投资策略应当符合基金合同的约定。基金托管人对基金的投资的监督与检查自基金合同生效之日起开始。</w:t>
      </w:r>
    </w:p>
    <w:p w14:paraId="6FE3C2E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法律法规或监管部门取消或变更上述限制，如适用于本基金，基金管理人在履行适当程序后，则本基金投资不再受相关限制或以变更后的规定为准。</w:t>
      </w:r>
    </w:p>
    <w:p w14:paraId="0FB7EF42"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基金托管人依照上述规定对本基金的投资组合限制及调整期限进行监督。</w:t>
      </w:r>
    </w:p>
    <w:p w14:paraId="1E626F6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3、基金托管人根据有关法律、法规的规定及基金合同和本协议的约定，对基金投资禁止行为进行监督。基金财产不得用于下列投资或者活动。</w:t>
      </w:r>
    </w:p>
    <w:p w14:paraId="41586D4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（1）承销证券；</w:t>
      </w:r>
    </w:p>
    <w:p w14:paraId="786512BC"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（2）违反规定向他人贷款或者提供担保；</w:t>
      </w:r>
    </w:p>
    <w:p w14:paraId="588C9D3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（3）从事承担无限责任的投资；</w:t>
      </w:r>
    </w:p>
    <w:p w14:paraId="257969E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（4）买卖其他基金份额，但是中国证监会另有规定的除外；</w:t>
      </w:r>
    </w:p>
    <w:p w14:paraId="3DE0B1F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（5）向基金管理人、基金托管人出资；</w:t>
      </w:r>
    </w:p>
    <w:p w14:paraId="70180B8C"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（6）从事内幕交易、操纵证券交易价格及其他不正当的证券交易活动；</w:t>
      </w:r>
    </w:p>
    <w:p w14:paraId="657FEA4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（7）法律、行政法规和中国证监会规定禁止的其他活动。</w:t>
      </w:r>
    </w:p>
    <w:p w14:paraId="774A84C5"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基金管理人运用基金财产买卖基金管理人、基金托管人及其控股股东、实际控制人或者与其有重大利害关系的公司发行的证券或者承销期内承销的证券，或</w:t>
      </w:r>
      <w:r>
        <w:rPr>
          <w:rFonts w:asciiTheme="minorEastAsia" w:hAnsiTheme="minorEastAsia" w:cs="Arial" w:hint="eastAsia"/>
          <w:color w:val="000000"/>
          <w:sz w:val="24"/>
          <w:szCs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0D46C8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法律、行政法规或监管部门取消或调整上述禁止行为，如适用于本基金，基金管理人在履行适当程序后，则本基金投资按照取消或调整后的规定执行。</w:t>
      </w:r>
    </w:p>
    <w:p w14:paraId="7053834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4、基金托管人根据有关法律、法规规定及基金合同和本协议约定，对基金管理人参与银行间债券市场进行监督。</w:t>
      </w:r>
    </w:p>
    <w:p w14:paraId="4EE022A5"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基金托管人依据有关法律、法规规定和《基金合同》约定对基金管理人参与银行间市场交易时面临的交易对手资信风险进行监督。</w:t>
      </w:r>
    </w:p>
    <w:p w14:paraId="079DEFE2"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在基金投资运作之前向基金托管人提供符合法律、法规及行业标准的、经慎重选择的、本基金适用的银行间市场交易对手的名单，并约定各交易对手所适用的交易结算方式。基金托管人在收到名单后【2】个工作日内电话或回函确认收到该名单。基金管理人应严格按照交易对手名单的范围在银行间债券市场选择交易对手。基金托管人监督基金管理人是否按事前提供的银行间债券市场交易对手名单和交易结算方式进行交易。</w:t>
      </w:r>
    </w:p>
    <w:p w14:paraId="51085FB5"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定期【（每半年）】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14:paraId="494C7BD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参与银行间市场交易时，应按银行间债券市场的交易规则进行交易，并有责任控制交易对手的资信风险，由于交易对手资信风险引起的损失,基金管理人应当负责向相关责任人追偿。基金托管人不承担由此造成的任何法律责任及损失。</w:t>
      </w:r>
    </w:p>
    <w:p w14:paraId="1637E63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如基金托管人事后发现基金管理人没有按照事先约定的交易对手或交易方式进行交易时，基金托管人应及时提醒基金管理人，但基金托管人不承担由此造成的任何损失和责任。</w:t>
      </w:r>
    </w:p>
    <w:p w14:paraId="7986754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5、基金托管人根据有关法律、法规的规定及基金合同和本协议的约定，对</w:t>
      </w:r>
      <w:r>
        <w:rPr>
          <w:rFonts w:asciiTheme="minorEastAsia" w:hAnsiTheme="minorEastAsia" w:cs="Arial" w:hint="eastAsia"/>
          <w:color w:val="000000"/>
          <w:sz w:val="24"/>
          <w:szCs w:val="24"/>
        </w:rPr>
        <w:lastRenderedPageBreak/>
        <w:t>基金管理人选择存款银行进行监督。</w:t>
      </w:r>
    </w:p>
    <w:p w14:paraId="364F488B"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投资银行定期存款的，基金管理人应根据法律、法规的规定及基金合同的约定，确定符合条件的所有存款银行的名单，并及时提供给基金托管人。基金管理人应严格按照名单范围选择投资对象，基金托管人监督基金管理人是否按事前提供的对手名单进行投资。基金管理人超越名单范围进行投资的，基金托管人应及时提醒基金管理人，但基金托管人不承担由此造成的任何损失和责任。</w:t>
      </w:r>
    </w:p>
    <w:p w14:paraId="1A9EC541"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本基金投资银行存款应符合如下规定：</w:t>
      </w:r>
    </w:p>
    <w:p w14:paraId="5802106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（1）基金管理人、基金托管人应当与存款银行建立定期对账机制，确保基金银行存款业务账目及核算的真实、准确。</w:t>
      </w:r>
    </w:p>
    <w:p w14:paraId="623C055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33A52D0D"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（3）基金托管人应加强对基金银行存款业务的监督与核查，严格审查、复核相关协议、账户资料、投资指令、存款证实书等有关文件，切实履行托管职责。</w:t>
      </w:r>
    </w:p>
    <w:p w14:paraId="62BE14C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（4）基金管理人与基金托管人在开展基金存款业务时，应严格遵守《基金法》、《运作办法》等有关法律、法规，以及国家有关账户管理、利率管理、支付结算等的各项规定。</w:t>
      </w:r>
    </w:p>
    <w:p w14:paraId="312FF3F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基金管理人对定期存款提前支取的损失由其承担。</w:t>
      </w:r>
    </w:p>
    <w:p w14:paraId="17AEB36E"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6、基金托管人根据有关法律法规的规定及《基金合同》的约定，对基金管理人投资流通受限证券进行监督。</w:t>
      </w:r>
    </w:p>
    <w:p w14:paraId="242649F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BF1769A"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95FF04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本基金投资的流通受限证券限于可由中国证券登记结算有限责任公司或中央国债登记结算有限责任公司、银行间市场清算所股份有限公司负责登记和存管，并可在证券交易所或全国银行间债券市场交易的证券。</w:t>
      </w:r>
    </w:p>
    <w:p w14:paraId="609190DC"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B6F232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本基金投资流通受限证券，不得预付任何形式的保证金。</w:t>
      </w:r>
    </w:p>
    <w:p w14:paraId="01A5A50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董事会批准的有关基金投资流通受限证券的投资决策流程、风险控制制度。基金投资非公开发行股票，基金管理人还应提供基金管理人董事会批准的相关流动性风险处置预案。</w:t>
      </w:r>
    </w:p>
    <w:p w14:paraId="4AB9E1E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81C304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（3）本基金投资非公开发行股票，基金管理人应至少于投资前三个工作日向基金托管人提交有关书面资料，并保证向基金托管人提供的有关资料真实、准</w:t>
      </w:r>
      <w:r>
        <w:rPr>
          <w:rFonts w:asciiTheme="minorEastAsia" w:hAnsiTheme="minorEastAsia" w:cs="Arial" w:hint="eastAsia"/>
          <w:color w:val="000000"/>
          <w:sz w:val="24"/>
          <w:szCs w:val="24"/>
        </w:rPr>
        <w:lastRenderedPageBreak/>
        <w:t>确、完整。有关资料如有调整，基金管理人应及时提供调整后的资料。上述书面资料包括但不限于：</w:t>
      </w:r>
    </w:p>
    <w:p w14:paraId="4C745B5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1）中国证监会批准发行非公开发行股票的批准文件。</w:t>
      </w:r>
    </w:p>
    <w:p w14:paraId="26E22DF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2）非公开发行股票有关发行数量、发行价格、锁定期等发行资料。</w:t>
      </w:r>
    </w:p>
    <w:p w14:paraId="4E0A507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3）非公开发行股票发行人与中国证券登记结算有限责任公司或中央国债登记结算有限责任公司签订的证券登记及服务协议。</w:t>
      </w:r>
    </w:p>
    <w:p w14:paraId="7CBEE3F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4）基金拟认购的数量、价格、总成本、账面价值。</w:t>
      </w:r>
    </w:p>
    <w:p w14:paraId="423C4DAD"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1E7CC2B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本基金有关投资流通受限证券比例如违反有关限制规定，在合理期限内未能进行及时调整，基金管理人应在两个工作日内编制临时报告书，予以公告。</w:t>
      </w:r>
    </w:p>
    <w:p w14:paraId="33458F7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（5）基金托管人根据有关规定有权对基金管理人进行以下事项监督：</w:t>
      </w:r>
    </w:p>
    <w:p w14:paraId="0E9C89B1"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1）本基金投资流通受限证券时的法律法规遵守情况。</w:t>
      </w:r>
    </w:p>
    <w:p w14:paraId="265B022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2）在基金投资流通受限证券管理工作方面有关制度、流动性风险处置预案的建立与完善情况。</w:t>
      </w:r>
    </w:p>
    <w:p w14:paraId="0C6E442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3）有关比例限制的执行情况。</w:t>
      </w:r>
    </w:p>
    <w:p w14:paraId="7D391F32"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4）信息披露情况。</w:t>
      </w:r>
    </w:p>
    <w:p w14:paraId="136EC69D"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（6）相关法律法规对基金投资流通受限证券有新规定的，从其规定。</w:t>
      </w:r>
    </w:p>
    <w:p w14:paraId="1BC63BD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7、基金托管人根据有关法律、法规的规定及基金合同和本协议的约定，对基金管理人产品禁投池进行监督。</w:t>
      </w:r>
    </w:p>
    <w:p w14:paraId="1EF299E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向基金托管人提供符合法律、法规及行业标准的基金禁投池清单。基金托管人在收到名单后2个工作日内电话或回函确认收到该名单。基金管理人应定期和不定期对基金禁投池清单进行更新。基金托管人在收到清单后2个工作日内电话或书面回函确认，新清单自基金托管人确认当日生效。新清单生效前基金托管人仍按原禁投池清单进行监督。</w:t>
      </w:r>
    </w:p>
    <w:p w14:paraId="5C06CA85"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基金管理人超越名单范围进行投资的，基金托管人应及时提醒基金管理人，但基金托管人不承担由此造成的任何损失和责任。</w:t>
      </w:r>
    </w:p>
    <w:p w14:paraId="0B94327A"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（二）基金托管人应根据有关法律、法规的规定及基金合同的约定，对基金</w:t>
      </w:r>
      <w:r>
        <w:rPr>
          <w:rFonts w:asciiTheme="minorEastAsia" w:hAnsiTheme="minorEastAsia" w:cs="Arial" w:hint="eastAsia"/>
          <w:color w:val="000000"/>
          <w:sz w:val="24"/>
          <w:szCs w:val="24"/>
        </w:rPr>
        <w:lastRenderedPageBreak/>
        <w:t>资产净值计算、各类基金份额的基金份额净值计算、应收资金到账、基金费用开支及收入确认、基金收益分配、相关信息披露、基金宣传推介材料中登载基金业绩表现数据等进行监督和核查。</w:t>
      </w:r>
    </w:p>
    <w:p w14:paraId="4F6123D9"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三）基金管理人应积极配合和协助基金托管人的监督和核查，在规定时间内答复并改正，就基金托管人的合理疑义进行解释或举证。对基金托管人按照法规要求需向中国证监会报送基金监督报告的，基金管理人应积极配合提供相关数据资料和制度等。</w:t>
      </w:r>
    </w:p>
    <w:p w14:paraId="5CA9182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E1014E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29FE335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8035EA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w:t>
      </w:r>
      <w:r>
        <w:rPr>
          <w:rFonts w:asciiTheme="minorEastAsia" w:hAnsiTheme="minorEastAsia" w:cs="Arial" w:hint="eastAsia"/>
          <w:color w:val="000000"/>
          <w:sz w:val="24"/>
          <w:szCs w:val="24"/>
        </w:rPr>
        <w:t>四）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5452F74C"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侧袋机制实施期间，本基金的投资组合比例、投资策略、组合限制、业绩比较基准、风险收益特征等约定仅适用于主袋账户。</w:t>
      </w:r>
    </w:p>
    <w:p w14:paraId="0DE5F52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侧袋账户的实施条件、实施程序、运作安排（包括但不限于对基金赎回的影响、信息披露、费用列支等）、投资安排、特定资产的处置变现和支付等对投资者权益有重大影响的事项详见基金合同和招募说明书的规定。</w:t>
      </w:r>
    </w:p>
    <w:p w14:paraId="49FAAB2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基金托管人依照相关法律法规的规定以及基金合同和招募说明书的约定，对侧袋机制启用、特定资产处置和信息披露等方面进行复核和监督。  </w:t>
      </w:r>
    </w:p>
    <w:p w14:paraId="308452FB"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基金管理人对基金托管人的业务核查</w:t>
      </w:r>
    </w:p>
    <w:p w14:paraId="5F7024EC"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根据《基金法》及其他有关法规、《基金合同》和本协议规定，基金管理人对基金托管人履行托管职责的情况进行核查，核查事项包括但不限于基金托管人是否安全保管基金财产、开立基金财产的银行存款账户、证券账户、债券托管账户等投资所需账户，是否及时、准确复核基金管理人计算的基金资产净值和各类基金份额的基金份额净值，是否根据基金管理人指令办理清算交收，是否按照法规规定和《基金合同》规定进行相关信息披露和监督基金投资运作等行为。</w:t>
      </w:r>
    </w:p>
    <w:p w14:paraId="6C45655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管理人定期【（每半年）】和不定期地对基金托管人保管的基金资产进行核查。基金托管人应积极配合基金管理人的核查行为，包括但不限于：提交相关资料以供基金管理人核查托管财产的完整性和真实性，在规定时间内答复并改正。</w:t>
      </w:r>
    </w:p>
    <w:p w14:paraId="3D4DEB96"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7153B4D4"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管理人发现基金托管人有重大违规行为，应立即报告中国证监会，同时通知基金托管人在限期内纠正。基金托管人无正当理由，拒绝、阻挠对方根据本协议规定行使监督权，或采取拖延、欺诈等手段妨碍对方进行有效监督，情节严重或经基金管理人提出警告仍不改正的，基金管理人应报告中国证监会。</w:t>
      </w:r>
    </w:p>
    <w:p w14:paraId="334D12F7" w14:textId="77777777" w:rsidR="005E308D" w:rsidRDefault="005E308D">
      <w:pPr>
        <w:spacing w:line="360" w:lineRule="auto"/>
        <w:ind w:firstLineChars="200" w:firstLine="480"/>
        <w:rPr>
          <w:rFonts w:ascii="宋体" w:hAnsi="宋体" w:hint="eastAsia"/>
          <w:sz w:val="24"/>
          <w:szCs w:val="24"/>
        </w:rPr>
      </w:pPr>
    </w:p>
    <w:p w14:paraId="2EDD6194"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lastRenderedPageBreak/>
        <w:t>基金财产的保管</w:t>
      </w:r>
    </w:p>
    <w:p w14:paraId="7DF5280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（一）基金财产保管的原则</w:t>
      </w:r>
    </w:p>
    <w:p w14:paraId="410E9141"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1、基金托管人应安全保管基金财产，未经基金管理人的指令，不得自行运用、处分、分配基金的任何资产。</w:t>
      </w:r>
    </w:p>
    <w:p w14:paraId="66E7414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2、基金财产应独立于基金管理人、基金托管人、证券经纪机构的固有财产。</w:t>
      </w:r>
    </w:p>
    <w:p w14:paraId="50C12D3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3、基金托管人按照规定开立基金财产的银行存款账户、证券账户、债券托管账户等投资所需账户。</w:t>
      </w:r>
    </w:p>
    <w:p w14:paraId="1DF1908C"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4、基金托管人对所托管的不同基金财产分别设置账户，与基金托管人的其他业务和其他基金的托管业务实行严格的分账管理，确保基金财产的完整和独立。</w:t>
      </w:r>
    </w:p>
    <w:p w14:paraId="5743095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14:paraId="41CA87E7"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6、除依据法律法规和《基金合同》的规定外，基金托管人不得委托第三人托管基金财产。</w:t>
      </w:r>
    </w:p>
    <w:p w14:paraId="11CC8A54"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（二）基金募集资产的验证</w:t>
      </w:r>
    </w:p>
    <w:p w14:paraId="6EE37115"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基金募集期间募集的资金应存于基金管理人在具有基金销售业务资格或托管资格的商业银行开设的富荣基金管理有限公司基金募集专户。该账户由基金管理人开立并管理。</w:t>
      </w:r>
    </w:p>
    <w:p w14:paraId="26763827"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募集期满之日起10日内，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有效。验资完成，基金管理人应将募集到的全部资金存入基金托管人为基金开立的基金银行存款账户中，基金托管人在收到资金当日出具相关证明文件。</w:t>
      </w:r>
    </w:p>
    <w:p w14:paraId="2054FE05"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（三）基金的银行存款账户的开立和管理</w:t>
      </w:r>
    </w:p>
    <w:p w14:paraId="77A1D516"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1、基金托管人应负责本基金银行存款账户的开立和管理。</w:t>
      </w:r>
    </w:p>
    <w:p w14:paraId="1678B3F1"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2、基金托管人以本基金的名义在商业银行开立基金的银行存款账户，并根</w:t>
      </w:r>
      <w:r>
        <w:rPr>
          <w:rFonts w:ascii="宋体" w:hAnsi="宋体" w:hint="eastAsia"/>
          <w:sz w:val="24"/>
          <w:szCs w:val="24"/>
        </w:rPr>
        <w:lastRenderedPageBreak/>
        <w:t>据中国人民银行规定计息。本基金的银行预留印鉴由基金托管人制作、保管和使用。本基金的一切货币收支活动，包括但不限于投资、支付赎回金额、支付基金收益，均需通过本基金的银行存款账户进行。</w:t>
      </w:r>
    </w:p>
    <w:p w14:paraId="2F9BDD46"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09848D2A"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4、基金托管人可以通过申请开通本基金银行账户的企业网上银行业务进行资金支付，并使用企业网上银行（简称“网银”）办理托管资产的资金结算汇划业务。</w:t>
      </w:r>
    </w:p>
    <w:p w14:paraId="3D2849B8"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5、基金银行存款账户的管理应符合法律、法规以及银行业监督管理机构的其他规定。</w:t>
      </w:r>
    </w:p>
    <w:p w14:paraId="4DA0D9E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（四）基金的证券交收账户和资金交收账户的开立和管理</w:t>
      </w:r>
    </w:p>
    <w:p w14:paraId="2ED5613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基金托管人以基金托管人和本基金联名的方式在中国证券登记结算有限责任公司开立证券账户。</w:t>
      </w:r>
    </w:p>
    <w:p w14:paraId="4B0062F0"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8E05BBD"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基金管理人不得对基金证券交收账户、资金交收账户进行证券的超卖或超买。</w:t>
      </w:r>
    </w:p>
    <w:p w14:paraId="022C579A"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（五）债券托管账户的开立和管理</w:t>
      </w:r>
    </w:p>
    <w:p w14:paraId="7A295EAC"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1、募集资金经验资后，基金托管人负责在中央国债登记结算有限责任公司及银行间市场清算所股份有限公司以本基金的名义开立债券托管账户，并由基金托管人负责基金的债券及资金的清算。在上述手续办理完毕后，由基金托管人向人民银行进行报备。基金管理人负责申请基金进入全国银行间同业拆借市场进行交易，由基金管理人在中国外汇交易中心开设同业拆借市场交易账户。</w:t>
      </w:r>
    </w:p>
    <w:p w14:paraId="2021E161"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2、基金管理人代表基金对外签订中国银行间债券市场回购交易主协议。</w:t>
      </w:r>
    </w:p>
    <w:p w14:paraId="4ECFF837"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（六）其他账户的开立和管理</w:t>
      </w:r>
    </w:p>
    <w:p w14:paraId="1B7235B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w:t>
      </w:r>
      <w:r>
        <w:rPr>
          <w:rFonts w:ascii="宋体" w:hAnsi="宋体" w:hint="eastAsia"/>
          <w:sz w:val="24"/>
          <w:szCs w:val="24"/>
        </w:rPr>
        <w:lastRenderedPageBreak/>
        <w:t>按有关规则使用并管理。</w:t>
      </w:r>
    </w:p>
    <w:p w14:paraId="078472BF"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法律法规等有关规定对相关账户的开立和管理另有规定的，从其规定办理。</w:t>
      </w:r>
    </w:p>
    <w:p w14:paraId="7F32D01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（七）基金财产投资的有关实物证券、银行存款定期存单等有价凭证的保管</w:t>
      </w:r>
    </w:p>
    <w:p w14:paraId="5B66FAB8"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实物证券由基金托管人存放于基金托管人或其他基金管理人与基金托管人协议一致的第三方机构的保管库。实物证券的购买和转让，由基金托管人根据基金管理人的指令办理。基金托管人对由基金托管人以外机构实际有效控制的本基金资产不承担保管责任。</w:t>
      </w:r>
    </w:p>
    <w:p w14:paraId="18AD4D5F"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银行存款定期存单等有价凭证由基金托管人负责保管。</w:t>
      </w:r>
    </w:p>
    <w:p w14:paraId="4B7DF7E6"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（八）与基金财产有关的重大合同的保管</w:t>
      </w:r>
    </w:p>
    <w:p w14:paraId="3A9C09D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在合同签署后15个工作日内通过专人送达、挂号邮寄等安全方式将合同原件送达基金托管人处。合同的保管期限按照国家有关规定执行。</w:t>
      </w:r>
    </w:p>
    <w:p w14:paraId="0F3294C3"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对于无法取得二份以上的正本的，基金管理人应向基金托管人提供与原件核对一致后加盖授权业务章的合同扫描件或传真件，未经双方协商或未在合同约定范围内，合同原件不得转移。</w:t>
      </w:r>
    </w:p>
    <w:p w14:paraId="2281C8E5"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因基金管理人未按本协议约定及时向基金托管人送达重大合同原件或扫描件或传真件导致的法律责任，基金托管人不予承担。</w:t>
      </w:r>
    </w:p>
    <w:p w14:paraId="6804BAAD" w14:textId="77777777" w:rsidR="005E308D" w:rsidRDefault="005E308D">
      <w:pPr>
        <w:spacing w:line="360" w:lineRule="auto"/>
        <w:ind w:firstLineChars="200" w:firstLine="480"/>
        <w:rPr>
          <w:rFonts w:ascii="宋体" w:hAnsi="宋体" w:hint="eastAsia"/>
          <w:sz w:val="24"/>
          <w:szCs w:val="24"/>
        </w:rPr>
      </w:pPr>
    </w:p>
    <w:p w14:paraId="187A759D"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基金资产净值计算和会计核算</w:t>
      </w:r>
    </w:p>
    <w:p w14:paraId="2CFEB7B1"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（一）基金资产净值及各类基金份额的基金份额净值的计算与复核</w:t>
      </w:r>
    </w:p>
    <w:p w14:paraId="42D9C8D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基金资产净值是指基金资产总值减去负债后的价值。</w:t>
      </w:r>
    </w:p>
    <w:p w14:paraId="37FB654E"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每工作日对基金资产估值。但基金管理人根据法律法规或基金合同的规定暂停估值时除外。估值原则应符合《基金合同》、《中国证监会关于证券投资基金估值业务的指导意见》、《证券投资基金会计核算业务指引》及其他法律、法规的规定。基金资产净值和各类基金份额的基金份额净值由基金管理人负责计算，基金托管人复核。各类基金份额净值是按照每个工作日闭市后，该类基</w:t>
      </w:r>
      <w:r>
        <w:rPr>
          <w:rFonts w:asciiTheme="minorEastAsia" w:hAnsiTheme="minorEastAsia" w:cs="Arial" w:hint="eastAsia"/>
          <w:sz w:val="24"/>
          <w:szCs w:val="24"/>
        </w:rPr>
        <w:lastRenderedPageBreak/>
        <w:t>金资产净值除以当日该类基金份额的余额数量计算，精确到0.0001元，小数点后第5位四舍五入，由此产生的收益或损失由基金财产承担。基金管理人可以设立大额赎回情形下的净值精度应急调整机制。国家另有规定的，从其规定。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426A42D1"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本基金按以下方法估值： </w:t>
      </w:r>
    </w:p>
    <w:p w14:paraId="019231D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1、证券交易所上市的有价证券的估值</w:t>
      </w:r>
    </w:p>
    <w:p w14:paraId="608E6D0D"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2FA802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交易所上市实行净价交易的债券按估值日第三方估值机构提供的相应品种的净价进行估值；如最近交易日后经济环境发生了重大变化的，可参考类似投资品种的现行市价及重大变化因素，调整最近交易市价，确定公允价值；</w:t>
      </w:r>
    </w:p>
    <w:p w14:paraId="6F13948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经与托管人协商一致，基金管理人可采用第三方估值机构提供的相关数据作为估值依据；</w:t>
      </w:r>
    </w:p>
    <w:p w14:paraId="5D363E5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（4）交易所上市交易的可转换债券以每日收盘价作为估值全价；</w:t>
      </w:r>
    </w:p>
    <w:p w14:paraId="050238B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交易所上市不存在活跃市场的非固定收益类有价证券，采用估值技术确定公允价值。交易所市场挂牌转让的资产支持证券，采用估值技术确定公允价值，在估值技术难以可靠计量公允价值的情况下，按成本估值</w:t>
      </w:r>
      <w:r>
        <w:rPr>
          <w:rFonts w:asciiTheme="minorEastAsia" w:hAnsiTheme="minorEastAsia" w:cs="Arial"/>
          <w:sz w:val="24"/>
          <w:szCs w:val="24"/>
        </w:rPr>
        <w:t>；</w:t>
      </w:r>
    </w:p>
    <w:p w14:paraId="4147A02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3D7A47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2、处于未上市期间的有价证券应区分如下情况处理：</w:t>
      </w:r>
    </w:p>
    <w:p w14:paraId="32CCB70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（1）送股、转增股、配股和公开增发的新股，按估值日在证券交易所挂牌的同一股票的估值方法估值；该日无交易的，以最近一日的市价（收盘价）估值；</w:t>
      </w:r>
    </w:p>
    <w:p w14:paraId="72966D11"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（2）首次公开发行未上市的股票、债券，采用估值技术确定公允价值，在估值技术难以可靠计量公允价值的情况下，按成本估值；</w:t>
      </w:r>
    </w:p>
    <w:p w14:paraId="0FE32A1A"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8D2E3EA"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3、全国银行间债券市场交易的债券、资产支持证券等固定收益品种，以第三方估值机构提供的价格数据估值。</w:t>
      </w:r>
    </w:p>
    <w:p w14:paraId="6D7E51E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4、同一证券同时在两个或两个以上市场交易的，按证券所处的市场分别估值。</w:t>
      </w:r>
    </w:p>
    <w:p w14:paraId="22184F0D"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5、本基金投资国债期货合约、股指期货合约、股票期权合约，一般以估值当日结算价进行估值，估值当日无结算价的，且最近交易日后经济环境未发生重大变化的，采用最近交易日结算价估值。</w:t>
      </w:r>
    </w:p>
    <w:p w14:paraId="199D7A9E"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6</w:t>
      </w:r>
      <w:r>
        <w:rPr>
          <w:rFonts w:asciiTheme="minorEastAsia" w:hAnsiTheme="minorEastAsia" w:cs="Arial" w:hint="eastAsia"/>
          <w:sz w:val="24"/>
          <w:szCs w:val="24"/>
        </w:rPr>
        <w:t>、本基金投资存托凭证的估值核算，依照境内上市交易的股票执行。</w:t>
      </w:r>
    </w:p>
    <w:p w14:paraId="4975D18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7</w:t>
      </w:r>
      <w:r>
        <w:rPr>
          <w:rFonts w:asciiTheme="minorEastAsia" w:hAnsiTheme="minorEastAsia" w:cs="Arial" w:hint="eastAsia"/>
          <w:sz w:val="24"/>
          <w:szCs w:val="24"/>
        </w:rPr>
        <w:t>、其他资产按法律法规或监管机构有关规定进行估值。</w:t>
      </w:r>
    </w:p>
    <w:p w14:paraId="47F3B82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8</w:t>
      </w:r>
      <w:r>
        <w:rPr>
          <w:rFonts w:asciiTheme="minorEastAsia" w:hAnsiTheme="minorEastAsia" w:cs="Arial" w:hint="eastAsia"/>
          <w:sz w:val="24"/>
          <w:szCs w:val="24"/>
        </w:rPr>
        <w:t>、如有确凿证据表明按上述方法进行估值不能客观反映其公允价值的，基金管理人可根据具体情况与基金托管人商定后，按最能反映公允价值的方法估值。</w:t>
      </w:r>
    </w:p>
    <w:p w14:paraId="6BEC8C0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9</w:t>
      </w:r>
      <w:r>
        <w:rPr>
          <w:rFonts w:asciiTheme="minorEastAsia" w:hAnsiTheme="minorEastAsia" w:cs="Arial" w:hint="eastAsia"/>
          <w:sz w:val="24"/>
          <w:szCs w:val="24"/>
        </w:rPr>
        <w:t>、当本基金发生大额申购或赎回情形时，基金管理人可以对本基金采用摆动定价机制，以确保基金估值的公平性。</w:t>
      </w:r>
    </w:p>
    <w:p w14:paraId="6CC4DCE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w:t>
      </w:r>
      <w:r>
        <w:rPr>
          <w:rFonts w:asciiTheme="minorEastAsia" w:hAnsiTheme="minorEastAsia" w:cs="Arial"/>
          <w:sz w:val="24"/>
          <w:szCs w:val="24"/>
        </w:rPr>
        <w:t>0</w:t>
      </w:r>
      <w:r>
        <w:rPr>
          <w:rFonts w:asciiTheme="minorEastAsia" w:hAnsiTheme="minorEastAsia" w:cs="Arial" w:hint="eastAsia"/>
          <w:sz w:val="24"/>
          <w:szCs w:val="24"/>
        </w:rPr>
        <w:t>、相关法律法规以及监管部门有强制规定的，从其规定。如有新增事项，按国家最新规定估值。</w:t>
      </w:r>
    </w:p>
    <w:p w14:paraId="575B8D91"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6E52D30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根据有关法律法规，基金资产净值计算和基金会计核算的义务由基金管理人承担，基金托管人承担复核责任。本基金的基金会计主责任方由基金管理人担任，因此，就与本基金有关的会计问题，如经相关各方在平等基础上充分讨论后，仍无法达成一致的意见，按照基金管理人对基金净值信息的计算结果对外予以公布，由此给基金份额持有人和基金造成的损失以及因该交易日基金资产净值计算顺延错误而引起的损失，由基金管理人负责赔付。</w:t>
      </w:r>
    </w:p>
    <w:p w14:paraId="7A77C90D"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（二）估值错误处理</w:t>
      </w:r>
    </w:p>
    <w:p w14:paraId="6068F96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基金管理人和基金托管人将采取必要、适当、合理的措施确保基金资产估值的准确性、及时性。当任一类基金份额净值小数点后4位以内（含第4位）发生估值错误时，视为该类基金份额净值错误。</w:t>
      </w:r>
    </w:p>
    <w:p w14:paraId="36358E4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基金合同的当事人应按照以下约定处理：</w:t>
      </w:r>
    </w:p>
    <w:p w14:paraId="3F9F54A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1、估值错误类型</w:t>
      </w:r>
    </w:p>
    <w:p w14:paraId="5E7EE92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本基金运作过程中，如果由于基金管理人或基金托管人、或登记机构、或证券经纪机构、 或销售机构、或投资人自身的过错造成估值错误，导致其他当事人遭受损失的，过错的责任人应当对由于该估值错误遭受损失当事人（“受损方”）的直接损失按下述“估值错误处理原则”给予赔偿，承担赔偿责任。</w:t>
      </w:r>
    </w:p>
    <w:p w14:paraId="45C435C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上述估值错误的主要类型包括但不限于：资料申报差错、数据传输差错、数据计算差错、系统故障差错、下达指令差错等。</w:t>
      </w:r>
    </w:p>
    <w:p w14:paraId="134F98EA"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2、估值错误处理原则</w:t>
      </w:r>
    </w:p>
    <w:p w14:paraId="6FAA146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ADCE97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（2）估值错误的责任方对有关当事人的直接损失负责，不对间接损失负责，并且仅对估值错误的有关直接当事人负责，不对第三方负责。</w:t>
      </w:r>
    </w:p>
    <w:p w14:paraId="37F5496E"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0EDAA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（4）估值错误调整采用尽量恢复至假设未发生估值错误的正确情形的方式。</w:t>
      </w:r>
    </w:p>
    <w:p w14:paraId="4CE6FC6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3、估值错误处理程序</w:t>
      </w:r>
    </w:p>
    <w:p w14:paraId="546DDD0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估值错误被发现后，有关的当事人应当及时进行处理，处理的程序如下：</w:t>
      </w:r>
    </w:p>
    <w:p w14:paraId="15C6093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（1）查明估值错误发生的原因，列明所有的当事人，并根据估值错误发生的原因确定估值错误的责任方；</w:t>
      </w:r>
    </w:p>
    <w:p w14:paraId="695BBC5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（2）根据估值错误处理原则或当事人协商的方法对因估值错误造成的损失进行评估；</w:t>
      </w:r>
    </w:p>
    <w:p w14:paraId="7F548AF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（3）根据估值错误处理原则或当事人协商的方法由估值错误的责任方进行更正和赔偿损失；</w:t>
      </w:r>
    </w:p>
    <w:p w14:paraId="696475F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（4）根据估值错误处理的方法，需要修改基金份额登记机构交易数据的，由基金份额登记机构进行更正，并就估值错误的更正向有关当事人进行确认。</w:t>
      </w:r>
    </w:p>
    <w:p w14:paraId="4E0E097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4、基金份额净值估值错误处理的方法如下：</w:t>
      </w:r>
    </w:p>
    <w:p w14:paraId="0B8D6BA1"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（1）基金份额净值计算出现错误时，基金管理人应当立即予以纠正，通报基金托管人，并采取合理的措施防止损失进一步扩大。</w:t>
      </w:r>
    </w:p>
    <w:p w14:paraId="4B66B3B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（2）错误偏差达到某类基金份额净值的0.25%时，基金管理人应当通报基金托管人并报中国证监会备案；错误偏差达到某类基金份额净值的0.5%时，基金管理人应当公告，并报中国证监会备案。</w:t>
      </w:r>
    </w:p>
    <w:p w14:paraId="3E093E1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（3）前述内容如法律法规或监管机关另有规定的，从其规定处理。</w:t>
      </w:r>
    </w:p>
    <w:p w14:paraId="03A08EB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（三）暂停估值的情形</w:t>
      </w:r>
    </w:p>
    <w:p w14:paraId="418FD47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1、基金投资所涉及的证券/期货交易市场遇法定节假日或因其他原因暂停营</w:t>
      </w:r>
      <w:r>
        <w:rPr>
          <w:rFonts w:asciiTheme="minorEastAsia" w:hAnsiTheme="minorEastAsia" w:cs="Arial" w:hint="eastAsia"/>
          <w:sz w:val="24"/>
          <w:szCs w:val="24"/>
        </w:rPr>
        <w:lastRenderedPageBreak/>
        <w:t>业时；</w:t>
      </w:r>
    </w:p>
    <w:p w14:paraId="45D6350A"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2、因不可抗力或其他情形致使基金管理人、基金托管人无法准确评估基金资产价值时；</w:t>
      </w:r>
    </w:p>
    <w:p w14:paraId="45BDA4BD"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3、当特定资产占前一估值日基金资产净值50%以上的，经与基金托管人协商确认后，基金管理人应当暂停基金估值；</w:t>
      </w:r>
    </w:p>
    <w:p w14:paraId="1765B3EA"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4、法律法规、中国证监会和基金合同认定的其它情形。</w:t>
      </w:r>
    </w:p>
    <w:p w14:paraId="33B3D5E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（四）基金会计制度</w:t>
      </w:r>
    </w:p>
    <w:p w14:paraId="1521B3B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按国家有关部门制定的会计制度执行。</w:t>
      </w:r>
    </w:p>
    <w:p w14:paraId="48F95C0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（五）基金账册的建立</w:t>
      </w:r>
    </w:p>
    <w:p w14:paraId="214CA13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13D1433A"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（六）会计数据和财务指标的核对</w:t>
      </w:r>
    </w:p>
    <w:p w14:paraId="5E0CBAC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双方应每个交易日核对账目，如发现双方的账目存在不符的，基金管理人和基金托管人必须及时查明原因并纠正，确保核对一致。若当日核对不符，暂时无法查找到错账的原因而影响到基金净值信息的计算和公告的，以基金管理人的账册为准。</w:t>
      </w:r>
    </w:p>
    <w:p w14:paraId="2966FCD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（七）基金定期报告的编制和复核</w:t>
      </w:r>
    </w:p>
    <w:p w14:paraId="6EFE06E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财务报表由基金管理人和基金托管人每月分别独立编制。月度报表的编制，应于每月终了后5个工作日内完成。定期报告文件应按中国证监会的要求公告。季度报表的编制，应于每季度终了后15个工作日内完成；《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中期报告在基金会计年度前6个月结束后的两个月内公告；年度报告在会计年度结束后三个月内公告。</w:t>
      </w:r>
    </w:p>
    <w:p w14:paraId="225B234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基金管理人在月度报表完成当日，以约定方式将有关报表提供基金托管人；基金托管人在2个工作日内进行复核，并将复核结果反馈给基金管理人。基金管</w:t>
      </w:r>
      <w:r>
        <w:rPr>
          <w:rFonts w:asciiTheme="minorEastAsia" w:hAnsiTheme="minorEastAsia" w:cs="Arial" w:hint="eastAsia"/>
          <w:sz w:val="24"/>
          <w:szCs w:val="24"/>
        </w:rPr>
        <w:lastRenderedPageBreak/>
        <w:t>理人在季度报表完成当日，以约定方式将有关报表提供基金托管人；基金托管人在5个工作日内进行复核，并将复核结果反馈给基金管理人。基金管理人在更新招募说明书完成当日，将有关报告提供基金托管人，基金托管人在收到15日内进行复核，并将复核结果反馈给基金管理人。基金管理人在半年度报告完成当日，将有关报告提供基金托管人，基金托管人在收到后20日内进行复核，并将复核结果反馈给基金管理人。基金管理人在年度报告完成当日，将有关报告提供基金托管人，基金托管人在收到后30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14:paraId="1D66567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基金托管人在对财务报表、季度报告、中期报告或年度报告复核完毕后，可以出具复核确认书（盖章）、进行电子确认或以其他双方约定的方式确认，以备有权机构对相关文件审核检查</w:t>
      </w:r>
    </w:p>
    <w:p w14:paraId="7A0F884A" w14:textId="77777777" w:rsidR="005E308D" w:rsidRDefault="005E308D">
      <w:pPr>
        <w:adjustRightInd w:val="0"/>
        <w:snapToGrid w:val="0"/>
        <w:spacing w:line="360" w:lineRule="auto"/>
        <w:ind w:firstLineChars="200" w:firstLine="480"/>
        <w:rPr>
          <w:rFonts w:asciiTheme="minorEastAsia" w:hAnsiTheme="minorEastAsia" w:cs="Arial" w:hint="eastAsia"/>
          <w:sz w:val="24"/>
          <w:szCs w:val="24"/>
        </w:rPr>
      </w:pPr>
    </w:p>
    <w:p w14:paraId="40EC6B28"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基金份额持有人名册的保管</w:t>
      </w:r>
    </w:p>
    <w:p w14:paraId="48D7A324"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基金管理人可委托基金登记机构登记和保管基金份额持有人名册。基金份额持有人名册的内容包括但不限于基金份额持有人的名称和持有的基金份额。</w:t>
      </w:r>
    </w:p>
    <w:p w14:paraId="139A6C1B"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份额持有人名册，包括基金募集期结束时的基金份额持有人名册、基金权益登记日的基金份额持有人名册、基金份额持有人大会权益登记日的基金份额持有人名册、每年最后一个交易日的基金份额持有人名册，由基金登记机构负责编制和保管，并对基金份额持有人名册的真实性、完整性和准确性负责。</w:t>
      </w:r>
    </w:p>
    <w:p w14:paraId="2631FAFD"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基金管理人应根据基金托管人的要求定期和不定期向基金托管人提供基金份额持有人名册。</w:t>
      </w:r>
    </w:p>
    <w:p w14:paraId="667671B5"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（一）基金管理人于《基金合同》生效日及《基金合同》终止日后10个工作日内向基金托管人提供由登记机构编制的基金份额持有人名册；</w:t>
      </w:r>
    </w:p>
    <w:p w14:paraId="68F516A0"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（二）基金管理人于基金份额持有人大会权益登记日后5个工作日内向基金托管人提供由登记机构编制的基金份额持有人名册；</w:t>
      </w:r>
    </w:p>
    <w:p w14:paraId="1D71EB38"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lastRenderedPageBreak/>
        <w:t>（三）基金管理人于每年最后一个交易日后10个工作日内向基金托管人提供由登记机构编制的基金份额持有人名册；</w:t>
      </w:r>
    </w:p>
    <w:p w14:paraId="365976D2"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（四）除上述约定时间外，如果确因业务需要，基金托管人与基金管理人商议一致后，由基金管理人向基金托管人提供由登记机构编制的基金份额持有人名册。</w:t>
      </w:r>
    </w:p>
    <w:p w14:paraId="213027F7"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托管人以电子版形式妥善保管基金份额持有人名册，并定期刻成光盘备份，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4F79E1C2" w14:textId="77777777" w:rsidR="005E308D" w:rsidRDefault="005E308D">
      <w:pPr>
        <w:spacing w:line="360" w:lineRule="auto"/>
        <w:ind w:firstLineChars="200" w:firstLine="480"/>
        <w:rPr>
          <w:rFonts w:ascii="宋体" w:hAnsi="宋体" w:hint="eastAsia"/>
          <w:sz w:val="24"/>
          <w:szCs w:val="24"/>
        </w:rPr>
      </w:pPr>
    </w:p>
    <w:p w14:paraId="11D69DB4"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争议解决方式</w:t>
      </w:r>
    </w:p>
    <w:p w14:paraId="716CCE24" w14:textId="77777777" w:rsidR="005E308D" w:rsidRDefault="00945B44">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相关各方当事人同意，因本协议而产生的或与本协议有关的一切争议，应通过友好协商或者调解解决。托管协议当事人不愿通过协商、调解解决或者协商、调解不成的，应将争议提交上海仲裁委员会金融仲裁院，根据该会当时有效的仲裁规则进行仲裁，仲裁的地点为上海市，仲裁裁决是终局的，并对相关各方当事人均有约束力。除非仲裁裁决另有规定，仲裁费用由败诉方承担。</w:t>
      </w:r>
    </w:p>
    <w:p w14:paraId="762D2D6A" w14:textId="77777777" w:rsidR="005E308D" w:rsidRDefault="00945B44">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争议处理期间，相关各方当事人应恪守基金管理人和基金托管人职责，继续忠实、勤勉、尽责地履行《基金合同》和本协议规定的义务，维护基金份额持有人的合法权益。</w:t>
      </w:r>
    </w:p>
    <w:p w14:paraId="3E3442E7" w14:textId="77777777" w:rsidR="005E308D" w:rsidRDefault="00945B44">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本协议受中华人民共和国法律（为本协议之目的，不包括香港、澳门特别行政区及台湾地区法律）管辖并从其解释。</w:t>
      </w:r>
    </w:p>
    <w:p w14:paraId="75F77A72"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基金托管协议的变更、终止与基金财产的清算</w:t>
      </w:r>
    </w:p>
    <w:p w14:paraId="32216226"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（一）基金托管协议的变更</w:t>
      </w:r>
    </w:p>
    <w:p w14:paraId="45BF13A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本协议双方当事人经协商一致，可以对协议进行修改。修改后的新协议，其内容不得与《基金合同》的规定有任何冲突，并报中国证监会备案。</w:t>
      </w:r>
    </w:p>
    <w:p w14:paraId="4E621BA7"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（二）基金托管协议的终止</w:t>
      </w:r>
    </w:p>
    <w:p w14:paraId="24CBA6AB"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1、《基金合同》终止；</w:t>
      </w:r>
    </w:p>
    <w:p w14:paraId="33C5AF2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2、基金托管人解散、依法被撤销、破产，被依法取消基金托管资格或因其</w:t>
      </w:r>
      <w:r>
        <w:rPr>
          <w:rFonts w:ascii="宋体" w:hAnsi="宋体" w:hint="eastAsia"/>
          <w:sz w:val="24"/>
          <w:szCs w:val="24"/>
        </w:rPr>
        <w:lastRenderedPageBreak/>
        <w:t>他事由造成其他基金托管人接管基金财产；</w:t>
      </w:r>
    </w:p>
    <w:p w14:paraId="41DD84D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3、基金管理人解散、依法被撤销、破产，被依法取消基金管理资格或因其他事由造成其他基金管理人接管基金管理权；</w:t>
      </w:r>
    </w:p>
    <w:p w14:paraId="6A3E4136"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4、发生《基金法》、《销售办法》、《运作办法》或其他法律、法规规定的终止事项。</w:t>
      </w:r>
    </w:p>
    <w:p w14:paraId="7158A04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（三）基金财产的清算</w:t>
      </w:r>
    </w:p>
    <w:p w14:paraId="700A1165"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1、基金财产清算小组：自出现《基金合同》终止事由之日起30个工作日内成立清算小组，基金管理人或临时基金管理人组织基金财产清算小组并在中国证监会的监督下进行基金清算。</w:t>
      </w:r>
    </w:p>
    <w:p w14:paraId="4D4A39B7"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2、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3394FC38"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3、基金财产清算小组职责：基金财产清算小组负责基金财产的保管、清理、估价、变现和分配。基金财产清算小组可以依法进行必要的民事活动。</w:t>
      </w:r>
    </w:p>
    <w:p w14:paraId="759CC8E8"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4、基金财产清算程序：</w:t>
      </w:r>
    </w:p>
    <w:p w14:paraId="1AD460F2"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（1）《基金合同》终止情形出现时，由基金财产清算小组统一接管基金；</w:t>
      </w:r>
    </w:p>
    <w:p w14:paraId="6097F6B5"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（2）对基金财产和债权债务进行清理和确认；</w:t>
      </w:r>
    </w:p>
    <w:p w14:paraId="40E072F1"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（3）对基金财产进行估值和变现；</w:t>
      </w:r>
    </w:p>
    <w:p w14:paraId="7DA664AF"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（4）制作清算报告；</w:t>
      </w:r>
    </w:p>
    <w:p w14:paraId="7371854F"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（5）聘请会计师事务所对清算报告进行外部审计，聘请律师事务所对清算报告出具法律意见书；</w:t>
      </w:r>
    </w:p>
    <w:p w14:paraId="65140BBA"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（6）将清算报告报中国证监会备案并公告；</w:t>
      </w:r>
    </w:p>
    <w:p w14:paraId="4D12CB4A"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（7）对基金剩余财产进行分配。</w:t>
      </w:r>
    </w:p>
    <w:p w14:paraId="650DC53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5、基金财产清算的期限为6个月，但因本基金所持证券的流动性受到限制而不能及时变现的，清算期限可相应顺延。</w:t>
      </w:r>
    </w:p>
    <w:p w14:paraId="5C5418C3"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6、清算费用</w:t>
      </w:r>
    </w:p>
    <w:p w14:paraId="2146D0C0"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清算费用是指基金财产清算小组在进行基金清算过程中发生的所有合理费用，清算费用由基金财产清算小组优先从基金财产中支付。</w:t>
      </w:r>
    </w:p>
    <w:p w14:paraId="34C31C6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7、基金财产清算剩余资产的分配</w:t>
      </w:r>
    </w:p>
    <w:p w14:paraId="3C25A6A3"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lastRenderedPageBreak/>
        <w:t>依据基金财产清算的分配方案，将基金财产清算后的全部剩余资产扣除基金财产清算费用、交纳所欠税款并清偿基金债务后，按基金份额持有人持有的基金份额比例进行分配。</w:t>
      </w:r>
    </w:p>
    <w:p w14:paraId="0B76816D"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8、基金财产清算的公告</w:t>
      </w:r>
    </w:p>
    <w:p w14:paraId="5C4FEDA4"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015C8B84"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9、基金财产清算账册及文件的保存</w:t>
      </w:r>
    </w:p>
    <w:p w14:paraId="5660FFBF"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基金财产清算账册及有关文件由基金托管人保存，保存期限不低于法律法规规定的最低期限。</w:t>
      </w:r>
    </w:p>
    <w:p w14:paraId="62403673" w14:textId="77777777" w:rsidR="005E308D" w:rsidRDefault="00945B44">
      <w:pPr>
        <w:widowControl/>
        <w:jc w:val="left"/>
        <w:rPr>
          <w:rFonts w:ascii="宋体" w:hAnsi="宋体" w:hint="eastAsia"/>
          <w:sz w:val="24"/>
          <w:szCs w:val="24"/>
        </w:rPr>
      </w:pPr>
      <w:r>
        <w:rPr>
          <w:rFonts w:ascii="宋体" w:hAnsi="宋体"/>
          <w:sz w:val="24"/>
          <w:szCs w:val="24"/>
        </w:rPr>
        <w:br w:type="page"/>
      </w:r>
    </w:p>
    <w:p w14:paraId="5475CCF1" w14:textId="77777777" w:rsidR="005E308D" w:rsidRDefault="00945B44">
      <w:pPr>
        <w:pStyle w:val="1"/>
        <w:jc w:val="center"/>
        <w:rPr>
          <w:sz w:val="30"/>
          <w:szCs w:val="30"/>
        </w:rPr>
      </w:pPr>
      <w:bookmarkStart w:id="426" w:name="_Toc68266308"/>
      <w:bookmarkStart w:id="427" w:name="_Toc119568477"/>
      <w:bookmarkStart w:id="428" w:name="_Toc214873621"/>
      <w:bookmarkStart w:id="429" w:name="_Toc12357176"/>
      <w:bookmarkStart w:id="430" w:name="_Toc21073396"/>
      <w:bookmarkStart w:id="431" w:name="_Toc263092328"/>
      <w:bookmarkStart w:id="432" w:name="_Toc416264555"/>
      <w:bookmarkStart w:id="433" w:name="_Toc147463123"/>
      <w:bookmarkStart w:id="434" w:name="_Toc23999"/>
      <w:bookmarkStart w:id="435" w:name="_Toc141703902"/>
      <w:bookmarkStart w:id="436" w:name="_Toc352229767"/>
      <w:bookmarkStart w:id="437" w:name="_Toc3319"/>
      <w:bookmarkStart w:id="438" w:name="_Toc24923"/>
      <w:bookmarkStart w:id="439" w:name="_Toc6110"/>
      <w:bookmarkStart w:id="440" w:name="_Toc7288"/>
      <w:bookmarkStart w:id="441" w:name="_Toc98560366"/>
      <w:bookmarkStart w:id="442" w:name="_Toc123051467"/>
      <w:bookmarkStart w:id="443" w:name="_Toc139991751"/>
      <w:bookmarkStart w:id="444" w:name="_Toc1790"/>
      <w:bookmarkStart w:id="445" w:name="_Toc6202"/>
      <w:bookmarkStart w:id="446" w:name="_Toc30350"/>
      <w:bookmarkStart w:id="447" w:name="_Toc123112249"/>
      <w:bookmarkStart w:id="448" w:name="_Toc123102468"/>
      <w:bookmarkStart w:id="449" w:name="_Toc21983"/>
      <w:bookmarkStart w:id="450" w:name="_Toc25651"/>
      <w:bookmarkStart w:id="451" w:name="_Toc8636"/>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hint="eastAsia"/>
          <w:sz w:val="30"/>
          <w:szCs w:val="30"/>
        </w:rPr>
        <w:lastRenderedPageBreak/>
        <w:t>第二十一部分</w:t>
      </w:r>
      <w:r>
        <w:rPr>
          <w:sz w:val="30"/>
          <w:szCs w:val="30"/>
        </w:rPr>
        <w:t xml:space="preserve">  </w:t>
      </w:r>
      <w:r>
        <w:rPr>
          <w:rFonts w:hint="eastAsia"/>
          <w:sz w:val="30"/>
          <w:szCs w:val="30"/>
        </w:rPr>
        <w:t>对基金份额持有人的服务</w:t>
      </w:r>
      <w:bookmarkEnd w:id="426"/>
      <w:bookmarkEnd w:id="427"/>
    </w:p>
    <w:p w14:paraId="46441A5C"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基金管理人承诺为基金份额持有人提供一系列服务，基金管理人根据基金份额持有人的需要和市场的变化，有权增加或变更服务项目。主要服务内容如下：</w:t>
      </w:r>
    </w:p>
    <w:p w14:paraId="3DB408F9"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（一）电话人工咨询服务</w:t>
      </w:r>
    </w:p>
    <w:p w14:paraId="3EC91239"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以通过拨打基金管理人客服热线转人工坐席，进行基金业务的相关咨询，人工坐席服务时间为每周一至周五上午9:00-11:30，下午13:00-17:00（法定节假日及因此导致的证券交易所休市日除外）。针对非人工服务时间内的电话留言，基金管理人将设有专员进行及时回复。</w:t>
      </w:r>
    </w:p>
    <w:p w14:paraId="42CCDF69"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（二）自助查询服务</w:t>
      </w:r>
    </w:p>
    <w:p w14:paraId="48A39CA8"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投资者可通过基金管理人呼叫中心自动语音系统、基金管理人网上账户查询系统进行账户余额、交易情况、基金净值等信息查询。</w:t>
      </w:r>
    </w:p>
    <w:p w14:paraId="47BDA6E2"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（三）邮件咨询服务</w:t>
      </w:r>
    </w:p>
    <w:p w14:paraId="51B7FB60"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投资者可通过电子邮件的形式向基金管理人提出疑问，针对投资者的问题，基金管理人将设有专员进行及时回复。</w:t>
      </w:r>
    </w:p>
    <w:p w14:paraId="1A337276"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（四）免费信息订阅服务</w:t>
      </w:r>
    </w:p>
    <w:p w14:paraId="42BAD183"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140474B8"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（五）客户投诉受理服务</w:t>
      </w:r>
    </w:p>
    <w:p w14:paraId="09FE806D"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投资人可以通过客服热线、书信、电子邮件等渠道，对基金管理人和销售机构所提供的服务进行投诉。基金管理人承诺在 </w:t>
      </w:r>
      <w:r>
        <w:rPr>
          <w:rFonts w:asciiTheme="minorEastAsia" w:hAnsiTheme="minorEastAsia" w:cs="Arial"/>
          <w:sz w:val="24"/>
          <w:szCs w:val="24"/>
        </w:rPr>
        <w:t>20</w:t>
      </w:r>
      <w:r>
        <w:rPr>
          <w:rFonts w:asciiTheme="minorEastAsia" w:hAnsiTheme="minorEastAsia" w:cs="Arial" w:hint="eastAsia"/>
          <w:sz w:val="24"/>
          <w:szCs w:val="24"/>
        </w:rPr>
        <w:t>个工作日之内对基金投资人的投诉做出回复。</w:t>
      </w:r>
    </w:p>
    <w:p w14:paraId="03919750"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（六）基金管理人联系方式 </w:t>
      </w:r>
    </w:p>
    <w:p w14:paraId="03669702"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基金管理人网址： www.furamc.com.cn</w:t>
      </w:r>
    </w:p>
    <w:p w14:paraId="11BBCB05"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电子信箱：service@furamc.com.cn</w:t>
      </w:r>
    </w:p>
    <w:p w14:paraId="6C68477F"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客服热线：4006855600</w:t>
      </w:r>
    </w:p>
    <w:p w14:paraId="778BB451"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客户服务部门地址：</w:t>
      </w:r>
      <w:r>
        <w:rPr>
          <w:rFonts w:asciiTheme="minorEastAsia" w:hAnsiTheme="minorEastAsia" w:cs="Times New Roman" w:hint="eastAsia"/>
          <w:kern w:val="0"/>
          <w:sz w:val="24"/>
          <w:szCs w:val="24"/>
        </w:rPr>
        <w:t>深圳市福田区八卦四路52号安吉尔大厦24层</w:t>
      </w:r>
      <w:r>
        <w:rPr>
          <w:rFonts w:asciiTheme="minorEastAsia" w:hAnsiTheme="minorEastAsia" w:cs="Arial" w:hint="eastAsia"/>
          <w:sz w:val="24"/>
          <w:szCs w:val="24"/>
        </w:rPr>
        <w:t>，富荣基金管理有限公司客户服务部门（收）</w:t>
      </w:r>
    </w:p>
    <w:p w14:paraId="459177E5"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邮编：518038</w:t>
      </w:r>
    </w:p>
    <w:p w14:paraId="37050606" w14:textId="0C0698DA"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（七）如本招募说明书存在任何您/贵机构无法理解的内容，请通过上述联系方式联系基金管理人。请确保投资前，您/贵机构已经全面理解了本招募说明书</w:t>
      </w:r>
      <w:r>
        <w:rPr>
          <w:rFonts w:asciiTheme="minorEastAsia" w:hAnsiTheme="minorEastAsia" w:cs="Arial"/>
          <w:sz w:val="24"/>
          <w:szCs w:val="24"/>
        </w:rPr>
        <w:t>。</w:t>
      </w:r>
      <w:r>
        <w:rPr>
          <w:rFonts w:asciiTheme="minorEastAsia" w:hAnsiTheme="minorEastAsia" w:cs="Arial" w:hint="eastAsia"/>
          <w:sz w:val="24"/>
          <w:szCs w:val="24"/>
        </w:rPr>
        <w:br w:type="page"/>
      </w:r>
    </w:p>
    <w:p w14:paraId="5A0BFD16" w14:textId="74229A0A" w:rsidR="005E308D" w:rsidRDefault="00945B44">
      <w:pPr>
        <w:pStyle w:val="1"/>
        <w:jc w:val="center"/>
        <w:rPr>
          <w:rFonts w:asciiTheme="minorEastAsia" w:eastAsiaTheme="minorEastAsia" w:hAnsiTheme="minorEastAsia" w:hint="eastAsia"/>
          <w:sz w:val="30"/>
          <w:szCs w:val="30"/>
        </w:rPr>
      </w:pPr>
      <w:bookmarkStart w:id="452" w:name="_Toc119568478"/>
      <w:bookmarkStart w:id="453" w:name="_Toc520207207"/>
      <w:bookmarkStart w:id="454" w:name="_Toc521338342"/>
      <w:bookmarkStart w:id="455" w:name="_Toc256666929"/>
      <w:bookmarkStart w:id="456" w:name="_Toc30359"/>
      <w:bookmarkStart w:id="457" w:name="_Toc256666809"/>
      <w:bookmarkStart w:id="458" w:name="_Toc482624810"/>
      <w:r>
        <w:rPr>
          <w:rFonts w:asciiTheme="minorEastAsia" w:eastAsiaTheme="minorEastAsia" w:hAnsiTheme="minorEastAsia" w:hint="eastAsia"/>
          <w:sz w:val="30"/>
          <w:szCs w:val="30"/>
        </w:rPr>
        <w:lastRenderedPageBreak/>
        <w:t>第二十二部分  其他应披露事项</w:t>
      </w:r>
      <w:bookmarkEnd w:id="452"/>
      <w:bookmarkEnd w:id="453"/>
      <w:bookmarkEnd w:id="454"/>
      <w:bookmarkEnd w:id="455"/>
      <w:bookmarkEnd w:id="456"/>
      <w:bookmarkEnd w:id="457"/>
      <w:bookmarkEnd w:id="458"/>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708"/>
        <w:gridCol w:w="2230"/>
      </w:tblGrid>
      <w:tr w:rsidR="005E308D" w14:paraId="41DABB5B"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2EF89F73"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序号</w:t>
            </w:r>
          </w:p>
        </w:tc>
        <w:tc>
          <w:tcPr>
            <w:tcW w:w="5708" w:type="dxa"/>
            <w:tcBorders>
              <w:top w:val="single" w:sz="4" w:space="0" w:color="000000"/>
              <w:left w:val="single" w:sz="4" w:space="0" w:color="000000"/>
              <w:bottom w:val="single" w:sz="4" w:space="0" w:color="000000"/>
              <w:right w:val="single" w:sz="4" w:space="0" w:color="000000"/>
            </w:tcBorders>
          </w:tcPr>
          <w:p w14:paraId="1309C523"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公告事项</w:t>
            </w:r>
          </w:p>
        </w:tc>
        <w:tc>
          <w:tcPr>
            <w:tcW w:w="2230" w:type="dxa"/>
            <w:tcBorders>
              <w:top w:val="single" w:sz="4" w:space="0" w:color="000000"/>
              <w:left w:val="single" w:sz="4" w:space="0" w:color="000000"/>
              <w:bottom w:val="single" w:sz="4" w:space="0" w:color="000000"/>
              <w:right w:val="single" w:sz="4" w:space="0" w:color="000000"/>
            </w:tcBorders>
          </w:tcPr>
          <w:p w14:paraId="78DC98B1"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披露日期</w:t>
            </w:r>
          </w:p>
        </w:tc>
      </w:tr>
      <w:tr w:rsidR="005E308D" w14:paraId="7C18B7B7"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7F52720A"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w:t>
            </w:r>
          </w:p>
        </w:tc>
        <w:tc>
          <w:tcPr>
            <w:tcW w:w="5708" w:type="dxa"/>
            <w:tcBorders>
              <w:top w:val="single" w:sz="4" w:space="0" w:color="000000"/>
              <w:left w:val="single" w:sz="4" w:space="0" w:color="000000"/>
              <w:bottom w:val="single" w:sz="4" w:space="0" w:color="000000"/>
              <w:right w:val="single" w:sz="4" w:space="0" w:color="000000"/>
            </w:tcBorders>
          </w:tcPr>
          <w:p w14:paraId="18EDDDA0"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富荣基金管理有限公司关于旗下基金新增上海华夏财富投资管理有限公司为销售机构、开通基金定期定额投资业务和基金转换业务并参加申购及定期定额投资申购费率优惠活动的公告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785BFD7E"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2023年10月13日</w:t>
            </w:r>
          </w:p>
        </w:tc>
      </w:tr>
      <w:tr w:rsidR="005E308D" w14:paraId="03E36F45"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B4CEBE1"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w:t>
            </w:r>
          </w:p>
        </w:tc>
        <w:tc>
          <w:tcPr>
            <w:tcW w:w="5708" w:type="dxa"/>
            <w:tcBorders>
              <w:top w:val="single" w:sz="4" w:space="0" w:color="000000"/>
              <w:left w:val="single" w:sz="4" w:space="0" w:color="000000"/>
              <w:bottom w:val="single" w:sz="4" w:space="0" w:color="000000"/>
              <w:right w:val="single" w:sz="4" w:space="0" w:color="000000"/>
            </w:tcBorders>
          </w:tcPr>
          <w:p w14:paraId="3101EF14"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富荣基金管理有限公司旗下全部基金2023年第3季度报告提示性公告</w:t>
            </w:r>
          </w:p>
        </w:tc>
        <w:tc>
          <w:tcPr>
            <w:tcW w:w="2230" w:type="dxa"/>
            <w:tcBorders>
              <w:top w:val="single" w:sz="4" w:space="0" w:color="000000"/>
              <w:left w:val="single" w:sz="4" w:space="0" w:color="000000"/>
              <w:bottom w:val="single" w:sz="4" w:space="0" w:color="000000"/>
              <w:right w:val="single" w:sz="4" w:space="0" w:color="000000"/>
            </w:tcBorders>
          </w:tcPr>
          <w:p w14:paraId="323DB206"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2023年10月25日</w:t>
            </w:r>
          </w:p>
        </w:tc>
      </w:tr>
      <w:tr w:rsidR="005E308D" w14:paraId="57C0C39C"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47304A6F"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3</w:t>
            </w:r>
          </w:p>
        </w:tc>
        <w:tc>
          <w:tcPr>
            <w:tcW w:w="5708" w:type="dxa"/>
            <w:tcBorders>
              <w:top w:val="single" w:sz="4" w:space="0" w:color="000000"/>
              <w:left w:val="single" w:sz="4" w:space="0" w:color="000000"/>
              <w:bottom w:val="single" w:sz="4" w:space="0" w:color="000000"/>
              <w:right w:val="single" w:sz="4" w:space="0" w:color="000000"/>
            </w:tcBorders>
          </w:tcPr>
          <w:p w14:paraId="22A47026"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富荣基金管理有限公司关于旗下基金新增上海中正达广基金销售有限公司为销售机构、开通基金定期定额投资业务和基金转换业务并参加申购及定期定额投资申购费率优惠活动的公告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196F23E5"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2023年11月1日</w:t>
            </w:r>
          </w:p>
        </w:tc>
      </w:tr>
      <w:tr w:rsidR="005E308D" w14:paraId="61A87F6A"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191D1316"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4</w:t>
            </w:r>
          </w:p>
        </w:tc>
        <w:tc>
          <w:tcPr>
            <w:tcW w:w="5708" w:type="dxa"/>
            <w:tcBorders>
              <w:top w:val="single" w:sz="4" w:space="0" w:color="000000"/>
              <w:left w:val="single" w:sz="4" w:space="0" w:color="000000"/>
              <w:bottom w:val="single" w:sz="4" w:space="0" w:color="000000"/>
              <w:right w:val="single" w:sz="4" w:space="0" w:color="000000"/>
            </w:tcBorders>
          </w:tcPr>
          <w:p w14:paraId="0B71FD8D"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富荣基金管理有限公司关于提醒投资者防范不法分子假冒本公司名义从事诈骗活动的公告</w:t>
            </w:r>
          </w:p>
        </w:tc>
        <w:tc>
          <w:tcPr>
            <w:tcW w:w="2230" w:type="dxa"/>
            <w:tcBorders>
              <w:top w:val="single" w:sz="4" w:space="0" w:color="000000"/>
              <w:left w:val="single" w:sz="4" w:space="0" w:color="000000"/>
              <w:bottom w:val="single" w:sz="4" w:space="0" w:color="000000"/>
              <w:right w:val="single" w:sz="4" w:space="0" w:color="000000"/>
            </w:tcBorders>
          </w:tcPr>
          <w:p w14:paraId="2F18B36F"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2023年11月9日</w:t>
            </w:r>
          </w:p>
        </w:tc>
      </w:tr>
      <w:tr w:rsidR="005E308D" w14:paraId="46833989"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182CFA66"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5</w:t>
            </w:r>
          </w:p>
        </w:tc>
        <w:tc>
          <w:tcPr>
            <w:tcW w:w="5708" w:type="dxa"/>
            <w:tcBorders>
              <w:top w:val="single" w:sz="4" w:space="0" w:color="000000"/>
              <w:left w:val="single" w:sz="4" w:space="0" w:color="000000"/>
              <w:bottom w:val="single" w:sz="4" w:space="0" w:color="000000"/>
              <w:right w:val="single" w:sz="4" w:space="0" w:color="000000"/>
            </w:tcBorders>
          </w:tcPr>
          <w:p w14:paraId="108EDC52"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富荣基金管理有限公司关于提醒投资者防范不法分子假冒本公司名义从事诈骗活动的公告</w:t>
            </w:r>
          </w:p>
        </w:tc>
        <w:tc>
          <w:tcPr>
            <w:tcW w:w="2230" w:type="dxa"/>
            <w:tcBorders>
              <w:top w:val="single" w:sz="4" w:space="0" w:color="000000"/>
              <w:left w:val="single" w:sz="4" w:space="0" w:color="000000"/>
              <w:bottom w:val="single" w:sz="4" w:space="0" w:color="000000"/>
              <w:right w:val="single" w:sz="4" w:space="0" w:color="000000"/>
            </w:tcBorders>
          </w:tcPr>
          <w:p w14:paraId="53A6F148"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2023年11月14日</w:t>
            </w:r>
          </w:p>
        </w:tc>
      </w:tr>
      <w:tr w:rsidR="005E308D" w14:paraId="7525CFF2"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33432991"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6</w:t>
            </w:r>
          </w:p>
        </w:tc>
        <w:tc>
          <w:tcPr>
            <w:tcW w:w="5708" w:type="dxa"/>
            <w:tcBorders>
              <w:top w:val="single" w:sz="4" w:space="0" w:color="000000"/>
              <w:left w:val="single" w:sz="4" w:space="0" w:color="000000"/>
              <w:bottom w:val="single" w:sz="4" w:space="0" w:color="000000"/>
              <w:right w:val="single" w:sz="4" w:space="0" w:color="000000"/>
            </w:tcBorders>
          </w:tcPr>
          <w:p w14:paraId="329E6FA0"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富荣基金管理有限公司关于旗下基金新增国金证券股份有限公司为销售机构、开通基金定期定额投资业务和基金转换业务并参加申购及定期定额投资申购费率优惠活动的公告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032D1FB3"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2023年11月20日</w:t>
            </w:r>
          </w:p>
        </w:tc>
      </w:tr>
      <w:tr w:rsidR="005E308D" w14:paraId="67A07812"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46A7606A"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7</w:t>
            </w:r>
          </w:p>
        </w:tc>
        <w:tc>
          <w:tcPr>
            <w:tcW w:w="5708" w:type="dxa"/>
            <w:tcBorders>
              <w:top w:val="single" w:sz="4" w:space="0" w:color="000000"/>
              <w:left w:val="single" w:sz="4" w:space="0" w:color="000000"/>
              <w:bottom w:val="single" w:sz="4" w:space="0" w:color="000000"/>
              <w:right w:val="single" w:sz="4" w:space="0" w:color="000000"/>
            </w:tcBorders>
          </w:tcPr>
          <w:p w14:paraId="1E2AA9D6"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富荣基金管理有限公司关于旗下部分公开募集证券投资基金更新招募说明书及产品资料概要的提示性公告</w:t>
            </w:r>
          </w:p>
        </w:tc>
        <w:tc>
          <w:tcPr>
            <w:tcW w:w="2230" w:type="dxa"/>
            <w:tcBorders>
              <w:top w:val="single" w:sz="4" w:space="0" w:color="000000"/>
              <w:left w:val="single" w:sz="4" w:space="0" w:color="000000"/>
              <w:bottom w:val="single" w:sz="4" w:space="0" w:color="000000"/>
              <w:right w:val="single" w:sz="4" w:space="0" w:color="000000"/>
            </w:tcBorders>
          </w:tcPr>
          <w:p w14:paraId="65C23CB9"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2023年11月23日</w:t>
            </w:r>
          </w:p>
        </w:tc>
      </w:tr>
      <w:tr w:rsidR="005E308D" w14:paraId="6DD8B8BD"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122B35D7"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8</w:t>
            </w:r>
          </w:p>
        </w:tc>
        <w:tc>
          <w:tcPr>
            <w:tcW w:w="5708" w:type="dxa"/>
            <w:tcBorders>
              <w:top w:val="single" w:sz="4" w:space="0" w:color="000000"/>
              <w:left w:val="single" w:sz="4" w:space="0" w:color="000000"/>
              <w:bottom w:val="single" w:sz="4" w:space="0" w:color="000000"/>
              <w:right w:val="single" w:sz="4" w:space="0" w:color="000000"/>
            </w:tcBorders>
          </w:tcPr>
          <w:p w14:paraId="1EBD30C8"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富荣基金管理有限公司关于督察长恢复履行职务的公告</w:t>
            </w:r>
          </w:p>
        </w:tc>
        <w:tc>
          <w:tcPr>
            <w:tcW w:w="2230" w:type="dxa"/>
            <w:tcBorders>
              <w:top w:val="single" w:sz="4" w:space="0" w:color="000000"/>
              <w:left w:val="single" w:sz="4" w:space="0" w:color="000000"/>
              <w:bottom w:val="single" w:sz="4" w:space="0" w:color="000000"/>
              <w:right w:val="single" w:sz="4" w:space="0" w:color="000000"/>
            </w:tcBorders>
          </w:tcPr>
          <w:p w14:paraId="5B051A8F"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2023年12月12日</w:t>
            </w:r>
          </w:p>
        </w:tc>
      </w:tr>
      <w:tr w:rsidR="005E308D" w14:paraId="32787B72"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2E340DDE"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9</w:t>
            </w:r>
          </w:p>
        </w:tc>
        <w:tc>
          <w:tcPr>
            <w:tcW w:w="5708" w:type="dxa"/>
            <w:tcBorders>
              <w:top w:val="single" w:sz="4" w:space="0" w:color="000000"/>
              <w:left w:val="single" w:sz="4" w:space="0" w:color="000000"/>
              <w:bottom w:val="single" w:sz="4" w:space="0" w:color="000000"/>
              <w:right w:val="single" w:sz="4" w:space="0" w:color="000000"/>
            </w:tcBorders>
          </w:tcPr>
          <w:p w14:paraId="1E04C402"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富荣福耀混合型证券投资基金基金经理变更公告</w:t>
            </w:r>
          </w:p>
        </w:tc>
        <w:tc>
          <w:tcPr>
            <w:tcW w:w="2230" w:type="dxa"/>
            <w:tcBorders>
              <w:top w:val="single" w:sz="4" w:space="0" w:color="000000"/>
              <w:left w:val="single" w:sz="4" w:space="0" w:color="000000"/>
              <w:bottom w:val="single" w:sz="4" w:space="0" w:color="000000"/>
              <w:right w:val="single" w:sz="4" w:space="0" w:color="000000"/>
            </w:tcBorders>
          </w:tcPr>
          <w:p w14:paraId="37E049B5"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2023年12月13日</w:t>
            </w:r>
          </w:p>
        </w:tc>
      </w:tr>
      <w:tr w:rsidR="005E308D" w14:paraId="183F7B4C"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324A452"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10</w:t>
            </w:r>
          </w:p>
        </w:tc>
        <w:tc>
          <w:tcPr>
            <w:tcW w:w="5708" w:type="dxa"/>
            <w:tcBorders>
              <w:top w:val="single" w:sz="4" w:space="0" w:color="000000"/>
              <w:left w:val="single" w:sz="4" w:space="0" w:color="000000"/>
              <w:bottom w:val="single" w:sz="4" w:space="0" w:color="000000"/>
              <w:right w:val="single" w:sz="4" w:space="0" w:color="000000"/>
            </w:tcBorders>
          </w:tcPr>
          <w:p w14:paraId="3FC0CACF"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富荣基金管理有限公司关于系统升级维护的公告</w:t>
            </w:r>
          </w:p>
        </w:tc>
        <w:tc>
          <w:tcPr>
            <w:tcW w:w="2230" w:type="dxa"/>
            <w:tcBorders>
              <w:top w:val="single" w:sz="4" w:space="0" w:color="000000"/>
              <w:left w:val="single" w:sz="4" w:space="0" w:color="000000"/>
              <w:bottom w:val="single" w:sz="4" w:space="0" w:color="000000"/>
              <w:right w:val="single" w:sz="4" w:space="0" w:color="000000"/>
            </w:tcBorders>
          </w:tcPr>
          <w:p w14:paraId="62314C0D"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2023年12月14日</w:t>
            </w:r>
          </w:p>
        </w:tc>
      </w:tr>
      <w:tr w:rsidR="005E308D" w14:paraId="423CEE82"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669CDA7"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11</w:t>
            </w:r>
          </w:p>
        </w:tc>
        <w:tc>
          <w:tcPr>
            <w:tcW w:w="5708" w:type="dxa"/>
            <w:tcBorders>
              <w:top w:val="single" w:sz="4" w:space="0" w:color="000000"/>
              <w:left w:val="single" w:sz="4" w:space="0" w:color="000000"/>
              <w:bottom w:val="single" w:sz="4" w:space="0" w:color="000000"/>
              <w:right w:val="single" w:sz="4" w:space="0" w:color="000000"/>
            </w:tcBorders>
          </w:tcPr>
          <w:p w14:paraId="34035E9A"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富荣基金管理有限公司关于旗下部分公开募集证券投资基金更新招募说明书及产品资料概要的提示性公告</w:t>
            </w:r>
          </w:p>
        </w:tc>
        <w:tc>
          <w:tcPr>
            <w:tcW w:w="2230" w:type="dxa"/>
            <w:tcBorders>
              <w:top w:val="single" w:sz="4" w:space="0" w:color="000000"/>
              <w:left w:val="single" w:sz="4" w:space="0" w:color="000000"/>
              <w:bottom w:val="single" w:sz="4" w:space="0" w:color="000000"/>
              <w:right w:val="single" w:sz="4" w:space="0" w:color="000000"/>
            </w:tcBorders>
          </w:tcPr>
          <w:p w14:paraId="0051191C"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2023年12月15日</w:t>
            </w:r>
          </w:p>
        </w:tc>
      </w:tr>
      <w:tr w:rsidR="005E308D" w14:paraId="77BCDB73"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3696D8EE"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12</w:t>
            </w:r>
          </w:p>
        </w:tc>
        <w:tc>
          <w:tcPr>
            <w:tcW w:w="5708" w:type="dxa"/>
            <w:tcBorders>
              <w:top w:val="single" w:sz="4" w:space="0" w:color="000000"/>
              <w:left w:val="single" w:sz="4" w:space="0" w:color="000000"/>
              <w:bottom w:val="single" w:sz="4" w:space="0" w:color="000000"/>
              <w:right w:val="single" w:sz="4" w:space="0" w:color="000000"/>
            </w:tcBorders>
          </w:tcPr>
          <w:p w14:paraId="540CF34F"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富荣基金管理有限公司旗下全部基金2023年第4季度报告提示性公告</w:t>
            </w:r>
          </w:p>
        </w:tc>
        <w:tc>
          <w:tcPr>
            <w:tcW w:w="2230" w:type="dxa"/>
            <w:tcBorders>
              <w:top w:val="single" w:sz="4" w:space="0" w:color="000000"/>
              <w:left w:val="single" w:sz="4" w:space="0" w:color="000000"/>
              <w:bottom w:val="single" w:sz="4" w:space="0" w:color="000000"/>
              <w:right w:val="single" w:sz="4" w:space="0" w:color="000000"/>
            </w:tcBorders>
          </w:tcPr>
          <w:p w14:paraId="0FDEF72B"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2024年1月22日</w:t>
            </w:r>
          </w:p>
        </w:tc>
      </w:tr>
      <w:tr w:rsidR="005E308D" w14:paraId="2C5D293B"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233BB8C6"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13</w:t>
            </w:r>
          </w:p>
        </w:tc>
        <w:tc>
          <w:tcPr>
            <w:tcW w:w="5708" w:type="dxa"/>
            <w:tcBorders>
              <w:top w:val="single" w:sz="4" w:space="0" w:color="000000"/>
              <w:left w:val="single" w:sz="4" w:space="0" w:color="000000"/>
              <w:bottom w:val="single" w:sz="4" w:space="0" w:color="000000"/>
              <w:right w:val="single" w:sz="4" w:space="0" w:color="000000"/>
            </w:tcBorders>
          </w:tcPr>
          <w:p w14:paraId="452C5048"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富荣基金管理有限公司关于旗下基金新增华西证券股份有限公司为销售机构、开通基金定期定额投资业务和基金转换业务并参加申购及定期定额投资申购费率优惠活动的公告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5010B784"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2024年2月22日</w:t>
            </w:r>
          </w:p>
        </w:tc>
      </w:tr>
      <w:tr w:rsidR="005E308D" w14:paraId="221A24AF"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0D0393F4"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14</w:t>
            </w:r>
          </w:p>
        </w:tc>
        <w:tc>
          <w:tcPr>
            <w:tcW w:w="5708" w:type="dxa"/>
            <w:tcBorders>
              <w:top w:val="single" w:sz="4" w:space="0" w:color="000000"/>
              <w:left w:val="single" w:sz="4" w:space="0" w:color="000000"/>
              <w:bottom w:val="single" w:sz="4" w:space="0" w:color="000000"/>
              <w:right w:val="single" w:sz="4" w:space="0" w:color="000000"/>
            </w:tcBorders>
          </w:tcPr>
          <w:p w14:paraId="5D4FB11C"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富荣基金管理有限公司关于董事变更的公告</w:t>
            </w:r>
          </w:p>
        </w:tc>
        <w:tc>
          <w:tcPr>
            <w:tcW w:w="2230" w:type="dxa"/>
            <w:tcBorders>
              <w:top w:val="single" w:sz="4" w:space="0" w:color="000000"/>
              <w:left w:val="single" w:sz="4" w:space="0" w:color="000000"/>
              <w:bottom w:val="single" w:sz="4" w:space="0" w:color="000000"/>
              <w:right w:val="single" w:sz="4" w:space="0" w:color="000000"/>
            </w:tcBorders>
          </w:tcPr>
          <w:p w14:paraId="554A6539"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2024年3月1日</w:t>
            </w:r>
          </w:p>
        </w:tc>
      </w:tr>
      <w:tr w:rsidR="005E308D" w14:paraId="48B52A88"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FFE1368"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15</w:t>
            </w:r>
          </w:p>
        </w:tc>
        <w:tc>
          <w:tcPr>
            <w:tcW w:w="5708" w:type="dxa"/>
            <w:tcBorders>
              <w:top w:val="single" w:sz="4" w:space="0" w:color="000000"/>
              <w:left w:val="single" w:sz="4" w:space="0" w:color="000000"/>
              <w:bottom w:val="single" w:sz="4" w:space="0" w:color="000000"/>
              <w:right w:val="single" w:sz="4" w:space="0" w:color="000000"/>
            </w:tcBorders>
          </w:tcPr>
          <w:p w14:paraId="313B61B6"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富荣基金管理有限公司关于提醒投资者持续完善身份信息资料的公告</w:t>
            </w:r>
          </w:p>
        </w:tc>
        <w:tc>
          <w:tcPr>
            <w:tcW w:w="2230" w:type="dxa"/>
            <w:tcBorders>
              <w:top w:val="single" w:sz="4" w:space="0" w:color="000000"/>
              <w:left w:val="single" w:sz="4" w:space="0" w:color="000000"/>
              <w:bottom w:val="single" w:sz="4" w:space="0" w:color="000000"/>
              <w:right w:val="single" w:sz="4" w:space="0" w:color="000000"/>
            </w:tcBorders>
          </w:tcPr>
          <w:p w14:paraId="4E20504B"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2024年3月20日</w:t>
            </w:r>
          </w:p>
        </w:tc>
      </w:tr>
      <w:tr w:rsidR="005E308D" w14:paraId="0D99C4A3"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692D82B6"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16</w:t>
            </w:r>
          </w:p>
        </w:tc>
        <w:tc>
          <w:tcPr>
            <w:tcW w:w="5708" w:type="dxa"/>
            <w:tcBorders>
              <w:top w:val="single" w:sz="4" w:space="0" w:color="000000"/>
              <w:left w:val="single" w:sz="4" w:space="0" w:color="000000"/>
              <w:bottom w:val="single" w:sz="4" w:space="0" w:color="000000"/>
              <w:right w:val="single" w:sz="4" w:space="0" w:color="000000"/>
            </w:tcBorders>
          </w:tcPr>
          <w:p w14:paraId="11FC821F"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富荣基金管理有限公司关于旗下基金新增上海中欧财富基金销售有限公司为销售机构、开通基金定期定额投资业务和基金转换业务并参加申购及定期定额投资申购费率优惠活动的公告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1F18985C"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2024年3月29日</w:t>
            </w:r>
          </w:p>
        </w:tc>
      </w:tr>
      <w:tr w:rsidR="005E308D" w14:paraId="224A33F6"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F195211"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17</w:t>
            </w:r>
          </w:p>
        </w:tc>
        <w:tc>
          <w:tcPr>
            <w:tcW w:w="5708" w:type="dxa"/>
            <w:tcBorders>
              <w:top w:val="single" w:sz="4" w:space="0" w:color="000000"/>
              <w:left w:val="single" w:sz="4" w:space="0" w:color="000000"/>
              <w:bottom w:val="single" w:sz="4" w:space="0" w:color="000000"/>
              <w:right w:val="single" w:sz="4" w:space="0" w:color="000000"/>
            </w:tcBorders>
          </w:tcPr>
          <w:p w14:paraId="696E407F"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富荣基金管理有限公司旗下全部基金2023年年度报告提示性公告</w:t>
            </w:r>
          </w:p>
        </w:tc>
        <w:tc>
          <w:tcPr>
            <w:tcW w:w="2230" w:type="dxa"/>
            <w:tcBorders>
              <w:top w:val="single" w:sz="4" w:space="0" w:color="000000"/>
              <w:left w:val="single" w:sz="4" w:space="0" w:color="000000"/>
              <w:bottom w:val="single" w:sz="4" w:space="0" w:color="000000"/>
              <w:right w:val="single" w:sz="4" w:space="0" w:color="000000"/>
            </w:tcBorders>
          </w:tcPr>
          <w:p w14:paraId="45AD3EAC"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2024年3月30日</w:t>
            </w:r>
          </w:p>
        </w:tc>
      </w:tr>
      <w:tr w:rsidR="005E308D" w14:paraId="66821A9D"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13B8384A"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lastRenderedPageBreak/>
              <w:t>18</w:t>
            </w:r>
          </w:p>
        </w:tc>
        <w:tc>
          <w:tcPr>
            <w:tcW w:w="5708" w:type="dxa"/>
            <w:tcBorders>
              <w:top w:val="single" w:sz="4" w:space="0" w:color="000000"/>
              <w:left w:val="single" w:sz="4" w:space="0" w:color="000000"/>
              <w:bottom w:val="single" w:sz="4" w:space="0" w:color="000000"/>
              <w:right w:val="single" w:sz="4" w:space="0" w:color="000000"/>
            </w:tcBorders>
          </w:tcPr>
          <w:p w14:paraId="1D543325"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富荣福耀混合型证券投资基金基金经理变更公告</w:t>
            </w:r>
          </w:p>
        </w:tc>
        <w:tc>
          <w:tcPr>
            <w:tcW w:w="2230" w:type="dxa"/>
            <w:tcBorders>
              <w:top w:val="single" w:sz="4" w:space="0" w:color="000000"/>
              <w:left w:val="single" w:sz="4" w:space="0" w:color="000000"/>
              <w:bottom w:val="single" w:sz="4" w:space="0" w:color="000000"/>
              <w:right w:val="single" w:sz="4" w:space="0" w:color="000000"/>
            </w:tcBorders>
          </w:tcPr>
          <w:p w14:paraId="423AD820"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2024年4月19日</w:t>
            </w:r>
          </w:p>
        </w:tc>
      </w:tr>
      <w:tr w:rsidR="005E308D" w14:paraId="40E945D4"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2843F4D2"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19</w:t>
            </w:r>
          </w:p>
        </w:tc>
        <w:tc>
          <w:tcPr>
            <w:tcW w:w="5708" w:type="dxa"/>
            <w:tcBorders>
              <w:top w:val="single" w:sz="4" w:space="0" w:color="000000"/>
              <w:left w:val="single" w:sz="4" w:space="0" w:color="000000"/>
              <w:bottom w:val="single" w:sz="4" w:space="0" w:color="000000"/>
              <w:right w:val="single" w:sz="4" w:space="0" w:color="000000"/>
            </w:tcBorders>
          </w:tcPr>
          <w:p w14:paraId="5213D276"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富荣基金管理有限公司旗下全部基金2024年第1季度报告提示性公告</w:t>
            </w:r>
          </w:p>
        </w:tc>
        <w:tc>
          <w:tcPr>
            <w:tcW w:w="2230" w:type="dxa"/>
            <w:tcBorders>
              <w:top w:val="single" w:sz="4" w:space="0" w:color="000000"/>
              <w:left w:val="single" w:sz="4" w:space="0" w:color="000000"/>
              <w:bottom w:val="single" w:sz="4" w:space="0" w:color="000000"/>
              <w:right w:val="single" w:sz="4" w:space="0" w:color="000000"/>
            </w:tcBorders>
          </w:tcPr>
          <w:p w14:paraId="5D7DDF38"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2024年4月22日</w:t>
            </w:r>
          </w:p>
        </w:tc>
      </w:tr>
      <w:tr w:rsidR="005E308D" w14:paraId="385097F3"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028B1BA"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20</w:t>
            </w:r>
          </w:p>
        </w:tc>
        <w:tc>
          <w:tcPr>
            <w:tcW w:w="5708" w:type="dxa"/>
            <w:tcBorders>
              <w:top w:val="single" w:sz="4" w:space="0" w:color="000000"/>
              <w:left w:val="single" w:sz="4" w:space="0" w:color="000000"/>
              <w:bottom w:val="single" w:sz="4" w:space="0" w:color="000000"/>
              <w:right w:val="single" w:sz="4" w:space="0" w:color="000000"/>
            </w:tcBorders>
          </w:tcPr>
          <w:p w14:paraId="443712FF"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富荣基金管理有限公司关于旗下部分公开募集证券投资基金更新招募说明书及产品资料概要的提示性公告</w:t>
            </w:r>
          </w:p>
        </w:tc>
        <w:tc>
          <w:tcPr>
            <w:tcW w:w="2230" w:type="dxa"/>
            <w:tcBorders>
              <w:top w:val="single" w:sz="4" w:space="0" w:color="000000"/>
              <w:left w:val="single" w:sz="4" w:space="0" w:color="000000"/>
              <w:bottom w:val="single" w:sz="4" w:space="0" w:color="000000"/>
              <w:right w:val="single" w:sz="4" w:space="0" w:color="000000"/>
            </w:tcBorders>
          </w:tcPr>
          <w:p w14:paraId="0FE0A618"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2024年4月23日</w:t>
            </w:r>
          </w:p>
        </w:tc>
      </w:tr>
      <w:tr w:rsidR="005E308D" w14:paraId="50931273"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06E205B8"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21</w:t>
            </w:r>
          </w:p>
        </w:tc>
        <w:tc>
          <w:tcPr>
            <w:tcW w:w="5708" w:type="dxa"/>
            <w:tcBorders>
              <w:top w:val="single" w:sz="4" w:space="0" w:color="000000"/>
              <w:left w:val="single" w:sz="4" w:space="0" w:color="000000"/>
              <w:bottom w:val="single" w:sz="4" w:space="0" w:color="000000"/>
              <w:right w:val="single" w:sz="4" w:space="0" w:color="000000"/>
            </w:tcBorders>
          </w:tcPr>
          <w:p w14:paraId="28021F6A"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富荣基金管理有限公司关于旗下基金新增上海云湾基金销售有限公司为销售机构、开通基金定期定额投资业务和基金转换业务并参加申购及定期定额投资申购费率优惠活动的公告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747BE87E"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2024年6月18日</w:t>
            </w:r>
          </w:p>
        </w:tc>
      </w:tr>
      <w:tr w:rsidR="005E308D" w14:paraId="2CA15024"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3537962D"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22</w:t>
            </w:r>
          </w:p>
        </w:tc>
        <w:tc>
          <w:tcPr>
            <w:tcW w:w="5708" w:type="dxa"/>
            <w:tcBorders>
              <w:top w:val="single" w:sz="4" w:space="0" w:color="000000"/>
              <w:left w:val="single" w:sz="4" w:space="0" w:color="000000"/>
              <w:bottom w:val="single" w:sz="4" w:space="0" w:color="000000"/>
              <w:right w:val="single" w:sz="4" w:space="0" w:color="000000"/>
            </w:tcBorders>
          </w:tcPr>
          <w:p w14:paraId="3089125E"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富荣基金管理有限公司关于旗下部分公开募集证券投资基金更新产品资料概要的提示性公告</w:t>
            </w:r>
          </w:p>
        </w:tc>
        <w:tc>
          <w:tcPr>
            <w:tcW w:w="2230" w:type="dxa"/>
            <w:tcBorders>
              <w:top w:val="single" w:sz="4" w:space="0" w:color="000000"/>
              <w:left w:val="single" w:sz="4" w:space="0" w:color="000000"/>
              <w:bottom w:val="single" w:sz="4" w:space="0" w:color="000000"/>
              <w:right w:val="single" w:sz="4" w:space="0" w:color="000000"/>
            </w:tcBorders>
          </w:tcPr>
          <w:p w14:paraId="159267B5"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2024年6月27日</w:t>
            </w:r>
          </w:p>
        </w:tc>
      </w:tr>
      <w:tr w:rsidR="005E308D" w14:paraId="0D0AEB22"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438C3032"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23</w:t>
            </w:r>
          </w:p>
        </w:tc>
        <w:tc>
          <w:tcPr>
            <w:tcW w:w="5708" w:type="dxa"/>
            <w:tcBorders>
              <w:top w:val="single" w:sz="4" w:space="0" w:color="000000"/>
              <w:left w:val="single" w:sz="4" w:space="0" w:color="000000"/>
              <w:bottom w:val="single" w:sz="4" w:space="0" w:color="000000"/>
              <w:right w:val="single" w:sz="4" w:space="0" w:color="000000"/>
            </w:tcBorders>
          </w:tcPr>
          <w:p w14:paraId="7421D410"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富荣基金管理有限公司关于旗下基金新增深圳腾元基金销售有限公司为销售机构、开通基金定期定额投资业务和基金转换业务并参加申购及定期定额投资申购费率优惠活动的公告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50D16B37"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2024年6月28日</w:t>
            </w:r>
          </w:p>
        </w:tc>
      </w:tr>
      <w:tr w:rsidR="005E308D" w14:paraId="18D5F074"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76EB3C22"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24</w:t>
            </w:r>
          </w:p>
        </w:tc>
        <w:tc>
          <w:tcPr>
            <w:tcW w:w="5708" w:type="dxa"/>
            <w:tcBorders>
              <w:top w:val="single" w:sz="4" w:space="0" w:color="000000"/>
              <w:left w:val="single" w:sz="4" w:space="0" w:color="000000"/>
              <w:bottom w:val="single" w:sz="4" w:space="0" w:color="000000"/>
              <w:right w:val="single" w:sz="4" w:space="0" w:color="000000"/>
            </w:tcBorders>
          </w:tcPr>
          <w:p w14:paraId="396EDAD0"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富荣基金管理有限公司旗下全部基金2024年第2季度报告提示性公告</w:t>
            </w:r>
          </w:p>
        </w:tc>
        <w:tc>
          <w:tcPr>
            <w:tcW w:w="2230" w:type="dxa"/>
            <w:tcBorders>
              <w:top w:val="single" w:sz="4" w:space="0" w:color="000000"/>
              <w:left w:val="single" w:sz="4" w:space="0" w:color="000000"/>
              <w:bottom w:val="single" w:sz="4" w:space="0" w:color="000000"/>
              <w:right w:val="single" w:sz="4" w:space="0" w:color="000000"/>
            </w:tcBorders>
          </w:tcPr>
          <w:p w14:paraId="6CCD3E25"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2024年7月19日</w:t>
            </w:r>
          </w:p>
        </w:tc>
      </w:tr>
      <w:tr w:rsidR="005E308D" w14:paraId="0EFD6905"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627651E7"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25</w:t>
            </w:r>
          </w:p>
        </w:tc>
        <w:tc>
          <w:tcPr>
            <w:tcW w:w="5708" w:type="dxa"/>
            <w:tcBorders>
              <w:top w:val="single" w:sz="4" w:space="0" w:color="000000"/>
              <w:left w:val="single" w:sz="4" w:space="0" w:color="000000"/>
              <w:bottom w:val="single" w:sz="4" w:space="0" w:color="000000"/>
              <w:right w:val="single" w:sz="4" w:space="0" w:color="000000"/>
            </w:tcBorders>
          </w:tcPr>
          <w:p w14:paraId="7030FADC"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富荣基金管理有限公司关于终止喜鹊财富基金销售有限公司办理旗下基金相关销售业务的公告</w:t>
            </w:r>
          </w:p>
        </w:tc>
        <w:tc>
          <w:tcPr>
            <w:tcW w:w="2230" w:type="dxa"/>
            <w:tcBorders>
              <w:top w:val="single" w:sz="4" w:space="0" w:color="000000"/>
              <w:left w:val="single" w:sz="4" w:space="0" w:color="000000"/>
              <w:bottom w:val="single" w:sz="4" w:space="0" w:color="000000"/>
              <w:right w:val="single" w:sz="4" w:space="0" w:color="000000"/>
            </w:tcBorders>
          </w:tcPr>
          <w:p w14:paraId="2214B200"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2024年7月24日</w:t>
            </w:r>
          </w:p>
        </w:tc>
      </w:tr>
      <w:tr w:rsidR="005E308D" w14:paraId="26CB4420"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2AB28F14"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26</w:t>
            </w:r>
          </w:p>
        </w:tc>
        <w:tc>
          <w:tcPr>
            <w:tcW w:w="5708" w:type="dxa"/>
            <w:tcBorders>
              <w:top w:val="single" w:sz="4" w:space="0" w:color="000000"/>
              <w:left w:val="single" w:sz="4" w:space="0" w:color="000000"/>
              <w:bottom w:val="single" w:sz="4" w:space="0" w:color="000000"/>
              <w:right w:val="single" w:sz="4" w:space="0" w:color="000000"/>
            </w:tcBorders>
          </w:tcPr>
          <w:p w14:paraId="1F27B6D4"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富荣基金管理有限公司关于旗下部分基金新增兴业银行股份有限公司为销售机构、开通基金定期定额投资业务和基金转换业务并参加申购及定期定额投资申购费率优惠活动的公告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519D9E35"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2024年7月30日</w:t>
            </w:r>
          </w:p>
        </w:tc>
      </w:tr>
      <w:tr w:rsidR="005E308D" w14:paraId="0F8DBB05"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F01568A"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27</w:t>
            </w:r>
          </w:p>
        </w:tc>
        <w:tc>
          <w:tcPr>
            <w:tcW w:w="5708" w:type="dxa"/>
            <w:tcBorders>
              <w:top w:val="single" w:sz="4" w:space="0" w:color="000000"/>
              <w:left w:val="single" w:sz="4" w:space="0" w:color="000000"/>
              <w:bottom w:val="single" w:sz="4" w:space="0" w:color="000000"/>
              <w:right w:val="single" w:sz="4" w:space="0" w:color="000000"/>
            </w:tcBorders>
          </w:tcPr>
          <w:p w14:paraId="5161E0F2"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富荣基金管理有限公司关于旗下部分基金新增山西证券股份有限公司为销售机构、开通基金定期定额投资业务和基金转换业务并参加申购及定期定额投资申购费率优惠活动的公告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32FF8493"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2024年7月31日</w:t>
            </w:r>
          </w:p>
        </w:tc>
      </w:tr>
      <w:tr w:rsidR="005E308D" w14:paraId="6AC4E52A"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4B4C6A75"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28</w:t>
            </w:r>
          </w:p>
        </w:tc>
        <w:tc>
          <w:tcPr>
            <w:tcW w:w="5708" w:type="dxa"/>
            <w:tcBorders>
              <w:top w:val="single" w:sz="4" w:space="0" w:color="000000"/>
              <w:left w:val="single" w:sz="4" w:space="0" w:color="000000"/>
              <w:bottom w:val="single" w:sz="4" w:space="0" w:color="000000"/>
              <w:right w:val="single" w:sz="4" w:space="0" w:color="000000"/>
            </w:tcBorders>
          </w:tcPr>
          <w:p w14:paraId="4D9CFAD2"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富荣基金管理有限公司关于旗下基金新增洪泰财富（青岛）基金销售有限责任公司为销售机构、开通基金定期定额投资业务和基金转换业务并参加申购及定期定额投资申购费率优惠活动的公告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1A4F2ED8"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2024年8月8日</w:t>
            </w:r>
          </w:p>
        </w:tc>
      </w:tr>
      <w:tr w:rsidR="005E308D" w14:paraId="37B6032D"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1E986E27"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29</w:t>
            </w:r>
          </w:p>
        </w:tc>
        <w:tc>
          <w:tcPr>
            <w:tcW w:w="5708" w:type="dxa"/>
            <w:tcBorders>
              <w:top w:val="single" w:sz="4" w:space="0" w:color="000000"/>
              <w:left w:val="single" w:sz="4" w:space="0" w:color="000000"/>
              <w:bottom w:val="single" w:sz="4" w:space="0" w:color="000000"/>
              <w:right w:val="single" w:sz="4" w:space="0" w:color="000000"/>
            </w:tcBorders>
          </w:tcPr>
          <w:p w14:paraId="58C6853D"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富荣基金管理有限公司关于提醒投资者防范不法分子假冒本公司名义从事诈骗活动的公告</w:t>
            </w:r>
          </w:p>
        </w:tc>
        <w:tc>
          <w:tcPr>
            <w:tcW w:w="2230" w:type="dxa"/>
            <w:tcBorders>
              <w:top w:val="single" w:sz="4" w:space="0" w:color="000000"/>
              <w:left w:val="single" w:sz="4" w:space="0" w:color="000000"/>
              <w:bottom w:val="single" w:sz="4" w:space="0" w:color="000000"/>
              <w:right w:val="single" w:sz="4" w:space="0" w:color="000000"/>
            </w:tcBorders>
          </w:tcPr>
          <w:p w14:paraId="52F26268"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2024年8月16日</w:t>
            </w:r>
          </w:p>
        </w:tc>
      </w:tr>
      <w:tr w:rsidR="005E308D" w14:paraId="0B28C8C7"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CA4B58E"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30</w:t>
            </w:r>
          </w:p>
        </w:tc>
        <w:tc>
          <w:tcPr>
            <w:tcW w:w="5708" w:type="dxa"/>
            <w:tcBorders>
              <w:top w:val="single" w:sz="4" w:space="0" w:color="000000"/>
              <w:left w:val="single" w:sz="4" w:space="0" w:color="000000"/>
              <w:bottom w:val="single" w:sz="4" w:space="0" w:color="000000"/>
              <w:right w:val="single" w:sz="4" w:space="0" w:color="000000"/>
            </w:tcBorders>
          </w:tcPr>
          <w:p w14:paraId="35D5EB1E"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富荣基金管理有限公司关于终止北京中植基金销售有限公司办理旗下基金相关销售业务的公告</w:t>
            </w:r>
          </w:p>
        </w:tc>
        <w:tc>
          <w:tcPr>
            <w:tcW w:w="2230" w:type="dxa"/>
            <w:tcBorders>
              <w:top w:val="single" w:sz="4" w:space="0" w:color="000000"/>
              <w:left w:val="single" w:sz="4" w:space="0" w:color="000000"/>
              <w:bottom w:val="single" w:sz="4" w:space="0" w:color="000000"/>
              <w:right w:val="single" w:sz="4" w:space="0" w:color="000000"/>
            </w:tcBorders>
          </w:tcPr>
          <w:p w14:paraId="6AA9B244"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2024年8月28日</w:t>
            </w:r>
          </w:p>
        </w:tc>
      </w:tr>
      <w:tr w:rsidR="005E308D" w14:paraId="79B6C6CE"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36AB2740"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31</w:t>
            </w:r>
          </w:p>
        </w:tc>
        <w:tc>
          <w:tcPr>
            <w:tcW w:w="5708" w:type="dxa"/>
            <w:tcBorders>
              <w:top w:val="single" w:sz="4" w:space="0" w:color="000000"/>
              <w:left w:val="single" w:sz="4" w:space="0" w:color="000000"/>
              <w:bottom w:val="single" w:sz="4" w:space="0" w:color="000000"/>
              <w:right w:val="single" w:sz="4" w:space="0" w:color="000000"/>
            </w:tcBorders>
          </w:tcPr>
          <w:p w14:paraId="5F0D9B7D"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富荣基金管理有限公司旗下全部基金2024年中期报告提示性公告</w:t>
            </w:r>
          </w:p>
        </w:tc>
        <w:tc>
          <w:tcPr>
            <w:tcW w:w="2230" w:type="dxa"/>
            <w:tcBorders>
              <w:top w:val="single" w:sz="4" w:space="0" w:color="000000"/>
              <w:left w:val="single" w:sz="4" w:space="0" w:color="000000"/>
              <w:bottom w:val="single" w:sz="4" w:space="0" w:color="000000"/>
              <w:right w:val="single" w:sz="4" w:space="0" w:color="000000"/>
            </w:tcBorders>
          </w:tcPr>
          <w:p w14:paraId="2812F110"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2024年8月31日</w:t>
            </w:r>
          </w:p>
        </w:tc>
      </w:tr>
    </w:tbl>
    <w:p w14:paraId="2B6FBD3D" w14:textId="77777777" w:rsidR="005E308D" w:rsidRDefault="005E308D">
      <w:pPr>
        <w:widowControl/>
        <w:jc w:val="left"/>
        <w:rPr>
          <w:rFonts w:asciiTheme="minorEastAsia" w:hAnsiTheme="minorEastAsia" w:hint="eastAsia"/>
          <w:sz w:val="24"/>
          <w:szCs w:val="24"/>
        </w:rPr>
      </w:pPr>
    </w:p>
    <w:p w14:paraId="78BB989C" w14:textId="77777777" w:rsidR="005E308D" w:rsidRDefault="005E308D">
      <w:pPr>
        <w:widowControl/>
        <w:jc w:val="left"/>
        <w:rPr>
          <w:rFonts w:asciiTheme="minorEastAsia" w:hAnsiTheme="minorEastAsia" w:hint="eastAsia"/>
          <w:sz w:val="24"/>
          <w:szCs w:val="24"/>
        </w:rPr>
      </w:pPr>
    </w:p>
    <w:p w14:paraId="4FDA9580" w14:textId="77777777" w:rsidR="005E308D" w:rsidRDefault="005E308D">
      <w:pPr>
        <w:widowControl/>
        <w:jc w:val="left"/>
        <w:rPr>
          <w:rFonts w:asciiTheme="minorEastAsia" w:hAnsiTheme="minorEastAsia" w:hint="eastAsia"/>
          <w:sz w:val="24"/>
          <w:szCs w:val="24"/>
        </w:rPr>
      </w:pPr>
    </w:p>
    <w:p w14:paraId="0FA64105" w14:textId="77777777" w:rsidR="005E308D" w:rsidRDefault="005E308D">
      <w:pPr>
        <w:widowControl/>
        <w:spacing w:line="360" w:lineRule="auto"/>
        <w:ind w:firstLineChars="200" w:firstLine="480"/>
        <w:jc w:val="left"/>
        <w:rPr>
          <w:rFonts w:asciiTheme="minorEastAsia" w:hAnsiTheme="minorEastAsia" w:hint="eastAsia"/>
          <w:sz w:val="24"/>
          <w:szCs w:val="24"/>
        </w:rPr>
        <w:sectPr w:rsidR="005E308D">
          <w:headerReference w:type="even" r:id="rId64"/>
          <w:headerReference w:type="default" r:id="rId65"/>
          <w:footerReference w:type="default" r:id="rId66"/>
          <w:headerReference w:type="first" r:id="rId67"/>
          <w:pgSz w:w="11906" w:h="16838"/>
          <w:pgMar w:top="1440" w:right="1800" w:bottom="1440" w:left="1800" w:header="851" w:footer="992" w:gutter="0"/>
          <w:pgNumType w:chapStyle="1"/>
          <w:cols w:space="720"/>
          <w:docGrid w:type="lines" w:linePitch="312"/>
        </w:sectPr>
      </w:pPr>
    </w:p>
    <w:p w14:paraId="78191768" w14:textId="77777777" w:rsidR="005E308D" w:rsidRDefault="00945B44">
      <w:pPr>
        <w:pStyle w:val="1"/>
        <w:jc w:val="center"/>
        <w:rPr>
          <w:sz w:val="30"/>
          <w:szCs w:val="30"/>
        </w:rPr>
      </w:pPr>
      <w:bookmarkStart w:id="459" w:name="_Toc119568479"/>
      <w:bookmarkStart w:id="460" w:name="_Toc530223198"/>
      <w:bookmarkStart w:id="461" w:name="_Toc214873622"/>
      <w:bookmarkStart w:id="462" w:name="_Toc416264556"/>
      <w:bookmarkStart w:id="463" w:name="_Toc263092329"/>
      <w:bookmarkStart w:id="464" w:name="_Toc68266309"/>
      <w:bookmarkEnd w:id="428"/>
      <w:bookmarkEnd w:id="429"/>
      <w:bookmarkEnd w:id="430"/>
      <w:bookmarkEnd w:id="431"/>
      <w:bookmarkEnd w:id="432"/>
      <w:bookmarkEnd w:id="433"/>
      <w:r>
        <w:rPr>
          <w:rFonts w:hint="eastAsia"/>
          <w:sz w:val="30"/>
          <w:szCs w:val="30"/>
        </w:rPr>
        <w:lastRenderedPageBreak/>
        <w:t>第二十三部分</w:t>
      </w:r>
      <w:r>
        <w:rPr>
          <w:sz w:val="30"/>
          <w:szCs w:val="30"/>
        </w:rPr>
        <w:t xml:space="preserve">  </w:t>
      </w:r>
      <w:r>
        <w:rPr>
          <w:rFonts w:hint="eastAsia"/>
          <w:sz w:val="30"/>
          <w:szCs w:val="30"/>
        </w:rPr>
        <w:t>招募说明书存放及查阅方式</w:t>
      </w:r>
      <w:bookmarkEnd w:id="459"/>
      <w:bookmarkEnd w:id="460"/>
      <w:bookmarkEnd w:id="461"/>
      <w:bookmarkEnd w:id="462"/>
      <w:bookmarkEnd w:id="463"/>
      <w:bookmarkEnd w:id="464"/>
    </w:p>
    <w:p w14:paraId="75A3F2A1"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依法必须披露的信息发布后，基金管理人、基金托管人应当按照相关法律法规规定将信息置备于公司住所、基金上市交易的证券交易所，供社会公众查阅、复制；投资人在支付工本费后，可在合理时间内取得上述文件复制件或复印件。对投资人按此种方式所获得的文件及其复印件，基金管理人保证文本的内容与所公告的内容完全一致。</w:t>
      </w:r>
    </w:p>
    <w:p w14:paraId="2DA00273"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投资人还可以直接登录基金管理人的网站（www.furamc.com.cn）查阅和下载招募说明书。</w:t>
      </w:r>
    </w:p>
    <w:p w14:paraId="6E8AC845" w14:textId="77777777" w:rsidR="005E308D" w:rsidRDefault="005E308D">
      <w:pPr>
        <w:keepNext/>
        <w:keepLines/>
        <w:autoSpaceDE w:val="0"/>
        <w:autoSpaceDN w:val="0"/>
        <w:adjustRightInd w:val="0"/>
        <w:snapToGrid w:val="0"/>
        <w:spacing w:line="360" w:lineRule="auto"/>
        <w:ind w:firstLineChars="150" w:firstLine="361"/>
        <w:jc w:val="center"/>
        <w:textAlignment w:val="baseline"/>
        <w:outlineLvl w:val="0"/>
        <w:rPr>
          <w:rFonts w:asciiTheme="minorEastAsia" w:hAnsiTheme="minorEastAsia" w:cs="Times New Roman" w:hint="eastAsia"/>
          <w:b/>
          <w:kern w:val="0"/>
          <w:sz w:val="24"/>
          <w:szCs w:val="24"/>
        </w:rPr>
        <w:sectPr w:rsidR="005E308D">
          <w:headerReference w:type="even" r:id="rId68"/>
          <w:footerReference w:type="default" r:id="rId69"/>
          <w:headerReference w:type="first" r:id="rId70"/>
          <w:pgSz w:w="11906" w:h="16838"/>
          <w:pgMar w:top="1440" w:right="1800" w:bottom="1440" w:left="1800" w:header="851" w:footer="992" w:gutter="0"/>
          <w:cols w:space="425"/>
          <w:docGrid w:type="lines" w:linePitch="312"/>
        </w:sectPr>
      </w:pPr>
      <w:bookmarkStart w:id="465" w:name="_Toc263092330"/>
      <w:bookmarkStart w:id="466" w:name="_Toc416268879"/>
    </w:p>
    <w:p w14:paraId="5D31FEBE" w14:textId="77777777" w:rsidR="005E308D" w:rsidRDefault="00945B44">
      <w:pPr>
        <w:pStyle w:val="1"/>
        <w:jc w:val="center"/>
      </w:pPr>
      <w:bookmarkStart w:id="467" w:name="_Toc119568480"/>
      <w:bookmarkStart w:id="468" w:name="_Toc68266310"/>
      <w:bookmarkEnd w:id="61"/>
      <w:bookmarkEnd w:id="62"/>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65"/>
      <w:bookmarkEnd w:id="466"/>
      <w:r>
        <w:rPr>
          <w:sz w:val="30"/>
          <w:szCs w:val="30"/>
        </w:rPr>
        <w:lastRenderedPageBreak/>
        <w:t>第二十</w:t>
      </w:r>
      <w:r>
        <w:rPr>
          <w:rFonts w:hint="eastAsia"/>
          <w:sz w:val="30"/>
          <w:szCs w:val="30"/>
        </w:rPr>
        <w:t>四</w:t>
      </w:r>
      <w:r>
        <w:rPr>
          <w:sz w:val="30"/>
          <w:szCs w:val="30"/>
        </w:rPr>
        <w:t>部分  备查文件</w:t>
      </w:r>
      <w:bookmarkEnd w:id="467"/>
      <w:bookmarkEnd w:id="468"/>
    </w:p>
    <w:p w14:paraId="6206ACA4"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以下备查文件存放在基金管理人的办公场所，在办公时间可供免费查阅。</w:t>
      </w:r>
    </w:p>
    <w:p w14:paraId="351A05D1"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（一）中国证监会</w:t>
      </w:r>
      <w:r>
        <w:rPr>
          <w:rFonts w:asciiTheme="minorEastAsia" w:hAnsiTheme="minorEastAsia" w:cs="Arial" w:hint="eastAsia"/>
          <w:kern w:val="0"/>
          <w:sz w:val="24"/>
          <w:szCs w:val="24"/>
        </w:rPr>
        <w:t>准予</w:t>
      </w:r>
      <w:r>
        <w:rPr>
          <w:rFonts w:asciiTheme="minorEastAsia" w:hAnsiTheme="minorEastAsia" w:cs="Arial"/>
          <w:kern w:val="0"/>
          <w:sz w:val="24"/>
          <w:szCs w:val="24"/>
        </w:rPr>
        <w:t>富荣福耀混合型证券投资基金</w:t>
      </w:r>
      <w:r>
        <w:rPr>
          <w:rFonts w:asciiTheme="minorEastAsia" w:hAnsiTheme="minorEastAsia" w:cs="Arial" w:hint="eastAsia"/>
          <w:kern w:val="0"/>
          <w:sz w:val="24"/>
          <w:szCs w:val="24"/>
        </w:rPr>
        <w:t>注册</w:t>
      </w:r>
      <w:r>
        <w:rPr>
          <w:rFonts w:asciiTheme="minorEastAsia" w:hAnsiTheme="minorEastAsia" w:cs="Arial"/>
          <w:kern w:val="0"/>
          <w:sz w:val="24"/>
          <w:szCs w:val="24"/>
        </w:rPr>
        <w:t xml:space="preserve">的文件 </w:t>
      </w:r>
    </w:p>
    <w:p w14:paraId="425DEE87"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（二）《富荣福耀混合型证券投资基金基金合同》 </w:t>
      </w:r>
    </w:p>
    <w:p w14:paraId="28949573"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（三）《富荣福耀混合型证券投资基金托管协议》 </w:t>
      </w:r>
    </w:p>
    <w:p w14:paraId="67361F89"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（四）基金管理人业务资格批件、营业执照</w:t>
      </w:r>
    </w:p>
    <w:p w14:paraId="2264C4E8"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（五）基金托管人业务资格批件、营业执照</w:t>
      </w:r>
    </w:p>
    <w:p w14:paraId="0EE2AE9C"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（六）关于申请募集</w:t>
      </w:r>
      <w:r>
        <w:rPr>
          <w:rFonts w:asciiTheme="minorEastAsia" w:hAnsiTheme="minorEastAsia" w:cs="Arial" w:hint="eastAsia"/>
          <w:kern w:val="0"/>
          <w:sz w:val="24"/>
          <w:szCs w:val="24"/>
        </w:rPr>
        <w:t>注册</w:t>
      </w:r>
      <w:r>
        <w:rPr>
          <w:rFonts w:asciiTheme="minorEastAsia" w:hAnsiTheme="minorEastAsia" w:cs="Arial"/>
          <w:kern w:val="0"/>
          <w:sz w:val="24"/>
          <w:szCs w:val="24"/>
        </w:rPr>
        <w:t>富荣福耀混合型证券投资基金</w:t>
      </w:r>
      <w:r>
        <w:rPr>
          <w:rFonts w:asciiTheme="minorEastAsia" w:hAnsiTheme="minorEastAsia" w:cs="Arial" w:hint="eastAsia"/>
          <w:kern w:val="0"/>
          <w:sz w:val="24"/>
          <w:szCs w:val="24"/>
        </w:rPr>
        <w:t>的</w:t>
      </w:r>
      <w:r>
        <w:rPr>
          <w:rFonts w:asciiTheme="minorEastAsia" w:hAnsiTheme="minorEastAsia" w:cs="Arial"/>
          <w:kern w:val="0"/>
          <w:sz w:val="24"/>
          <w:szCs w:val="24"/>
        </w:rPr>
        <w:t>法律意见书</w:t>
      </w:r>
    </w:p>
    <w:p w14:paraId="29513E3C"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（七）中国证监会要求的其他文件</w:t>
      </w:r>
    </w:p>
    <w:p w14:paraId="2CCD5A0A"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查阅方式：投资者可在营业时间免费查阅，也可按工本费购买复印件。</w:t>
      </w:r>
    </w:p>
    <w:p w14:paraId="5D040E18" w14:textId="77777777" w:rsidR="005E308D" w:rsidRDefault="005E308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7F9D8E19" w14:textId="77777777" w:rsidR="005E308D" w:rsidRDefault="005E308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5A615E0D"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6461F40F"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1CDCCD66"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5DC095C0"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403DBC78"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1B7419A5"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50087E72"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70E7BB65"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050D05AF"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5F9FC4F1"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0F533E80"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07916C07"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70E9EC82" w14:textId="77777777" w:rsidR="005E308D" w:rsidRDefault="00945B44">
      <w:pPr>
        <w:widowControl/>
        <w:adjustRightInd w:val="0"/>
        <w:snapToGrid w:val="0"/>
        <w:spacing w:line="360" w:lineRule="auto"/>
        <w:ind w:rightChars="-85" w:right="-178"/>
        <w:jc w:val="right"/>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富荣基金管理有限公司 </w:t>
      </w:r>
    </w:p>
    <w:p w14:paraId="59231842" w14:textId="6388ACDB" w:rsidR="005E308D" w:rsidRDefault="00D66902">
      <w:pPr>
        <w:widowControl/>
        <w:adjustRightInd w:val="0"/>
        <w:snapToGrid w:val="0"/>
        <w:spacing w:line="360" w:lineRule="auto"/>
        <w:ind w:rightChars="-85" w:right="-178"/>
        <w:jc w:val="right"/>
      </w:pPr>
      <w:r>
        <w:rPr>
          <w:rFonts w:asciiTheme="minorEastAsia" w:hAnsiTheme="minorEastAsia" w:cs="Arial" w:hint="eastAsia"/>
          <w:kern w:val="0"/>
          <w:sz w:val="24"/>
          <w:szCs w:val="24"/>
        </w:rPr>
        <w:t>2025年8</w:t>
      </w:r>
      <w:r w:rsidR="00945B44">
        <w:rPr>
          <w:rFonts w:asciiTheme="minorEastAsia" w:hAnsiTheme="minorEastAsia" w:cs="Arial" w:hint="eastAsia"/>
          <w:kern w:val="0"/>
          <w:sz w:val="24"/>
          <w:szCs w:val="24"/>
        </w:rPr>
        <w:t>月</w:t>
      </w:r>
      <w:r>
        <w:rPr>
          <w:rFonts w:asciiTheme="minorEastAsia" w:hAnsiTheme="minorEastAsia" w:cs="Arial" w:hint="eastAsia"/>
          <w:kern w:val="0"/>
          <w:sz w:val="24"/>
          <w:szCs w:val="24"/>
        </w:rPr>
        <w:t>11</w:t>
      </w:r>
      <w:r w:rsidR="00945B44">
        <w:rPr>
          <w:rFonts w:asciiTheme="minorEastAsia" w:hAnsiTheme="minorEastAsia" w:cs="Arial" w:hint="eastAsia"/>
          <w:kern w:val="0"/>
          <w:sz w:val="24"/>
          <w:szCs w:val="24"/>
        </w:rPr>
        <w:t>日</w:t>
      </w:r>
    </w:p>
    <w:sectPr w:rsidR="005E308D">
      <w:headerReference w:type="even" r:id="rId71"/>
      <w:headerReference w:type="default" r:id="rId72"/>
      <w:headerReference w:type="first" r:id="rId73"/>
      <w:pgSz w:w="11906" w:h="16838"/>
      <w:pgMar w:top="1440" w:right="1800" w:bottom="1440" w:left="180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E7DEC" w14:textId="77777777" w:rsidR="0072117B" w:rsidRDefault="0072117B">
      <w:r>
        <w:separator/>
      </w:r>
    </w:p>
  </w:endnote>
  <w:endnote w:type="continuationSeparator" w:id="0">
    <w:p w14:paraId="321B8F52" w14:textId="77777777" w:rsidR="0072117B" w:rsidRDefault="0072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F183" w14:textId="77777777" w:rsidR="006D49EC" w:rsidRDefault="006D49EC">
    <w:pPr>
      <w:pStyle w:val="af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78EC" w14:textId="77777777" w:rsidR="006D49EC" w:rsidRDefault="006D49EC">
    <w:pPr>
      <w:pStyle w:val="af0"/>
      <w:jc w:val="center"/>
    </w:pPr>
    <w:r>
      <w:fldChar w:fldCharType="begin"/>
    </w:r>
    <w:r>
      <w:instrText xml:space="preserve"> PAGE   \* MERGEFORMAT </w:instrText>
    </w:r>
    <w:r>
      <w:fldChar w:fldCharType="separate"/>
    </w:r>
    <w:r w:rsidR="00C700DF" w:rsidRPr="00C700DF">
      <w:rPr>
        <w:noProof/>
        <w:lang w:val="zh-CN"/>
      </w:rPr>
      <w:t>85</w:t>
    </w:r>
    <w:r>
      <w:rPr>
        <w:lang w:val="zh-CN"/>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3ABB" w14:textId="77777777" w:rsidR="006D49EC" w:rsidRDefault="006D49EC">
    <w:pPr>
      <w:pStyle w:val="af0"/>
      <w:jc w:val="center"/>
    </w:pPr>
    <w:r>
      <w:fldChar w:fldCharType="begin"/>
    </w:r>
    <w:r>
      <w:instrText xml:space="preserve"> PAGE   \* MERGEFORMAT </w:instrText>
    </w:r>
    <w:r>
      <w:fldChar w:fldCharType="separate"/>
    </w:r>
    <w:r w:rsidR="00C700DF" w:rsidRPr="00C700DF">
      <w:rPr>
        <w:noProof/>
        <w:lang w:val="zh-CN"/>
      </w:rPr>
      <w:t>37</w:t>
    </w:r>
    <w:r>
      <w:rPr>
        <w:lang w:val="zh-CN"/>
      </w:rPr>
      <w:fldChar w:fldCharType="end"/>
    </w:r>
  </w:p>
  <w:p w14:paraId="18F902DC" w14:textId="77777777" w:rsidR="006D49EC" w:rsidRDefault="006D49EC">
    <w:pPr>
      <w:pStyle w:val="af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766251"/>
    </w:sdtPr>
    <w:sdtContent>
      <w:p w14:paraId="6988AC72"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C700DF">
          <w:rPr>
            <w:noProof/>
            <w:lang w:val="zh-CN"/>
          </w:rPr>
          <w:t>90</w:t>
        </w:r>
        <w:r>
          <w:rPr>
            <w:lang w:val="zh-CN"/>
          </w:rPr>
          <w:fldChar w:fldCharType="end"/>
        </w:r>
      </w:p>
    </w:sdtContent>
  </w:sdt>
  <w:p w14:paraId="3B4C8361" w14:textId="77777777" w:rsidR="006D49EC" w:rsidRDefault="006D49EC">
    <w:pPr>
      <w:pStyle w:val="af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00172"/>
    </w:sdtPr>
    <w:sdtContent>
      <w:p w14:paraId="3C9F0A7D"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C700DF">
          <w:rPr>
            <w:noProof/>
            <w:lang w:val="zh-CN"/>
          </w:rPr>
          <w:t>137</w:t>
        </w:r>
        <w:r>
          <w:rPr>
            <w:lang w:val="zh-CN"/>
          </w:rPr>
          <w:fldChar w:fldCharType="end"/>
        </w:r>
      </w:p>
    </w:sdtContent>
  </w:sdt>
  <w:p w14:paraId="3C62341A" w14:textId="77777777" w:rsidR="006D49EC" w:rsidRDefault="006D49EC">
    <w:pPr>
      <w:pStyle w:val="af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668774"/>
    </w:sdtPr>
    <w:sdtContent>
      <w:p w14:paraId="0BB026A0"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C700DF">
          <w:rPr>
            <w:noProof/>
            <w:lang w:val="zh-CN"/>
          </w:rPr>
          <w:t>139</w:t>
        </w:r>
        <w:r>
          <w:rPr>
            <w:lang w:val="zh-CN"/>
          </w:rPr>
          <w:fldChar w:fldCharType="end"/>
        </w:r>
      </w:p>
    </w:sdtContent>
  </w:sdt>
  <w:p w14:paraId="7FC684AA" w14:textId="77777777" w:rsidR="006D49EC" w:rsidRDefault="006D49E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94151"/>
    </w:sdtPr>
    <w:sdtContent>
      <w:p w14:paraId="1EC52A24"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C700DF">
          <w:rPr>
            <w:noProof/>
            <w:lang w:val="zh-CN"/>
          </w:rPr>
          <w:t>3</w:t>
        </w:r>
        <w:r>
          <w:rPr>
            <w:lang w:val="zh-CN"/>
          </w:rPr>
          <w:fldChar w:fldCharType="end"/>
        </w:r>
      </w:p>
    </w:sdtContent>
  </w:sdt>
  <w:p w14:paraId="0CEE6858" w14:textId="77777777" w:rsidR="006D49EC" w:rsidRDefault="006D49E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061E" w14:textId="77777777" w:rsidR="006D49EC" w:rsidRDefault="006D49EC">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390005"/>
    </w:sdtPr>
    <w:sdtContent>
      <w:p w14:paraId="661B1FF3"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C700DF">
          <w:rPr>
            <w:noProof/>
            <w:lang w:val="zh-CN"/>
          </w:rPr>
          <w:t>4</w:t>
        </w:r>
        <w:r>
          <w:rPr>
            <w:lang w:val="zh-CN"/>
          </w:rPr>
          <w:fldChar w:fldCharType="end"/>
        </w:r>
      </w:p>
    </w:sdtContent>
  </w:sdt>
  <w:p w14:paraId="39A59C8C" w14:textId="77777777" w:rsidR="006D49EC" w:rsidRDefault="006D49EC">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157458"/>
    </w:sdtPr>
    <w:sdtContent>
      <w:p w14:paraId="22D976A9"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C700DF">
          <w:rPr>
            <w:noProof/>
            <w:lang w:val="zh-CN"/>
          </w:rPr>
          <w:t>9</w:t>
        </w:r>
        <w:r>
          <w:rPr>
            <w:lang w:val="zh-CN"/>
          </w:rPr>
          <w:fldChar w:fldCharType="end"/>
        </w:r>
      </w:p>
    </w:sdtContent>
  </w:sdt>
  <w:p w14:paraId="0BAA05FE" w14:textId="77777777" w:rsidR="006D49EC" w:rsidRDefault="006D49EC">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6527"/>
    </w:sdtPr>
    <w:sdtContent>
      <w:p w14:paraId="3B9889E4"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C700DF">
          <w:rPr>
            <w:noProof/>
            <w:lang w:val="zh-CN"/>
          </w:rPr>
          <w:t>15</w:t>
        </w:r>
        <w:r>
          <w:rPr>
            <w:lang w:val="zh-CN"/>
          </w:rPr>
          <w:fldChar w:fldCharType="end"/>
        </w:r>
      </w:p>
    </w:sdtContent>
  </w:sdt>
  <w:p w14:paraId="65EEB92E" w14:textId="77777777" w:rsidR="006D49EC" w:rsidRDefault="006D49EC">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205945"/>
    </w:sdtPr>
    <w:sdtContent>
      <w:p w14:paraId="6F303EC3"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C700DF">
          <w:rPr>
            <w:noProof/>
            <w:lang w:val="zh-CN"/>
          </w:rPr>
          <w:t>34</w:t>
        </w:r>
        <w:r>
          <w:rPr>
            <w:lang w:val="zh-CN"/>
          </w:rPr>
          <w:fldChar w:fldCharType="end"/>
        </w:r>
      </w:p>
    </w:sdtContent>
  </w:sdt>
  <w:p w14:paraId="28E4B707" w14:textId="77777777" w:rsidR="006D49EC" w:rsidRDefault="006D49EC">
    <w:pPr>
      <w:pStyle w:val="af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165260"/>
    </w:sdtPr>
    <w:sdtContent>
      <w:p w14:paraId="6CD6F628"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C700DF">
          <w:rPr>
            <w:noProof/>
            <w:lang w:val="zh-CN"/>
          </w:rPr>
          <w:t>35</w:t>
        </w:r>
        <w:r>
          <w:rPr>
            <w:lang w:val="zh-CN"/>
          </w:rPr>
          <w:fldChar w:fldCharType="end"/>
        </w:r>
      </w:p>
    </w:sdtContent>
  </w:sdt>
  <w:p w14:paraId="0DAE541F" w14:textId="77777777" w:rsidR="006D49EC" w:rsidRDefault="006D49EC">
    <w:pPr>
      <w:pStyle w:val="af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333424"/>
    </w:sdtPr>
    <w:sdtContent>
      <w:p w14:paraId="5FDB6384"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C700DF">
          <w:rPr>
            <w:noProof/>
            <w:lang w:val="zh-CN"/>
          </w:rPr>
          <w:t>36</w:t>
        </w:r>
        <w:r>
          <w:rPr>
            <w:lang w:val="zh-CN"/>
          </w:rPr>
          <w:fldChar w:fldCharType="end"/>
        </w:r>
      </w:p>
    </w:sdtContent>
  </w:sdt>
  <w:p w14:paraId="7E859CAF" w14:textId="77777777" w:rsidR="006D49EC" w:rsidRDefault="006D49E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5A879" w14:textId="77777777" w:rsidR="0072117B" w:rsidRDefault="0072117B">
      <w:r>
        <w:separator/>
      </w:r>
    </w:p>
  </w:footnote>
  <w:footnote w:type="continuationSeparator" w:id="0">
    <w:p w14:paraId="1AC599D2" w14:textId="77777777" w:rsidR="0072117B" w:rsidRDefault="0072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0536" w14:textId="77777777" w:rsidR="006D49EC" w:rsidRDefault="00000000">
    <w:r>
      <w:pict w14:anchorId="4AEAB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3" type="#_x0000_t75" style="position:absolute;left:0;text-align:left;margin-left:0;margin-top:0;width:222.75pt;height:315.75pt;z-index:251730944;mso-position-horizontal:center;mso-position-horizontal-relative:page;mso-position-vertical:center;mso-position-vertical-relative:page;mso-width-relative:page;mso-height-relative:page">
          <v:imagedata r:id="rId1" o:title=""/>
          <o:lock v:ext="edit" aspectratio="f"/>
          <w10:wrap anchorx="page" anchory="page"/>
        </v:shape>
      </w:pict>
    </w:r>
  </w:p>
  <w:p w14:paraId="65DCB066" w14:textId="77777777" w:rsidR="006D49EC" w:rsidRDefault="00000000">
    <w:r>
      <w:pict w14:anchorId="2911BB51">
        <v:shape id="_x0000_s4102" type="#_x0000_t75" style="position:absolute;left:0;text-align:left;margin-left:0;margin-top:0;width:222.75pt;height:315.75pt;z-index:251703296;mso-position-horizontal:center;mso-position-horizontal-relative:page;mso-position-vertical:center;mso-position-vertical-relative:page;mso-width-relative:page;mso-height-relative:page">
          <v:imagedata r:id="rId1" o:title=""/>
          <o:lock v:ext="edit" aspectratio="f"/>
          <w10:wrap anchorx="page" anchory="page"/>
        </v:shape>
      </w:pict>
    </w:r>
  </w:p>
  <w:p w14:paraId="5E681357" w14:textId="77777777" w:rsidR="006D49EC" w:rsidRDefault="00000000">
    <w:r>
      <w:pict w14:anchorId="284BD184">
        <v:shape id="_x0000_s3080" type="#_x0000_t75" style="position:absolute;left:0;text-align:left;margin-left:0;margin-top:0;width:222.75pt;height:315.75pt;z-index:251661312;mso-position-horizontal:center;mso-position-horizontal-relative:page;mso-position-vertical:center;mso-position-vertical-relative:page">
          <v:imagedata r:id="rId1" o:title=""/>
          <o:lock v:ext="edit" aspectratio="f"/>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1628" w14:textId="77777777" w:rsidR="006D49EC" w:rsidRDefault="00000000">
    <w:r>
      <w:pict w14:anchorId="2CA11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1" type="#_x0000_t75" style="position:absolute;left:0;text-align:left;margin-left:0;margin-top:0;width:222.75pt;height:315.75pt;z-index:251736064;mso-position-horizontal:center;mso-position-horizontal-relative:page;mso-position-vertical:center;mso-position-vertical-relative:page;mso-width-relative:page;mso-height-relative:page">
          <v:imagedata r:id="rId1" o:title=""/>
          <o:lock v:ext="edit" aspectratio="f"/>
          <w10:wrap anchorx="page" anchory="page"/>
        </v:shape>
      </w:pict>
    </w:r>
  </w:p>
  <w:p w14:paraId="3CF3E92E" w14:textId="77777777" w:rsidR="006D49EC" w:rsidRDefault="00000000">
    <w:r>
      <w:pict w14:anchorId="3A69426C">
        <v:shape id="_x0000_s4114" type="#_x0000_t75" style="position:absolute;left:0;text-align:left;margin-left:0;margin-top:0;width:222.75pt;height:315.75pt;z-index:251708416;mso-position-horizontal:center;mso-position-horizontal-relative:page;mso-position-vertical:center;mso-position-vertical-relative:page;mso-width-relative:page;mso-height-relative:page">
          <v:imagedata r:id="rId1" o:title=""/>
          <o:lock v:ext="edit" aspectratio="f"/>
          <w10:wrap anchorx="page" anchory="page"/>
        </v:shape>
      </w:pict>
    </w:r>
  </w:p>
  <w:p w14:paraId="74454BB8" w14:textId="77777777" w:rsidR="006D49EC" w:rsidRDefault="00000000">
    <w:r>
      <w:pict w14:anchorId="7325EEFD">
        <v:shape id="_x0000_s3097" type="#_x0000_t75" style="position:absolute;left:0;text-align:left;margin-left:0;margin-top:0;width:222.75pt;height:315.75pt;z-index:251668480;mso-position-horizontal:center;mso-position-horizontal-relative:page;mso-position-vertical:center;mso-position-vertical-relative:page">
          <v:imagedata r:id="rId1" o:title=""/>
          <o:lock v:ext="edit" aspectratio="f"/>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4659" w14:textId="77777777" w:rsidR="006D49EC" w:rsidRDefault="00000000">
    <w:r>
      <w:pict w14:anchorId="114E6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5" type="#_x0000_t75" style="position:absolute;left:0;text-align:left;margin-left:0;margin-top:0;width:222.75pt;height:315.75pt;z-index:251739136;mso-position-horizontal:center;mso-position-horizontal-relative:page;mso-position-vertical:center;mso-position-vertical-relative:page;mso-width-relative:page;mso-height-relative:page">
          <v:imagedata r:id="rId1" o:title=""/>
          <o:lock v:ext="edit" aspectratio="f"/>
          <w10:wrap anchorx="page" anchory="page"/>
        </v:shape>
      </w:pict>
    </w:r>
  </w:p>
  <w:p w14:paraId="61B9B4DF" w14:textId="77777777" w:rsidR="006D49EC" w:rsidRDefault="00000000">
    <w:r>
      <w:pict w14:anchorId="0768233F">
        <v:shape id="_x0000_s4122" type="#_x0000_t75" style="position:absolute;left:0;text-align:left;margin-left:0;margin-top:0;width:222.75pt;height:315.75pt;z-index:251711488;mso-position-horizontal:center;mso-position-horizontal-relative:page;mso-position-vertical:center;mso-position-vertical-relative:page;mso-width-relative:page;mso-height-relative:page">
          <v:imagedata r:id="rId1" o:title=""/>
          <o:lock v:ext="edit" aspectratio="f"/>
          <w10:wrap anchorx="page" anchory="page"/>
        </v:shape>
      </w:pict>
    </w:r>
  </w:p>
  <w:p w14:paraId="2C5CC879" w14:textId="77777777" w:rsidR="006D49EC" w:rsidRDefault="00000000">
    <w:r>
      <w:pict w14:anchorId="411CEC5F">
        <v:shape id="_x0000_s3108" type="#_x0000_t75" style="position:absolute;left:0;text-align:left;margin-left:0;margin-top:0;width:222.75pt;height:315.75pt;z-index:251673600;mso-position-horizontal:center;mso-position-horizontal-relative:page;mso-position-vertical:center;mso-position-vertical-relative:page">
          <v:imagedata r:id="rId1" o:title=""/>
          <o:lock v:ext="edit" aspectratio="f"/>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B6A2" w14:textId="77777777" w:rsidR="006D49EC" w:rsidRDefault="00000000">
    <w:r>
      <w:pict w14:anchorId="07435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4" type="#_x0000_t75" style="position:absolute;left:0;text-align:left;margin-left:0;margin-top:0;width:222.75pt;height:315.75pt;z-index:251738112;mso-position-horizontal:center;mso-position-horizontal-relative:page;mso-position-vertical:center;mso-position-vertical-relative:page;mso-width-relative:page;mso-height-relative:page">
          <v:imagedata r:id="rId1" o:title=""/>
          <o:lock v:ext="edit" aspectratio="f"/>
          <w10:wrap anchorx="page" anchory="page"/>
        </v:shape>
      </w:pict>
    </w:r>
  </w:p>
  <w:p w14:paraId="14DC6595" w14:textId="77777777" w:rsidR="006D49EC" w:rsidRDefault="00000000">
    <w:r>
      <w:pict w14:anchorId="3D704A72">
        <v:shape id="_x0000_s4119" type="#_x0000_t75" style="position:absolute;left:0;text-align:left;margin-left:0;margin-top:0;width:222.75pt;height:315.75pt;z-index:251710464;mso-position-horizontal:center;mso-position-horizontal-relative:page;mso-position-vertical:center;mso-position-vertical-relative:page;mso-width-relative:page;mso-height-relative:page">
          <v:imagedata r:id="rId1" o:title=""/>
          <o:lock v:ext="edit" aspectratio="f"/>
          <w10:wrap anchorx="page" anchory="page"/>
        </v:shape>
      </w:pict>
    </w:r>
  </w:p>
  <w:p w14:paraId="6631BB00" w14:textId="77777777" w:rsidR="006D49EC" w:rsidRDefault="00000000">
    <w:r>
      <w:pict w14:anchorId="17E4C963">
        <v:shape id="_x0000_s3104" type="#_x0000_t75" style="position:absolute;left:0;text-align:left;margin-left:0;margin-top:0;width:222.75pt;height:315.75pt;z-index:251671552;mso-position-horizontal:center;mso-position-horizontal-relative:page;mso-position-vertical:center;mso-position-vertical-relative:page">
          <v:imagedata r:id="rId1" o:title=""/>
          <o:lock v:ext="edit" aspectratio="f"/>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2A13" w14:textId="77777777" w:rsidR="006D49EC" w:rsidRDefault="00000000">
    <w:r>
      <w:pict w14:anchorId="3F0EA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8" type="#_x0000_t75" style="position:absolute;left:0;text-align:left;margin-left:0;margin-top:0;width:222.75pt;height:315.75pt;z-index:251741184;mso-position-horizontal:center;mso-position-horizontal-relative:page;mso-position-vertical:center;mso-position-vertical-relative:page;mso-width-relative:page;mso-height-relative:page">
          <v:imagedata r:id="rId1" o:title=""/>
          <o:lock v:ext="edit" aspectratio="f"/>
          <w10:wrap anchorx="page" anchory="page"/>
        </v:shape>
      </w:pict>
    </w:r>
  </w:p>
  <w:p w14:paraId="02A9F51F" w14:textId="77777777" w:rsidR="006D49EC" w:rsidRDefault="00000000">
    <w:r>
      <w:pict w14:anchorId="30976764">
        <v:shape id="_x0000_s4127" type="#_x0000_t75" style="position:absolute;left:0;text-align:left;margin-left:0;margin-top:0;width:222.75pt;height:315.75pt;z-index:251713536;mso-position-horizontal:center;mso-position-horizontal-relative:page;mso-position-vertical:center;mso-position-vertical-relative:page;mso-width-relative:page;mso-height-relative:page">
          <v:imagedata r:id="rId1" o:title=""/>
          <o:lock v:ext="edit" aspectratio="f"/>
          <w10:wrap anchorx="page" anchory="page"/>
        </v:shape>
      </w:pict>
    </w:r>
  </w:p>
  <w:p w14:paraId="4D2D4E0C" w14:textId="77777777" w:rsidR="006D49EC" w:rsidRDefault="00000000">
    <w:r>
      <w:pict w14:anchorId="3B663494">
        <v:shape id="_x0000_s3115" type="#_x0000_t75" style="position:absolute;left:0;text-align:left;margin-left:0;margin-top:0;width:222.75pt;height:315.75pt;z-index:251676672;mso-position-horizontal:center;mso-position-horizontal-relative:page;mso-position-vertical:center;mso-position-vertical-relative:page">
          <v:imagedata r:id="rId1" o:title=""/>
          <o:lock v:ext="edit" aspectratio="f"/>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5BDE" w14:textId="6B1D36FE" w:rsidR="006D49EC" w:rsidRPr="006C7027" w:rsidRDefault="006D49EC" w:rsidP="006C7027">
    <w:pPr>
      <w:pStyle w:val="af2"/>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2331" w14:textId="77777777" w:rsidR="006D49EC" w:rsidRDefault="00000000">
    <w:r>
      <w:pict w14:anchorId="0F19F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7" type="#_x0000_t75" style="position:absolute;left:0;text-align:left;margin-left:0;margin-top:0;width:222.75pt;height:315.75pt;z-index:251740160;mso-position-horizontal:center;mso-position-horizontal-relative:page;mso-position-vertical:center;mso-position-vertical-relative:page;mso-width-relative:page;mso-height-relative:page">
          <v:imagedata r:id="rId1" o:title=""/>
          <o:lock v:ext="edit" aspectratio="f"/>
          <w10:wrap anchorx="page" anchory="page"/>
        </v:shape>
      </w:pict>
    </w:r>
  </w:p>
  <w:p w14:paraId="47C0D755" w14:textId="77777777" w:rsidR="006D49EC" w:rsidRDefault="00000000">
    <w:r>
      <w:pict w14:anchorId="7272775F">
        <v:shape id="_x0000_s4124" type="#_x0000_t75" style="position:absolute;left:0;text-align:left;margin-left:0;margin-top:0;width:222.75pt;height:315.75pt;z-index:251712512;mso-position-horizontal:center;mso-position-horizontal-relative:page;mso-position-vertical:center;mso-position-vertical-relative:page;mso-width-relative:page;mso-height-relative:page">
          <v:imagedata r:id="rId1" o:title=""/>
          <o:lock v:ext="edit" aspectratio="f"/>
          <w10:wrap anchorx="page" anchory="page"/>
        </v:shape>
      </w:pict>
    </w:r>
  </w:p>
  <w:p w14:paraId="4C11AB20" w14:textId="77777777" w:rsidR="006D49EC" w:rsidRDefault="00000000">
    <w:r>
      <w:pict w14:anchorId="2C5A79D0">
        <v:shape id="_x0000_s3111" type="#_x0000_t75" style="position:absolute;left:0;text-align:left;margin-left:0;margin-top:0;width:222.75pt;height:315.75pt;z-index:251674624;mso-position-horizontal:center;mso-position-horizontal-relative:page;mso-position-vertical:center;mso-position-vertical-relative:page">
          <v:imagedata r:id="rId1" o:title=""/>
          <o:lock v:ext="edit" aspectratio="f"/>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87F6" w14:textId="77777777" w:rsidR="006D49EC" w:rsidRDefault="00000000">
    <w:r>
      <w:pict w14:anchorId="25FFF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41" type="#_x0000_t75" style="position:absolute;left:0;text-align:left;margin-left:0;margin-top:0;width:222.75pt;height:315.75pt;z-index:251743232;mso-position-horizontal:center;mso-position-horizontal-relative:page;mso-position-vertical:center;mso-position-vertical-relative:page;mso-width-relative:page;mso-height-relative:page">
          <v:imagedata r:id="rId1" o:title=""/>
          <o:lock v:ext="edit" aspectratio="f"/>
          <w10:wrap anchorx="page" anchory="page"/>
        </v:shape>
      </w:pict>
    </w:r>
  </w:p>
  <w:p w14:paraId="1DC9E25A" w14:textId="77777777" w:rsidR="006D49EC" w:rsidRDefault="00000000">
    <w:r>
      <w:pict w14:anchorId="677E1B5D">
        <v:shape id="_x0000_s4132" type="#_x0000_t75" style="position:absolute;left:0;text-align:left;margin-left:0;margin-top:0;width:222.75pt;height:315.75pt;z-index:251715584;mso-position-horizontal:center;mso-position-horizontal-relative:page;mso-position-vertical:center;mso-position-vertical-relative:page;mso-width-relative:page;mso-height-relative:page">
          <v:imagedata r:id="rId1" o:title=""/>
          <o:lock v:ext="edit" aspectratio="f"/>
          <w10:wrap anchorx="page" anchory="page"/>
        </v:shape>
      </w:pict>
    </w:r>
  </w:p>
  <w:p w14:paraId="64FD6571" w14:textId="77777777" w:rsidR="006D49EC" w:rsidRDefault="00000000">
    <w:r>
      <w:pict w14:anchorId="6BECB9BD">
        <v:shape id="_x0000_s3122" type="#_x0000_t75" style="position:absolute;left:0;text-align:left;margin-left:0;margin-top:0;width:222.75pt;height:315.75pt;z-index:251679744;mso-position-horizontal:center;mso-position-horizontal-relative:page;mso-position-vertical:center;mso-position-vertical-relative:page">
          <v:imagedata r:id="rId1" o:title=""/>
          <o:lock v:ext="edit" aspectratio="f"/>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8D5A0" w14:textId="77777777" w:rsidR="006D49EC" w:rsidRDefault="006D49EC"/>
  <w:p w14:paraId="13D81845" w14:textId="77777777" w:rsidR="006D49EC" w:rsidRDefault="006D49EC"/>
  <w:p w14:paraId="6427CAEF" w14:textId="5AD38E68" w:rsidR="006D49EC" w:rsidRDefault="006D49E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6935" w14:textId="77777777" w:rsidR="006D49EC" w:rsidRDefault="00000000">
    <w:r>
      <w:pict w14:anchorId="24395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40" type="#_x0000_t75" style="position:absolute;left:0;text-align:left;margin-left:0;margin-top:0;width:222.75pt;height:315.75pt;z-index:251742208;mso-position-horizontal:center;mso-position-horizontal-relative:page;mso-position-vertical:center;mso-position-vertical-relative:page;mso-width-relative:page;mso-height-relative:page">
          <v:imagedata r:id="rId1" o:title=""/>
          <o:lock v:ext="edit" aspectratio="f"/>
          <w10:wrap anchorx="page" anchory="page"/>
        </v:shape>
      </w:pict>
    </w:r>
  </w:p>
  <w:p w14:paraId="7111091E" w14:textId="77777777" w:rsidR="006D49EC" w:rsidRDefault="00000000">
    <w:r>
      <w:pict w14:anchorId="46ABB06C">
        <v:shape id="_x0000_s4129" type="#_x0000_t75" style="position:absolute;left:0;text-align:left;margin-left:0;margin-top:0;width:222.75pt;height:315.75pt;z-index:251714560;mso-position-horizontal:center;mso-position-horizontal-relative:page;mso-position-vertical:center;mso-position-vertical-relative:page;mso-width-relative:page;mso-height-relative:page">
          <v:imagedata r:id="rId1" o:title=""/>
          <o:lock v:ext="edit" aspectratio="f"/>
          <w10:wrap anchorx="page" anchory="page"/>
        </v:shape>
      </w:pict>
    </w:r>
  </w:p>
  <w:p w14:paraId="3597AF46" w14:textId="77777777" w:rsidR="006D49EC" w:rsidRDefault="00000000">
    <w:r>
      <w:pict w14:anchorId="439C024A">
        <v:shape id="_x0000_s3118" type="#_x0000_t75" style="position:absolute;left:0;text-align:left;margin-left:0;margin-top:0;width:222.75pt;height:315.75pt;z-index:251677696;mso-position-horizontal:center;mso-position-horizontal-relative:page;mso-position-vertical:center;mso-position-vertical-relative:page">
          <v:imagedata r:id="rId1" o:title=""/>
          <o:lock v:ext="edit" aspectratio="f"/>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998F" w14:textId="77777777" w:rsidR="006D49EC" w:rsidRDefault="00000000">
    <w:r>
      <w:pict w14:anchorId="5310A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44" type="#_x0000_t75" style="position:absolute;left:0;text-align:left;margin-left:0;margin-top:0;width:222.75pt;height:315.75pt;z-index:251745280;mso-position-horizontal:center;mso-position-horizontal-relative:page;mso-position-vertical:center;mso-position-vertical-relative:page;mso-width-relative:page;mso-height-relative:page">
          <v:imagedata r:id="rId1" o:title=""/>
          <o:lock v:ext="edit" aspectratio="f"/>
          <w10:wrap anchorx="page" anchory="page"/>
        </v:shape>
      </w:pict>
    </w:r>
  </w:p>
  <w:p w14:paraId="262DB1A2" w14:textId="77777777" w:rsidR="006D49EC" w:rsidRDefault="00000000">
    <w:r>
      <w:pict w14:anchorId="42300458">
        <v:shape id="_x0000_s4137" type="#_x0000_t75" style="position:absolute;left:0;text-align:left;margin-left:0;margin-top:0;width:222.75pt;height:315.75pt;z-index:251717632;mso-position-horizontal:center;mso-position-horizontal-relative:page;mso-position-vertical:center;mso-position-vertical-relative:page;mso-width-relative:page;mso-height-relative:page">
          <v:imagedata r:id="rId1" o:title=""/>
          <o:lock v:ext="edit" aspectratio="f"/>
          <w10:wrap anchorx="page" anchory="page"/>
        </v:shape>
      </w:pict>
    </w:r>
  </w:p>
  <w:p w14:paraId="42044D8C" w14:textId="77777777" w:rsidR="006D49EC" w:rsidRDefault="00000000">
    <w:r>
      <w:pict w14:anchorId="472379E9">
        <v:shape id="_x0000_s3129" type="#_x0000_t75" style="position:absolute;left:0;text-align:left;margin-left:0;margin-top:0;width:222.75pt;height:315.75pt;z-index:251682816;mso-position-horizontal:center;mso-position-horizontal-relative:page;mso-position-vertical:center;mso-position-vertical-relative:page">
          <v:imagedata r:id="rId1" o:title=""/>
          <o:lock v:ext="edit" aspectratio="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F030" w14:textId="34F40E79" w:rsidR="006D49EC" w:rsidRDefault="006D49EC" w:rsidP="006C7027">
    <w:pPr>
      <w:pStyle w:val="af2"/>
      <w:jc w:val="both"/>
    </w:pPr>
    <w:r>
      <w:rPr>
        <w:rFonts w:ascii="Arial" w:hAnsi="Arial" w:cs="Arial" w:hint="eastAsia"/>
        <w:szCs w:val="21"/>
      </w:rPr>
      <w:t>富荣福耀混合型证券投资基金更新的招募说明书（</w:t>
    </w:r>
    <w:r>
      <w:rPr>
        <w:rFonts w:ascii="Arial" w:hAnsi="Arial" w:cs="Arial" w:hint="eastAsia"/>
        <w:szCs w:val="21"/>
      </w:rPr>
      <w:t>202</w:t>
    </w:r>
    <w:r w:rsidR="006C7027">
      <w:rPr>
        <w:rFonts w:ascii="Arial" w:hAnsi="Arial" w:cs="Arial" w:hint="eastAsia"/>
        <w:szCs w:val="21"/>
      </w:rPr>
      <w:t>5</w:t>
    </w:r>
    <w:r>
      <w:rPr>
        <w:rFonts w:ascii="Arial" w:hAnsi="Arial" w:cs="Arial" w:hint="eastAsia"/>
        <w:szCs w:val="21"/>
      </w:rPr>
      <w:t>年第</w:t>
    </w:r>
    <w:r w:rsidR="006C7027">
      <w:rPr>
        <w:rFonts w:ascii="Arial" w:hAnsi="Arial" w:cs="Arial" w:hint="eastAsia"/>
        <w:szCs w:val="21"/>
      </w:rPr>
      <w:t>2</w:t>
    </w:r>
    <w:r>
      <w:rPr>
        <w:rFonts w:ascii="Arial" w:hAnsi="Arial" w:cs="Arial" w:hint="eastAsia"/>
        <w:szCs w:val="21"/>
      </w:rPr>
      <w:t>号）</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E6C0" w14:textId="77777777" w:rsidR="006D49EC" w:rsidRDefault="006D49EC"/>
  <w:p w14:paraId="43F64112" w14:textId="77777777" w:rsidR="006D49EC" w:rsidRDefault="006D49EC"/>
  <w:p w14:paraId="592B29FA" w14:textId="010B076C" w:rsidR="006D49EC" w:rsidRDefault="006D49E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970F" w14:textId="77777777" w:rsidR="006D49EC" w:rsidRDefault="00000000">
    <w:r>
      <w:pict w14:anchorId="66B7A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43" type="#_x0000_t75" style="position:absolute;left:0;text-align:left;margin-left:0;margin-top:0;width:222.75pt;height:315.75pt;z-index:251744256;mso-position-horizontal:center;mso-position-horizontal-relative:page;mso-position-vertical:center;mso-position-vertical-relative:page;mso-width-relative:page;mso-height-relative:page">
          <v:imagedata r:id="rId1" o:title=""/>
          <o:lock v:ext="edit" aspectratio="f"/>
          <w10:wrap anchorx="page" anchory="page"/>
        </v:shape>
      </w:pict>
    </w:r>
  </w:p>
  <w:p w14:paraId="16B3E41B" w14:textId="77777777" w:rsidR="006D49EC" w:rsidRDefault="00000000">
    <w:r>
      <w:pict w14:anchorId="2E451E1A">
        <v:shape id="_x0000_s4134" type="#_x0000_t75" style="position:absolute;left:0;text-align:left;margin-left:0;margin-top:0;width:222.75pt;height:315.75pt;z-index:251716608;mso-position-horizontal:center;mso-position-horizontal-relative:page;mso-position-vertical:center;mso-position-vertical-relative:page;mso-width-relative:page;mso-height-relative:page">
          <v:imagedata r:id="rId1" o:title=""/>
          <o:lock v:ext="edit" aspectratio="f"/>
          <w10:wrap anchorx="page" anchory="page"/>
        </v:shape>
      </w:pict>
    </w:r>
  </w:p>
  <w:p w14:paraId="0E42A87E" w14:textId="77777777" w:rsidR="006D49EC" w:rsidRDefault="00000000">
    <w:r>
      <w:pict w14:anchorId="2CA08E82">
        <v:shape id="_x0000_s3125" type="#_x0000_t75" style="position:absolute;left:0;text-align:left;margin-left:0;margin-top:0;width:222.75pt;height:315.75pt;z-index:251680768;mso-position-horizontal:center;mso-position-horizontal-relative:page;mso-position-vertical:center;mso-position-vertical-relative:page">
          <v:imagedata r:id="rId1" o:title=""/>
          <o:lock v:ext="edit" aspectratio="f"/>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5253F" w14:textId="77777777" w:rsidR="006D49EC" w:rsidRDefault="00000000">
    <w:r>
      <w:pict w14:anchorId="2687D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47" type="#_x0000_t75" style="position:absolute;left:0;text-align:left;margin-left:0;margin-top:0;width:222.75pt;height:315.75pt;z-index:251747328;mso-position-horizontal:center;mso-position-horizontal-relative:page;mso-position-vertical:center;mso-position-vertical-relative:page;mso-width-relative:page;mso-height-relative:page">
          <v:imagedata r:id="rId1" o:title=""/>
          <o:lock v:ext="edit" aspectratio="f"/>
          <w10:wrap anchorx="page" anchory="page"/>
        </v:shape>
      </w:pict>
    </w:r>
  </w:p>
  <w:p w14:paraId="1712CD69" w14:textId="77777777" w:rsidR="006D49EC" w:rsidRDefault="00000000">
    <w:r>
      <w:pict w14:anchorId="44D6796E">
        <v:shape id="_x0000_s4142" type="#_x0000_t75" style="position:absolute;left:0;text-align:left;margin-left:0;margin-top:0;width:222.75pt;height:315.75pt;z-index:251719680;mso-position-horizontal:center;mso-position-horizontal-relative:page;mso-position-vertical:center;mso-position-vertical-relative:page;mso-width-relative:page;mso-height-relative:page">
          <v:imagedata r:id="rId1" o:title=""/>
          <o:lock v:ext="edit" aspectratio="f"/>
          <w10:wrap anchorx="page" anchory="page"/>
        </v:shape>
      </w:pict>
    </w:r>
  </w:p>
  <w:p w14:paraId="475F01B9" w14:textId="77777777" w:rsidR="006D49EC" w:rsidRDefault="00000000">
    <w:r>
      <w:pict w14:anchorId="72FD4062">
        <v:shape id="_x0000_s3136" type="#_x0000_t75" style="position:absolute;left:0;text-align:left;margin-left:0;margin-top:0;width:222.75pt;height:315.75pt;z-index:251685888;mso-position-horizontal:center;mso-position-horizontal-relative:page;mso-position-vertical:center;mso-position-vertical-relative:page">
          <v:imagedata r:id="rId1" o:title=""/>
          <o:lock v:ext="edit" aspectratio="f"/>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0620" w14:textId="6DDD4717" w:rsidR="006D49EC" w:rsidRPr="006C7027" w:rsidRDefault="006D49EC" w:rsidP="006C7027">
    <w:pPr>
      <w:pStyle w:val="af2"/>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E5BA" w14:textId="77777777" w:rsidR="006D49EC" w:rsidRDefault="00000000">
    <w:r>
      <w:pict w14:anchorId="0EA52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46" type="#_x0000_t75" style="position:absolute;left:0;text-align:left;margin-left:0;margin-top:0;width:222.75pt;height:315.75pt;z-index:251746304;mso-position-horizontal:center;mso-position-horizontal-relative:page;mso-position-vertical:center;mso-position-vertical-relative:page;mso-width-relative:page;mso-height-relative:page">
          <v:imagedata r:id="rId1" o:title=""/>
          <o:lock v:ext="edit" aspectratio="f"/>
          <w10:wrap anchorx="page" anchory="page"/>
        </v:shape>
      </w:pict>
    </w:r>
  </w:p>
  <w:p w14:paraId="4CFED9DA" w14:textId="77777777" w:rsidR="006D49EC" w:rsidRDefault="00000000">
    <w:r>
      <w:pict w14:anchorId="701A2D5D">
        <v:shape id="_x0000_s4139" type="#_x0000_t75" style="position:absolute;left:0;text-align:left;margin-left:0;margin-top:0;width:222.75pt;height:315.75pt;z-index:251718656;mso-position-horizontal:center;mso-position-horizontal-relative:page;mso-position-vertical:center;mso-position-vertical-relative:page;mso-width-relative:page;mso-height-relative:page">
          <v:imagedata r:id="rId1" o:title=""/>
          <o:lock v:ext="edit" aspectratio="f"/>
          <w10:wrap anchorx="page" anchory="page"/>
        </v:shape>
      </w:pict>
    </w:r>
  </w:p>
  <w:p w14:paraId="67F84C65" w14:textId="77777777" w:rsidR="006D49EC" w:rsidRDefault="00000000">
    <w:r>
      <w:pict w14:anchorId="374B3488">
        <v:shape id="_x0000_s3132" type="#_x0000_t75" style="position:absolute;left:0;text-align:left;margin-left:0;margin-top:0;width:222.75pt;height:315.75pt;z-index:251683840;mso-position-horizontal:center;mso-position-horizontal-relative:page;mso-position-vertical:center;mso-position-vertical-relative:page">
          <v:imagedata r:id="rId1" o:title=""/>
          <o:lock v:ext="edit" aspectratio="f"/>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9AD7" w14:textId="77777777" w:rsidR="006D49EC" w:rsidRDefault="00000000">
    <w:r>
      <w:pict w14:anchorId="5B2B2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0" type="#_x0000_t75" style="position:absolute;left:0;text-align:left;margin-left:0;margin-top:0;width:222.75pt;height:315.75pt;z-index:251748352;mso-position-horizontal:center;mso-position-horizontal-relative:page;mso-position-vertical:center;mso-position-vertical-relative:page;mso-width-relative:page;mso-height-relative:page">
          <v:imagedata r:id="rId1" o:title=""/>
          <o:lock v:ext="edit" aspectratio="f"/>
          <w10:wrap anchorx="page" anchory="page"/>
        </v:shape>
      </w:pict>
    </w:r>
  </w:p>
  <w:p w14:paraId="2D8800E0" w14:textId="77777777" w:rsidR="006D49EC" w:rsidRDefault="00000000">
    <w:r>
      <w:pict w14:anchorId="2185781C">
        <v:shape id="_x0000_s4146" type="#_x0000_t75" style="position:absolute;left:0;text-align:left;margin-left:0;margin-top:0;width:222.75pt;height:315.75pt;z-index:251720704;mso-position-horizontal:center;mso-position-horizontal-relative:page;mso-position-vertical:center;mso-position-vertical-relative:page;mso-width-relative:page;mso-height-relative:page">
          <v:imagedata r:id="rId1" o:title=""/>
          <o:lock v:ext="edit" aspectratio="f"/>
          <w10:wrap anchorx="page" anchory="page"/>
        </v:shape>
      </w:pict>
    </w:r>
  </w:p>
  <w:p w14:paraId="559651E3" w14:textId="77777777" w:rsidR="006D49EC" w:rsidRDefault="00000000">
    <w:r>
      <w:pict w14:anchorId="185D9CF8">
        <v:shape id="_x0000_s3141" type="#_x0000_t75" style="position:absolute;left:0;text-align:left;margin-left:0;margin-top:0;width:222.75pt;height:315.75pt;z-index:251688960;mso-position-horizontal:center;mso-position-horizontal-relative:page;mso-position-vertical:center;mso-position-vertical-relative:page">
          <v:imagedata r:id="rId1" o:title=""/>
          <o:lock v:ext="edit" aspectratio="f"/>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AE286" w14:textId="77777777" w:rsidR="006D49EC" w:rsidRDefault="006D49EC"/>
  <w:p w14:paraId="09910154" w14:textId="77777777" w:rsidR="006D49EC" w:rsidRDefault="006D49EC"/>
  <w:p w14:paraId="1AECB468" w14:textId="1F287355" w:rsidR="006D49EC" w:rsidRDefault="006D49EC"/>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DE68" w14:textId="77777777" w:rsidR="006D49EC" w:rsidRDefault="00000000">
    <w:r>
      <w:pict w14:anchorId="14975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3" type="#_x0000_t75" style="position:absolute;left:0;text-align:left;margin-left:0;margin-top:0;width:222.75pt;height:315.75pt;z-index:251750400;mso-position-horizontal:center;mso-position-horizontal-relative:page;mso-position-vertical:center;mso-position-vertical-relative:page;mso-width-relative:page;mso-height-relative:page">
          <v:imagedata r:id="rId1" o:title=""/>
          <o:lock v:ext="edit" aspectratio="f"/>
          <w10:wrap anchorx="page" anchory="page"/>
        </v:shape>
      </w:pict>
    </w:r>
  </w:p>
  <w:p w14:paraId="4E1612B3" w14:textId="77777777" w:rsidR="006D49EC" w:rsidRDefault="00000000">
    <w:r>
      <w:pict w14:anchorId="0C955577">
        <v:shape id="_x0000_s4151" type="#_x0000_t75" style="position:absolute;left:0;text-align:left;margin-left:0;margin-top:0;width:222.75pt;height:315.75pt;z-index:251722752;mso-position-horizontal:center;mso-position-horizontal-relative:page;mso-position-vertical:center;mso-position-vertical-relative:page;mso-width-relative:page;mso-height-relative:page">
          <v:imagedata r:id="rId1" o:title=""/>
          <o:lock v:ext="edit" aspectratio="f"/>
          <w10:wrap anchorx="page" anchory="page"/>
        </v:shape>
      </w:pict>
    </w:r>
  </w:p>
  <w:p w14:paraId="3FD82B7A" w14:textId="77777777" w:rsidR="006D49EC" w:rsidRDefault="00000000">
    <w:r>
      <w:pict w14:anchorId="57FC6E93">
        <v:shape id="_x0000_s3148" type="#_x0000_t75" style="position:absolute;left:0;text-align:left;margin-left:0;margin-top:0;width:222.75pt;height:315.75pt;z-index:251692032;mso-position-horizontal:center;mso-position-horizontal-relative:page;mso-position-vertical:center;mso-position-vertical-relative:page">
          <v:imagedata r:id="rId1" o:title=""/>
          <o:lock v:ext="edit" aspectratio="f"/>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CA7CC" w14:textId="77777777" w:rsidR="006D49EC" w:rsidRDefault="006D49EC"/>
  <w:p w14:paraId="2BEE1F1E" w14:textId="77777777" w:rsidR="006D49EC" w:rsidRDefault="006D49EC"/>
  <w:p w14:paraId="692C8BDA" w14:textId="75C44B8C" w:rsidR="006D49EC" w:rsidRDefault="006D49E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3F0B4" w14:textId="77777777" w:rsidR="006D49EC" w:rsidRDefault="00000000">
    <w:r>
      <w:pict w14:anchorId="2BFA0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2" type="#_x0000_t75" style="position:absolute;left:0;text-align:left;margin-left:0;margin-top:0;width:222.75pt;height:315.75pt;z-index:251749376;mso-position-horizontal:center;mso-position-horizontal-relative:page;mso-position-vertical:center;mso-position-vertical-relative:page;mso-width-relative:page;mso-height-relative:page">
          <v:imagedata r:id="rId1" o:title=""/>
          <o:lock v:ext="edit" aspectratio="f"/>
          <w10:wrap anchorx="page" anchory="page"/>
        </v:shape>
      </w:pict>
    </w:r>
  </w:p>
  <w:p w14:paraId="4B05FD29" w14:textId="77777777" w:rsidR="006D49EC" w:rsidRDefault="00000000">
    <w:r>
      <w:pict w14:anchorId="33401151">
        <v:shape id="_x0000_s4148" type="#_x0000_t75" style="position:absolute;left:0;text-align:left;margin-left:0;margin-top:0;width:222.75pt;height:315.75pt;z-index:251721728;mso-position-horizontal:center;mso-position-horizontal-relative:page;mso-position-vertical:center;mso-position-vertical-relative:page;mso-width-relative:page;mso-height-relative:page">
          <v:imagedata r:id="rId1" o:title=""/>
          <o:lock v:ext="edit" aspectratio="f"/>
          <w10:wrap anchorx="page" anchory="page"/>
        </v:shape>
      </w:pict>
    </w:r>
  </w:p>
  <w:p w14:paraId="3FCDF60C" w14:textId="77777777" w:rsidR="006D49EC" w:rsidRDefault="00000000">
    <w:r>
      <w:pict w14:anchorId="3BE51D74">
        <v:shape id="_x0000_s3144" type="#_x0000_t75" style="position:absolute;left:0;text-align:left;margin-left:0;margin-top:0;width:222.75pt;height:315.75pt;z-index:251689984;mso-position-horizontal:center;mso-position-horizontal-relative:page;mso-position-vertical:center;mso-position-vertical-relative:page">
          <v:imagedata r:id="rId1" o:title=""/>
          <o:lock v:ext="edit" aspectratio="f"/>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2954" w14:textId="596F7954" w:rsidR="006D49EC" w:rsidRDefault="006D49EC" w:rsidP="006C7027">
    <w:pPr>
      <w:pStyle w:val="af2"/>
      <w:jc w:val="both"/>
    </w:pPr>
    <w:r>
      <w:rPr>
        <w:rFonts w:ascii="Arial" w:hAnsi="Arial" w:cs="Arial" w:hint="eastAsia"/>
        <w:szCs w:val="21"/>
      </w:rPr>
      <w:t>富荣福耀混合型证券投资基金更新的招募说明书（</w:t>
    </w:r>
    <w:r>
      <w:rPr>
        <w:rFonts w:ascii="Arial" w:hAnsi="Arial" w:cs="Arial" w:hint="eastAsia"/>
        <w:szCs w:val="21"/>
      </w:rPr>
      <w:t>2025</w:t>
    </w:r>
    <w:r>
      <w:rPr>
        <w:rFonts w:ascii="Arial" w:hAnsi="Arial" w:cs="Arial" w:hint="eastAsia"/>
        <w:szCs w:val="21"/>
      </w:rPr>
      <w:t>年第</w:t>
    </w:r>
    <w:r>
      <w:rPr>
        <w:rFonts w:ascii="Arial" w:hAnsi="Arial" w:cs="Arial" w:hint="eastAsia"/>
        <w:szCs w:val="21"/>
      </w:rPr>
      <w:t>2</w:t>
    </w:r>
    <w:r>
      <w:rPr>
        <w:rFonts w:ascii="Arial" w:hAnsi="Arial" w:cs="Arial" w:hint="eastAsia"/>
        <w:szCs w:val="21"/>
      </w:rPr>
      <w:t>号）</w:t>
    </w:r>
    <w:r w:rsidR="00000000">
      <w:pict w14:anchorId="5E933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1" type="#_x0000_t75" style="position:absolute;left:0;text-align:left;margin-left:904.65pt;margin-top:345.55pt;width:222.75pt;height:315.75pt;z-index:251658240;mso-position-horizontal-relative:page;mso-position-vertical-relative:page;mso-width-relative:page;mso-height-relative:page">
          <v:imagedata r:id="rId1" o:title=""/>
          <o:lock v:ext="edit" aspectratio="f"/>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4C99" w14:textId="77777777" w:rsidR="006D49EC" w:rsidRDefault="00000000">
    <w:r>
      <w:pict w14:anchorId="5FA7B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6" type="#_x0000_t75" style="position:absolute;left:0;text-align:left;margin-left:0;margin-top:0;width:222.75pt;height:315.75pt;z-index:251752448;mso-position-horizontal:center;mso-position-horizontal-relative:page;mso-position-vertical:center;mso-position-vertical-relative:page;mso-width-relative:page;mso-height-relative:page">
          <v:imagedata r:id="rId1" o:title=""/>
          <o:lock v:ext="edit" aspectratio="f"/>
          <w10:wrap anchorx="page" anchory="page"/>
        </v:shape>
      </w:pict>
    </w:r>
  </w:p>
  <w:p w14:paraId="38217900" w14:textId="77777777" w:rsidR="006D49EC" w:rsidRDefault="00000000">
    <w:r>
      <w:pict w14:anchorId="40AA34F6">
        <v:shape id="_x0000_s4156" type="#_x0000_t75" style="position:absolute;left:0;text-align:left;margin-left:0;margin-top:0;width:222.75pt;height:315.75pt;z-index:251724800;mso-position-horizontal:center;mso-position-horizontal-relative:page;mso-position-vertical:center;mso-position-vertical-relative:page;mso-width-relative:page;mso-height-relative:page">
          <v:imagedata r:id="rId1" o:title=""/>
          <o:lock v:ext="edit" aspectratio="f"/>
          <w10:wrap anchorx="page" anchory="page"/>
        </v:shape>
      </w:pict>
    </w:r>
  </w:p>
  <w:p w14:paraId="772BD2A8" w14:textId="77777777" w:rsidR="006D49EC" w:rsidRDefault="00000000">
    <w:r>
      <w:pict w14:anchorId="5CBE9C41">
        <v:shape id="_x0000_s3155" type="#_x0000_t75" style="position:absolute;left:0;text-align:left;margin-left:0;margin-top:0;width:222.75pt;height:315.75pt;z-index:251695104;mso-position-horizontal:center;mso-position-horizontal-relative:page;mso-position-vertical:center;mso-position-vertical-relative:page">
          <v:imagedata r:id="rId1" o:title=""/>
          <o:lock v:ext="edit" aspectratio="f"/>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C72F" w14:textId="77777777" w:rsidR="006D49EC" w:rsidRDefault="006D49EC"/>
  <w:p w14:paraId="1B0C1804" w14:textId="77777777" w:rsidR="006D49EC" w:rsidRDefault="006D49EC"/>
  <w:p w14:paraId="3A01FEEF" w14:textId="0693211D" w:rsidR="006D49EC" w:rsidRDefault="006D49EC"/>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CEB8" w14:textId="77777777" w:rsidR="006D49EC" w:rsidRDefault="00000000">
    <w:r>
      <w:pict w14:anchorId="3D775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5" type="#_x0000_t75" style="position:absolute;left:0;text-align:left;margin-left:0;margin-top:0;width:222.75pt;height:315.75pt;z-index:251751424;mso-position-horizontal:center;mso-position-horizontal-relative:page;mso-position-vertical:center;mso-position-vertical-relative:page;mso-width-relative:page;mso-height-relative:page">
          <v:imagedata r:id="rId1" o:title=""/>
          <o:lock v:ext="edit" aspectratio="f"/>
          <w10:wrap anchorx="page" anchory="page"/>
        </v:shape>
      </w:pict>
    </w:r>
  </w:p>
  <w:p w14:paraId="3E7D2756" w14:textId="77777777" w:rsidR="006D49EC" w:rsidRDefault="00000000">
    <w:r>
      <w:pict w14:anchorId="26030E7A">
        <v:shape id="_x0000_s4153" type="#_x0000_t75" style="position:absolute;left:0;text-align:left;margin-left:0;margin-top:0;width:222.75pt;height:315.75pt;z-index:251723776;mso-position-horizontal:center;mso-position-horizontal-relative:page;mso-position-vertical:center;mso-position-vertical-relative:page;mso-width-relative:page;mso-height-relative:page">
          <v:imagedata r:id="rId1" o:title=""/>
          <o:lock v:ext="edit" aspectratio="f"/>
          <w10:wrap anchorx="page" anchory="page"/>
        </v:shape>
      </w:pict>
    </w:r>
  </w:p>
  <w:p w14:paraId="625AD473" w14:textId="77777777" w:rsidR="006D49EC" w:rsidRDefault="00000000">
    <w:r>
      <w:pict w14:anchorId="5E4F1F22">
        <v:shape id="_x0000_s3151" type="#_x0000_t75" style="position:absolute;left:0;text-align:left;margin-left:0;margin-top:0;width:222.75pt;height:315.75pt;z-index:251693056;mso-position-horizontal:center;mso-position-horizontal-relative:page;mso-position-vertical:center;mso-position-vertical-relative:page">
          <v:imagedata r:id="rId1" o:title=""/>
          <o:lock v:ext="edit" aspectratio="f"/>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E702" w14:textId="77777777" w:rsidR="006D49EC" w:rsidRDefault="00000000">
    <w:r>
      <w:pict w14:anchorId="1C6A3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9" type="#_x0000_t75" style="position:absolute;left:0;text-align:left;margin-left:0;margin-top:0;width:222.75pt;height:315.75pt;z-index:251754496;mso-position-horizontal:center;mso-position-horizontal-relative:page;mso-position-vertical:center;mso-position-vertical-relative:page;mso-width-relative:page;mso-height-relative:page">
          <v:imagedata r:id="rId1" o:title=""/>
          <o:lock v:ext="edit" aspectratio="f"/>
          <w10:wrap anchorx="page" anchory="page"/>
        </v:shape>
      </w:pict>
    </w:r>
  </w:p>
  <w:p w14:paraId="2C7916E3" w14:textId="77777777" w:rsidR="006D49EC" w:rsidRDefault="00000000">
    <w:r>
      <w:pict w14:anchorId="3236C296">
        <v:shape id="_x0000_s4161" type="#_x0000_t75" style="position:absolute;left:0;text-align:left;margin-left:0;margin-top:0;width:222.75pt;height:315.75pt;z-index:251726848;mso-position-horizontal:center;mso-position-horizontal-relative:page;mso-position-vertical:center;mso-position-vertical-relative:page;mso-width-relative:page;mso-height-relative:page">
          <v:imagedata r:id="rId1" o:title=""/>
          <o:lock v:ext="edit" aspectratio="f"/>
          <w10:wrap anchorx="page" anchory="page"/>
        </v:shape>
      </w:pict>
    </w:r>
  </w:p>
  <w:p w14:paraId="3C6FD02B" w14:textId="77777777" w:rsidR="006D49EC" w:rsidRDefault="00000000">
    <w:r>
      <w:pict w14:anchorId="79D3B8AC">
        <v:shape id="_x0000_s3162" type="#_x0000_t75" style="position:absolute;left:0;text-align:left;margin-left:0;margin-top:0;width:222.75pt;height:315.75pt;z-index:251698176;mso-position-horizontal:center;mso-position-horizontal-relative:page;mso-position-vertical:center;mso-position-vertical-relative:page">
          <v:imagedata r:id="rId1" o:title=""/>
          <o:lock v:ext="edit" aspectratio="f"/>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57A3" w14:textId="77777777" w:rsidR="006D49EC" w:rsidRDefault="00000000">
    <w:r>
      <w:pict w14:anchorId="7963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8" type="#_x0000_t75" style="position:absolute;left:0;text-align:left;margin-left:0;margin-top:0;width:222.75pt;height:315.75pt;z-index:251753472;mso-position-horizontal:center;mso-position-horizontal-relative:page;mso-position-vertical:center;mso-position-vertical-relative:page;mso-width-relative:page;mso-height-relative:page">
          <v:imagedata r:id="rId1" o:title=""/>
          <o:lock v:ext="edit" aspectratio="f"/>
          <w10:wrap anchorx="page" anchory="page"/>
        </v:shape>
      </w:pict>
    </w:r>
  </w:p>
  <w:p w14:paraId="0CA0BE17" w14:textId="77777777" w:rsidR="006D49EC" w:rsidRDefault="00000000">
    <w:r>
      <w:pict w14:anchorId="036E0089">
        <v:shape id="_x0000_s4158" type="#_x0000_t75" style="position:absolute;left:0;text-align:left;margin-left:0;margin-top:0;width:222.75pt;height:315.75pt;z-index:251725824;mso-position-horizontal:center;mso-position-horizontal-relative:page;mso-position-vertical:center;mso-position-vertical-relative:page;mso-width-relative:page;mso-height-relative:page">
          <v:imagedata r:id="rId1" o:title=""/>
          <o:lock v:ext="edit" aspectratio="f"/>
          <w10:wrap anchorx="page" anchory="page"/>
        </v:shape>
      </w:pict>
    </w:r>
  </w:p>
  <w:p w14:paraId="0DA942D6" w14:textId="77777777" w:rsidR="006D49EC" w:rsidRDefault="00000000">
    <w:r>
      <w:pict w14:anchorId="2E173D58">
        <v:shape id="_x0000_s3158" type="#_x0000_t75" style="position:absolute;left:0;text-align:left;margin-left:0;margin-top:0;width:222.75pt;height:315.75pt;z-index:251696128;mso-position-horizontal:center;mso-position-horizontal-relative:page;mso-position-vertical:center;mso-position-vertical-relative:page">
          <v:imagedata r:id="rId1" o:title=""/>
          <o:lock v:ext="edit" aspectratio="f"/>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348D" w14:textId="77777777" w:rsidR="006D49EC" w:rsidRDefault="00000000">
    <w:r>
      <w:pict w14:anchorId="4C992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62" type="#_x0000_t75" style="position:absolute;left:0;text-align:left;margin-left:0;margin-top:0;width:222.75pt;height:315.75pt;z-index:251756544;mso-position-horizontal:center;mso-position-horizontal-relative:page;mso-position-vertical:center;mso-position-vertical-relative:page;mso-width-relative:page;mso-height-relative:page">
          <v:imagedata r:id="rId1" o:title=""/>
          <o:lock v:ext="edit" aspectratio="f"/>
          <w10:wrap anchorx="page" anchory="page"/>
        </v:shape>
      </w:pict>
    </w:r>
  </w:p>
  <w:p w14:paraId="55CCAD02" w14:textId="77777777" w:rsidR="006D49EC" w:rsidRDefault="00000000">
    <w:r>
      <w:pict w14:anchorId="2B842947">
        <v:shape id="_x0000_s4166" type="#_x0000_t75" style="position:absolute;left:0;text-align:left;margin-left:0;margin-top:0;width:222.75pt;height:315.75pt;z-index:251728896;mso-position-horizontal:center;mso-position-horizontal-relative:page;mso-position-vertical:center;mso-position-vertical-relative:page;mso-width-relative:page;mso-height-relative:page">
          <v:imagedata r:id="rId1" o:title=""/>
          <o:lock v:ext="edit" aspectratio="f"/>
          <w10:wrap anchorx="page" anchory="page"/>
        </v:shape>
      </w:pict>
    </w:r>
  </w:p>
  <w:p w14:paraId="281610E0" w14:textId="77777777" w:rsidR="006D49EC" w:rsidRDefault="00000000">
    <w:r>
      <w:pict w14:anchorId="08306183">
        <v:shape id="_x0000_s3169" type="#_x0000_t75" style="position:absolute;left:0;text-align:left;margin-left:0;margin-top:0;width:222.75pt;height:315.75pt;z-index:251701248;mso-position-horizontal:center;mso-position-horizontal-relative:page;mso-position-vertical:center;mso-position-vertical-relative:page">
          <v:imagedata r:id="rId1" o:title=""/>
          <o:lock v:ext="edit" aspectratio="f"/>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0CF78" w14:textId="77777777" w:rsidR="006D49EC" w:rsidRDefault="006D49EC"/>
  <w:p w14:paraId="38A3E046" w14:textId="77777777" w:rsidR="006D49EC" w:rsidRDefault="006D49EC"/>
  <w:p w14:paraId="01DFA152" w14:textId="170732EA" w:rsidR="006D49EC" w:rsidRDefault="006D49EC"/>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3116" w14:textId="77777777" w:rsidR="006D49EC" w:rsidRDefault="00000000">
    <w:r>
      <w:pict w14:anchorId="47616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61" type="#_x0000_t75" style="position:absolute;left:0;text-align:left;margin-left:0;margin-top:0;width:222.75pt;height:315.75pt;z-index:251755520;mso-position-horizontal:center;mso-position-horizontal-relative:page;mso-position-vertical:center;mso-position-vertical-relative:page;mso-width-relative:page;mso-height-relative:page">
          <v:imagedata r:id="rId1" o:title=""/>
          <o:lock v:ext="edit" aspectratio="f"/>
          <w10:wrap anchorx="page" anchory="page"/>
        </v:shape>
      </w:pict>
    </w:r>
  </w:p>
  <w:p w14:paraId="2A41039E" w14:textId="77777777" w:rsidR="006D49EC" w:rsidRDefault="00000000">
    <w:r>
      <w:pict w14:anchorId="7E3B05B8">
        <v:shape id="_x0000_s4163" type="#_x0000_t75" style="position:absolute;left:0;text-align:left;margin-left:0;margin-top:0;width:222.75pt;height:315.75pt;z-index:251727872;mso-position-horizontal:center;mso-position-horizontal-relative:page;mso-position-vertical:center;mso-position-vertical-relative:page;mso-width-relative:page;mso-height-relative:page">
          <v:imagedata r:id="rId1" o:title=""/>
          <o:lock v:ext="edit" aspectratio="f"/>
          <w10:wrap anchorx="page" anchory="page"/>
        </v:shape>
      </w:pict>
    </w:r>
  </w:p>
  <w:p w14:paraId="1B348A16" w14:textId="77777777" w:rsidR="006D49EC" w:rsidRDefault="00000000">
    <w:r>
      <w:pict w14:anchorId="3957646C">
        <v:shape id="_x0000_s3165" type="#_x0000_t75" style="position:absolute;left:0;text-align:left;margin-left:0;margin-top:0;width:222.75pt;height:315.75pt;z-index:251699200;mso-position-horizontal:center;mso-position-horizontal-relative:page;mso-position-vertical:center;mso-position-vertical-relative:page">
          <v:imagedata r:id="rId1" o:title=""/>
          <o:lock v:ext="edit" aspectratio="f"/>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A20CB" w14:textId="77777777" w:rsidR="006D49EC" w:rsidRDefault="00000000">
    <w:r>
      <w:pict w14:anchorId="16986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6" type="#_x0000_t75" style="position:absolute;left:0;text-align:left;margin-left:0;margin-top:0;width:222.75pt;height:315.75pt;z-index:251732992;mso-position-horizontal:center;mso-position-horizontal-relative:page;mso-position-vertical:center;mso-position-vertical-relative:page;mso-width-relative:page;mso-height-relative:page">
          <v:imagedata r:id="rId1" o:title=""/>
          <o:lock v:ext="edit" aspectratio="f"/>
          <w10:wrap anchorx="page" anchory="page"/>
        </v:shape>
      </w:pict>
    </w:r>
  </w:p>
  <w:p w14:paraId="5FC902BB" w14:textId="77777777" w:rsidR="006D49EC" w:rsidRDefault="00000000">
    <w:r>
      <w:pict w14:anchorId="6F37656F">
        <v:shape id="_x0000_s4107" type="#_x0000_t75" style="position:absolute;left:0;text-align:left;margin-left:0;margin-top:0;width:222.75pt;height:315.75pt;z-index:251705344;mso-position-horizontal:center;mso-position-horizontal-relative:page;mso-position-vertical:center;mso-position-vertical-relative:page;mso-width-relative:page;mso-height-relative:page">
          <v:imagedata r:id="rId1" o:title=""/>
          <o:lock v:ext="edit" aspectratio="f"/>
          <w10:wrap anchorx="page" anchory="page"/>
        </v:shape>
      </w:pict>
    </w:r>
  </w:p>
  <w:p w14:paraId="3D7AAADB" w14:textId="77777777" w:rsidR="006D49EC" w:rsidRDefault="00000000">
    <w:r>
      <w:pict w14:anchorId="3B3B455E">
        <v:shape id="_x0000_s3087" type="#_x0000_t75" style="position:absolute;left:0;text-align:left;margin-left:0;margin-top:0;width:222.75pt;height:315.75pt;z-index:251664384;mso-position-horizontal:center;mso-position-horizontal-relative:page;mso-position-vertical:center;mso-position-vertical-relative:page">
          <v:imagedata r:id="rId1" o:title=""/>
          <o:lock v:ext="edit" aspectratio="f"/>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CA29" w14:textId="05B93856" w:rsidR="001D0FF2" w:rsidRDefault="001D0FF2" w:rsidP="006C7027">
    <w:pPr>
      <w:pStyle w:val="af2"/>
      <w:jc w:val="both"/>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0FCD" w14:textId="77777777" w:rsidR="006D49EC" w:rsidRDefault="00000000">
    <w:r>
      <w:pict w14:anchorId="2ED65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5" type="#_x0000_t75" style="position:absolute;left:0;text-align:left;margin-left:0;margin-top:0;width:222.75pt;height:315.75pt;z-index:251731968;mso-position-horizontal:center;mso-position-horizontal-relative:page;mso-position-vertical:center;mso-position-vertical-relative:page;mso-width-relative:page;mso-height-relative:page">
          <v:imagedata r:id="rId1" o:title=""/>
          <o:lock v:ext="edit" aspectratio="f"/>
          <w10:wrap anchorx="page" anchory="page"/>
        </v:shape>
      </w:pict>
    </w:r>
  </w:p>
  <w:p w14:paraId="2D68E71E" w14:textId="77777777" w:rsidR="006D49EC" w:rsidRDefault="00000000">
    <w:r>
      <w:pict w14:anchorId="7111F2D8">
        <v:shape id="_x0000_s4104" type="#_x0000_t75" style="position:absolute;left:0;text-align:left;margin-left:0;margin-top:0;width:222.75pt;height:315.75pt;z-index:251704320;mso-position-horizontal:center;mso-position-horizontal-relative:page;mso-position-vertical:center;mso-position-vertical-relative:page;mso-width-relative:page;mso-height-relative:page">
          <v:imagedata r:id="rId1" o:title=""/>
          <o:lock v:ext="edit" aspectratio="f"/>
          <w10:wrap anchorx="page" anchory="page"/>
        </v:shape>
      </w:pict>
    </w:r>
  </w:p>
  <w:p w14:paraId="2C7733DB" w14:textId="77777777" w:rsidR="006D49EC" w:rsidRDefault="00000000">
    <w:r>
      <w:pict w14:anchorId="589E3051">
        <v:shape id="_x0000_s3083" type="#_x0000_t75" style="position:absolute;left:0;text-align:left;margin-left:0;margin-top:0;width:222.75pt;height:315.75pt;z-index:251662336;mso-position-horizontal:center;mso-position-horizontal-relative:page;mso-position-vertical:center;mso-position-vertical-relative:page">
          <v:imagedata r:id="rId1" o:title=""/>
          <o:lock v:ext="edit" aspectratio="f"/>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9473" w14:textId="77777777" w:rsidR="006D49EC" w:rsidRDefault="00000000">
    <w:r>
      <w:pict w14:anchorId="47B08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9" type="#_x0000_t75" style="position:absolute;left:0;text-align:left;margin-left:0;margin-top:0;width:222.75pt;height:315.75pt;z-index:251735040;mso-position-horizontal:center;mso-position-horizontal-relative:page;mso-position-vertical:center;mso-position-vertical-relative:page;mso-width-relative:page;mso-height-relative:page">
          <v:imagedata r:id="rId1" o:title=""/>
          <o:lock v:ext="edit" aspectratio="f"/>
          <w10:wrap anchorx="page" anchory="page"/>
        </v:shape>
      </w:pict>
    </w:r>
  </w:p>
  <w:p w14:paraId="5701CB61" w14:textId="77777777" w:rsidR="006D49EC" w:rsidRDefault="00000000">
    <w:r>
      <w:pict w14:anchorId="5AB7E932">
        <v:shape id="_x0000_s4112" type="#_x0000_t75" style="position:absolute;left:0;text-align:left;margin-left:0;margin-top:0;width:222.75pt;height:315.75pt;z-index:251707392;mso-position-horizontal:center;mso-position-horizontal-relative:page;mso-position-vertical:center;mso-position-vertical-relative:page;mso-width-relative:page;mso-height-relative:page">
          <v:imagedata r:id="rId1" o:title=""/>
          <o:lock v:ext="edit" aspectratio="f"/>
          <w10:wrap anchorx="page" anchory="page"/>
        </v:shape>
      </w:pict>
    </w:r>
  </w:p>
  <w:p w14:paraId="7AE42CA4" w14:textId="77777777" w:rsidR="006D49EC" w:rsidRDefault="00000000">
    <w:r>
      <w:pict w14:anchorId="5C7A08D7">
        <v:shape id="_x0000_s3094" type="#_x0000_t75" style="position:absolute;left:0;text-align:left;margin-left:0;margin-top:0;width:222.75pt;height:315.75pt;z-index:251667456;mso-position-horizontal:center;mso-position-horizontal-relative:page;mso-position-vertical:center;mso-position-vertical-relative:page">
          <v:imagedata r:id="rId1" o:title=""/>
          <o:lock v:ext="edit" aspectratio="f"/>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D4958" w14:textId="77777777" w:rsidR="006D49EC" w:rsidRDefault="00000000">
    <w:r>
      <w:pict w14:anchorId="599A4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8" type="#_x0000_t75" style="position:absolute;left:0;text-align:left;margin-left:0;margin-top:0;width:222.75pt;height:315.75pt;z-index:251734016;mso-position-horizontal:center;mso-position-horizontal-relative:page;mso-position-vertical:center;mso-position-vertical-relative:page;mso-width-relative:page;mso-height-relative:page">
          <v:imagedata r:id="rId1" o:title=""/>
          <o:lock v:ext="edit" aspectratio="f"/>
          <w10:wrap anchorx="page" anchory="page"/>
        </v:shape>
      </w:pict>
    </w:r>
  </w:p>
  <w:p w14:paraId="3333A61D" w14:textId="77777777" w:rsidR="006D49EC" w:rsidRDefault="00000000">
    <w:r>
      <w:pict w14:anchorId="0F2474A9">
        <v:shape id="_x0000_s4109" type="#_x0000_t75" style="position:absolute;left:0;text-align:left;margin-left:0;margin-top:0;width:222.75pt;height:315.75pt;z-index:251706368;mso-position-horizontal:center;mso-position-horizontal-relative:page;mso-position-vertical:center;mso-position-vertical-relative:page;mso-width-relative:page;mso-height-relative:page">
          <v:imagedata r:id="rId1" o:title=""/>
          <o:lock v:ext="edit" aspectratio="f"/>
          <w10:wrap anchorx="page" anchory="page"/>
        </v:shape>
      </w:pict>
    </w:r>
  </w:p>
  <w:p w14:paraId="5F7864CD" w14:textId="77777777" w:rsidR="006D49EC" w:rsidRDefault="00000000">
    <w:r>
      <w:pict w14:anchorId="049C2FD2">
        <v:shape id="_x0000_s3090" type="#_x0000_t75" style="position:absolute;left:0;text-align:left;margin-left:0;margin-top:0;width:222.75pt;height:315.75pt;z-index:251665408;mso-position-horizontal:center;mso-position-horizontal-relative:page;mso-position-vertical:center;mso-position-vertical-relative:page">
          <v:imagedata r:id="rId1" o:title=""/>
          <o:lock v:ext="edit" aspectratio="f"/>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007C" w14:textId="77777777" w:rsidR="006D49EC" w:rsidRDefault="00000000">
    <w:r>
      <w:pict w14:anchorId="76E33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2" type="#_x0000_t75" style="position:absolute;left:0;text-align:left;margin-left:0;margin-top:0;width:222.75pt;height:315.75pt;z-index:251737088;mso-position-horizontal:center;mso-position-horizontal-relative:page;mso-position-vertical:center;mso-position-vertical-relative:page;mso-width-relative:page;mso-height-relative:page">
          <v:imagedata r:id="rId1" o:title=""/>
          <o:lock v:ext="edit" aspectratio="f"/>
          <w10:wrap anchorx="page" anchory="page"/>
        </v:shape>
      </w:pict>
    </w:r>
  </w:p>
  <w:p w14:paraId="693F72DB" w14:textId="77777777" w:rsidR="006D49EC" w:rsidRDefault="00000000">
    <w:r>
      <w:pict w14:anchorId="05A125C0">
        <v:shape id="_x0000_s4117" type="#_x0000_t75" style="position:absolute;left:0;text-align:left;margin-left:0;margin-top:0;width:222.75pt;height:315.75pt;z-index:251709440;mso-position-horizontal:center;mso-position-horizontal-relative:page;mso-position-vertical:center;mso-position-vertical-relative:page;mso-width-relative:page;mso-height-relative:page">
          <v:imagedata r:id="rId1" o:title=""/>
          <o:lock v:ext="edit" aspectratio="f"/>
          <w10:wrap anchorx="page" anchory="page"/>
        </v:shape>
      </w:pict>
    </w:r>
  </w:p>
  <w:p w14:paraId="42262548" w14:textId="77777777" w:rsidR="006D49EC" w:rsidRDefault="00000000">
    <w:r>
      <w:pict w14:anchorId="1231F76B">
        <v:shape id="_x0000_s3101" type="#_x0000_t75" style="position:absolute;left:0;text-align:left;margin-left:0;margin-top:0;width:222.75pt;height:315.75pt;z-index:251670528;mso-position-horizontal:center;mso-position-horizontal-relative:page;mso-position-vertical:center;mso-position-vertical-relative:page">
          <v:imagedata r:id="rId1" o:title=""/>
          <o:lock v:ext="edit" aspectratio="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4"/>
      <w:numFmt w:val="chineseCounting"/>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singleLevel"/>
    <w:tmpl w:val="0000000D"/>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15615095"/>
    <w:multiLevelType w:val="multilevel"/>
    <w:tmpl w:val="1561509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9BE1F2A"/>
    <w:multiLevelType w:val="multilevel"/>
    <w:tmpl w:val="59BE1F2A"/>
    <w:lvl w:ilvl="0">
      <w:start w:val="1"/>
      <w:numFmt w:val="decimal"/>
      <w:lvlText w:val="%1、"/>
      <w:lvlJc w:val="left"/>
      <w:pPr>
        <w:ind w:left="375" w:hanging="360"/>
      </w:pPr>
      <w:rPr>
        <w:rFonts w:hint="default"/>
      </w:rPr>
    </w:lvl>
    <w:lvl w:ilvl="1">
      <w:start w:val="1"/>
      <w:numFmt w:val="lowerLetter"/>
      <w:lvlText w:val="%2)"/>
      <w:lvlJc w:val="left"/>
      <w:pPr>
        <w:ind w:left="855" w:hanging="420"/>
      </w:pPr>
    </w:lvl>
    <w:lvl w:ilvl="2">
      <w:start w:val="1"/>
      <w:numFmt w:val="lowerRoman"/>
      <w:lvlText w:val="%3."/>
      <w:lvlJc w:val="right"/>
      <w:pPr>
        <w:ind w:left="1275" w:hanging="420"/>
      </w:pPr>
    </w:lvl>
    <w:lvl w:ilvl="3">
      <w:start w:val="1"/>
      <w:numFmt w:val="decimal"/>
      <w:lvlText w:val="%4."/>
      <w:lvlJc w:val="left"/>
      <w:pPr>
        <w:ind w:left="1695" w:hanging="420"/>
      </w:pPr>
    </w:lvl>
    <w:lvl w:ilvl="4">
      <w:start w:val="1"/>
      <w:numFmt w:val="lowerLetter"/>
      <w:lvlText w:val="%5)"/>
      <w:lvlJc w:val="left"/>
      <w:pPr>
        <w:ind w:left="2115" w:hanging="420"/>
      </w:pPr>
    </w:lvl>
    <w:lvl w:ilvl="5">
      <w:start w:val="1"/>
      <w:numFmt w:val="lowerRoman"/>
      <w:lvlText w:val="%6."/>
      <w:lvlJc w:val="right"/>
      <w:pPr>
        <w:ind w:left="2535" w:hanging="420"/>
      </w:pPr>
    </w:lvl>
    <w:lvl w:ilvl="6">
      <w:start w:val="1"/>
      <w:numFmt w:val="decimal"/>
      <w:lvlText w:val="%7."/>
      <w:lvlJc w:val="left"/>
      <w:pPr>
        <w:ind w:left="2955" w:hanging="420"/>
      </w:pPr>
    </w:lvl>
    <w:lvl w:ilvl="7">
      <w:start w:val="1"/>
      <w:numFmt w:val="lowerLetter"/>
      <w:lvlText w:val="%8)"/>
      <w:lvlJc w:val="left"/>
      <w:pPr>
        <w:ind w:left="3375" w:hanging="420"/>
      </w:pPr>
    </w:lvl>
    <w:lvl w:ilvl="8">
      <w:start w:val="1"/>
      <w:numFmt w:val="lowerRoman"/>
      <w:lvlText w:val="%9."/>
      <w:lvlJc w:val="right"/>
      <w:pPr>
        <w:ind w:left="3795" w:hanging="420"/>
      </w:pPr>
    </w:lvl>
  </w:abstractNum>
  <w:num w:numId="1" w16cid:durableId="638998307">
    <w:abstractNumId w:val="0"/>
  </w:num>
  <w:num w:numId="2" w16cid:durableId="1265963777">
    <w:abstractNumId w:val="1"/>
  </w:num>
  <w:num w:numId="3" w16cid:durableId="42675990">
    <w:abstractNumId w:val="3"/>
  </w:num>
  <w:num w:numId="4" w16cid:durableId="990209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63"/>
    <o:shapelayout v:ext="edit">
      <o:idmap v:ext="edit" data="1,3,4,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Y2ODUzNGVlMWY5MTdmYzk4NTgyYTQzMDZkYWUyOTUifQ=="/>
  </w:docVars>
  <w:rsids>
    <w:rsidRoot w:val="005E308D"/>
    <w:rsid w:val="00063C6E"/>
    <w:rsid w:val="00077FC1"/>
    <w:rsid w:val="000933A4"/>
    <w:rsid w:val="00121862"/>
    <w:rsid w:val="001D0FF2"/>
    <w:rsid w:val="00211709"/>
    <w:rsid w:val="0027238B"/>
    <w:rsid w:val="0029086D"/>
    <w:rsid w:val="002B3090"/>
    <w:rsid w:val="002B3A6C"/>
    <w:rsid w:val="00307E47"/>
    <w:rsid w:val="003318E1"/>
    <w:rsid w:val="00343DF0"/>
    <w:rsid w:val="0039617B"/>
    <w:rsid w:val="003E3430"/>
    <w:rsid w:val="00413DEE"/>
    <w:rsid w:val="004D7FF0"/>
    <w:rsid w:val="00525390"/>
    <w:rsid w:val="00595CED"/>
    <w:rsid w:val="005C629B"/>
    <w:rsid w:val="005E308D"/>
    <w:rsid w:val="00653908"/>
    <w:rsid w:val="00686A68"/>
    <w:rsid w:val="0069717A"/>
    <w:rsid w:val="006C7027"/>
    <w:rsid w:val="006D49EC"/>
    <w:rsid w:val="0072117B"/>
    <w:rsid w:val="00780E47"/>
    <w:rsid w:val="007D3A5C"/>
    <w:rsid w:val="007E0729"/>
    <w:rsid w:val="008C7F60"/>
    <w:rsid w:val="00945B44"/>
    <w:rsid w:val="009B12DF"/>
    <w:rsid w:val="009C7CC8"/>
    <w:rsid w:val="009E01A4"/>
    <w:rsid w:val="00A97B5D"/>
    <w:rsid w:val="00AD0A8F"/>
    <w:rsid w:val="00C13425"/>
    <w:rsid w:val="00C14796"/>
    <w:rsid w:val="00C700DF"/>
    <w:rsid w:val="00CA5820"/>
    <w:rsid w:val="00CA7952"/>
    <w:rsid w:val="00CB264F"/>
    <w:rsid w:val="00D16AAB"/>
    <w:rsid w:val="00D5398B"/>
    <w:rsid w:val="00D66902"/>
    <w:rsid w:val="00DE3CB8"/>
    <w:rsid w:val="00E016A1"/>
    <w:rsid w:val="00E06875"/>
    <w:rsid w:val="00E74622"/>
    <w:rsid w:val="00E842E2"/>
    <w:rsid w:val="00F1033E"/>
    <w:rsid w:val="00F34E80"/>
    <w:rsid w:val="00F500C7"/>
    <w:rsid w:val="00F53543"/>
    <w:rsid w:val="00F81700"/>
    <w:rsid w:val="00FF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63"/>
    <o:shapelayout v:ext="edit">
      <o:idmap v:ext="edit" data="2"/>
    </o:shapelayout>
  </w:shapeDefaults>
  <w:decimalSymbol w:val="."/>
  <w:listSeparator w:val=","/>
  <w14:docId w14:val="516D20D9"/>
  <w15:docId w15:val="{B6602C51-DB36-4CA1-B933-C8B7EF20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0"/>
    <w:semiHidden/>
    <w:unhideWhenUsed/>
    <w:qFormat/>
    <w:pPr>
      <w:keepNext/>
      <w:keepLines/>
      <w:numPr>
        <w:numId w:val="1"/>
      </w:numPr>
      <w:spacing w:before="260" w:after="260" w:line="412" w:lineRule="auto"/>
      <w:outlineLvl w:val="1"/>
    </w:pPr>
    <w:rPr>
      <w:rFonts w:ascii="Arial" w:eastAsia="黑体" w:hAnsi="Arial" w:cs="Times New Roman"/>
      <w:b/>
      <w:sz w:val="32"/>
      <w:szCs w:val="20"/>
    </w:rPr>
  </w:style>
  <w:style w:type="paragraph" w:styleId="3">
    <w:name w:val="heading 3"/>
    <w:basedOn w:val="a"/>
    <w:next w:val="a"/>
    <w:link w:val="30"/>
    <w:semiHidden/>
    <w:unhideWhenUsed/>
    <w:qFormat/>
    <w:pPr>
      <w:keepNext/>
      <w:keepLines/>
      <w:spacing w:before="260" w:after="260" w:line="412" w:lineRule="auto"/>
      <w:outlineLvl w:val="2"/>
    </w:pPr>
    <w:rPr>
      <w:rFonts w:ascii="Times New Roman"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Chars="200" w:firstLine="420"/>
    </w:pPr>
    <w:rPr>
      <w:rFonts w:ascii="Times New Roman" w:eastAsia="宋体" w:hAnsi="Times New Roman" w:cs="Times New Roman"/>
      <w:szCs w:val="20"/>
    </w:rPr>
  </w:style>
  <w:style w:type="paragraph" w:styleId="a4">
    <w:name w:val="Document Map"/>
    <w:basedOn w:val="a"/>
    <w:link w:val="a5"/>
    <w:autoRedefine/>
    <w:semiHidden/>
    <w:unhideWhenUsed/>
    <w:qFormat/>
    <w:pPr>
      <w:shd w:val="clear" w:color="auto" w:fill="000080"/>
    </w:pPr>
    <w:rPr>
      <w:rFonts w:ascii="Times New Roman" w:eastAsia="宋体" w:hAnsi="Times New Roman" w:cs="Times New Roman"/>
      <w:szCs w:val="20"/>
    </w:rPr>
  </w:style>
  <w:style w:type="paragraph" w:styleId="a6">
    <w:name w:val="annotation text"/>
    <w:basedOn w:val="a"/>
    <w:link w:val="a7"/>
    <w:unhideWhenUsed/>
    <w:qFormat/>
    <w:pPr>
      <w:jc w:val="left"/>
    </w:pPr>
    <w:rPr>
      <w:rFonts w:ascii="Times New Roman" w:eastAsia="宋体" w:hAnsi="Times New Roman" w:cs="Times New Roman"/>
      <w:szCs w:val="20"/>
    </w:rPr>
  </w:style>
  <w:style w:type="paragraph" w:styleId="a8">
    <w:name w:val="Body Text"/>
    <w:basedOn w:val="a"/>
    <w:link w:val="a9"/>
    <w:semiHidden/>
    <w:unhideWhenUsed/>
    <w:qFormat/>
    <w:pPr>
      <w:autoSpaceDE w:val="0"/>
      <w:autoSpaceDN w:val="0"/>
      <w:adjustRightInd w:val="0"/>
      <w:spacing w:line="360" w:lineRule="auto"/>
      <w:jc w:val="left"/>
    </w:pPr>
    <w:rPr>
      <w:rFonts w:ascii="宋体" w:eastAsia="宋体" w:hAnsi="Calibri" w:cs="Times New Roman"/>
      <w:kern w:val="0"/>
    </w:rPr>
  </w:style>
  <w:style w:type="paragraph" w:styleId="aa">
    <w:name w:val="Body Text Indent"/>
    <w:basedOn w:val="a"/>
    <w:link w:val="ab"/>
    <w:autoRedefine/>
    <w:uiPriority w:val="99"/>
    <w:semiHidden/>
    <w:unhideWhenUsed/>
    <w:qFormat/>
    <w:pPr>
      <w:spacing w:after="120"/>
      <w:ind w:leftChars="200" w:left="420"/>
    </w:pPr>
  </w:style>
  <w:style w:type="paragraph" w:styleId="TOC3">
    <w:name w:val="toc 3"/>
    <w:basedOn w:val="a"/>
    <w:next w:val="a"/>
    <w:autoRedefine/>
    <w:semiHidden/>
    <w:unhideWhenUsed/>
    <w:qFormat/>
    <w:pPr>
      <w:ind w:leftChars="400" w:left="840"/>
    </w:pPr>
    <w:rPr>
      <w:rFonts w:ascii="Times New Roman" w:eastAsia="宋体" w:hAnsi="Times New Roman" w:cs="Times New Roman"/>
      <w:szCs w:val="20"/>
    </w:rPr>
  </w:style>
  <w:style w:type="paragraph" w:styleId="ac">
    <w:name w:val="Plain Text"/>
    <w:basedOn w:val="a"/>
    <w:link w:val="ad"/>
    <w:semiHidden/>
    <w:unhideWhenUsed/>
    <w:qFormat/>
    <w:pPr>
      <w:adjustRightInd w:val="0"/>
      <w:spacing w:line="312" w:lineRule="atLeast"/>
    </w:pPr>
    <w:rPr>
      <w:rFonts w:ascii="宋体" w:eastAsia="宋体" w:hAnsi="Courier New" w:cs="Times New Roman"/>
      <w:kern w:val="0"/>
      <w:szCs w:val="20"/>
    </w:rPr>
  </w:style>
  <w:style w:type="paragraph" w:styleId="21">
    <w:name w:val="Body Text Indent 2"/>
    <w:basedOn w:val="a"/>
    <w:link w:val="22"/>
    <w:semiHidden/>
    <w:unhideWhenUsed/>
    <w:qFormat/>
    <w:pPr>
      <w:spacing w:line="360" w:lineRule="auto"/>
      <w:ind w:firstLine="425"/>
    </w:pPr>
    <w:rPr>
      <w:rFonts w:ascii="仿宋_GB2312" w:eastAsia="仿宋_GB2312" w:hAnsi="Times New Roman" w:cs="Times New Roman"/>
      <w:sz w:val="28"/>
      <w:szCs w:val="20"/>
    </w:rPr>
  </w:style>
  <w:style w:type="paragraph" w:styleId="ae">
    <w:name w:val="Balloon Text"/>
    <w:basedOn w:val="a"/>
    <w:link w:val="af"/>
    <w:semiHidden/>
    <w:unhideWhenUsed/>
    <w:qFormat/>
    <w:rPr>
      <w:rFonts w:ascii="Times New Roman" w:eastAsia="宋体" w:hAnsi="Times New Roman" w:cs="Times New Roman"/>
      <w:sz w:val="18"/>
      <w:szCs w:val="20"/>
    </w:rPr>
  </w:style>
  <w:style w:type="paragraph" w:styleId="af0">
    <w:name w:val="footer"/>
    <w:basedOn w:val="a"/>
    <w:link w:val="af1"/>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f2">
    <w:name w:val="header"/>
    <w:basedOn w:val="a"/>
    <w:link w:val="af3"/>
    <w:autoRedefine/>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eastAsia="宋体" w:hAnsi="Times New Roman" w:cs="Times New Roman"/>
      <w:szCs w:val="20"/>
    </w:rPr>
  </w:style>
  <w:style w:type="paragraph" w:styleId="af4">
    <w:name w:val="footnote text"/>
    <w:basedOn w:val="a"/>
    <w:link w:val="af5"/>
    <w:autoRedefine/>
    <w:semiHidden/>
    <w:unhideWhenUsed/>
    <w:qFormat/>
    <w:pPr>
      <w:snapToGrid w:val="0"/>
      <w:jc w:val="left"/>
    </w:pPr>
    <w:rPr>
      <w:rFonts w:ascii="Times New Roman" w:eastAsia="宋体" w:hAnsi="Times New Roman" w:cs="Times New Roman"/>
      <w:sz w:val="18"/>
      <w:szCs w:val="20"/>
    </w:rPr>
  </w:style>
  <w:style w:type="paragraph" w:styleId="31">
    <w:name w:val="Body Text Indent 3"/>
    <w:basedOn w:val="a"/>
    <w:link w:val="32"/>
    <w:semiHidden/>
    <w:unhideWhenUsed/>
    <w:qFormat/>
    <w:pPr>
      <w:autoSpaceDE w:val="0"/>
      <w:autoSpaceDN w:val="0"/>
      <w:adjustRightInd w:val="0"/>
      <w:spacing w:line="360" w:lineRule="auto"/>
      <w:ind w:left="420" w:firstLine="435"/>
    </w:pPr>
    <w:rPr>
      <w:rFonts w:ascii="Times New Roman" w:eastAsia="宋体" w:hAnsi="Times New Roman" w:cs="Times New Roman"/>
      <w:color w:val="0000FF"/>
      <w:szCs w:val="20"/>
    </w:rPr>
  </w:style>
  <w:style w:type="paragraph" w:styleId="af6">
    <w:name w:val="Title"/>
    <w:basedOn w:val="a"/>
    <w:next w:val="a"/>
    <w:link w:val="af7"/>
    <w:qFormat/>
    <w:pPr>
      <w:spacing w:before="240" w:after="60"/>
      <w:jc w:val="center"/>
      <w:outlineLvl w:val="0"/>
    </w:pPr>
    <w:rPr>
      <w:rFonts w:ascii="Cambria" w:eastAsia="宋体" w:hAnsi="Cambria" w:cs="Times New Roman"/>
      <w:b/>
      <w:sz w:val="32"/>
    </w:rPr>
  </w:style>
  <w:style w:type="paragraph" w:styleId="af8">
    <w:name w:val="annotation subject"/>
    <w:basedOn w:val="a6"/>
    <w:next w:val="a6"/>
    <w:link w:val="af9"/>
    <w:semiHidden/>
    <w:unhideWhenUsed/>
    <w:qFormat/>
    <w:rPr>
      <w:b/>
    </w:rPr>
  </w:style>
  <w:style w:type="table" w:styleId="afa">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FollowedHyperlink"/>
    <w:basedOn w:val="a0"/>
    <w:uiPriority w:val="99"/>
    <w:semiHidden/>
    <w:unhideWhenUsed/>
    <w:qFormat/>
    <w:rPr>
      <w:color w:val="800080" w:themeColor="followedHyperlink"/>
      <w:u w:val="single"/>
    </w:rPr>
  </w:style>
  <w:style w:type="character" w:styleId="afc">
    <w:name w:val="Hyperlink"/>
    <w:uiPriority w:val="99"/>
    <w:unhideWhenUsed/>
    <w:qFormat/>
    <w:rPr>
      <w:color w:val="0000FF"/>
      <w:u w:val="single"/>
    </w:rPr>
  </w:style>
  <w:style w:type="character" w:styleId="afd">
    <w:name w:val="annotation reference"/>
    <w:uiPriority w:val="99"/>
    <w:unhideWhenUsed/>
    <w:qFormat/>
    <w:rPr>
      <w:sz w:val="21"/>
    </w:rPr>
  </w:style>
  <w:style w:type="character" w:styleId="afe">
    <w:name w:val="footnote reference"/>
    <w:semiHidden/>
    <w:unhideWhenUsed/>
    <w:qFormat/>
    <w:rPr>
      <w:vertAlign w:val="superscript"/>
    </w:rPr>
  </w:style>
  <w:style w:type="character" w:customStyle="1" w:styleId="10">
    <w:name w:val="标题 1 字符"/>
    <w:basedOn w:val="a0"/>
    <w:link w:val="1"/>
    <w:uiPriority w:val="9"/>
    <w:qFormat/>
    <w:rPr>
      <w:rFonts w:ascii="宋体" w:eastAsia="宋体" w:hAnsi="Times New Roman" w:cs="Times New Roman"/>
      <w:b/>
      <w:color w:val="000000"/>
      <w:kern w:val="0"/>
      <w:sz w:val="24"/>
      <w:szCs w:val="20"/>
    </w:rPr>
  </w:style>
  <w:style w:type="character" w:customStyle="1" w:styleId="20">
    <w:name w:val="标题 2 字符"/>
    <w:basedOn w:val="a0"/>
    <w:link w:val="2"/>
    <w:semiHidden/>
    <w:qFormat/>
    <w:rPr>
      <w:rFonts w:ascii="Arial" w:eastAsia="黑体" w:hAnsi="Arial" w:cs="Times New Roman"/>
      <w:b/>
      <w:sz w:val="32"/>
      <w:szCs w:val="20"/>
    </w:rPr>
  </w:style>
  <w:style w:type="character" w:customStyle="1" w:styleId="30">
    <w:name w:val="标题 3 字符"/>
    <w:basedOn w:val="a0"/>
    <w:link w:val="3"/>
    <w:semiHidden/>
    <w:qFormat/>
    <w:rPr>
      <w:rFonts w:ascii="Times New Roman" w:eastAsia="宋体" w:hAnsi="Times New Roman" w:cs="Times New Roman"/>
      <w:b/>
      <w:kern w:val="0"/>
      <w:sz w:val="32"/>
      <w:szCs w:val="20"/>
    </w:rPr>
  </w:style>
  <w:style w:type="character" w:customStyle="1" w:styleId="af5">
    <w:name w:val="脚注文本 字符"/>
    <w:basedOn w:val="a0"/>
    <w:link w:val="af4"/>
    <w:semiHidden/>
    <w:qFormat/>
    <w:rPr>
      <w:rFonts w:ascii="Times New Roman" w:eastAsia="宋体" w:hAnsi="Times New Roman" w:cs="Times New Roman"/>
      <w:sz w:val="18"/>
      <w:szCs w:val="20"/>
    </w:rPr>
  </w:style>
  <w:style w:type="character" w:customStyle="1" w:styleId="Char">
    <w:name w:val="批注文字 Char"/>
    <w:basedOn w:val="a0"/>
    <w:qFormat/>
  </w:style>
  <w:style w:type="character" w:customStyle="1" w:styleId="af3">
    <w:name w:val="页眉 字符"/>
    <w:basedOn w:val="a0"/>
    <w:link w:val="af2"/>
    <w:uiPriority w:val="99"/>
    <w:qFormat/>
    <w:rPr>
      <w:rFonts w:ascii="Times New Roman" w:eastAsia="宋体" w:hAnsi="Times New Roman" w:cs="Times New Roman"/>
      <w:sz w:val="18"/>
      <w:szCs w:val="18"/>
    </w:rPr>
  </w:style>
  <w:style w:type="character" w:customStyle="1" w:styleId="af1">
    <w:name w:val="页脚 字符"/>
    <w:basedOn w:val="a0"/>
    <w:link w:val="af0"/>
    <w:uiPriority w:val="99"/>
    <w:qFormat/>
    <w:rPr>
      <w:rFonts w:ascii="Times New Roman" w:eastAsia="宋体" w:hAnsi="Times New Roman" w:cs="Times New Roman"/>
      <w:sz w:val="18"/>
      <w:szCs w:val="18"/>
    </w:rPr>
  </w:style>
  <w:style w:type="character" w:customStyle="1" w:styleId="af7">
    <w:name w:val="标题 字符"/>
    <w:basedOn w:val="a0"/>
    <w:link w:val="af6"/>
    <w:qFormat/>
    <w:rPr>
      <w:rFonts w:ascii="Cambria" w:eastAsia="宋体" w:hAnsi="Cambria" w:cs="Times New Roman"/>
      <w:b/>
      <w:sz w:val="32"/>
    </w:rPr>
  </w:style>
  <w:style w:type="character" w:customStyle="1" w:styleId="a9">
    <w:name w:val="正文文本 字符"/>
    <w:basedOn w:val="a0"/>
    <w:link w:val="a8"/>
    <w:autoRedefine/>
    <w:semiHidden/>
    <w:qFormat/>
    <w:rPr>
      <w:rFonts w:ascii="宋体" w:eastAsia="宋体" w:hAnsi="Calibri" w:cs="Times New Roman"/>
      <w:kern w:val="0"/>
    </w:rPr>
  </w:style>
  <w:style w:type="character" w:customStyle="1" w:styleId="22">
    <w:name w:val="正文文本缩进 2 字符"/>
    <w:basedOn w:val="a0"/>
    <w:link w:val="21"/>
    <w:autoRedefine/>
    <w:semiHidden/>
    <w:qFormat/>
    <w:rPr>
      <w:rFonts w:ascii="仿宋_GB2312" w:eastAsia="仿宋_GB2312" w:hAnsi="Times New Roman" w:cs="Times New Roman"/>
      <w:sz w:val="28"/>
      <w:szCs w:val="20"/>
    </w:rPr>
  </w:style>
  <w:style w:type="character" w:customStyle="1" w:styleId="32">
    <w:name w:val="正文文本缩进 3 字符"/>
    <w:basedOn w:val="a0"/>
    <w:link w:val="31"/>
    <w:autoRedefine/>
    <w:semiHidden/>
    <w:qFormat/>
    <w:rPr>
      <w:rFonts w:ascii="Times New Roman" w:eastAsia="宋体" w:hAnsi="Times New Roman" w:cs="Times New Roman"/>
      <w:color w:val="0000FF"/>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d">
    <w:name w:val="纯文本 字符"/>
    <w:basedOn w:val="a0"/>
    <w:link w:val="ac"/>
    <w:semiHidden/>
    <w:qFormat/>
    <w:rPr>
      <w:rFonts w:ascii="宋体" w:eastAsia="宋体" w:hAnsi="Courier New" w:cs="Times New Roman"/>
      <w:kern w:val="0"/>
      <w:szCs w:val="20"/>
    </w:rPr>
  </w:style>
  <w:style w:type="character" w:customStyle="1" w:styleId="af9">
    <w:name w:val="批注主题 字符"/>
    <w:basedOn w:val="Char"/>
    <w:link w:val="af8"/>
    <w:semiHidden/>
    <w:qFormat/>
    <w:rPr>
      <w:rFonts w:ascii="Times New Roman" w:eastAsia="宋体" w:hAnsi="Times New Roman" w:cs="Times New Roman"/>
      <w:b/>
      <w:szCs w:val="20"/>
    </w:rPr>
  </w:style>
  <w:style w:type="character" w:customStyle="1" w:styleId="af">
    <w:name w:val="批注框文本 字符"/>
    <w:basedOn w:val="a0"/>
    <w:link w:val="ae"/>
    <w:semiHidden/>
    <w:qFormat/>
    <w:rPr>
      <w:rFonts w:ascii="Times New Roman" w:eastAsia="宋体" w:hAnsi="Times New Roman" w:cs="Times New Roman"/>
      <w:sz w:val="18"/>
      <w:szCs w:val="20"/>
    </w:rPr>
  </w:style>
  <w:style w:type="paragraph" w:customStyle="1" w:styleId="11">
    <w:name w:val="修订1"/>
    <w:semiHidden/>
    <w:qFormat/>
    <w:rPr>
      <w:kern w:val="2"/>
      <w:sz w:val="21"/>
    </w:rPr>
  </w:style>
  <w:style w:type="paragraph" w:customStyle="1" w:styleId="Listbullet">
    <w:name w:val="List_bullet"/>
    <w:basedOn w:val="a"/>
    <w:qFormat/>
    <w:pPr>
      <w:widowControl/>
      <w:numPr>
        <w:numId w:val="2"/>
      </w:numPr>
      <w:jc w:val="left"/>
    </w:pPr>
    <w:rPr>
      <w:rFonts w:ascii="Times New Roman" w:eastAsia="宋体" w:hAnsi="Times New Roman" w:cs="Times New Roman"/>
      <w:kern w:val="0"/>
      <w:sz w:val="24"/>
      <w:szCs w:val="20"/>
    </w:rPr>
  </w:style>
  <w:style w:type="paragraph" w:customStyle="1" w:styleId="CharCharChar">
    <w:name w:val="Char Char Char"/>
    <w:basedOn w:val="a"/>
    <w:qFormat/>
    <w:rPr>
      <w:rFonts w:ascii="Times New Roman" w:eastAsia="宋体" w:hAnsi="Times New Roman" w:cs="Times New Roman"/>
      <w:szCs w:val="20"/>
    </w:rPr>
  </w:style>
  <w:style w:type="paragraph" w:customStyle="1" w:styleId="aff">
    <w:name w:val="正文所"/>
    <w:basedOn w:val="a"/>
    <w:autoRedefine/>
    <w:qFormat/>
    <w:pPr>
      <w:spacing w:line="360" w:lineRule="auto"/>
      <w:ind w:firstLineChars="200" w:firstLine="420"/>
    </w:pPr>
    <w:rPr>
      <w:rFonts w:ascii="宋体" w:eastAsia="宋体" w:hAnsi="Times New Roman" w:cs="Times New Roman"/>
      <w:szCs w:val="20"/>
    </w:rPr>
  </w:style>
  <w:style w:type="paragraph" w:customStyle="1" w:styleId="CharCharCharChar">
    <w:name w:val="Char Char Char Char"/>
    <w:basedOn w:val="a"/>
    <w:qFormat/>
    <w:pPr>
      <w:tabs>
        <w:tab w:val="left" w:pos="360"/>
      </w:tabs>
    </w:pPr>
    <w:rPr>
      <w:rFonts w:ascii="Times New Roman" w:eastAsia="宋体" w:hAnsi="Times New Roman" w:cs="Times New Roman"/>
      <w:szCs w:val="20"/>
    </w:rPr>
  </w:style>
  <w:style w:type="paragraph" w:customStyle="1" w:styleId="Char0">
    <w:name w:val="Char"/>
    <w:basedOn w:val="a"/>
    <w:qFormat/>
    <w:rPr>
      <w:rFonts w:ascii="Times New Roman" w:eastAsia="宋体" w:hAnsi="Times New Roman" w:cs="Times New Roman"/>
      <w:szCs w:val="20"/>
    </w:rPr>
  </w:style>
  <w:style w:type="paragraph" w:customStyle="1" w:styleId="unnamed1">
    <w:name w:val="unnamed1"/>
    <w:basedOn w:val="a"/>
    <w:qFormat/>
    <w:pPr>
      <w:spacing w:before="60" w:after="60"/>
      <w:ind w:left="15" w:right="15"/>
    </w:pPr>
    <w:rPr>
      <w:rFonts w:ascii="宋体" w:eastAsia="宋体" w:hAnsi="宋体" w:cs="Times New Roman"/>
      <w:color w:val="000000"/>
      <w:sz w:val="18"/>
      <w:szCs w:val="18"/>
    </w:rPr>
  </w:style>
  <w:style w:type="paragraph" w:customStyle="1" w:styleId="Style6">
    <w:name w:val="_Style 6"/>
    <w:basedOn w:val="a"/>
    <w:next w:val="a"/>
    <w:autoRedefine/>
    <w:qFormat/>
    <w:pPr>
      <w:adjustRightInd w:val="0"/>
      <w:snapToGrid w:val="0"/>
      <w:ind w:firstLineChars="200" w:firstLine="480"/>
    </w:pPr>
    <w:rPr>
      <w:rFonts w:ascii="仿宋_GB2312" w:eastAsia="仿宋_GB2312" w:hAnsi="宋体" w:cs="Times New Roman"/>
      <w:color w:val="000000"/>
      <w:sz w:val="24"/>
      <w:szCs w:val="20"/>
    </w:rPr>
  </w:style>
  <w:style w:type="paragraph" w:customStyle="1" w:styleId="InfoBlue">
    <w:name w:val="InfoBlue"/>
    <w:basedOn w:val="a"/>
    <w:next w:val="a8"/>
    <w:qFormat/>
    <w:pPr>
      <w:tabs>
        <w:tab w:val="left" w:pos="420"/>
      </w:tabs>
      <w:spacing w:after="120" w:line="240" w:lineRule="atLeast"/>
      <w:ind w:left="420" w:hanging="420"/>
      <w:jc w:val="left"/>
    </w:pPr>
    <w:rPr>
      <w:rFonts w:ascii="宋体" w:eastAsia="宋体" w:hAnsi="宋体" w:cs="Times New Roman"/>
      <w:szCs w:val="20"/>
    </w:rPr>
  </w:style>
  <w:style w:type="paragraph" w:customStyle="1" w:styleId="msonormal1">
    <w:name w:val="msonormal1"/>
    <w:qFormat/>
    <w:pPr>
      <w:widowControl w:val="0"/>
      <w:jc w:val="both"/>
    </w:pPr>
    <w:rPr>
      <w:kern w:val="2"/>
      <w:sz w:val="21"/>
    </w:rPr>
  </w:style>
  <w:style w:type="paragraph" w:customStyle="1" w:styleId="CharChar">
    <w:name w:val="Char Char"/>
    <w:basedOn w:val="a"/>
    <w:qFormat/>
    <w:rPr>
      <w:rFonts w:ascii="Times New Roman" w:eastAsia="宋体" w:hAnsi="Times New Roman" w:cs="Times New Roman"/>
      <w:szCs w:val="20"/>
    </w:rPr>
  </w:style>
  <w:style w:type="paragraph" w:customStyle="1" w:styleId="CharChar1">
    <w:name w:val="Char Char1"/>
    <w:basedOn w:val="a"/>
    <w:qFormat/>
    <w:rPr>
      <w:rFonts w:ascii="Times New Roman" w:eastAsia="宋体" w:hAnsi="Times New Roman" w:cs="Times New Roman"/>
      <w:szCs w:val="20"/>
    </w:rPr>
  </w:style>
  <w:style w:type="paragraph" w:customStyle="1" w:styleId="aff0">
    <w:name w:val="正文正文"/>
    <w:basedOn w:val="a"/>
    <w:qFormat/>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1">
    <w:name w:val="页眉 Char1"/>
    <w:qFormat/>
    <w:rPr>
      <w:rFonts w:ascii="Times New Roman" w:eastAsia="宋体" w:hAnsi="Times New Roman" w:cs="Times New Roman" w:hint="default"/>
      <w:sz w:val="18"/>
      <w:szCs w:val="1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10">
    <w:name w:val="正文文本 Char1"/>
    <w:qFormat/>
    <w:rPr>
      <w:rFonts w:ascii="Times New Roman" w:eastAsia="宋体" w:hAnsi="Times New Roman" w:cs="Times New Roman" w:hint="default"/>
      <w:szCs w:val="20"/>
    </w:rPr>
  </w:style>
  <w:style w:type="character" w:customStyle="1" w:styleId="Char11">
    <w:name w:val="标题 Char1"/>
    <w:qFormat/>
    <w:rPr>
      <w:rFonts w:ascii="Cambria" w:eastAsia="宋体" w:hAnsi="Cambria" w:cs="Times New Roman" w:hint="default"/>
      <w:b/>
      <w:bCs/>
      <w:sz w:val="32"/>
      <w:szCs w:val="32"/>
    </w:rPr>
  </w:style>
  <w:style w:type="character" w:customStyle="1" w:styleId="Char2">
    <w:name w:val="正文文本 Char2"/>
    <w:basedOn w:val="a0"/>
    <w:uiPriority w:val="99"/>
    <w:semiHidden/>
    <w:qFormat/>
    <w:rPr>
      <w:rFonts w:ascii="Times New Roman" w:eastAsia="宋体" w:hAnsi="Times New Roman" w:cs="Times New Roman" w:hint="default"/>
      <w:szCs w:val="20"/>
    </w:rPr>
  </w:style>
  <w:style w:type="character" w:customStyle="1" w:styleId="2Char1">
    <w:name w:val="正文文本缩进 2 Char1"/>
    <w:basedOn w:val="a0"/>
    <w:uiPriority w:val="99"/>
    <w:semiHidden/>
    <w:qFormat/>
    <w:rPr>
      <w:rFonts w:ascii="Times New Roman" w:eastAsia="宋体" w:hAnsi="Times New Roman" w:cs="Times New Roman" w:hint="default"/>
      <w:szCs w:val="20"/>
    </w:rPr>
  </w:style>
  <w:style w:type="character" w:customStyle="1" w:styleId="a7">
    <w:name w:val="批注文字 字符"/>
    <w:basedOn w:val="a0"/>
    <w:link w:val="a6"/>
    <w:qFormat/>
    <w:locked/>
    <w:rPr>
      <w:rFonts w:ascii="Times New Roman" w:eastAsia="宋体" w:hAnsi="Times New Roman" w:cs="Times New Roman"/>
      <w:szCs w:val="20"/>
    </w:rPr>
  </w:style>
  <w:style w:type="character" w:customStyle="1" w:styleId="Char12">
    <w:name w:val="批注主题 Char1"/>
    <w:basedOn w:val="a7"/>
    <w:uiPriority w:val="99"/>
    <w:semiHidden/>
    <w:qFormat/>
    <w:rPr>
      <w:rFonts w:ascii="Times New Roman" w:eastAsia="宋体" w:hAnsi="Times New Roman" w:cs="Times New Roman"/>
      <w:b/>
      <w:bCs/>
      <w:szCs w:val="20"/>
    </w:rPr>
  </w:style>
  <w:style w:type="character" w:customStyle="1" w:styleId="3Char1">
    <w:name w:val="正文文本缩进 3 Char1"/>
    <w:basedOn w:val="a0"/>
    <w:uiPriority w:val="99"/>
    <w:semiHidden/>
    <w:qFormat/>
    <w:rPr>
      <w:rFonts w:ascii="Times New Roman" w:eastAsia="宋体" w:hAnsi="Times New Roman" w:cs="Times New Roman" w:hint="default"/>
      <w:sz w:val="16"/>
      <w:szCs w:val="16"/>
    </w:rPr>
  </w:style>
  <w:style w:type="character" w:customStyle="1" w:styleId="Char13">
    <w:name w:val="纯文本 Char1"/>
    <w:basedOn w:val="a0"/>
    <w:uiPriority w:val="99"/>
    <w:semiHidden/>
    <w:qFormat/>
    <w:rPr>
      <w:rFonts w:ascii="宋体" w:eastAsia="宋体" w:hAnsi="Courier New" w:cs="Courier New" w:hint="eastAsia"/>
      <w:szCs w:val="21"/>
    </w:rPr>
  </w:style>
  <w:style w:type="character" w:customStyle="1" w:styleId="Char20">
    <w:name w:val="标题 Char2"/>
    <w:basedOn w:val="a0"/>
    <w:uiPriority w:val="10"/>
    <w:qFormat/>
    <w:rPr>
      <w:rFonts w:ascii="Cambria" w:eastAsia="宋体" w:hAnsi="Cambria" w:cs="Times New Roman" w:hint="default"/>
      <w:b/>
      <w:bCs/>
      <w:sz w:val="32"/>
      <w:szCs w:val="32"/>
    </w:rPr>
  </w:style>
  <w:style w:type="character" w:customStyle="1" w:styleId="Char14">
    <w:name w:val="文档结构图 Char1"/>
    <w:basedOn w:val="a0"/>
    <w:uiPriority w:val="99"/>
    <w:semiHidden/>
    <w:qFormat/>
    <w:rPr>
      <w:rFonts w:ascii="宋体" w:eastAsia="宋体" w:hAnsi="Times New Roman" w:cs="Times New Roman" w:hint="eastAsia"/>
      <w:sz w:val="18"/>
      <w:szCs w:val="18"/>
    </w:rPr>
  </w:style>
  <w:style w:type="character" w:customStyle="1" w:styleId="Char15">
    <w:name w:val="批注框文本 Char1"/>
    <w:basedOn w:val="a0"/>
    <w:uiPriority w:val="99"/>
    <w:semiHidden/>
    <w:qFormat/>
    <w:rPr>
      <w:rFonts w:ascii="Times New Roman" w:eastAsia="宋体" w:hAnsi="Times New Roman" w:cs="Times New Roman" w:hint="default"/>
      <w:sz w:val="18"/>
      <w:szCs w:val="18"/>
    </w:rPr>
  </w:style>
  <w:style w:type="character" w:customStyle="1" w:styleId="Char16">
    <w:name w:val="脚注文本 Char1"/>
    <w:basedOn w:val="a0"/>
    <w:uiPriority w:val="99"/>
    <w:semiHidden/>
    <w:qFormat/>
    <w:rPr>
      <w:rFonts w:ascii="Times New Roman" w:eastAsia="宋体" w:hAnsi="Times New Roman" w:cs="Times New Roman" w:hint="default"/>
      <w:sz w:val="18"/>
      <w:szCs w:val="18"/>
    </w:rPr>
  </w:style>
  <w:style w:type="character" w:customStyle="1" w:styleId="txtcontent11">
    <w:name w:val="txtcontent11"/>
    <w:qFormat/>
    <w:rPr>
      <w:rFonts w:ascii="ˎ̥" w:hAnsi="ˎ̥" w:hint="default"/>
      <w:color w:val="000000"/>
      <w:sz w:val="21"/>
      <w:szCs w:val="21"/>
    </w:rPr>
  </w:style>
  <w:style w:type="paragraph" w:styleId="aff1">
    <w:name w:val="List Paragraph"/>
    <w:basedOn w:val="a"/>
    <w:uiPriority w:val="34"/>
    <w:qFormat/>
    <w:pPr>
      <w:ind w:firstLineChars="200" w:firstLine="420"/>
    </w:p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fontstyle01">
    <w:name w:val="fontstyle01"/>
    <w:qFormat/>
    <w:rPr>
      <w:rFonts w:ascii="宋体" w:eastAsia="宋体" w:hAnsi="宋体" w:hint="eastAsia"/>
      <w:color w:val="000000"/>
      <w:sz w:val="24"/>
      <w:szCs w:val="24"/>
    </w:rPr>
  </w:style>
  <w:style w:type="character" w:customStyle="1" w:styleId="ab">
    <w:name w:val="正文文本缩进 字符"/>
    <w:basedOn w:val="a0"/>
    <w:link w:val="aa"/>
    <w:uiPriority w:val="99"/>
    <w:semiHidden/>
    <w:qFormat/>
  </w:style>
  <w:style w:type="paragraph" w:customStyle="1" w:styleId="zhangjiep">
    <w:name w:val="zhangjie_p"/>
    <w:basedOn w:val="a"/>
    <w:qFormat/>
    <w:pPr>
      <w:widowControl/>
      <w:autoSpaceDE w:val="0"/>
      <w:autoSpaceDN w:val="0"/>
      <w:adjustRightInd w:val="0"/>
      <w:spacing w:before="30" w:line="288" w:lineRule="auto"/>
      <w:ind w:left="15"/>
      <w:jc w:val="left"/>
      <w:outlineLvl w:val="1"/>
    </w:pPr>
    <w:rPr>
      <w:rFonts w:ascii="宋体" w:eastAsia="宋体" w:hAnsi="宋体" w:cs="宋体"/>
      <w:kern w:val="0"/>
      <w:sz w:val="24"/>
      <w:szCs w:val="24"/>
    </w:rPr>
  </w:style>
  <w:style w:type="paragraph" w:customStyle="1" w:styleId="zhangjiep2">
    <w:name w:val="zhangjie_p2"/>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left">
    <w:name w:val="biaoge_left"/>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qFormat/>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biaogeright">
    <w:name w:val="biaoge_right"/>
    <w:basedOn w:val="a"/>
    <w:qFormat/>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neirong">
    <w:name w:val="neirong"/>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23">
    <w:name w:val="修订2"/>
    <w:hidden/>
    <w:uiPriority w:val="99"/>
    <w:semiHidden/>
    <w:qFormat/>
    <w:rPr>
      <w:rFonts w:asciiTheme="minorHAnsi" w:eastAsiaTheme="minorEastAsia" w:hAnsiTheme="minorHAnsi" w:cstheme="minorBidi"/>
      <w:kern w:val="2"/>
      <w:sz w:val="21"/>
      <w:szCs w:val="22"/>
    </w:rPr>
  </w:style>
  <w:style w:type="paragraph" w:customStyle="1" w:styleId="33">
    <w:name w:val="修订3"/>
    <w:hidden/>
    <w:uiPriority w:val="99"/>
    <w:unhideWhenUsed/>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aff2">
    <w:name w:val="合同正文"/>
    <w:basedOn w:val="a"/>
    <w:qFormat/>
    <w:pPr>
      <w:spacing w:line="360" w:lineRule="auto"/>
      <w:ind w:firstLineChars="200" w:firstLine="200"/>
    </w:pPr>
    <w:rPr>
      <w:bCs/>
      <w:sz w:val="24"/>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paragraph" w:customStyle="1" w:styleId="6">
    <w:name w:val="修订6"/>
    <w:hidden/>
    <w:uiPriority w:val="99"/>
    <w:unhideWhenUsed/>
    <w:rPr>
      <w:rFonts w:asciiTheme="minorHAnsi" w:eastAsiaTheme="minorEastAsia" w:hAnsiTheme="minorHAnsi" w:cstheme="minorBidi"/>
      <w:kern w:val="2"/>
      <w:sz w:val="21"/>
      <w:szCs w:val="22"/>
    </w:rPr>
  </w:style>
  <w:style w:type="paragraph" w:customStyle="1" w:styleId="7">
    <w:name w:val="修订7"/>
    <w:hidden/>
    <w:uiPriority w:val="99"/>
    <w:unhideWhenUsed/>
    <w:rPr>
      <w:rFonts w:asciiTheme="minorHAnsi" w:eastAsiaTheme="minorEastAsia" w:hAnsiTheme="minorHAnsi" w:cstheme="minorBidi"/>
      <w:kern w:val="2"/>
      <w:sz w:val="21"/>
      <w:szCs w:val="22"/>
    </w:rPr>
  </w:style>
  <w:style w:type="character" w:customStyle="1" w:styleId="12">
    <w:name w:val="未处理的提及1"/>
    <w:basedOn w:val="a0"/>
    <w:uiPriority w:val="99"/>
    <w:semiHidden/>
    <w:unhideWhenUsed/>
    <w:rPr>
      <w:color w:val="605E5C"/>
      <w:shd w:val="clear" w:color="auto" w:fill="E1DFDD"/>
    </w:rPr>
  </w:style>
  <w:style w:type="table" w:customStyle="1" w:styleId="13">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Revision"/>
    <w:hidden/>
    <w:uiPriority w:val="99"/>
    <w:unhideWhenUsed/>
    <w:rsid w:val="00686A6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footer" Target="footer4.xml"/><Relationship Id="rId42" Type="http://schemas.openxmlformats.org/officeDocument/2006/relationships/header" Target="header16.xml"/><Relationship Id="rId47" Type="http://schemas.openxmlformats.org/officeDocument/2006/relationships/header" Target="header20.xml"/><Relationship Id="rId63" Type="http://schemas.openxmlformats.org/officeDocument/2006/relationships/header" Target="header29.xml"/><Relationship Id="rId68" Type="http://schemas.openxmlformats.org/officeDocument/2006/relationships/header" Target="header33.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yperlink" Target="http://www.zlfund.cn" TargetMode="External"/><Relationship Id="rId37" Type="http://schemas.openxmlformats.org/officeDocument/2006/relationships/hyperlink" Target="http://www.taixincf.com" TargetMode="External"/><Relationship Id="rId40" Type="http://schemas.openxmlformats.org/officeDocument/2006/relationships/hyperlink" Target="http://www.txfund.com" TargetMode="External"/><Relationship Id="rId45" Type="http://schemas.openxmlformats.org/officeDocument/2006/relationships/header" Target="header18.xml"/><Relationship Id="rId53" Type="http://schemas.openxmlformats.org/officeDocument/2006/relationships/header" Target="header24.xml"/><Relationship Id="rId58" Type="http://schemas.openxmlformats.org/officeDocument/2006/relationships/header" Target="header26.xml"/><Relationship Id="rId66" Type="http://schemas.openxmlformats.org/officeDocument/2006/relationships/footer" Target="footer13.xm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28.xml"/><Relationship Id="rId19" Type="http://schemas.openxmlformats.org/officeDocument/2006/relationships/header" Target="header8.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yperlink" Target="http://www.jiyufund.com.cn/" TargetMode="External"/><Relationship Id="rId35" Type="http://schemas.openxmlformats.org/officeDocument/2006/relationships/hyperlink" Target="http://www.wacaijijin.com" TargetMode="External"/><Relationship Id="rId43" Type="http://schemas.openxmlformats.org/officeDocument/2006/relationships/header" Target="header17.xml"/><Relationship Id="rId48" Type="http://schemas.openxmlformats.org/officeDocument/2006/relationships/footer" Target="footer8.xml"/><Relationship Id="rId56" Type="http://schemas.openxmlformats.org/officeDocument/2006/relationships/header" Target="header25.xml"/><Relationship Id="rId64" Type="http://schemas.openxmlformats.org/officeDocument/2006/relationships/header" Target="header30.xml"/><Relationship Id="rId69"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header" Target="header23.xml"/><Relationship Id="rId72" Type="http://schemas.openxmlformats.org/officeDocument/2006/relationships/header" Target="header36.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yperlink" Target="http://www.jjmmw.com" TargetMode="External"/><Relationship Id="rId38" Type="http://schemas.openxmlformats.org/officeDocument/2006/relationships/hyperlink" Target="http://www.snjijin" TargetMode="External"/><Relationship Id="rId46" Type="http://schemas.openxmlformats.org/officeDocument/2006/relationships/header" Target="header19.xml"/><Relationship Id="rId59" Type="http://schemas.openxmlformats.org/officeDocument/2006/relationships/footer" Target="footer11.xml"/><Relationship Id="rId67" Type="http://schemas.openxmlformats.org/officeDocument/2006/relationships/header" Target="header32.xml"/><Relationship Id="rId20" Type="http://schemas.openxmlformats.org/officeDocument/2006/relationships/header" Target="header9.xml"/><Relationship Id="rId41" Type="http://schemas.openxmlformats.org/officeDocument/2006/relationships/hyperlink" Target="http://www.licaike.com" TargetMode="External"/><Relationship Id="rId54" Type="http://schemas.openxmlformats.org/officeDocument/2006/relationships/image" Target="media/image2.jpeg"/><Relationship Id="rId62" Type="http://schemas.openxmlformats.org/officeDocument/2006/relationships/footer" Target="footer12.xml"/><Relationship Id="rId70" Type="http://schemas.openxmlformats.org/officeDocument/2006/relationships/header" Target="header3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footer" Target="footer6.xml"/><Relationship Id="rId36" Type="http://schemas.openxmlformats.org/officeDocument/2006/relationships/hyperlink" Target="http://www.vstonewealth.com" TargetMode="External"/><Relationship Id="rId49" Type="http://schemas.openxmlformats.org/officeDocument/2006/relationships/header" Target="header21.xml"/><Relationship Id="rId57" Type="http://schemas.openxmlformats.org/officeDocument/2006/relationships/footer" Target="footer10.xml"/><Relationship Id="rId10" Type="http://schemas.openxmlformats.org/officeDocument/2006/relationships/header" Target="header2.xml"/><Relationship Id="rId31" Type="http://schemas.openxmlformats.org/officeDocument/2006/relationships/hyperlink" Target="http://www.5ifund.com" TargetMode="External"/><Relationship Id="rId44" Type="http://schemas.openxmlformats.org/officeDocument/2006/relationships/footer" Target="footer7.xml"/><Relationship Id="rId52" Type="http://schemas.openxmlformats.org/officeDocument/2006/relationships/footer" Target="footer9.xml"/><Relationship Id="rId60" Type="http://schemas.openxmlformats.org/officeDocument/2006/relationships/header" Target="header27.xml"/><Relationship Id="rId65" Type="http://schemas.openxmlformats.org/officeDocument/2006/relationships/header" Target="header31.xml"/><Relationship Id="rId73" Type="http://schemas.openxmlformats.org/officeDocument/2006/relationships/header" Target="header37.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yperlink" Target="http://www.puyifund.com" TargetMode="External"/><Relationship Id="rId34" Type="http://schemas.openxmlformats.org/officeDocument/2006/relationships/hyperlink" Target="http://danjuanapp.com/" TargetMode="External"/><Relationship Id="rId50" Type="http://schemas.openxmlformats.org/officeDocument/2006/relationships/header" Target="header22.xml"/><Relationship Id="rId55" Type="http://schemas.openxmlformats.org/officeDocument/2006/relationships/image" Target="media/image3.jpeg"/><Relationship Id="rId7" Type="http://schemas.openxmlformats.org/officeDocument/2006/relationships/footnotes" Target="footnotes.xml"/><Relationship Id="rId71" Type="http://schemas.openxmlformats.org/officeDocument/2006/relationships/header" Target="header3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8"/>
    <customShpInfo spid="_x0000_s3076"/>
    <customShpInfo spid="_x0000_s4099"/>
    <customShpInfo spid="_x0000_s3078"/>
    <customShpInfo spid="_x0000_s4097"/>
    <customShpInfo spid="_x0000_s4102"/>
    <customShpInfo spid="_x0000_s3083"/>
    <customShpInfo spid="_x0000_s4101"/>
    <customShpInfo spid="_x0000_s3080"/>
    <customShpInfo spid="_x0000_s4105"/>
    <customShpInfo spid="_x0000_s3088"/>
    <customShpInfo spid="_x0000_s4104"/>
    <customShpInfo spid="_x0000_s3085"/>
    <customShpInfo spid="_x0000_s4108"/>
    <customShpInfo spid="_x0000_s3093"/>
    <customShpInfo spid="_x0000_s4107"/>
    <customShpInfo spid="_x0000_s3090"/>
    <customShpInfo spid="_x0000_s4111"/>
    <customShpInfo spid="_x0000_s3098"/>
    <customShpInfo spid="_x0000_s4110"/>
    <customShpInfo spid="_x0000_s3095"/>
    <customShpInfo spid="_x0000_s4114"/>
    <customShpInfo spid="_x0000_s3103"/>
    <customShpInfo spid="_x0000_s4113"/>
    <customShpInfo spid="_x0000_s3100"/>
    <customShpInfo spid="_x0000_s4117"/>
    <customShpInfo spid="_x0000_s3108"/>
    <customShpInfo spid="_x0000_s4116"/>
    <customShpInfo spid="_x0000_s3105"/>
    <customShpInfo spid="_x0000_s4120"/>
    <customShpInfo spid="_x0000_s3113"/>
    <customShpInfo spid="_x0000_s4119"/>
    <customShpInfo spid="_x0000_s3110"/>
    <customShpInfo spid="_x0000_s4123"/>
    <customShpInfo spid="_x0000_s3118"/>
    <customShpInfo spid="_x0000_s4122"/>
    <customShpInfo spid="_x0000_s3115"/>
    <customShpInfo spid="_x0000_s4126"/>
    <customShpInfo spid="_x0000_s3122"/>
    <customShpInfo spid="_x0000_s4129"/>
    <customShpInfo spid="_x0000_s3127"/>
    <customShpInfo spid="_x0000_s4128"/>
    <customShpInfo spid="_x0000_s3124"/>
    <customShpInfo spid="_x0000_s4132"/>
    <customShpInfo spid="_x0000_s3132"/>
    <customShpInfo spid="_x0000_s4131"/>
    <customShpInfo spid="_x0000_s3129"/>
    <customShpInfo spid="_x0000_s4135"/>
    <customShpInfo spid="_x0000_s3137"/>
    <customShpInfo spid="_x0000_s4134"/>
    <customShpInfo spid="_x0000_s3134"/>
    <customShpInfo spid="_x0000_s4138"/>
    <customShpInfo spid="_x0000_s3142"/>
    <customShpInfo spid="_x0000_s4137"/>
    <customShpInfo spid="_x0000_s31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32D5D-D378-4DA5-B75F-F9EA6689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139</Pages>
  <Words>49944</Words>
  <Characters>52443</Characters>
  <Application>Microsoft Office Word</Application>
  <DocSecurity>0</DocSecurity>
  <Lines>2383</Lines>
  <Paragraphs>2437</Paragraphs>
  <ScaleCrop>false</ScaleCrop>
  <Company/>
  <LinksUpToDate>false</LinksUpToDate>
  <CharactersWithSpaces>99950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何一雷</dc:creator>
  <cp:lastModifiedBy>徐铮</cp:lastModifiedBy>
  <cp:revision>11</cp:revision>
  <cp:lastPrinted>2021-06-24T07:11:00Z</cp:lastPrinted>
  <dcterms:created xsi:type="dcterms:W3CDTF">2025-08-06T09:07:00Z</dcterms:created>
  <dcterms:modified xsi:type="dcterms:W3CDTF">2025-08-08T01:57:00Z</dcterms:modified>
  <cp:contentStatus>国泰君安证券股份有限公司*Re: [外部邮件慎点]富荣福银-富荣福耀更新后的法律文件*xiebaixuan@gtjas.com*liuzf@furamc.com.cn * * *2025-04-03 11:58:08;国泰君安证券股份有限公司*Re: 【财务数据核对无误】Re: [外部邮件慎点]【烦请复核】富荣福耀招募说明书及产品资料概要*zhangmuyao030033@gtjas.com*xuzheng@furamc.com.cn * *tgrxp@tg.gtja.com,zhangyue029422@gtjas.com *2024-11-18 17:56:21;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EFF66533051A47768AC04D6EC510769B_13</vt:lpwstr>
  </property>
  <property fmtid="{D5CDD505-2E9C-101B-9397-08002B2CF9AE}" pid="3" name="KSOProductBuildVer">
    <vt:lpwstr>2052-12.8.2.17134</vt:lpwstr>
  </property>
</Properties>
</file>