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C93B" w14:textId="77777777" w:rsidR="00363DC9" w:rsidRDefault="00000000">
      <w:pPr>
        <w:pStyle w:val="2"/>
        <w:tabs>
          <w:tab w:val="left" w:pos="4364"/>
          <w:tab w:val="right" w:pos="10204"/>
        </w:tabs>
        <w:jc w:val="center"/>
        <w:rPr>
          <w:rFonts w:ascii="思源黑体 CN Bold" w:eastAsia="思源黑体 CN Bold" w:hAnsi="思源黑体 CN Bold" w:cs="Times New Roman" w:hint="eastAsia"/>
          <w:b/>
          <w:color w:val="FA842D"/>
          <w:kern w:val="0"/>
          <w:sz w:val="24"/>
          <w:szCs w:val="18"/>
        </w:rPr>
      </w:pPr>
      <w:bookmarkStart w:id="0" w:name="_Hlk182226954"/>
      <w:r>
        <w:rPr>
          <w:rFonts w:ascii="思源黑体 CN Bold" w:eastAsia="思源黑体 CN Bold" w:hAnsi="思源黑体 CN Bold" w:cs="Times New Roman" w:hint="eastAsia"/>
          <w:b/>
          <w:color w:val="FA842D"/>
          <w:kern w:val="0"/>
          <w:sz w:val="24"/>
          <w:szCs w:val="18"/>
        </w:rPr>
        <w:t>富荣权益：稳中求进，聚焦公司业绩确定性</w:t>
      </w:r>
    </w:p>
    <w:p w14:paraId="164D98AE" w14:textId="77777777" w:rsidR="00363DC9"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一</w:t>
      </w:r>
      <w:r>
        <w:rPr>
          <w:rFonts w:ascii="思源黑体 CN Light" w:eastAsia="思源黑体 CN Light" w:hAnsi="思源黑体 CN Light" w:cs="Times New Roman"/>
          <w:b/>
          <w:bCs/>
          <w:sz w:val="22"/>
          <w:szCs w:val="24"/>
        </w:rPr>
        <w:t>、</w:t>
      </w:r>
      <w:r>
        <w:rPr>
          <w:rFonts w:ascii="思源黑体 CN Light" w:eastAsia="思源黑体 CN Light" w:hAnsi="思源黑体 CN Light" w:cs="Times New Roman" w:hint="eastAsia"/>
          <w:b/>
          <w:bCs/>
          <w:sz w:val="22"/>
          <w:szCs w:val="24"/>
        </w:rPr>
        <w:t>权益</w:t>
      </w:r>
      <w:proofErr w:type="gramStart"/>
      <w:r>
        <w:rPr>
          <w:rFonts w:ascii="思源黑体 CN Light" w:eastAsia="思源黑体 CN Light" w:hAnsi="思源黑体 CN Light" w:cs="Times New Roman"/>
          <w:b/>
          <w:bCs/>
          <w:sz w:val="22"/>
          <w:szCs w:val="24"/>
        </w:rPr>
        <w:t>市场</w:t>
      </w:r>
      <w:r>
        <w:rPr>
          <w:rFonts w:ascii="思源黑体 CN Light" w:eastAsia="思源黑体 CN Light" w:hAnsi="思源黑体 CN Light" w:cs="Times New Roman" w:hint="eastAsia"/>
          <w:b/>
          <w:bCs/>
          <w:sz w:val="22"/>
          <w:szCs w:val="24"/>
        </w:rPr>
        <w:t>周度表现</w:t>
      </w:r>
      <w:proofErr w:type="gramEnd"/>
    </w:p>
    <w:p w14:paraId="39E70030" w14:textId="77777777" w:rsidR="00363DC9"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上周（2025年8月4日至2025年8月8日，下同）权益市场普遍反弹，</w:t>
      </w:r>
      <w:r>
        <w:rPr>
          <w:rFonts w:ascii="思源黑体 CN Light" w:eastAsia="思源黑体 CN Light" w:hAnsi="思源黑体 CN Light" w:cs="Times New Roman"/>
          <w:color w:val="000000" w:themeColor="text1"/>
          <w:sz w:val="21"/>
          <w:szCs w:val="20"/>
        </w:rPr>
        <w:t>深证成指、上证指数、创业板指分别报收</w:t>
      </w:r>
      <w:r>
        <w:rPr>
          <w:rFonts w:ascii="思源黑体 CN Light" w:eastAsia="思源黑体 CN Light" w:hAnsi="思源黑体 CN Light" w:cs="Times New Roman" w:hint="eastAsia"/>
          <w:color w:val="000000" w:themeColor="text1"/>
          <w:sz w:val="21"/>
          <w:szCs w:val="20"/>
        </w:rPr>
        <w:t>11128.67</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3635.13</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2333.96</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。各主要指数涨跌表现如下：中证1000（+2.51%）、上证指数（+2.11%）、中证500（+1.78%）、创成长（+1.35%）、上证50（+1.27%）、深证成指（+1.25%）、沪深300（+1.23%）、</w:t>
      </w:r>
      <w:proofErr w:type="gramStart"/>
      <w:r>
        <w:rPr>
          <w:rFonts w:ascii="思源黑体 CN Light" w:eastAsia="思源黑体 CN Light" w:hAnsi="思源黑体 CN Light" w:cs="Times New Roman" w:hint="eastAsia"/>
          <w:color w:val="000000" w:themeColor="text1"/>
          <w:sz w:val="21"/>
          <w:szCs w:val="20"/>
        </w:rPr>
        <w:t>科创</w:t>
      </w:r>
      <w:proofErr w:type="gramEnd"/>
      <w:r>
        <w:rPr>
          <w:rFonts w:ascii="思源黑体 CN Light" w:eastAsia="思源黑体 CN Light" w:hAnsi="思源黑体 CN Light" w:cs="Times New Roman" w:hint="eastAsia"/>
          <w:color w:val="000000" w:themeColor="text1"/>
          <w:sz w:val="21"/>
          <w:szCs w:val="20"/>
        </w:rPr>
        <w:t>50（+0.65%）、创业板指（+0.49%）、创业板50（+0.47%）。</w:t>
      </w:r>
    </w:p>
    <w:p w14:paraId="6DFEF505" w14:textId="77777777" w:rsidR="00363DC9" w:rsidRDefault="00000000">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图：主要</w:t>
      </w:r>
      <w:proofErr w:type="gramStart"/>
      <w:r>
        <w:rPr>
          <w:rFonts w:ascii="思源黑体 CN Light" w:eastAsia="思源黑体 CN Light" w:hAnsi="思源黑体 CN Light" w:cs="Times New Roman"/>
          <w:b/>
          <w:sz w:val="21"/>
          <w:szCs w:val="20"/>
        </w:rPr>
        <w:t>股指</w:t>
      </w:r>
      <w:r>
        <w:rPr>
          <w:rFonts w:ascii="思源黑体 CN Light" w:eastAsia="思源黑体 CN Light" w:hAnsi="思源黑体 CN Light" w:cs="Times New Roman" w:hint="eastAsia"/>
          <w:b/>
          <w:sz w:val="21"/>
          <w:szCs w:val="20"/>
        </w:rPr>
        <w:t>周度</w:t>
      </w:r>
      <w:proofErr w:type="gramEnd"/>
      <w:r>
        <w:rPr>
          <w:rFonts w:ascii="思源黑体 CN Light" w:eastAsia="思源黑体 CN Light" w:hAnsi="思源黑体 CN Light" w:cs="Times New Roman" w:hint="eastAsia"/>
          <w:b/>
          <w:sz w:val="21"/>
          <w:szCs w:val="20"/>
        </w:rPr>
        <w:t>/月度</w:t>
      </w:r>
      <w:r>
        <w:rPr>
          <w:rFonts w:ascii="思源黑体 CN Light" w:eastAsia="思源黑体 CN Light" w:hAnsi="思源黑体 CN Light" w:cs="Times New Roman"/>
          <w:b/>
          <w:sz w:val="21"/>
          <w:szCs w:val="20"/>
        </w:rPr>
        <w:t>涨跌幅（单位：%）</w:t>
      </w:r>
      <w:r>
        <w:rPr>
          <w:rFonts w:ascii="思源黑体 CN Light" w:eastAsia="思源黑体 CN Light" w:hAnsi="思源黑体 CN Light" w:cs="Times New Roman"/>
          <w:b/>
          <w:noProof/>
          <w:sz w:val="21"/>
          <w:szCs w:val="20"/>
        </w:rPr>
        <w:drawing>
          <wp:inline distT="0" distB="0" distL="0" distR="0" wp14:anchorId="74C3EBCF" wp14:editId="1B3A4AB4">
            <wp:extent cx="6285865" cy="3216910"/>
            <wp:effectExtent l="0" t="0" r="635" b="2540"/>
            <wp:docPr id="56" name="图片 55"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图表, 条形图&#10;&#10;AI 生成的内容可能不正确。"/>
                    <pic:cNvPicPr>
                      <a:picLocks noChangeAspect="1"/>
                    </pic:cNvPicPr>
                  </pic:nvPicPr>
                  <pic:blipFill>
                    <a:blip r:embed="rId6"/>
                    <a:stretch>
                      <a:fillRect/>
                    </a:stretch>
                  </pic:blipFill>
                  <pic:spPr>
                    <a:xfrm>
                      <a:off x="0" y="0"/>
                      <a:ext cx="6286008" cy="3217483"/>
                    </a:xfrm>
                    <a:prstGeom prst="rect">
                      <a:avLst/>
                    </a:prstGeom>
                  </pic:spPr>
                </pic:pic>
              </a:graphicData>
            </a:graphic>
          </wp:inline>
        </w:drawing>
      </w:r>
    </w:p>
    <w:p w14:paraId="690ABADF" w14:textId="77777777" w:rsidR="00363DC9" w:rsidRDefault="00000000">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；周涨跌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区间：20250804-20250808；月涨跌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区间：20250801-20250808</w:t>
      </w:r>
    </w:p>
    <w:p w14:paraId="5BAFF92B" w14:textId="77777777" w:rsidR="00363DC9"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各行业普遍反弹，少数行业补跌。</w:t>
      </w:r>
      <w:proofErr w:type="gramStart"/>
      <w:r>
        <w:rPr>
          <w:rFonts w:ascii="思源黑体 CN Light" w:eastAsia="思源黑体 CN Light" w:hAnsi="思源黑体 CN Light" w:cs="Times New Roman" w:hint="eastAsia"/>
          <w:color w:val="000000" w:themeColor="text1"/>
          <w:sz w:val="21"/>
          <w:szCs w:val="20"/>
        </w:rPr>
        <w:t>申万一级行业</w:t>
      </w:r>
      <w:proofErr w:type="gramEnd"/>
      <w:r>
        <w:rPr>
          <w:rFonts w:ascii="思源黑体 CN Light" w:eastAsia="思源黑体 CN Light" w:hAnsi="思源黑体 CN Light" w:cs="Times New Roman" w:hint="eastAsia"/>
          <w:color w:val="000000" w:themeColor="text1"/>
          <w:sz w:val="21"/>
          <w:szCs w:val="20"/>
        </w:rPr>
        <w:t>指数中，国防军工（+5.93%）、有色金属（+5.78%）、机械设备（+5.37%）等行业上涨较为明显，商贸零售（-0.38%）、计算机（-0.41%）、医药生物（-0.84%）等行业补跌。</w:t>
      </w:r>
    </w:p>
    <w:p w14:paraId="08F6BFA4" w14:textId="77777777" w:rsidR="00363DC9" w:rsidRDefault="00000000">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w:t>
      </w:r>
      <w:proofErr w:type="gramStart"/>
      <w:r>
        <w:rPr>
          <w:rFonts w:ascii="思源黑体 CN Light" w:eastAsia="思源黑体 CN Light" w:hAnsi="思源黑体 CN Light" w:cs="Times New Roman"/>
          <w:b/>
          <w:sz w:val="21"/>
          <w:szCs w:val="20"/>
        </w:rPr>
        <w:t>申万一级行业周涨跌</w:t>
      </w:r>
      <w:proofErr w:type="gramEnd"/>
      <w:r>
        <w:rPr>
          <w:rFonts w:ascii="思源黑体 CN Light" w:eastAsia="思源黑体 CN Light" w:hAnsi="思源黑体 CN Light" w:cs="Times New Roman"/>
          <w:b/>
          <w:sz w:val="21"/>
          <w:szCs w:val="20"/>
        </w:rPr>
        <w:t>幅（单位：%）</w:t>
      </w:r>
      <w:r>
        <w:rPr>
          <w:rFonts w:ascii="思源黑体 CN Light" w:eastAsia="思源黑体 CN Light" w:hAnsi="思源黑体 CN Light" w:cs="Times New Roman"/>
          <w:b/>
          <w:noProof/>
          <w:sz w:val="21"/>
          <w:szCs w:val="20"/>
        </w:rPr>
        <w:lastRenderedPageBreak/>
        <w:drawing>
          <wp:inline distT="0" distB="0" distL="0" distR="0" wp14:anchorId="2650A173" wp14:editId="7E4E8C3E">
            <wp:extent cx="6499860" cy="3216910"/>
            <wp:effectExtent l="0" t="0" r="0" b="2540"/>
            <wp:docPr id="57" name="图片 56" descr="图片包含 直方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图片包含 直方图&#10;&#10;AI 生成的内容可能不正确。"/>
                    <pic:cNvPicPr>
                      <a:picLocks noChangeAspect="1"/>
                    </pic:cNvPicPr>
                  </pic:nvPicPr>
                  <pic:blipFill>
                    <a:blip r:embed="rId7"/>
                    <a:stretch>
                      <a:fillRect/>
                    </a:stretch>
                  </pic:blipFill>
                  <pic:spPr>
                    <a:xfrm>
                      <a:off x="0" y="0"/>
                      <a:ext cx="6501020" cy="3217484"/>
                    </a:xfrm>
                    <a:prstGeom prst="rect">
                      <a:avLst/>
                    </a:prstGeom>
                  </pic:spPr>
                </pic:pic>
              </a:graphicData>
            </a:graphic>
          </wp:inline>
        </w:drawing>
      </w:r>
    </w:p>
    <w:p w14:paraId="7D22A1F5" w14:textId="77777777" w:rsidR="00363DC9" w:rsidRDefault="00000000">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；统计区间：20250804-20250808</w:t>
      </w:r>
    </w:p>
    <w:p w14:paraId="34AC3ABA" w14:textId="77777777" w:rsidR="00363DC9" w:rsidRDefault="00363DC9">
      <w:pPr>
        <w:pStyle w:val="2"/>
        <w:tabs>
          <w:tab w:val="left" w:pos="4364"/>
          <w:tab w:val="right" w:pos="10204"/>
        </w:tabs>
        <w:rPr>
          <w:rFonts w:ascii="思源黑体 CN Light" w:eastAsia="思源黑体 CN Light" w:hAnsi="思源黑体 CN Light" w:cs="Times New Roman" w:hint="eastAsia"/>
          <w:color w:val="000000"/>
          <w:sz w:val="21"/>
          <w:szCs w:val="20"/>
          <w:shd w:val="clear" w:color="auto" w:fill="FFFFFF"/>
        </w:rPr>
      </w:pPr>
    </w:p>
    <w:p w14:paraId="4E55BBD3" w14:textId="77777777" w:rsidR="00363DC9"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二、国防军工行业点评与展望</w:t>
      </w:r>
    </w:p>
    <w:p w14:paraId="4A1367B7" w14:textId="77777777" w:rsidR="00363DC9"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bookmarkStart w:id="1" w:name="_Hlk140420797"/>
      <w:r>
        <w:rPr>
          <w:rFonts w:ascii="思源黑体 CN Light" w:eastAsia="思源黑体 CN Light" w:hAnsi="思源黑体 CN Light" w:cs="Times New Roman" w:hint="eastAsia"/>
          <w:color w:val="000000" w:themeColor="text1"/>
          <w:sz w:val="21"/>
          <w:szCs w:val="20"/>
        </w:rPr>
        <w:t>上周国防军</w:t>
      </w:r>
      <w:proofErr w:type="gramStart"/>
      <w:r>
        <w:rPr>
          <w:rFonts w:ascii="思源黑体 CN Light" w:eastAsia="思源黑体 CN Light" w:hAnsi="思源黑体 CN Light" w:cs="Times New Roman" w:hint="eastAsia"/>
          <w:color w:val="000000" w:themeColor="text1"/>
          <w:sz w:val="21"/>
          <w:szCs w:val="20"/>
        </w:rPr>
        <w:t>工申万一级</w:t>
      </w:r>
      <w:proofErr w:type="gramEnd"/>
      <w:r>
        <w:rPr>
          <w:rFonts w:ascii="思源黑体 CN Light" w:eastAsia="思源黑体 CN Light" w:hAnsi="思源黑体 CN Light" w:cs="Times New Roman" w:hint="eastAsia"/>
          <w:color w:val="000000" w:themeColor="text1"/>
          <w:sz w:val="21"/>
          <w:szCs w:val="20"/>
        </w:rPr>
        <w:t>指数上涨5.93%，跑赢同期沪深300指数4.70%，在所有行业中涨幅居前。</w:t>
      </w:r>
    </w:p>
    <w:p w14:paraId="657EBE0E" w14:textId="77777777" w:rsidR="00363DC9"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2025年6月24日国新办举行发布会宣布，2025年9月3日北京天安门广场将举行纪念中国人民抗日战争暨世界反法西斯战争胜利80周年大会，包括检阅部队。同时，今年阅兵在展示新一代传统武器装备的基础上，安排部分无人智能、水下作战、网电攻防、高超声速等新型作战力量参阅。新型作战力量的参阅，带来新技术、新国防装备需求的提前预期，进一步激发阅兵前军工板块高涨的热情。</w:t>
      </w:r>
    </w:p>
    <w:p w14:paraId="4A4E127A" w14:textId="77777777" w:rsidR="00363DC9"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进一步分析2015~2019年的四次阅兵行情发现，阅兵前1~2个月左右，军工板块通常会走出“独立超额行情”。以规模较为盛大的两次阅兵为例，2015年抗战胜利70周年阅兵（9月3日）前，中证军工指数在7~8月的最大涨幅达到47%；2019年国庆70周年阅兵（10月1日）前，中证军工指数在8~9月的最大涨幅有16%。（注：指数的过往业绩并不预示其未来表现，指数历史表现不代表基金产品表现）</w:t>
      </w:r>
    </w:p>
    <w:p w14:paraId="3027A1AC" w14:textId="77777777" w:rsidR="00363DC9"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展望后市，今年军工行业基本面边际变好显著，各类催化事件密集涌现，军贸领域成果频出，军工板块关注</w:t>
      </w:r>
      <w:r>
        <w:rPr>
          <w:rFonts w:ascii="思源黑体 CN Light" w:eastAsia="思源黑体 CN Light" w:hAnsi="思源黑体 CN Light" w:cs="Times New Roman" w:hint="eastAsia"/>
          <w:color w:val="000000" w:themeColor="text1"/>
          <w:sz w:val="21"/>
          <w:szCs w:val="20"/>
        </w:rPr>
        <w:lastRenderedPageBreak/>
        <w:t>度与情绪明显提升。从历史上看我们认为，阅兵前后军工各</w:t>
      </w:r>
      <w:proofErr w:type="gramStart"/>
      <w:r>
        <w:rPr>
          <w:rFonts w:ascii="思源黑体 CN Light" w:eastAsia="思源黑体 CN Light" w:hAnsi="思源黑体 CN Light" w:cs="Times New Roman" w:hint="eastAsia"/>
          <w:color w:val="000000" w:themeColor="text1"/>
          <w:sz w:val="21"/>
          <w:szCs w:val="20"/>
        </w:rPr>
        <w:t>子板块</w:t>
      </w:r>
      <w:proofErr w:type="gramEnd"/>
      <w:r>
        <w:rPr>
          <w:rFonts w:ascii="思源黑体 CN Light" w:eastAsia="思源黑体 CN Light" w:hAnsi="思源黑体 CN Light" w:cs="Times New Roman" w:hint="eastAsia"/>
          <w:color w:val="000000" w:themeColor="text1"/>
          <w:sz w:val="21"/>
          <w:szCs w:val="20"/>
        </w:rPr>
        <w:t>均较为活跃，当前8月正处于阅兵前的重要时间段，我们看好短期内军工板块的市场热度，以及大概率的相对行业超额。</w:t>
      </w:r>
    </w:p>
    <w:p w14:paraId="7B7204AB" w14:textId="77777777" w:rsidR="00363DC9" w:rsidRDefault="00363DC9">
      <w:pPr>
        <w:tabs>
          <w:tab w:val="left" w:pos="5594"/>
        </w:tabs>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1"/>
    <w:p w14:paraId="602A155F" w14:textId="77777777" w:rsidR="00363DC9"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b/>
          <w:bCs/>
          <w:sz w:val="22"/>
          <w:szCs w:val="24"/>
        </w:rPr>
        <w:t>三、本周展望</w:t>
      </w:r>
    </w:p>
    <w:p w14:paraId="4982C417" w14:textId="77777777" w:rsidR="00363DC9"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bookmarkStart w:id="2" w:name="OLE_LINK1"/>
      <w:r>
        <w:rPr>
          <w:rFonts w:ascii="思源黑体 CN Light" w:eastAsia="思源黑体 CN Light" w:hAnsi="思源黑体 CN Light" w:cs="Times New Roman" w:hint="eastAsia"/>
          <w:color w:val="000000"/>
          <w:sz w:val="21"/>
          <w:szCs w:val="20"/>
          <w:shd w:val="clear" w:color="auto" w:fill="FFFFFF"/>
        </w:rPr>
        <w:t>上周权益市场反包前一周的下跌，但成交额小幅下行，军工、机器人</w:t>
      </w:r>
      <w:proofErr w:type="gramStart"/>
      <w:r>
        <w:rPr>
          <w:rFonts w:ascii="思源黑体 CN Light" w:eastAsia="思源黑体 CN Light" w:hAnsi="思源黑体 CN Light" w:cs="Times New Roman" w:hint="eastAsia"/>
          <w:color w:val="000000"/>
          <w:sz w:val="21"/>
          <w:szCs w:val="20"/>
          <w:shd w:val="clear" w:color="auto" w:fill="FFFFFF"/>
        </w:rPr>
        <w:t>等成长</w:t>
      </w:r>
      <w:proofErr w:type="gramEnd"/>
      <w:r>
        <w:rPr>
          <w:rFonts w:ascii="思源黑体 CN Light" w:eastAsia="思源黑体 CN Light" w:hAnsi="思源黑体 CN Light" w:cs="Times New Roman" w:hint="eastAsia"/>
          <w:color w:val="000000"/>
          <w:sz w:val="21"/>
          <w:szCs w:val="20"/>
          <w:shd w:val="clear" w:color="auto" w:fill="FFFFFF"/>
        </w:rPr>
        <w:t>方向表现亮眼。市场呈现</w:t>
      </w:r>
      <w:proofErr w:type="gramStart"/>
      <w:r>
        <w:rPr>
          <w:rFonts w:ascii="思源黑体 CN Light" w:eastAsia="思源黑体 CN Light" w:hAnsi="思源黑体 CN Light" w:cs="Times New Roman" w:hint="eastAsia"/>
          <w:color w:val="000000"/>
          <w:sz w:val="21"/>
          <w:szCs w:val="20"/>
          <w:shd w:val="clear" w:color="auto" w:fill="FFFFFF"/>
        </w:rPr>
        <w:t>出板块</w:t>
      </w:r>
      <w:proofErr w:type="gramEnd"/>
      <w:r>
        <w:rPr>
          <w:rFonts w:ascii="思源黑体 CN Light" w:eastAsia="思源黑体 CN Light" w:hAnsi="思源黑体 CN Light" w:cs="Times New Roman" w:hint="eastAsia"/>
          <w:color w:val="000000"/>
          <w:sz w:val="21"/>
          <w:szCs w:val="20"/>
          <w:shd w:val="clear" w:color="auto" w:fill="FFFFFF"/>
        </w:rPr>
        <w:t>轮动的特征，前期市场共识度较高的北美算力、创新药等板块高位盘整，军工、人形机器人等产业则短期内接力上涨。</w:t>
      </w:r>
    </w:p>
    <w:p w14:paraId="38A97362" w14:textId="77777777" w:rsidR="00363DC9"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我们认为2024年9月至今的此轮行情，核心驱动因素是“政策托底+流动性宽松”。从目前的趋势看，我们认为市场仍处向上态势，</w:t>
      </w:r>
      <w:proofErr w:type="gramStart"/>
      <w:r>
        <w:rPr>
          <w:rFonts w:ascii="思源黑体 CN Light" w:eastAsia="思源黑体 CN Light" w:hAnsi="思源黑体 CN Light" w:cs="Times New Roman" w:hint="eastAsia"/>
          <w:color w:val="000000"/>
          <w:sz w:val="21"/>
          <w:szCs w:val="20"/>
          <w:shd w:val="clear" w:color="auto" w:fill="FFFFFF"/>
        </w:rPr>
        <w:t>后续仍</w:t>
      </w:r>
      <w:proofErr w:type="gramEnd"/>
      <w:r>
        <w:rPr>
          <w:rFonts w:ascii="思源黑体 CN Light" w:eastAsia="思源黑体 CN Light" w:hAnsi="思源黑体 CN Light" w:cs="Times New Roman" w:hint="eastAsia"/>
          <w:color w:val="000000"/>
          <w:sz w:val="21"/>
          <w:szCs w:val="20"/>
          <w:shd w:val="clear" w:color="auto" w:fill="FFFFFF"/>
        </w:rPr>
        <w:t>有“</w:t>
      </w:r>
      <w:proofErr w:type="gramStart"/>
      <w:r>
        <w:rPr>
          <w:rFonts w:ascii="思源黑体 CN Light" w:eastAsia="思源黑体 CN Light" w:hAnsi="思源黑体 CN Light" w:cs="Times New Roman" w:hint="eastAsia"/>
          <w:color w:val="000000"/>
          <w:sz w:val="21"/>
          <w:szCs w:val="20"/>
          <w:shd w:val="clear" w:color="auto" w:fill="FFFFFF"/>
        </w:rPr>
        <w:t>十五五</w:t>
      </w:r>
      <w:proofErr w:type="gramEnd"/>
      <w:r>
        <w:rPr>
          <w:rFonts w:ascii="思源黑体 CN Light" w:eastAsia="思源黑体 CN Light" w:hAnsi="思源黑体 CN Light" w:cs="Times New Roman" w:hint="eastAsia"/>
          <w:color w:val="000000"/>
          <w:sz w:val="21"/>
          <w:szCs w:val="20"/>
          <w:shd w:val="clear" w:color="auto" w:fill="FFFFFF"/>
        </w:rPr>
        <w:t>规划”、全球降息周期等可以期待。中期维度上我们仍然坚定看多。</w:t>
      </w:r>
    </w:p>
    <w:p w14:paraId="57BC45F3" w14:textId="77777777" w:rsidR="00363DC9"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但短期内指数接近前高，叠加8月中下旬将迎来上市公司半年报密集披露期，我们建议稳中求进。可在板块内部适度高低切换，聚焦业绩确定性高的公司。</w:t>
      </w:r>
    </w:p>
    <w:p w14:paraId="6CD462D3" w14:textId="77777777" w:rsidR="00363DC9" w:rsidRDefault="00363DC9">
      <w:pPr>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2"/>
    <w:p w14:paraId="2AE039E8" w14:textId="77777777" w:rsidR="00363DC9" w:rsidRDefault="00363DC9">
      <w:pPr>
        <w:rPr>
          <w:rFonts w:ascii="思源黑体 CN Light" w:eastAsia="思源黑体 CN Light" w:hAnsi="思源黑体 CN Light" w:cs="Times New Roman" w:hint="eastAsia"/>
          <w:color w:val="000000"/>
          <w:sz w:val="21"/>
          <w:szCs w:val="20"/>
          <w:shd w:val="clear" w:color="auto" w:fill="FFFFFF"/>
        </w:rPr>
      </w:pPr>
    </w:p>
    <w:p w14:paraId="771A397E" w14:textId="77777777" w:rsidR="00363DC9" w:rsidRDefault="00363DC9">
      <w:pPr>
        <w:pStyle w:val="af2"/>
        <w:ind w:firstLineChars="0" w:firstLine="0"/>
        <w:rPr>
          <w:rFonts w:ascii="思源黑体 CN Light" w:eastAsia="思源黑体 CN Light" w:hAnsi="思源黑体 CN Light" w:cs="Times New Roman" w:hint="eastAsia"/>
          <w:sz w:val="20"/>
          <w:szCs w:val="20"/>
        </w:rPr>
      </w:pPr>
    </w:p>
    <w:p w14:paraId="441C8A2A" w14:textId="77777777" w:rsidR="00363DC9" w:rsidRDefault="00000000">
      <w:pPr>
        <w:ind w:firstLineChars="200" w:firstLine="360"/>
        <w:rPr>
          <w:rFonts w:hint="eastAsia"/>
        </w:rPr>
      </w:pPr>
      <w:r>
        <w:rPr>
          <w:rFonts w:ascii="思源黑体 CN Light" w:eastAsia="思源黑体 CN Light" w:hAnsi="思源黑体 CN Light" w:hint="eastAsia"/>
          <w:sz w:val="18"/>
          <w:szCs w:val="15"/>
        </w:rPr>
        <w:t>风险提示：</w:t>
      </w:r>
      <w:r>
        <w:rPr>
          <w:rFonts w:ascii="思源黑体 CN Light" w:eastAsia="思源黑体 CN Light" w:hAnsi="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18"/>
          <w:szCs w:val="15"/>
        </w:rPr>
        <w:t>作出</w:t>
      </w:r>
      <w:proofErr w:type="gramEnd"/>
      <w:r>
        <w:rPr>
          <w:rFonts w:ascii="思源黑体 CN Light" w:eastAsia="思源黑体 CN Light" w:hAnsi="思源黑体 CN Light"/>
          <w:sz w:val="18"/>
          <w:szCs w:val="15"/>
        </w:rPr>
        <w:t>调整。2、本材料中的资料、观点和预测等仅供参考，在任何时候均不构成对任何人的个人推荐。市场有风险，投资需谨慎。</w:t>
      </w:r>
      <w:bookmarkEnd w:id="0"/>
    </w:p>
    <w:p w14:paraId="15ED3C9C" w14:textId="77777777" w:rsidR="00363DC9" w:rsidRDefault="00363DC9">
      <w:pPr>
        <w:rPr>
          <w:rFonts w:hint="eastAsia"/>
        </w:rPr>
      </w:pPr>
    </w:p>
    <w:p w14:paraId="493AEDDC" w14:textId="77777777" w:rsidR="00363DC9" w:rsidRDefault="00363DC9">
      <w:pPr>
        <w:rPr>
          <w:rFonts w:hint="eastAsia"/>
        </w:rPr>
      </w:pPr>
    </w:p>
    <w:sectPr w:rsidR="00363DC9">
      <w:headerReference w:type="default" r:id="rId8"/>
      <w:footerReference w:type="default" r:id="rId9"/>
      <w:pgSz w:w="11906" w:h="16838"/>
      <w:pgMar w:top="1440" w:right="851" w:bottom="1134" w:left="85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0C4B1" w14:textId="77777777" w:rsidR="00955435" w:rsidRDefault="00955435">
      <w:pPr>
        <w:spacing w:line="240" w:lineRule="auto"/>
        <w:rPr>
          <w:rFonts w:hint="eastAsia"/>
        </w:rPr>
      </w:pPr>
      <w:r>
        <w:separator/>
      </w:r>
    </w:p>
  </w:endnote>
  <w:endnote w:type="continuationSeparator" w:id="0">
    <w:p w14:paraId="22B6BB79" w14:textId="77777777" w:rsidR="00955435" w:rsidRDefault="0095543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384E" w14:textId="77777777" w:rsidR="00363DC9" w:rsidRDefault="00000000">
    <w:pPr>
      <w:pStyle w:val="a3"/>
      <w:tabs>
        <w:tab w:val="center" w:pos="5102"/>
        <w:tab w:val="left" w:pos="6847"/>
      </w:tabs>
      <w:rPr>
        <w:rFonts w:hint="eastAsia"/>
      </w:rPr>
    </w:pPr>
    <w:r>
      <w:tab/>
    </w:r>
    <w:r>
      <w:tab/>
    </w:r>
    <w:sdt>
      <w:sdtPr>
        <w:id w:val="1107850672"/>
      </w:sdtPr>
      <w:sdtContent>
        <w:sdt>
          <w:sdtPr>
            <w:id w:val="1728636285"/>
          </w:sdt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sdtContent>
        </w:sdt>
      </w:sdtContent>
    </w:sdt>
    <w:r>
      <w:tab/>
    </w:r>
  </w:p>
  <w:p w14:paraId="5D21B837" w14:textId="77777777" w:rsidR="00363DC9" w:rsidRDefault="00363DC9">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161F3" w14:textId="77777777" w:rsidR="00955435" w:rsidRDefault="00955435">
      <w:pPr>
        <w:rPr>
          <w:rFonts w:hint="eastAsia"/>
        </w:rPr>
      </w:pPr>
      <w:r>
        <w:separator/>
      </w:r>
    </w:p>
  </w:footnote>
  <w:footnote w:type="continuationSeparator" w:id="0">
    <w:p w14:paraId="70EEF596" w14:textId="77777777" w:rsidR="00955435" w:rsidRDefault="0095543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pPr w:leftFromText="180" w:rightFromText="180" w:vertAnchor="text" w:tblpXSpec="right" w:tblpY="1"/>
      <w:tblOverlap w:val="never"/>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2335"/>
    </w:tblGrid>
    <w:tr w:rsidR="00363DC9" w14:paraId="20AF6327" w14:textId="77777777">
      <w:trPr>
        <w:trHeight w:val="424"/>
      </w:trPr>
      <w:tc>
        <w:tcPr>
          <w:tcW w:w="3652" w:type="dxa"/>
          <w:shd w:val="clear" w:color="auto" w:fill="F3F3F3"/>
          <w:vAlign w:val="center"/>
        </w:tcPr>
        <w:p w14:paraId="1172D114" w14:textId="77777777" w:rsidR="00363DC9" w:rsidRDefault="00000000">
          <w:pPr>
            <w:pStyle w:val="a5"/>
            <w:pBdr>
              <w:bottom w:val="none" w:sz="0" w:space="0" w:color="auto"/>
            </w:pBdr>
            <w:jc w:val="right"/>
            <w:rPr>
              <w:rFonts w:ascii="Times New Roman" w:eastAsia="宋体" w:hAnsi="Times New Roman" w:cs="Times New Roman"/>
              <w:kern w:val="0"/>
            </w:rPr>
          </w:pPr>
          <w:r>
            <w:rPr>
              <w:rFonts w:ascii="Times New Roman" w:eastAsia="宋体" w:hAnsi="Times New Roman" w:cs="Times New Roman" w:hint="eastAsia"/>
              <w:kern w:val="0"/>
            </w:rPr>
            <w:t>证券研究报告</w:t>
          </w:r>
        </w:p>
      </w:tc>
      <w:tc>
        <w:tcPr>
          <w:tcW w:w="284" w:type="dxa"/>
          <w:shd w:val="clear" w:color="auto" w:fill="C3E2F4"/>
        </w:tcPr>
        <w:p w14:paraId="7CCBAECC" w14:textId="77777777" w:rsidR="00363DC9" w:rsidRDefault="00363DC9">
          <w:pPr>
            <w:pStyle w:val="a5"/>
            <w:pBdr>
              <w:bottom w:val="none" w:sz="0" w:space="0" w:color="auto"/>
            </w:pBdr>
            <w:jc w:val="left"/>
            <w:rPr>
              <w:rFonts w:ascii="Times New Roman" w:eastAsia="宋体" w:hAnsi="Times New Roman" w:cs="Times New Roman"/>
              <w:kern w:val="0"/>
            </w:rPr>
          </w:pPr>
        </w:p>
      </w:tc>
      <w:tc>
        <w:tcPr>
          <w:tcW w:w="2335" w:type="dxa"/>
          <w:shd w:val="clear" w:color="auto" w:fill="013F98"/>
          <w:vAlign w:val="center"/>
        </w:tcPr>
        <w:p w14:paraId="2CFDD3B4" w14:textId="77777777" w:rsidR="00363DC9" w:rsidRDefault="00000000">
          <w:pPr>
            <w:pStyle w:val="a5"/>
            <w:pBdr>
              <w:bottom w:val="none" w:sz="0" w:space="0" w:color="auto"/>
            </w:pBdr>
            <w:rPr>
              <w:rFonts w:ascii="Times New Roman" w:eastAsia="宋体" w:hAnsi="Times New Roman" w:cs="Times New Roman"/>
              <w:kern w:val="0"/>
            </w:rPr>
          </w:pPr>
          <w:r>
            <w:rPr>
              <w:rFonts w:ascii="Times New Roman" w:eastAsia="宋体" w:hAnsi="Times New Roman" w:cs="Times New Roman" w:hint="eastAsia"/>
              <w:kern w:val="0"/>
            </w:rPr>
            <w:t>权益周报</w:t>
          </w:r>
        </w:p>
      </w:tc>
    </w:tr>
  </w:tbl>
  <w:p w14:paraId="037BA2F1" w14:textId="77777777" w:rsidR="00363DC9" w:rsidRDefault="00000000">
    <w:pPr>
      <w:pStyle w:val="a5"/>
      <w:pBdr>
        <w:bottom w:val="single" w:sz="6" w:space="0" w:color="auto"/>
      </w:pBdr>
      <w:tabs>
        <w:tab w:val="clear" w:pos="4153"/>
        <w:tab w:val="clear" w:pos="8306"/>
        <w:tab w:val="left" w:pos="4673"/>
        <w:tab w:val="left" w:pos="8341"/>
      </w:tabs>
      <w:ind w:leftChars="-337" w:left="-809" w:rightChars="-770" w:right="-1848" w:firstLineChars="300" w:firstLine="540"/>
      <w:jc w:val="left"/>
      <w:rPr>
        <w:rFonts w:hint="eastAsia"/>
      </w:rPr>
    </w:pPr>
    <w:r>
      <w:rPr>
        <w:noProof/>
      </w:rPr>
      <w:drawing>
        <wp:inline distT="0" distB="0" distL="0" distR="0" wp14:anchorId="70B15D01" wp14:editId="5F49D1AB">
          <wp:extent cx="883920" cy="285750"/>
          <wp:effectExtent l="0" t="0" r="0" b="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6B"/>
    <w:rsid w:val="00080826"/>
    <w:rsid w:val="002F63B0"/>
    <w:rsid w:val="00363DC9"/>
    <w:rsid w:val="003E3F6B"/>
    <w:rsid w:val="00511DC6"/>
    <w:rsid w:val="005C4468"/>
    <w:rsid w:val="0070516E"/>
    <w:rsid w:val="007530BA"/>
    <w:rsid w:val="00852735"/>
    <w:rsid w:val="008F5F52"/>
    <w:rsid w:val="00955435"/>
    <w:rsid w:val="00AF4F04"/>
    <w:rsid w:val="00CE79E5"/>
    <w:rsid w:val="00F20555"/>
    <w:rsid w:val="0C34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529AB"/>
  <w15:docId w15:val="{F6D6FAAA-BF01-4904-A0B4-6C0BF11D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4"/>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Normal (Web)"/>
    <w:basedOn w:val="a"/>
    <w:uiPriority w:val="99"/>
    <w:semiHidden/>
    <w:unhideWhenUsed/>
    <w:rPr>
      <w:rFonts w:ascii="Times New Roman" w:hAnsi="Times New Roman" w:cs="Times New Roman"/>
      <w:szCs w:val="24"/>
    </w:rPr>
  </w:style>
  <w:style w:type="paragraph" w:styleId="aa">
    <w:name w:val="Title"/>
    <w:basedOn w:val="a"/>
    <w:next w:val="a"/>
    <w:link w:val="ab"/>
    <w:uiPriority w:val="10"/>
    <w:qFormat/>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f1">
    <w:name w:val="明显引用 字符"/>
    <w:basedOn w:val="a0"/>
    <w:link w:val="af0"/>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页脚 字符"/>
    <w:basedOn w:val="a0"/>
    <w:link w:val="a3"/>
    <w:uiPriority w:val="99"/>
    <w:qFormat/>
    <w:rPr>
      <w:sz w:val="18"/>
      <w:szCs w:val="18"/>
      <w14:ligatures w14:val="none"/>
    </w:rPr>
  </w:style>
  <w:style w:type="character" w:customStyle="1" w:styleId="a6">
    <w:name w:val="页眉 字符"/>
    <w:basedOn w:val="a0"/>
    <w:link w:val="a5"/>
    <w:uiPriority w:val="99"/>
    <w:qFormat/>
    <w:rPr>
      <w:sz w:val="18"/>
      <w:szCs w:val="18"/>
      <w14:ligatures w14:val="none"/>
    </w:rPr>
  </w:style>
  <w:style w:type="paragraph" w:styleId="af2">
    <w:name w:val="No Spacing"/>
    <w:basedOn w:val="a9"/>
    <w:link w:val="af3"/>
    <w:uiPriority w:val="1"/>
    <w:qFormat/>
    <w:pPr>
      <w:widowControl/>
      <w:shd w:val="clear" w:color="auto" w:fill="FFFFFF"/>
      <w:ind w:firstLineChars="200" w:firstLine="200"/>
      <w:jc w:val="left"/>
    </w:pPr>
    <w:rPr>
      <w:rFonts w:asciiTheme="minorHAnsi" w:hAnsiTheme="minorHAnsi" w:cstheme="minorBidi"/>
      <w:kern w:val="0"/>
      <w:szCs w:val="22"/>
    </w:rPr>
  </w:style>
  <w:style w:type="character" w:customStyle="1" w:styleId="af3">
    <w:name w:val="无间隔 字符"/>
    <w:basedOn w:val="a0"/>
    <w:link w:val="af2"/>
    <w:uiPriority w:val="1"/>
    <w:qFormat/>
    <w:rPr>
      <w:kern w:val="0"/>
      <w:sz w:val="24"/>
      <w:szCs w:val="22"/>
      <w:shd w:val="clear" w:color="auto" w:fill="FFFFFF"/>
      <w14:ligatures w14:val="none"/>
    </w:rPr>
  </w:style>
  <w:style w:type="paragraph" w:styleId="af4">
    <w:name w:val="Revision"/>
    <w:hidden/>
    <w:uiPriority w:val="99"/>
    <w:unhideWhenUsed/>
    <w:rsid w:val="00F20555"/>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845</Characters>
  <Application>Microsoft Office Word</Application>
  <DocSecurity>0</DocSecurity>
  <Lines>25</Lines>
  <Paragraphs>18</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3</cp:revision>
  <dcterms:created xsi:type="dcterms:W3CDTF">2025-08-11T01:34:00Z</dcterms:created>
  <dcterms:modified xsi:type="dcterms:W3CDTF">2025-08-11T07:36:00Z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3E14AA28C1124E6D936C4341D4F5FE72_12</vt:lpwstr>
  </property>
</Properties>
</file>