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AE7A" w14:textId="423893B5" w:rsidR="00681126"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：债市有望走出独立行情，可适当关注左侧机会</w:t>
      </w:r>
    </w:p>
    <w:p w14:paraId="5EAF4BDF" w14:textId="77777777" w:rsidR="00681126" w:rsidRDefault="00000000">
      <w:pPr>
        <w:rPr>
          <w:rFonts w:ascii="思源黑体 CN Light" w:eastAsia="思源黑体 CN Light" w:hAnsi="思源黑体 CN Light" w:hint="eastAsia"/>
          <w:b/>
          <w:bCs/>
          <w:szCs w:val="21"/>
        </w:rPr>
      </w:pPr>
      <w:r>
        <w:rPr>
          <w:rFonts w:ascii="思源黑体 CN Light" w:eastAsia="思源黑体 CN Light" w:hAnsi="思源黑体 CN Light" w:hint="eastAsia"/>
          <w:b/>
          <w:bCs/>
          <w:szCs w:val="21"/>
        </w:rPr>
        <w:t>观点：</w:t>
      </w:r>
      <w:bookmarkStart w:id="0" w:name="_Toc134985519"/>
    </w:p>
    <w:p w14:paraId="05FE83C8" w14:textId="77777777"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10123400" w14:textId="77777777"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7月消费、投资数据走弱揭示下行压力，经济延续"弱平衡"状态，短期基本面尚不构成反转支撑。宽松预期升温，降准、重启国债购买可能性上升。降息带来的流动性宽松对权益的刺激或会强于债市，可能加速股债资产配置再平衡的过程。临近月末，跨月资金扰动或有限，央行大额净投放可期。政府债券净融资高峰已过，叠加2万亿逆回购到期背景下，央行流动性呵护成为关键观察点。后续关注地方债发行节奏及8月PMI边际变化。</w:t>
      </w:r>
    </w:p>
    <w:p w14:paraId="25619B26" w14:textId="77777777"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2C89CEA8" w14:textId="77777777"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克逊霍尔会议释放美联储9月降息预期，或将提振全球风险偏好，但相对而言美债短端确定性可能更高。</w:t>
      </w:r>
    </w:p>
    <w:p w14:paraId="3DC9D24E" w14:textId="77777777"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0295DAEC" w14:textId="328939BF"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上周（2025年8月18日-2025年8月22日，以下简称上周）上证指数再创十年新高，资金面趋紧，TL合约跌破年线，长债收益率突破前高，债市在多重利空下，延续跌势。</w:t>
      </w:r>
    </w:p>
    <w:p w14:paraId="49FC4861" w14:textId="089BBF4C" w:rsidR="00681126"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后续债市对股市上涨等因素或边际钝化，短期调整并不会改变长期走势，债市调整或是左侧布局机会。但美联储偏鸽信号或将提振风险偏好，债市短期可能仍承压。建议关注本周工业企业利润与PMI相关数据。</w:t>
      </w:r>
    </w:p>
    <w:p w14:paraId="6E71975E" w14:textId="77777777" w:rsidR="00681126"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16C8D1BC" w14:textId="77777777" w:rsidR="00681126"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受特朗普政府关税政策的影响，美国经济可能面临新一轮通胀压力。截至8月22日，美元指数跌0.14%，英镑跌0.32%，瑞郎涨0.59%。</w:t>
      </w:r>
    </w:p>
    <w:p w14:paraId="3122D205" w14:textId="77777777" w:rsidR="00681126"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图一：主要货币变化率</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0CF76046" wp14:editId="09351FF8">
            <wp:extent cx="5274310" cy="2059940"/>
            <wp:effectExtent l="0" t="0" r="2540" b="0"/>
            <wp:docPr id="48" name="图片 47"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图表&#10;&#10;AI 生成的内容可能不正确。"/>
                    <pic:cNvPicPr>
                      <a:picLocks noChangeAspect="1"/>
                    </pic:cNvPicPr>
                  </pic:nvPicPr>
                  <pic:blipFill>
                    <a:blip r:embed="rId6"/>
                    <a:stretch>
                      <a:fillRect/>
                    </a:stretch>
                  </pic:blipFill>
                  <pic:spPr>
                    <a:xfrm>
                      <a:off x="0" y="0"/>
                      <a:ext cx="5274310" cy="205994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数据来源：wind，富荣基金；统计区间：20250818-2025</w:t>
      </w:r>
      <w:bookmarkStart w:id="1" w:name="_Toc134985520"/>
      <w:r>
        <w:rPr>
          <w:rFonts w:ascii="思源黑体 CN Light" w:eastAsia="思源黑体 CN Light" w:hAnsi="思源黑体 CN Light" w:cs="Times New Roman" w:hint="eastAsia"/>
          <w:sz w:val="16"/>
          <w:szCs w:val="16"/>
        </w:rPr>
        <w:t>0822</w:t>
      </w:r>
    </w:p>
    <w:p w14:paraId="1FDFD08D" w14:textId="77777777" w:rsidR="00681126"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685076AE" w14:textId="77777777" w:rsidR="00681126"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资金面均衡偏松。</w:t>
      </w:r>
      <w:r>
        <w:rPr>
          <w:rFonts w:ascii="思源黑体 CN Light" w:eastAsia="思源黑体 CN Light" w:hAnsi="思源黑体 CN Light" w:cs="Times New Roman" w:hint="eastAsia"/>
          <w:sz w:val="22"/>
          <w:szCs w:val="21"/>
          <w14:ligatures w14:val="standardContextual"/>
        </w:rPr>
        <w:t>DR001上行1.03bp至1.41%，DR007下行1.29bp至1.47%，R001上行0.75bp至1.45％，R007下行0.19bp至1.48％，GC001下行4.40bp至1.25%，GC007上行5.90bp至1.53％。</w:t>
      </w:r>
    </w:p>
    <w:p w14:paraId="71E5D9A9" w14:textId="77777777" w:rsidR="00681126" w:rsidRDefault="00000000">
      <w:pPr>
        <w:spacing w:line="288" w:lineRule="auto"/>
        <w:ind w:firstLineChars="200" w:firstLine="449"/>
        <w:jc w:val="left"/>
        <w:rPr>
          <w:rFonts w:ascii="思源黑体 CN Light" w:eastAsia="思源黑体 CN Light" w:hAnsi="思源黑体 CN Light" w:cs="Times New Roman" w:hint="eastAsia"/>
          <w:b/>
          <w:bCs/>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股债跷跷板效应凸显，债市承压。</w:t>
      </w:r>
      <w:r>
        <w:rPr>
          <w:rFonts w:ascii="思源黑体 CN Light" w:eastAsia="思源黑体 CN Light" w:hAnsi="思源黑体 CN Light" w:cs="Times New Roman" w:hint="eastAsia"/>
          <w:sz w:val="22"/>
          <w:szCs w:val="21"/>
          <w14:ligatures w14:val="standardContextual"/>
        </w:rPr>
        <w:t>1Y、5Y、10Y、30Y国债收益率分别较前一周变化0.42bp、3.76bp、3.53bp、3.00bp至1.3707%、1.6324%、1.7818%、2.0775%。</w:t>
      </w:r>
    </w:p>
    <w:p w14:paraId="19DC0A2E" w14:textId="77777777" w:rsidR="00681126"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图二：资金面变化</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56182BF5" wp14:editId="785B3F0D">
            <wp:extent cx="5274310" cy="3075940"/>
            <wp:effectExtent l="0" t="0" r="2540" b="0"/>
            <wp:docPr id="69" name="图片 68"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图表, 瀑布图&#10;&#10;AI 生成的内容可能不正确。"/>
                    <pic:cNvPicPr>
                      <a:picLocks noChangeAspect="1"/>
                    </pic:cNvPicPr>
                  </pic:nvPicPr>
                  <pic:blipFill>
                    <a:blip r:embed="rId7"/>
                    <a:stretch>
                      <a:fillRect/>
                    </a:stretch>
                  </pic:blipFill>
                  <pic:spPr>
                    <a:xfrm>
                      <a:off x="0" y="0"/>
                      <a:ext cx="5274310" cy="3075940"/>
                    </a:xfrm>
                    <a:prstGeom prst="rect">
                      <a:avLst/>
                    </a:prstGeom>
                  </pic:spPr>
                </pic:pic>
              </a:graphicData>
            </a:graphic>
          </wp:inline>
        </w:drawing>
      </w:r>
    </w:p>
    <w:p w14:paraId="297F3BD6" w14:textId="77777777" w:rsidR="00681126"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数据来源：wind，富荣基金；统计区间：20250818-20250822</w:t>
      </w:r>
    </w:p>
    <w:p w14:paraId="11275244" w14:textId="77777777" w:rsidR="00681126"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图三：国债周度变化</w:t>
      </w:r>
      <w:r>
        <w:rPr>
          <w:rFonts w:ascii="思源黑体 CN Light" w:eastAsia="思源黑体 CN Light" w:hAnsi="思源黑体 CN Light" w:cs="Times New Roman"/>
          <w:b/>
          <w:noProof/>
          <w:color w:val="000000"/>
          <w:kern w:val="0"/>
          <w:sz w:val="20"/>
          <w:szCs w:val="20"/>
        </w:rPr>
        <w:drawing>
          <wp:inline distT="0" distB="0" distL="0" distR="0" wp14:anchorId="5F8EC8E3" wp14:editId="03BD8D5A">
            <wp:extent cx="5349240" cy="2577465"/>
            <wp:effectExtent l="0" t="0" r="3810" b="0"/>
            <wp:docPr id="70" name="图片 69"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表, 条形图&#10;&#10;AI 生成的内容可能不正确。"/>
                    <pic:cNvPicPr>
                      <a:picLocks noChangeAspect="1"/>
                    </pic:cNvPicPr>
                  </pic:nvPicPr>
                  <pic:blipFill>
                    <a:blip r:embed="rId8"/>
                    <a:stretch>
                      <a:fillRect/>
                    </a:stretch>
                  </pic:blipFill>
                  <pic:spPr>
                    <a:xfrm>
                      <a:off x="0" y="0"/>
                      <a:ext cx="5358500" cy="258245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数据来源：wind，富荣基金；统计区间：20250818-20250822</w:t>
      </w:r>
    </w:p>
    <w:p w14:paraId="2C8BC628" w14:textId="77777777" w:rsidR="00681126"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央行OMO积极净投放1.2652万亿元，税期走款影响下资金先紧后松，1Y国股行存单发行价格上行至1.68%，DR007加权价格周内最高至1.5680%。</w:t>
      </w:r>
    </w:p>
    <w:p w14:paraId="093DC301" w14:textId="77777777" w:rsidR="00681126"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信用债继续收益上行，大幅上行已扩散到所有品种。从利差看，3Y、5Y品种多数走阔，1Y个别品种有略微收窄，总体上3Y走阔最为明显。</w:t>
      </w:r>
    </w:p>
    <w:p w14:paraId="216EA201" w14:textId="77777777" w:rsidR="00681126"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图四：信用债收益率变化</w:t>
      </w:r>
    </w:p>
    <w:p w14:paraId="2C49D363" w14:textId="77777777" w:rsidR="00681126"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lastRenderedPageBreak/>
        <w:drawing>
          <wp:inline distT="0" distB="0" distL="0" distR="0" wp14:anchorId="19E463DB" wp14:editId="69D777D6">
            <wp:extent cx="5274310" cy="2509520"/>
            <wp:effectExtent l="0" t="0" r="2540" b="5080"/>
            <wp:docPr id="8" name="图片 7"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表, 条形图&#10;&#10;AI 生成的内容可能不正确。"/>
                    <pic:cNvPicPr>
                      <a:picLocks noChangeAspect="1"/>
                    </pic:cNvPicPr>
                  </pic:nvPicPr>
                  <pic:blipFill>
                    <a:blip r:embed="rId9"/>
                    <a:stretch>
                      <a:fillRect/>
                    </a:stretch>
                  </pic:blipFill>
                  <pic:spPr>
                    <a:xfrm>
                      <a:off x="0" y="0"/>
                      <a:ext cx="5274310" cy="250952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数据来源：wind，富荣基金；统计区间：20250818-20250822</w:t>
      </w:r>
    </w:p>
    <w:p w14:paraId="273F3A55" w14:textId="77777777" w:rsidR="00681126"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图五：信用利差变化</w:t>
      </w:r>
      <w:r>
        <w:rPr>
          <w:rFonts w:ascii="思源黑体 CN Light" w:eastAsia="思源黑体 CN Light" w:hAnsi="思源黑体 CN Light" w:cs="Times New Roman"/>
          <w:b/>
          <w:noProof/>
          <w:color w:val="000000"/>
          <w:kern w:val="0"/>
          <w:sz w:val="20"/>
          <w:szCs w:val="20"/>
        </w:rPr>
        <w:drawing>
          <wp:inline distT="0" distB="0" distL="0" distR="0" wp14:anchorId="0A1D3E30" wp14:editId="1EE76B11">
            <wp:extent cx="5274310" cy="2173605"/>
            <wp:effectExtent l="0" t="0" r="2540" b="0"/>
            <wp:docPr id="11" name="图片 10"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图表, 条形图&#10;&#10;AI 生成的内容可能不正确。"/>
                    <pic:cNvPicPr>
                      <a:picLocks noChangeAspect="1"/>
                    </pic:cNvPicPr>
                  </pic:nvPicPr>
                  <pic:blipFill>
                    <a:blip r:embed="rId10"/>
                    <a:stretch>
                      <a:fillRect/>
                    </a:stretch>
                  </pic:blipFill>
                  <pic:spPr>
                    <a:xfrm>
                      <a:off x="0" y="0"/>
                      <a:ext cx="5274310" cy="217360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数据来源：wind，富荣基金；统计区间：20250818-20250822</w:t>
      </w:r>
    </w:p>
    <w:p w14:paraId="3FAD9FA7" w14:textId="77777777" w:rsidR="00681126" w:rsidRDefault="00681126">
      <w:pPr>
        <w:ind w:firstLineChars="200" w:firstLine="400"/>
        <w:rPr>
          <w:rFonts w:ascii="思源黑体 CN Light" w:eastAsia="思源黑体 CN Light" w:hAnsi="思源黑体 CN Light" w:hint="eastAsia"/>
          <w:sz w:val="20"/>
          <w:szCs w:val="20"/>
        </w:rPr>
      </w:pPr>
    </w:p>
    <w:p w14:paraId="02D29C2B" w14:textId="77777777" w:rsidR="00681126" w:rsidRDefault="00681126">
      <w:pPr>
        <w:ind w:firstLineChars="200" w:firstLine="400"/>
        <w:rPr>
          <w:rFonts w:ascii="思源黑体 CN Light" w:eastAsia="思源黑体 CN Light" w:hAnsi="思源黑体 CN Light" w:hint="eastAsia"/>
          <w:sz w:val="20"/>
          <w:szCs w:val="20"/>
        </w:rPr>
      </w:pPr>
    </w:p>
    <w:p w14:paraId="64BDD092" w14:textId="77777777" w:rsidR="00681126" w:rsidRPr="006C3B4A" w:rsidRDefault="00000000" w:rsidP="006C3B4A">
      <w:pPr>
        <w:rPr>
          <w:rFonts w:ascii="思源黑体 CN Light" w:eastAsia="思源黑体 CN Light" w:hAnsi="思源黑体 CN Light" w:cs="Times New Roman" w:hint="eastAsia"/>
          <w:sz w:val="18"/>
          <w:szCs w:val="18"/>
        </w:rPr>
      </w:pPr>
      <w:r w:rsidRPr="006C3B4A">
        <w:rPr>
          <w:rFonts w:ascii="思源黑体 CN Light" w:eastAsia="思源黑体 CN Light" w:hAnsi="思源黑体 CN Light" w:hint="eastAsia"/>
          <w:sz w:val="18"/>
          <w:szCs w:val="18"/>
        </w:rPr>
        <w:t>风险提示：</w:t>
      </w:r>
    </w:p>
    <w:p w14:paraId="60F75EA9" w14:textId="77777777" w:rsidR="00681126" w:rsidRPr="006C3B4A" w:rsidRDefault="00000000">
      <w:pPr>
        <w:rPr>
          <w:rFonts w:hint="eastAsia"/>
          <w:sz w:val="20"/>
          <w:szCs w:val="21"/>
        </w:rPr>
      </w:pPr>
      <w:r w:rsidRPr="006C3B4A">
        <w:rPr>
          <w:rFonts w:ascii="思源黑体 CN Light" w:eastAsia="思源黑体 CN Light" w:hAnsi="思源黑体 CN Light"/>
          <w:sz w:val="18"/>
          <w:szCs w:val="18"/>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sidRPr="006C3B4A">
        <w:rPr>
          <w:rFonts w:ascii="思源黑体 CN Light" w:eastAsia="思源黑体 CN Light" w:hAnsi="思源黑体 CN Light"/>
          <w:sz w:val="18"/>
          <w:szCs w:val="18"/>
        </w:rPr>
        <w:t>作出</w:t>
      </w:r>
      <w:proofErr w:type="gramEnd"/>
      <w:r w:rsidRPr="006C3B4A">
        <w:rPr>
          <w:rFonts w:ascii="思源黑体 CN Light" w:eastAsia="思源黑体 CN Light" w:hAnsi="思源黑体 CN Light"/>
          <w:sz w:val="18"/>
          <w:szCs w:val="18"/>
        </w:rPr>
        <w:t>调整。2、本材料中的资料、观点和预测等仅供参考，在任何时候均不构成对任何人的个人推荐。市场有风险，投资需谨慎。</w:t>
      </w:r>
    </w:p>
    <w:sectPr w:rsidR="00681126" w:rsidRPr="006C3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85C0" w14:textId="77777777" w:rsidR="005663D4" w:rsidRDefault="005663D4">
      <w:pPr>
        <w:rPr>
          <w:rFonts w:hint="eastAsia"/>
        </w:rPr>
      </w:pPr>
      <w:r>
        <w:separator/>
      </w:r>
    </w:p>
  </w:endnote>
  <w:endnote w:type="continuationSeparator" w:id="0">
    <w:p w14:paraId="17786FB9" w14:textId="77777777" w:rsidR="005663D4" w:rsidRDefault="005663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2E7E" w14:textId="77777777" w:rsidR="005663D4" w:rsidRDefault="005663D4">
      <w:pPr>
        <w:rPr>
          <w:rFonts w:hint="eastAsia"/>
        </w:rPr>
      </w:pPr>
      <w:r>
        <w:separator/>
      </w:r>
    </w:p>
  </w:footnote>
  <w:footnote w:type="continuationSeparator" w:id="0">
    <w:p w14:paraId="16D7DDE5" w14:textId="77777777" w:rsidR="005663D4" w:rsidRDefault="005663D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0C"/>
    <w:rsid w:val="002F63B0"/>
    <w:rsid w:val="005663D4"/>
    <w:rsid w:val="005C219D"/>
    <w:rsid w:val="006777D0"/>
    <w:rsid w:val="00681126"/>
    <w:rsid w:val="006C3B4A"/>
    <w:rsid w:val="007114DD"/>
    <w:rsid w:val="00852735"/>
    <w:rsid w:val="008A4C60"/>
    <w:rsid w:val="008A6E21"/>
    <w:rsid w:val="00B6480C"/>
    <w:rsid w:val="00E820F7"/>
    <w:rsid w:val="00EC17A1"/>
    <w:rsid w:val="00ED7681"/>
    <w:rsid w:val="00F95CB9"/>
    <w:rsid w:val="463D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5E2CE"/>
  <w15:docId w15:val="{62CFD6E6-367A-427A-941F-CDA6719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Pr>
      <w:i/>
      <w:iCs/>
      <w:color w:val="404040" w:themeColor="text1" w:themeTint="BF"/>
    </w:rPr>
  </w:style>
  <w:style w:type="paragraph" w:styleId="a9">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Revision"/>
    <w:hidden/>
    <w:uiPriority w:val="99"/>
    <w:unhideWhenUsed/>
    <w:rsid w:val="007114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608</Words>
  <Characters>761</Characters>
  <Application>Microsoft Office Word</Application>
  <DocSecurity>0</DocSecurity>
  <Lines>31</Lines>
  <Paragraphs>25</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4</cp:revision>
  <dcterms:created xsi:type="dcterms:W3CDTF">2025-08-25T01:21:00Z</dcterms:created>
  <dcterms:modified xsi:type="dcterms:W3CDTF">2025-08-25T07:01:00Z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DF8C0B4F28144D69A6671BA40686F4E8_12</vt:lpwstr>
  </property>
</Properties>
</file>