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D577" w14:textId="57478510" w:rsidR="000C7436" w:rsidRDefault="00000000">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富荣权益：沪指站上3800，如何抓住本轮主线产业？</w:t>
      </w:r>
    </w:p>
    <w:p w14:paraId="4D70FB3D" w14:textId="77777777" w:rsidR="000C7436" w:rsidRDefault="00000000">
      <w:pPr>
        <w:pStyle w:val="2"/>
        <w:tabs>
          <w:tab w:val="left" w:pos="4364"/>
          <w:tab w:val="right" w:pos="10204"/>
        </w:tabs>
        <w:rPr>
          <w:rFonts w:ascii="思源黑体 CN Light" w:eastAsia="思源黑体 CN Light" w:hAnsi="思源黑体 CN Light" w:cs="Times New Roman"/>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0263382B" w14:textId="77777777" w:rsidR="000C7436" w:rsidRDefault="00000000">
      <w:pPr>
        <w:ind w:firstLineChars="200" w:firstLine="420"/>
        <w:jc w:val="left"/>
        <w:rPr>
          <w:rFonts w:ascii="思源黑体 CN Light" w:eastAsia="思源黑体 CN Light" w:hAnsi="思源黑体 CN Light" w:cs="Times New Roman"/>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上周（2025年8月18日至2025年8月22日，下同）权益市场普遍上涨，</w:t>
      </w:r>
      <w:r>
        <w:rPr>
          <w:rFonts w:ascii="思源黑体 CN Light" w:eastAsia="思源黑体 CN Light" w:hAnsi="思源黑体 CN Light" w:cs="Times New Roman"/>
          <w:color w:val="000000" w:themeColor="text1"/>
          <w:sz w:val="21"/>
          <w:szCs w:val="20"/>
        </w:rPr>
        <w:t>深证成指、上证指数、创业板指分别报收</w:t>
      </w:r>
      <w:r>
        <w:rPr>
          <w:rFonts w:ascii="思源黑体 CN Light" w:eastAsia="思源黑体 CN Light" w:hAnsi="思源黑体 CN Light" w:cs="Times New Roman" w:hint="eastAsia"/>
          <w:color w:val="000000" w:themeColor="text1"/>
          <w:sz w:val="21"/>
          <w:szCs w:val="20"/>
        </w:rPr>
        <w:t>12166.06</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3825.76</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2682.55</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w:t>
      </w:r>
      <w:proofErr w:type="gramStart"/>
      <w:r>
        <w:rPr>
          <w:rFonts w:ascii="思源黑体 CN Light" w:eastAsia="思源黑体 CN Light" w:hAnsi="思源黑体 CN Light" w:cs="Times New Roman" w:hint="eastAsia"/>
          <w:color w:val="000000" w:themeColor="text1"/>
          <w:sz w:val="21"/>
          <w:szCs w:val="20"/>
        </w:rPr>
        <w:t>科创</w:t>
      </w:r>
      <w:proofErr w:type="gramEnd"/>
      <w:r>
        <w:rPr>
          <w:rFonts w:ascii="思源黑体 CN Light" w:eastAsia="思源黑体 CN Light" w:hAnsi="思源黑体 CN Light" w:cs="Times New Roman" w:hint="eastAsia"/>
          <w:color w:val="000000" w:themeColor="text1"/>
          <w:sz w:val="21"/>
          <w:szCs w:val="20"/>
        </w:rPr>
        <w:t>50（+13.31%）、创业板50（+6.31%）、创业板指（+5.85%）、深证成指（+4.57%）、创成长（+4.28%）、沪深300（+4.18%）、中证500（+3.87%）、上证指数（+3.49%）、中证1000（+3.45%）、上证50（+3.38%）。</w:t>
      </w:r>
    </w:p>
    <w:p w14:paraId="336E7767" w14:textId="77777777" w:rsidR="000C7436" w:rsidRDefault="00000000">
      <w:pPr>
        <w:ind w:firstLineChars="200" w:firstLine="428"/>
        <w:jc w:val="left"/>
        <w:rPr>
          <w:rFonts w:ascii="思源黑体 CN Light" w:eastAsia="思源黑体 CN Light" w:hAnsi="思源黑体 CN Light" w:cs="Times New Roman"/>
          <w:sz w:val="13"/>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Pr>
          <w:rFonts w:ascii="思源黑体 CN Light" w:eastAsia="思源黑体 CN Light" w:hAnsi="思源黑体 CN Light" w:cs="Times New Roman"/>
          <w:b/>
          <w:noProof/>
          <w:sz w:val="21"/>
          <w:szCs w:val="20"/>
        </w:rPr>
        <w:drawing>
          <wp:inline distT="0" distB="0" distL="0" distR="0" wp14:anchorId="3F61BF49" wp14:editId="23F41ADA">
            <wp:extent cx="6431280" cy="3291840"/>
            <wp:effectExtent l="0" t="0" r="7620" b="3810"/>
            <wp:docPr id="55" name="图片 54"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图表, 条形图&#10;&#10;AI 生成的内容可能不正确。"/>
                    <pic:cNvPicPr>
                      <a:picLocks noChangeAspect="1"/>
                    </pic:cNvPicPr>
                  </pic:nvPicPr>
                  <pic:blipFill>
                    <a:blip r:embed="rId6"/>
                    <a:stretch>
                      <a:fillRect/>
                    </a:stretch>
                  </pic:blipFill>
                  <pic:spPr>
                    <a:xfrm>
                      <a:off x="0" y="0"/>
                      <a:ext cx="6431280" cy="3291840"/>
                    </a:xfrm>
                    <a:prstGeom prst="rect">
                      <a:avLst/>
                    </a:prstGeom>
                  </pic:spPr>
                </pic:pic>
              </a:graphicData>
            </a:graphic>
          </wp:inline>
        </w:drawing>
      </w: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区间：20250818-20250822；月涨跌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区间：20250801-20250822</w:t>
      </w:r>
    </w:p>
    <w:p w14:paraId="2FE78396" w14:textId="77777777" w:rsidR="000C7436" w:rsidRDefault="00000000">
      <w:pPr>
        <w:ind w:firstLineChars="200" w:firstLine="420"/>
        <w:jc w:val="left"/>
        <w:rPr>
          <w:rFonts w:ascii="思源黑体 CN Light" w:eastAsia="思源黑体 CN Light" w:hAnsi="思源黑体 CN Light" w:cs="Times New Roman"/>
          <w:color w:val="000000" w:themeColor="text1"/>
          <w:sz w:val="21"/>
          <w:szCs w:val="20"/>
        </w:rPr>
      </w:pPr>
      <w:r>
        <w:rPr>
          <w:rFonts w:ascii="思源黑体 CN Light" w:eastAsia="思源黑体 CN Light" w:hAnsi="思源黑体 CN Light" w:cs="Times New Roman" w:hint="eastAsia"/>
          <w:color w:val="000000" w:themeColor="text1"/>
          <w:sz w:val="21"/>
          <w:szCs w:val="20"/>
        </w:rPr>
        <w:t>各行业普遍上涨。</w:t>
      </w:r>
      <w:proofErr w:type="gramStart"/>
      <w:r>
        <w:rPr>
          <w:rFonts w:ascii="思源黑体 CN Light" w:eastAsia="思源黑体 CN Light" w:hAnsi="思源黑体 CN Light" w:cs="Times New Roman" w:hint="eastAsia"/>
          <w:color w:val="000000" w:themeColor="text1"/>
          <w:sz w:val="21"/>
          <w:szCs w:val="20"/>
        </w:rPr>
        <w:t>申万一级行业</w:t>
      </w:r>
      <w:proofErr w:type="gramEnd"/>
      <w:r>
        <w:rPr>
          <w:rFonts w:ascii="思源黑体 CN Light" w:eastAsia="思源黑体 CN Light" w:hAnsi="思源黑体 CN Light" w:cs="Times New Roman" w:hint="eastAsia"/>
          <w:color w:val="000000" w:themeColor="text1"/>
          <w:sz w:val="21"/>
          <w:szCs w:val="20"/>
        </w:rPr>
        <w:t>指数中，通信（+10.84%）、电子（+8.95%）、综合（+8.25%）等行业上涨较为明显，医药生物（+1.05%）、煤炭（+0.92%）、房地产（+0.50%）等</w:t>
      </w:r>
      <w:proofErr w:type="gramStart"/>
      <w:r>
        <w:rPr>
          <w:rFonts w:ascii="思源黑体 CN Light" w:eastAsia="思源黑体 CN Light" w:hAnsi="思源黑体 CN Light" w:cs="Times New Roman" w:hint="eastAsia"/>
          <w:color w:val="000000" w:themeColor="text1"/>
          <w:sz w:val="21"/>
          <w:szCs w:val="20"/>
        </w:rPr>
        <w:t>行业涨幅</w:t>
      </w:r>
      <w:proofErr w:type="gramEnd"/>
      <w:r>
        <w:rPr>
          <w:rFonts w:ascii="思源黑体 CN Light" w:eastAsia="思源黑体 CN Light" w:hAnsi="思源黑体 CN Light" w:cs="Times New Roman" w:hint="eastAsia"/>
          <w:color w:val="000000" w:themeColor="text1"/>
          <w:sz w:val="21"/>
          <w:szCs w:val="20"/>
        </w:rPr>
        <w:t>较小。</w:t>
      </w:r>
    </w:p>
    <w:p w14:paraId="5FAFE1D0" w14:textId="77777777" w:rsidR="000C7436" w:rsidRDefault="00000000">
      <w:pPr>
        <w:ind w:firstLineChars="200" w:firstLine="428"/>
        <w:jc w:val="left"/>
        <w:rPr>
          <w:rFonts w:ascii="思源黑体 CN Light" w:eastAsia="思源黑体 CN Light" w:hAnsi="思源黑体 CN Light" w:cs="Times New Roman"/>
          <w:sz w:val="13"/>
          <w:szCs w:val="20"/>
        </w:rPr>
      </w:pPr>
      <w:r>
        <w:rPr>
          <w:rFonts w:ascii="思源黑体 CN Light" w:eastAsia="思源黑体 CN Light" w:hAnsi="思源黑体 CN Light" w:cs="Times New Roman"/>
          <w:b/>
          <w:sz w:val="21"/>
          <w:szCs w:val="20"/>
        </w:rPr>
        <w:t>图：</w:t>
      </w:r>
      <w:proofErr w:type="gramStart"/>
      <w:r>
        <w:rPr>
          <w:rFonts w:ascii="思源黑体 CN Light" w:eastAsia="思源黑体 CN Light" w:hAnsi="思源黑体 CN Light" w:cs="Times New Roman"/>
          <w:b/>
          <w:sz w:val="21"/>
          <w:szCs w:val="20"/>
        </w:rPr>
        <w:t>申万一级行业周涨跌</w:t>
      </w:r>
      <w:proofErr w:type="gramEnd"/>
      <w:r>
        <w:rPr>
          <w:rFonts w:ascii="思源黑体 CN Light" w:eastAsia="思源黑体 CN Light" w:hAnsi="思源黑体 CN Light" w:cs="Times New Roman"/>
          <w:b/>
          <w:sz w:val="21"/>
          <w:szCs w:val="20"/>
        </w:rPr>
        <w:t>幅（单位：%）</w:t>
      </w:r>
      <w:r>
        <w:rPr>
          <w:rFonts w:ascii="思源黑体 CN Light" w:eastAsia="思源黑体 CN Light" w:hAnsi="思源黑体 CN Light" w:cs="Times New Roman"/>
          <w:b/>
          <w:noProof/>
          <w:sz w:val="21"/>
          <w:szCs w:val="20"/>
        </w:rPr>
        <w:lastRenderedPageBreak/>
        <w:drawing>
          <wp:inline distT="0" distB="0" distL="0" distR="0" wp14:anchorId="66B6F409" wp14:editId="13BCEB1E">
            <wp:extent cx="6477000" cy="3291205"/>
            <wp:effectExtent l="0" t="0" r="0" b="4445"/>
            <wp:docPr id="56" name="图片 55" descr="图片包含 直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图片包含 直方图&#10;&#10;AI 生成的内容可能不正确。"/>
                    <pic:cNvPicPr>
                      <a:picLocks noChangeAspect="1"/>
                    </pic:cNvPicPr>
                  </pic:nvPicPr>
                  <pic:blipFill>
                    <a:blip r:embed="rId7"/>
                    <a:stretch>
                      <a:fillRect/>
                    </a:stretch>
                  </pic:blipFill>
                  <pic:spPr>
                    <a:xfrm>
                      <a:off x="0" y="0"/>
                      <a:ext cx="6484024" cy="3295100"/>
                    </a:xfrm>
                    <a:prstGeom prst="rect">
                      <a:avLst/>
                    </a:prstGeom>
                  </pic:spPr>
                </pic:pic>
              </a:graphicData>
            </a:graphic>
          </wp:inline>
        </w:drawing>
      </w: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；统计区间：20250818-20250822</w:t>
      </w:r>
    </w:p>
    <w:p w14:paraId="7976DDF9" w14:textId="77777777" w:rsidR="000C7436" w:rsidRDefault="000C7436">
      <w:pPr>
        <w:pStyle w:val="2"/>
        <w:tabs>
          <w:tab w:val="left" w:pos="4364"/>
          <w:tab w:val="right" w:pos="10204"/>
        </w:tabs>
        <w:rPr>
          <w:rFonts w:ascii="思源黑体 CN Light" w:eastAsia="思源黑体 CN Light" w:hAnsi="思源黑体 CN Light" w:cs="Times New Roman"/>
          <w:color w:val="000000"/>
          <w:sz w:val="21"/>
          <w:szCs w:val="20"/>
          <w:shd w:val="clear" w:color="auto" w:fill="FFFFFF"/>
        </w:rPr>
      </w:pPr>
    </w:p>
    <w:p w14:paraId="602E8B7F" w14:textId="77777777" w:rsidR="000C7436" w:rsidRDefault="00000000">
      <w:pPr>
        <w:pStyle w:val="2"/>
        <w:tabs>
          <w:tab w:val="left" w:pos="4364"/>
          <w:tab w:val="right" w:pos="10204"/>
        </w:tabs>
        <w:rPr>
          <w:rFonts w:ascii="思源黑体 CN Light" w:eastAsia="思源黑体 CN Light" w:hAnsi="思源黑体 CN Light" w:cs="Times New Roman"/>
          <w:b/>
          <w:bCs/>
          <w:sz w:val="22"/>
          <w:szCs w:val="24"/>
        </w:rPr>
      </w:pPr>
      <w:r>
        <w:rPr>
          <w:rFonts w:ascii="思源黑体 CN Light" w:eastAsia="思源黑体 CN Light" w:hAnsi="思源黑体 CN Light" w:cs="Times New Roman" w:hint="eastAsia"/>
          <w:b/>
          <w:bCs/>
          <w:sz w:val="22"/>
          <w:szCs w:val="24"/>
        </w:rPr>
        <w:t>二、通信</w:t>
      </w:r>
      <w:proofErr w:type="gramStart"/>
      <w:r>
        <w:rPr>
          <w:rFonts w:ascii="思源黑体 CN Light" w:eastAsia="思源黑体 CN Light" w:hAnsi="思源黑体 CN Light" w:cs="Times New Roman" w:hint="eastAsia"/>
          <w:b/>
          <w:bCs/>
          <w:sz w:val="22"/>
          <w:szCs w:val="24"/>
        </w:rPr>
        <w:t>行业行业</w:t>
      </w:r>
      <w:proofErr w:type="gramEnd"/>
      <w:r>
        <w:rPr>
          <w:rFonts w:ascii="思源黑体 CN Light" w:eastAsia="思源黑体 CN Light" w:hAnsi="思源黑体 CN Light" w:cs="Times New Roman" w:hint="eastAsia"/>
          <w:b/>
          <w:bCs/>
          <w:sz w:val="22"/>
          <w:szCs w:val="24"/>
        </w:rPr>
        <w:t>点评与展望</w:t>
      </w:r>
    </w:p>
    <w:p w14:paraId="74AA72A8" w14:textId="26357E58" w:rsidR="000C7436" w:rsidRDefault="00000000">
      <w:pPr>
        <w:tabs>
          <w:tab w:val="left" w:pos="5594"/>
        </w:tabs>
        <w:ind w:firstLineChars="200" w:firstLine="420"/>
        <w:rPr>
          <w:rFonts w:ascii="思源黑体 CN Light" w:eastAsia="思源黑体 CN Light" w:hAnsi="思源黑体 CN Light" w:cs="Times New Roman"/>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上周通信</w:t>
      </w:r>
      <w:proofErr w:type="gramStart"/>
      <w:r>
        <w:rPr>
          <w:rFonts w:ascii="思源黑体 CN Light" w:eastAsia="思源黑体 CN Light" w:hAnsi="思源黑体 CN Light" w:cs="Times New Roman" w:hint="eastAsia"/>
          <w:color w:val="000000" w:themeColor="text1"/>
          <w:sz w:val="21"/>
          <w:szCs w:val="20"/>
        </w:rPr>
        <w:t>申万一级</w:t>
      </w:r>
      <w:proofErr w:type="gramEnd"/>
      <w:r>
        <w:rPr>
          <w:rFonts w:ascii="思源黑体 CN Light" w:eastAsia="思源黑体 CN Light" w:hAnsi="思源黑体 CN Light" w:cs="Times New Roman" w:hint="eastAsia"/>
          <w:color w:val="000000" w:themeColor="text1"/>
          <w:sz w:val="21"/>
          <w:szCs w:val="20"/>
        </w:rPr>
        <w:t>指数上涨10.84%，在所有行业中涨幅第一，同期沪深300上涨4.18%。通信行业的上涨主要是</w:t>
      </w:r>
      <w:proofErr w:type="gramStart"/>
      <w:r>
        <w:rPr>
          <w:rFonts w:ascii="思源黑体 CN Light" w:eastAsia="思源黑体 CN Light" w:hAnsi="思源黑体 CN Light" w:cs="Times New Roman" w:hint="eastAsia"/>
          <w:color w:val="000000" w:themeColor="text1"/>
          <w:sz w:val="21"/>
          <w:szCs w:val="20"/>
        </w:rPr>
        <w:t>国产算力和海外算力板块</w:t>
      </w:r>
      <w:proofErr w:type="gramEnd"/>
      <w:r>
        <w:rPr>
          <w:rFonts w:ascii="思源黑体 CN Light" w:eastAsia="思源黑体 CN Light" w:hAnsi="思源黑体 CN Light" w:cs="Times New Roman" w:hint="eastAsia"/>
          <w:color w:val="000000" w:themeColor="text1"/>
          <w:sz w:val="21"/>
          <w:szCs w:val="20"/>
        </w:rPr>
        <w:t>均出现催化。</w:t>
      </w:r>
    </w:p>
    <w:p w14:paraId="49FD89F9" w14:textId="0AE72482" w:rsidR="000C7436" w:rsidRDefault="00000000">
      <w:pPr>
        <w:tabs>
          <w:tab w:val="left" w:pos="5594"/>
        </w:tabs>
        <w:ind w:firstLineChars="200" w:firstLine="420"/>
        <w:rPr>
          <w:rFonts w:ascii="思源黑体 CN Light" w:eastAsia="思源黑体 CN Light" w:hAnsi="思源黑体 CN Light" w:cs="Times New Roman"/>
          <w:color w:val="000000" w:themeColor="text1"/>
          <w:sz w:val="21"/>
          <w:szCs w:val="20"/>
        </w:rPr>
      </w:pPr>
      <w:proofErr w:type="gramStart"/>
      <w:r>
        <w:rPr>
          <w:rFonts w:ascii="思源黑体 CN Light" w:eastAsia="思源黑体 CN Light" w:hAnsi="思源黑体 CN Light" w:cs="Times New Roman" w:hint="eastAsia"/>
          <w:color w:val="000000" w:themeColor="text1"/>
          <w:sz w:val="21"/>
          <w:szCs w:val="20"/>
        </w:rPr>
        <w:t>国产算力方面</w:t>
      </w:r>
      <w:proofErr w:type="gramEnd"/>
      <w:r>
        <w:rPr>
          <w:rFonts w:ascii="思源黑体 CN Light" w:eastAsia="思源黑体 CN Light" w:hAnsi="思源黑体 CN Light" w:cs="Times New Roman" w:hint="eastAsia"/>
          <w:color w:val="000000" w:themeColor="text1"/>
          <w:sz w:val="21"/>
          <w:szCs w:val="20"/>
        </w:rPr>
        <w:t>，</w:t>
      </w:r>
      <w:r>
        <w:rPr>
          <w:rFonts w:ascii="思源黑体 CN Light" w:eastAsia="思源黑体 CN Light" w:hAnsi="思源黑体 CN Light" w:cs="Times New Roman"/>
          <w:color w:val="000000" w:themeColor="text1"/>
          <w:sz w:val="21"/>
          <w:szCs w:val="20"/>
        </w:rPr>
        <w:t>为国产芯片“量身定制”</w:t>
      </w:r>
      <w:r>
        <w:rPr>
          <w:rFonts w:ascii="思源黑体 CN Light" w:eastAsia="思源黑体 CN Light" w:hAnsi="思源黑体 CN Light" w:cs="Times New Roman" w:hint="eastAsia"/>
          <w:color w:val="000000" w:themeColor="text1"/>
          <w:sz w:val="21"/>
          <w:szCs w:val="20"/>
        </w:rPr>
        <w:t>的</w:t>
      </w:r>
      <w:r>
        <w:rPr>
          <w:rFonts w:ascii="思源黑体 CN Light" w:eastAsia="思源黑体 CN Light" w:hAnsi="思源黑体 CN Light" w:cs="Times New Roman"/>
          <w:color w:val="000000" w:themeColor="text1"/>
          <w:sz w:val="21"/>
          <w:szCs w:val="20"/>
        </w:rPr>
        <w:t>DeepSeek V3.1发布，</w:t>
      </w:r>
      <w:r>
        <w:rPr>
          <w:rFonts w:ascii="思源黑体 CN Light" w:eastAsia="思源黑体 CN Light" w:hAnsi="思源黑体 CN Light" w:cs="Times New Roman" w:hint="eastAsia"/>
          <w:color w:val="000000" w:themeColor="text1"/>
          <w:sz w:val="21"/>
          <w:szCs w:val="20"/>
        </w:rPr>
        <w:t>较大地</w:t>
      </w:r>
      <w:r>
        <w:rPr>
          <w:rFonts w:ascii="思源黑体 CN Light" w:eastAsia="思源黑体 CN Light" w:hAnsi="思源黑体 CN Light" w:cs="Times New Roman"/>
          <w:color w:val="000000" w:themeColor="text1"/>
          <w:sz w:val="21"/>
          <w:szCs w:val="20"/>
        </w:rPr>
        <w:t>提升</w:t>
      </w:r>
      <w:proofErr w:type="gramStart"/>
      <w:r>
        <w:rPr>
          <w:rFonts w:ascii="思源黑体 CN Light" w:eastAsia="思源黑体 CN Light" w:hAnsi="思源黑体 CN Light" w:cs="Times New Roman" w:hint="eastAsia"/>
          <w:color w:val="000000" w:themeColor="text1"/>
          <w:sz w:val="21"/>
          <w:szCs w:val="20"/>
        </w:rPr>
        <w:t>了</w:t>
      </w:r>
      <w:r>
        <w:rPr>
          <w:rFonts w:ascii="思源黑体 CN Light" w:eastAsia="思源黑体 CN Light" w:hAnsi="思源黑体 CN Light" w:cs="Times New Roman"/>
          <w:color w:val="000000" w:themeColor="text1"/>
          <w:sz w:val="21"/>
          <w:szCs w:val="20"/>
        </w:rPr>
        <w:t>算力效率</w:t>
      </w:r>
      <w:proofErr w:type="gramEnd"/>
      <w:r>
        <w:rPr>
          <w:rFonts w:ascii="思源黑体 CN Light" w:eastAsia="思源黑体 CN Light" w:hAnsi="思源黑体 CN Light" w:cs="Times New Roman"/>
          <w:color w:val="000000" w:themeColor="text1"/>
          <w:sz w:val="21"/>
          <w:szCs w:val="20"/>
        </w:rPr>
        <w:t>。DeepSeek V3.1采用专为国产芯片设计的UE8M0 FP8参数精度，通过优化浮点数的动态范围和量化方式（结合E4M3精度和E5M2能效优势），显著降低国产芯片的适配成本。DeepSeek V3.1在Hugging Face和</w:t>
      </w:r>
      <w:proofErr w:type="gramStart"/>
      <w:r>
        <w:rPr>
          <w:rFonts w:ascii="思源黑体 CN Light" w:eastAsia="思源黑体 CN Light" w:hAnsi="思源黑体 CN Light" w:cs="Times New Roman"/>
          <w:color w:val="000000" w:themeColor="text1"/>
          <w:sz w:val="21"/>
          <w:szCs w:val="20"/>
        </w:rPr>
        <w:t>魔搭</w:t>
      </w:r>
      <w:proofErr w:type="gramEnd"/>
      <w:r>
        <w:rPr>
          <w:rFonts w:ascii="思源黑体 CN Light" w:eastAsia="思源黑体 CN Light" w:hAnsi="思源黑体 CN Light" w:cs="Times New Roman"/>
          <w:color w:val="000000" w:themeColor="text1"/>
          <w:sz w:val="21"/>
          <w:szCs w:val="20"/>
        </w:rPr>
        <w:t>社区开源模型权重，允许厂商根据国产芯片特性进行二次优化，适配周期从3-6个月缩短至1-2个月，成本降低</w:t>
      </w:r>
      <w:r>
        <w:rPr>
          <w:rFonts w:ascii="思源黑体 CN Light" w:eastAsia="思源黑体 CN Light" w:hAnsi="思源黑体 CN Light" w:cs="Times New Roman" w:hint="eastAsia"/>
          <w:color w:val="000000" w:themeColor="text1"/>
          <w:sz w:val="21"/>
          <w:szCs w:val="20"/>
        </w:rPr>
        <w:t>在</w:t>
      </w:r>
      <w:r>
        <w:rPr>
          <w:rFonts w:ascii="思源黑体 CN Light" w:eastAsia="思源黑体 CN Light" w:hAnsi="思源黑体 CN Light" w:cs="Times New Roman"/>
          <w:color w:val="000000" w:themeColor="text1"/>
          <w:sz w:val="21"/>
          <w:szCs w:val="20"/>
        </w:rPr>
        <w:t>80%以上</w:t>
      </w:r>
      <w:r>
        <w:rPr>
          <w:rFonts w:ascii="思源黑体 CN Light" w:eastAsia="思源黑体 CN Light" w:hAnsi="思源黑体 CN Light" w:cs="Times New Roman" w:hint="eastAsia"/>
          <w:color w:val="000000" w:themeColor="text1"/>
          <w:sz w:val="21"/>
          <w:szCs w:val="20"/>
        </w:rPr>
        <w:t>。</w:t>
      </w:r>
    </w:p>
    <w:p w14:paraId="1EA2E183" w14:textId="6E059DC7" w:rsidR="000C7436" w:rsidRDefault="00000000">
      <w:pPr>
        <w:tabs>
          <w:tab w:val="left" w:pos="5594"/>
        </w:tabs>
        <w:ind w:firstLineChars="200" w:firstLine="420"/>
        <w:rPr>
          <w:rFonts w:ascii="思源黑体 CN Light" w:eastAsia="思源黑体 CN Light" w:hAnsi="思源黑体 CN Light" w:cs="Times New Roman"/>
          <w:color w:val="000000" w:themeColor="text1"/>
          <w:sz w:val="21"/>
          <w:szCs w:val="20"/>
        </w:rPr>
      </w:pPr>
      <w:proofErr w:type="gramStart"/>
      <w:r>
        <w:rPr>
          <w:rFonts w:ascii="思源黑体 CN Light" w:eastAsia="思源黑体 CN Light" w:hAnsi="思源黑体 CN Light" w:cs="Times New Roman" w:hint="eastAsia"/>
          <w:color w:val="000000" w:themeColor="text1"/>
          <w:sz w:val="21"/>
          <w:szCs w:val="20"/>
        </w:rPr>
        <w:t>海外算力方面</w:t>
      </w:r>
      <w:proofErr w:type="gramEnd"/>
      <w:r>
        <w:rPr>
          <w:rFonts w:ascii="思源黑体 CN Light" w:eastAsia="思源黑体 CN Light" w:hAnsi="思源黑体 CN Light" w:cs="Times New Roman" w:hint="eastAsia"/>
          <w:color w:val="000000" w:themeColor="text1"/>
          <w:sz w:val="21"/>
          <w:szCs w:val="20"/>
        </w:rPr>
        <w:t>，某</w:t>
      </w:r>
      <w:proofErr w:type="gramStart"/>
      <w:r>
        <w:rPr>
          <w:rFonts w:ascii="思源黑体 CN Light" w:eastAsia="思源黑体 CN Light" w:hAnsi="思源黑体 CN Light" w:cs="Times New Roman" w:hint="eastAsia"/>
          <w:color w:val="000000" w:themeColor="text1"/>
          <w:sz w:val="21"/>
          <w:szCs w:val="20"/>
        </w:rPr>
        <w:t>两家台系</w:t>
      </w:r>
      <w:proofErr w:type="gramEnd"/>
      <w:r>
        <w:rPr>
          <w:rFonts w:ascii="思源黑体 CN Light" w:eastAsia="思源黑体 CN Light" w:hAnsi="思源黑体 CN Light" w:cs="Times New Roman" w:hint="eastAsia"/>
          <w:color w:val="000000" w:themeColor="text1"/>
          <w:sz w:val="21"/>
          <w:szCs w:val="20"/>
        </w:rPr>
        <w:t>ODM</w:t>
      </w:r>
      <w:r w:rsidR="00B920D5">
        <w:rPr>
          <w:rFonts w:ascii="思源黑体 CN Light" w:eastAsia="思源黑体 CN Light" w:hAnsi="思源黑体 CN Light" w:cs="Times New Roman" w:hint="eastAsia"/>
          <w:color w:val="000000" w:themeColor="text1"/>
          <w:sz w:val="21"/>
          <w:szCs w:val="20"/>
        </w:rPr>
        <w:t>厂商</w:t>
      </w:r>
      <w:r>
        <w:rPr>
          <w:rFonts w:ascii="思源黑体 CN Light" w:eastAsia="思源黑体 CN Light" w:hAnsi="思源黑体 CN Light" w:cs="Times New Roman" w:hint="eastAsia"/>
          <w:color w:val="000000" w:themeColor="text1"/>
          <w:sz w:val="21"/>
          <w:szCs w:val="20"/>
        </w:rPr>
        <w:t>7月AI服务器</w:t>
      </w:r>
      <w:proofErr w:type="gramStart"/>
      <w:r>
        <w:rPr>
          <w:rFonts w:ascii="思源黑体 CN Light" w:eastAsia="思源黑体 CN Light" w:hAnsi="思源黑体 CN Light" w:cs="Times New Roman" w:hint="eastAsia"/>
          <w:color w:val="000000" w:themeColor="text1"/>
          <w:sz w:val="21"/>
          <w:szCs w:val="20"/>
        </w:rPr>
        <w:t>营收环比</w:t>
      </w:r>
      <w:proofErr w:type="gramEnd"/>
      <w:r>
        <w:rPr>
          <w:rFonts w:ascii="思源黑体 CN Light" w:eastAsia="思源黑体 CN Light" w:hAnsi="思源黑体 CN Light" w:cs="Times New Roman" w:hint="eastAsia"/>
          <w:color w:val="000000" w:themeColor="text1"/>
          <w:sz w:val="21"/>
          <w:szCs w:val="20"/>
        </w:rPr>
        <w:t>分别增长34%、28%，有效印证</w:t>
      </w:r>
      <w:r w:rsidR="007F6727">
        <w:rPr>
          <w:rFonts w:ascii="思源黑体 CN Light" w:eastAsia="思源黑体 CN Light" w:hAnsi="思源黑体 CN Light" w:cs="Times New Roman" w:hint="eastAsia"/>
          <w:color w:val="000000" w:themeColor="text1"/>
          <w:sz w:val="21"/>
          <w:szCs w:val="20"/>
        </w:rPr>
        <w:t>“</w:t>
      </w:r>
      <w:r w:rsidR="007F6727">
        <w:rPr>
          <w:rFonts w:ascii="思源黑体 CN Light" w:eastAsia="思源黑体 CN Light" w:hAnsi="思源黑体 CN Light" w:cs="Times New Roman" w:hint="eastAsia"/>
          <w:color w:val="000000" w:themeColor="text1"/>
          <w:sz w:val="21"/>
          <w:szCs w:val="20"/>
        </w:rPr>
        <w:t>北美算力链</w:t>
      </w:r>
      <w:r w:rsidR="007F6727">
        <w:rPr>
          <w:rFonts w:ascii="思源黑体 CN Light" w:eastAsia="思源黑体 CN Light" w:hAnsi="思源黑体 CN Light" w:cs="Times New Roman" w:hint="eastAsia"/>
          <w:color w:val="000000" w:themeColor="text1"/>
          <w:sz w:val="21"/>
          <w:szCs w:val="20"/>
        </w:rPr>
        <w:t>”</w:t>
      </w:r>
      <w:r>
        <w:rPr>
          <w:rFonts w:ascii="思源黑体 CN Light" w:eastAsia="思源黑体 CN Light" w:hAnsi="思源黑体 CN Light" w:cs="Times New Roman" w:hint="eastAsia"/>
          <w:color w:val="000000" w:themeColor="text1"/>
          <w:sz w:val="21"/>
          <w:szCs w:val="20"/>
        </w:rPr>
        <w:t>的高景气。某芯片龙头公司官方公众号提到Scale-Across，要将十亿瓦级（就是GW级别）数据中心互联成AI超级工厂，采用Spectrum-XGS。Scale-Across类似于搭建“第四层网络”，提升光模块用量，利好</w:t>
      </w:r>
      <w:proofErr w:type="gramStart"/>
      <w:r>
        <w:rPr>
          <w:rFonts w:ascii="思源黑体 CN Light" w:eastAsia="思源黑体 CN Light" w:hAnsi="思源黑体 CN Light" w:cs="Times New Roman" w:hint="eastAsia"/>
          <w:color w:val="000000" w:themeColor="text1"/>
          <w:sz w:val="21"/>
          <w:szCs w:val="20"/>
        </w:rPr>
        <w:t>海外算力需求</w:t>
      </w:r>
      <w:proofErr w:type="gramEnd"/>
      <w:r>
        <w:rPr>
          <w:rFonts w:ascii="思源黑体 CN Light" w:eastAsia="思源黑体 CN Light" w:hAnsi="思源黑体 CN Light" w:cs="Times New Roman" w:hint="eastAsia"/>
          <w:color w:val="000000" w:themeColor="text1"/>
          <w:sz w:val="21"/>
          <w:szCs w:val="20"/>
        </w:rPr>
        <w:t>。</w:t>
      </w:r>
    </w:p>
    <w:p w14:paraId="69B22013" w14:textId="77777777" w:rsidR="000C7436" w:rsidRDefault="00000000">
      <w:pPr>
        <w:tabs>
          <w:tab w:val="left" w:pos="5594"/>
        </w:tabs>
        <w:ind w:firstLineChars="200" w:firstLine="420"/>
        <w:rPr>
          <w:rFonts w:ascii="思源黑体 CN Light" w:eastAsia="思源黑体 CN Light" w:hAnsi="思源黑体 CN Light" w:cs="Times New Roman"/>
          <w:color w:val="000000" w:themeColor="text1"/>
          <w:sz w:val="21"/>
          <w:szCs w:val="20"/>
        </w:rPr>
      </w:pPr>
      <w:r>
        <w:rPr>
          <w:rFonts w:ascii="思源黑体 CN Light" w:eastAsia="思源黑体 CN Light" w:hAnsi="思源黑体 CN Light" w:cs="Times New Roman" w:hint="eastAsia"/>
          <w:color w:val="000000" w:themeColor="text1"/>
          <w:sz w:val="21"/>
          <w:szCs w:val="20"/>
        </w:rPr>
        <w:lastRenderedPageBreak/>
        <w:t>展望后市，我们持续看好以光模块为代表的AI</w:t>
      </w:r>
      <w:proofErr w:type="gramStart"/>
      <w:r>
        <w:rPr>
          <w:rFonts w:ascii="思源黑体 CN Light" w:eastAsia="思源黑体 CN Light" w:hAnsi="思源黑体 CN Light" w:cs="Times New Roman" w:hint="eastAsia"/>
          <w:color w:val="000000" w:themeColor="text1"/>
          <w:sz w:val="21"/>
          <w:szCs w:val="20"/>
        </w:rPr>
        <w:t>算力板块</w:t>
      </w:r>
      <w:proofErr w:type="gramEnd"/>
      <w:r>
        <w:rPr>
          <w:rFonts w:ascii="思源黑体 CN Light" w:eastAsia="思源黑体 CN Light" w:hAnsi="思源黑体 CN Light" w:cs="Times New Roman" w:hint="eastAsia"/>
          <w:color w:val="000000" w:themeColor="text1"/>
          <w:sz w:val="21"/>
          <w:szCs w:val="20"/>
        </w:rPr>
        <w:t>。我们认为更高效的网络架构和更大带宽的支持将成为未来数据中心</w:t>
      </w:r>
      <w:proofErr w:type="gramStart"/>
      <w:r>
        <w:rPr>
          <w:rFonts w:ascii="思源黑体 CN Light" w:eastAsia="思源黑体 CN Light" w:hAnsi="思源黑体 CN Light" w:cs="Times New Roman" w:hint="eastAsia"/>
          <w:color w:val="000000" w:themeColor="text1"/>
          <w:sz w:val="21"/>
          <w:szCs w:val="20"/>
        </w:rPr>
        <w:t>和算力平台</w:t>
      </w:r>
      <w:proofErr w:type="gramEnd"/>
      <w:r>
        <w:rPr>
          <w:rFonts w:ascii="思源黑体 CN Light" w:eastAsia="思源黑体 CN Light" w:hAnsi="思源黑体 CN Light" w:cs="Times New Roman" w:hint="eastAsia"/>
          <w:color w:val="000000" w:themeColor="text1"/>
          <w:sz w:val="21"/>
          <w:szCs w:val="20"/>
        </w:rPr>
        <w:t>提升计算效率的关键因素之一，光通信、PCB、高功率电源、液冷等国内相关产业链环节或将持续受益。在技术追赶和政策催化的背景下，</w:t>
      </w:r>
      <w:proofErr w:type="gramStart"/>
      <w:r>
        <w:rPr>
          <w:rFonts w:ascii="思源黑体 CN Light" w:eastAsia="思源黑体 CN Light" w:hAnsi="思源黑体 CN Light" w:cs="Times New Roman" w:hint="eastAsia"/>
          <w:color w:val="000000" w:themeColor="text1"/>
          <w:sz w:val="21"/>
          <w:szCs w:val="20"/>
        </w:rPr>
        <w:t>国内算力或</w:t>
      </w:r>
      <w:proofErr w:type="gramEnd"/>
      <w:r>
        <w:rPr>
          <w:rFonts w:ascii="思源黑体 CN Light" w:eastAsia="思源黑体 CN Light" w:hAnsi="思源黑体 CN Light" w:cs="Times New Roman" w:hint="eastAsia"/>
          <w:color w:val="000000" w:themeColor="text1"/>
          <w:sz w:val="21"/>
          <w:szCs w:val="20"/>
        </w:rPr>
        <w:t>将迎来加速发展的机会。</w:t>
      </w:r>
    </w:p>
    <w:p w14:paraId="71856FA9" w14:textId="77777777" w:rsidR="000C7436" w:rsidRDefault="000C7436">
      <w:pPr>
        <w:tabs>
          <w:tab w:val="left" w:pos="5594"/>
        </w:tabs>
        <w:ind w:firstLineChars="200" w:firstLine="420"/>
        <w:rPr>
          <w:rFonts w:ascii="思源黑体 CN Light" w:eastAsia="思源黑体 CN Light" w:hAnsi="思源黑体 CN Light" w:cs="Times New Roman"/>
          <w:color w:val="000000"/>
          <w:sz w:val="21"/>
          <w:szCs w:val="20"/>
          <w:shd w:val="clear" w:color="auto" w:fill="FFFFFF"/>
        </w:rPr>
      </w:pPr>
    </w:p>
    <w:bookmarkEnd w:id="1"/>
    <w:p w14:paraId="2719A2C7" w14:textId="77777777" w:rsidR="000C7436" w:rsidRDefault="00000000">
      <w:pPr>
        <w:pStyle w:val="2"/>
        <w:tabs>
          <w:tab w:val="left" w:pos="4364"/>
          <w:tab w:val="right" w:pos="10204"/>
        </w:tabs>
        <w:rPr>
          <w:rFonts w:ascii="思源黑体 CN Light" w:eastAsia="思源黑体 CN Light" w:hAnsi="思源黑体 CN Light" w:cs="Times New Roman"/>
          <w:b/>
          <w:bCs/>
          <w:sz w:val="22"/>
          <w:szCs w:val="24"/>
        </w:rPr>
      </w:pPr>
      <w:r>
        <w:rPr>
          <w:rFonts w:ascii="思源黑体 CN Light" w:eastAsia="思源黑体 CN Light" w:hAnsi="思源黑体 CN Light" w:cs="Times New Roman"/>
          <w:b/>
          <w:bCs/>
          <w:sz w:val="22"/>
          <w:szCs w:val="24"/>
        </w:rPr>
        <w:t>三、本周展望</w:t>
      </w:r>
    </w:p>
    <w:p w14:paraId="1D8673DA" w14:textId="77777777" w:rsidR="000C7436" w:rsidRDefault="00000000">
      <w:pPr>
        <w:ind w:firstLineChars="200" w:firstLine="420"/>
        <w:rPr>
          <w:rFonts w:ascii="思源黑体 CN Light" w:eastAsia="思源黑体 CN Light" w:hAnsi="思源黑体 CN Light" w:cs="Times New Roman"/>
          <w:color w:val="000000"/>
          <w:sz w:val="21"/>
          <w:szCs w:val="20"/>
          <w:shd w:val="clear" w:color="auto" w:fill="FFFFFF"/>
        </w:rPr>
      </w:pPr>
      <w:bookmarkStart w:id="2" w:name="OLE_LINK1"/>
      <w:r>
        <w:rPr>
          <w:rFonts w:ascii="思源黑体 CN Light" w:eastAsia="思源黑体 CN Light" w:hAnsi="思源黑体 CN Light" w:cs="Times New Roman" w:hint="eastAsia"/>
          <w:color w:val="000000"/>
          <w:sz w:val="21"/>
          <w:szCs w:val="20"/>
          <w:shd w:val="clear" w:color="auto" w:fill="FFFFFF"/>
        </w:rPr>
        <w:t>上周权益市场延续强势表现，上证指数突破3800点，创阶段性新高。</w:t>
      </w:r>
      <w:proofErr w:type="gramStart"/>
      <w:r>
        <w:rPr>
          <w:rFonts w:ascii="思源黑体 CN Light" w:eastAsia="思源黑体 CN Light" w:hAnsi="思源黑体 CN Light" w:cs="Times New Roman" w:hint="eastAsia"/>
          <w:color w:val="000000"/>
          <w:sz w:val="21"/>
          <w:szCs w:val="20"/>
          <w:shd w:val="clear" w:color="auto" w:fill="FFFFFF"/>
        </w:rPr>
        <w:t>以科创为</w:t>
      </w:r>
      <w:proofErr w:type="gramEnd"/>
      <w:r>
        <w:rPr>
          <w:rFonts w:ascii="思源黑体 CN Light" w:eastAsia="思源黑体 CN Light" w:hAnsi="思源黑体 CN Light" w:cs="Times New Roman" w:hint="eastAsia"/>
          <w:color w:val="000000"/>
          <w:sz w:val="21"/>
          <w:szCs w:val="20"/>
          <w:shd w:val="clear" w:color="auto" w:fill="FFFFFF"/>
        </w:rPr>
        <w:t>代表的科技成长板块涨幅较大，其中AI板块仍是市场重点关注的产业方向。同时AI板块内部已从前期的“北美算力链”轮动至近期的“国产算力链”，呈现出全面开花的态势。</w:t>
      </w:r>
    </w:p>
    <w:p w14:paraId="4A173794" w14:textId="38E03167" w:rsidR="000C7436" w:rsidRDefault="00000000">
      <w:pPr>
        <w:ind w:firstLineChars="200" w:firstLine="420"/>
        <w:rPr>
          <w:rFonts w:ascii="思源黑体 CN Light" w:eastAsia="思源黑体 CN Light" w:hAnsi="思源黑体 CN Light" w:cs="Times New Roman"/>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从历史经验来看，每一轮向好行情都由特定的产业逻辑主导，并贯穿行情始终。如2014</w:t>
      </w:r>
      <w:r>
        <w:rPr>
          <w:rFonts w:ascii="微软雅黑" w:eastAsia="微软雅黑" w:hAnsi="微软雅黑" w:cs="微软雅黑" w:hint="eastAsia"/>
          <w:color w:val="000000"/>
          <w:sz w:val="21"/>
          <w:szCs w:val="20"/>
          <w:shd w:val="clear" w:color="auto" w:fill="FFFFFF"/>
        </w:rPr>
        <w:t>~</w:t>
      </w:r>
      <w:r>
        <w:rPr>
          <w:rFonts w:ascii="思源黑体 CN Light" w:eastAsia="思源黑体 CN Light" w:hAnsi="思源黑体 CN Light" w:cs="Times New Roman" w:hint="eastAsia"/>
          <w:color w:val="000000"/>
          <w:sz w:val="21"/>
          <w:szCs w:val="20"/>
          <w:shd w:val="clear" w:color="auto" w:fill="FFFFFF"/>
        </w:rPr>
        <w:t>2015年的移动互联网，2019</w:t>
      </w:r>
      <w:r>
        <w:rPr>
          <w:rFonts w:ascii="微软雅黑" w:eastAsia="微软雅黑" w:hAnsi="微软雅黑" w:cs="微软雅黑" w:hint="eastAsia"/>
          <w:color w:val="000000"/>
          <w:sz w:val="21"/>
          <w:szCs w:val="20"/>
          <w:shd w:val="clear" w:color="auto" w:fill="FFFFFF"/>
        </w:rPr>
        <w:t>~</w:t>
      </w:r>
      <w:r>
        <w:rPr>
          <w:rFonts w:ascii="思源黑体 CN Light" w:eastAsia="思源黑体 CN Light" w:hAnsi="思源黑体 CN Light" w:cs="Times New Roman" w:hint="eastAsia"/>
          <w:color w:val="000000"/>
          <w:sz w:val="21"/>
          <w:szCs w:val="20"/>
          <w:shd w:val="clear" w:color="auto" w:fill="FFFFFF"/>
        </w:rPr>
        <w:t>2021年的新能源、半导体等。本轮行情自2024年9月启动以来，AI产业已成为核心主线之一。AI产业市场空间大、产业</w:t>
      </w:r>
      <w:proofErr w:type="gramStart"/>
      <w:r>
        <w:rPr>
          <w:rFonts w:ascii="思源黑体 CN Light" w:eastAsia="思源黑体 CN Light" w:hAnsi="思源黑体 CN Light" w:cs="Times New Roman" w:hint="eastAsia"/>
          <w:color w:val="000000"/>
          <w:sz w:val="21"/>
          <w:szCs w:val="20"/>
          <w:shd w:val="clear" w:color="auto" w:fill="FFFFFF"/>
        </w:rPr>
        <w:t>纵</w:t>
      </w:r>
      <w:proofErr w:type="gramEnd"/>
      <w:r>
        <w:rPr>
          <w:rFonts w:ascii="思源黑体 CN Light" w:eastAsia="思源黑体 CN Light" w:hAnsi="思源黑体 CN Light" w:cs="Times New Roman" w:hint="eastAsia"/>
          <w:color w:val="000000"/>
          <w:sz w:val="21"/>
          <w:szCs w:val="20"/>
          <w:shd w:val="clear" w:color="auto" w:fill="FFFFFF"/>
        </w:rPr>
        <w:t>深广、政策重点支持，既有业绩驱动的“北美算力链”，也有预期主动的“国产算力链”和AI应用端。在中期维度上，建议投资者不要主观预设公司股价高度，而应持续挖掘具备预期差与边际增量的标的，顺势而为。</w:t>
      </w:r>
    </w:p>
    <w:p w14:paraId="77BC0A3F" w14:textId="77777777" w:rsidR="000C7436" w:rsidRDefault="00000000">
      <w:pPr>
        <w:ind w:firstLineChars="200" w:firstLine="420"/>
        <w:rPr>
          <w:rFonts w:ascii="思源黑体 CN Light" w:eastAsia="思源黑体 CN Light" w:hAnsi="思源黑体 CN Light" w:cs="Times New Roman"/>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短期来看，美联储主席鲍威尔在杰克逊霍尔央行年会上释放“鸽派”信号，市场开始加大</w:t>
      </w:r>
      <w:proofErr w:type="gramStart"/>
      <w:r>
        <w:rPr>
          <w:rFonts w:ascii="思源黑体 CN Light" w:eastAsia="思源黑体 CN Light" w:hAnsi="思源黑体 CN Light" w:cs="Times New Roman" w:hint="eastAsia"/>
          <w:color w:val="000000"/>
          <w:sz w:val="21"/>
          <w:szCs w:val="20"/>
          <w:shd w:val="clear" w:color="auto" w:fill="FFFFFF"/>
        </w:rPr>
        <w:t>押注美联储</w:t>
      </w:r>
      <w:proofErr w:type="gramEnd"/>
      <w:r>
        <w:rPr>
          <w:rFonts w:ascii="思源黑体 CN Light" w:eastAsia="思源黑体 CN Light" w:hAnsi="思源黑体 CN Light" w:cs="Times New Roman" w:hint="eastAsia"/>
          <w:color w:val="000000"/>
          <w:sz w:val="21"/>
          <w:szCs w:val="20"/>
          <w:shd w:val="clear" w:color="auto" w:fill="FFFFFF"/>
        </w:rPr>
        <w:t>9月降息的力度，或将进一步推</w:t>
      </w:r>
      <w:proofErr w:type="gramStart"/>
      <w:r>
        <w:rPr>
          <w:rFonts w:ascii="思源黑体 CN Light" w:eastAsia="思源黑体 CN Light" w:hAnsi="思源黑体 CN Light" w:cs="Times New Roman" w:hint="eastAsia"/>
          <w:color w:val="000000"/>
          <w:sz w:val="21"/>
          <w:szCs w:val="20"/>
          <w:shd w:val="clear" w:color="auto" w:fill="FFFFFF"/>
        </w:rPr>
        <w:t>升科技</w:t>
      </w:r>
      <w:proofErr w:type="gramEnd"/>
      <w:r>
        <w:rPr>
          <w:rFonts w:ascii="思源黑体 CN Light" w:eastAsia="思源黑体 CN Light" w:hAnsi="思源黑体 CN Light" w:cs="Times New Roman" w:hint="eastAsia"/>
          <w:color w:val="000000"/>
          <w:sz w:val="21"/>
          <w:szCs w:val="20"/>
          <w:shd w:val="clear" w:color="auto" w:fill="FFFFFF"/>
        </w:rPr>
        <w:t>成长板块的风险偏好。科技板块指数已出现短期加速上涨的趋势，后续波动或随之放大。短期或许并非科技板块最佳加仓或建仓试点，但如我们之前所述，主线产业往往</w:t>
      </w:r>
      <w:proofErr w:type="gramStart"/>
      <w:r>
        <w:rPr>
          <w:rFonts w:ascii="思源黑体 CN Light" w:eastAsia="思源黑体 CN Light" w:hAnsi="思源黑体 CN Light" w:cs="Times New Roman" w:hint="eastAsia"/>
          <w:color w:val="000000"/>
          <w:sz w:val="21"/>
          <w:szCs w:val="20"/>
          <w:shd w:val="clear" w:color="auto" w:fill="FFFFFF"/>
        </w:rPr>
        <w:t>贯穿整轮行情</w:t>
      </w:r>
      <w:proofErr w:type="gramEnd"/>
      <w:r>
        <w:rPr>
          <w:rFonts w:ascii="思源黑体 CN Light" w:eastAsia="思源黑体 CN Light" w:hAnsi="思源黑体 CN Light" w:cs="Times New Roman" w:hint="eastAsia"/>
          <w:color w:val="000000"/>
          <w:sz w:val="21"/>
          <w:szCs w:val="20"/>
          <w:shd w:val="clear" w:color="auto" w:fill="FFFFFF"/>
        </w:rPr>
        <w:t>，建议保持耐心。</w:t>
      </w:r>
    </w:p>
    <w:bookmarkEnd w:id="2"/>
    <w:p w14:paraId="03E1F8CB" w14:textId="77777777" w:rsidR="000C7436" w:rsidRDefault="000C7436">
      <w:pPr>
        <w:rPr>
          <w:rFonts w:ascii="思源黑体 CN Light" w:eastAsia="思源黑体 CN Light" w:hAnsi="思源黑体 CN Light" w:cs="Times New Roman"/>
          <w:color w:val="000000"/>
          <w:sz w:val="21"/>
          <w:szCs w:val="20"/>
          <w:shd w:val="clear" w:color="auto" w:fill="FFFFFF"/>
        </w:rPr>
      </w:pPr>
    </w:p>
    <w:p w14:paraId="0F12386D" w14:textId="77777777" w:rsidR="000C7436" w:rsidRDefault="000C7436">
      <w:pPr>
        <w:pStyle w:val="af2"/>
        <w:ind w:firstLineChars="0" w:firstLine="0"/>
        <w:rPr>
          <w:rFonts w:ascii="思源黑体 CN Light" w:eastAsia="思源黑体 CN Light" w:hAnsi="思源黑体 CN Light" w:cs="Times New Roman"/>
          <w:sz w:val="20"/>
          <w:szCs w:val="20"/>
        </w:rPr>
      </w:pPr>
    </w:p>
    <w:p w14:paraId="490B554F" w14:textId="77777777" w:rsidR="000C7436" w:rsidRDefault="00000000">
      <w:pPr>
        <w:ind w:firstLineChars="200" w:firstLine="360"/>
        <w:rPr>
          <w:rFonts w:hint="eastAsia"/>
        </w:rPr>
      </w:pPr>
      <w:r>
        <w:rPr>
          <w:rFonts w:ascii="思源黑体 CN Light" w:eastAsia="思源黑体 CN Light" w:hAnsi="思源黑体 CN Light" w:hint="eastAsia"/>
          <w:sz w:val="18"/>
          <w:szCs w:val="15"/>
        </w:rPr>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w:t>
      </w:r>
      <w:r>
        <w:rPr>
          <w:rFonts w:ascii="思源黑体 CN Light" w:eastAsia="思源黑体 CN Light" w:hAnsi="思源黑体 CN Light"/>
          <w:sz w:val="18"/>
          <w:szCs w:val="15"/>
        </w:rPr>
        <w:lastRenderedPageBreak/>
        <w:t>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p w14:paraId="52D49BE1" w14:textId="77777777" w:rsidR="000C7436" w:rsidRDefault="000C7436">
      <w:pPr>
        <w:rPr>
          <w:rFonts w:hint="eastAsia"/>
        </w:rPr>
      </w:pPr>
    </w:p>
    <w:p w14:paraId="416CDAF5" w14:textId="77777777" w:rsidR="000C7436" w:rsidRDefault="000C7436">
      <w:pPr>
        <w:rPr>
          <w:rFonts w:hint="eastAsia"/>
        </w:rPr>
      </w:pPr>
    </w:p>
    <w:p w14:paraId="0818C924" w14:textId="77777777" w:rsidR="000C7436" w:rsidRDefault="000C7436">
      <w:pPr>
        <w:rPr>
          <w:rFonts w:hint="eastAsia"/>
        </w:rPr>
      </w:pPr>
    </w:p>
    <w:p w14:paraId="39E91F47" w14:textId="77777777" w:rsidR="000C7436" w:rsidRDefault="000C7436">
      <w:pPr>
        <w:rPr>
          <w:rFonts w:hint="eastAsia"/>
        </w:rPr>
      </w:pPr>
    </w:p>
    <w:sectPr w:rsidR="000C7436">
      <w:headerReference w:type="even" r:id="rId8"/>
      <w:headerReference w:type="default" r:id="rId9"/>
      <w:footerReference w:type="even" r:id="rId10"/>
      <w:footerReference w:type="default" r:id="rId11"/>
      <w:headerReference w:type="first" r:id="rId12"/>
      <w:footerReference w:type="first" r:id="rId13"/>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90DC" w14:textId="77777777" w:rsidR="00370B63" w:rsidRDefault="00370B63">
      <w:pPr>
        <w:spacing w:line="240" w:lineRule="auto"/>
        <w:rPr>
          <w:rFonts w:hint="eastAsia"/>
        </w:rPr>
      </w:pPr>
      <w:r>
        <w:separator/>
      </w:r>
    </w:p>
  </w:endnote>
  <w:endnote w:type="continuationSeparator" w:id="0">
    <w:p w14:paraId="46B1BEFA" w14:textId="77777777" w:rsidR="00370B63" w:rsidRDefault="00370B6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12A0" w14:textId="77777777" w:rsidR="00B920D5" w:rsidRDefault="00B920D5">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D547" w14:textId="0E06F5BE" w:rsidR="000C7436" w:rsidRDefault="00000000">
    <w:pPr>
      <w:pStyle w:val="a3"/>
      <w:tabs>
        <w:tab w:val="center" w:pos="5102"/>
        <w:tab w:val="left" w:pos="6847"/>
      </w:tabs>
      <w:rPr>
        <w:rFonts w:hint="eastAsia"/>
      </w:rPr>
    </w:pPr>
    <w:r>
      <w:tab/>
    </w:r>
    <w:r>
      <w:tab/>
    </w:r>
    <w:sdt>
      <w:sdtPr>
        <w:id w:val="1107850672"/>
      </w:sdtPr>
      <w:sdtContent>
        <w:sdt>
          <w:sdtPr>
            <w:id w:val="1728636285"/>
          </w:sdtPr>
          <w:sdtContent>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sdtContent>
        </w:sdt>
      </w:sdtContent>
    </w:sdt>
    <w:r>
      <w:tab/>
    </w:r>
  </w:p>
  <w:p w14:paraId="6DA0E97E" w14:textId="77777777" w:rsidR="000C7436" w:rsidRDefault="000C7436">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74A" w14:textId="77777777" w:rsidR="00B920D5" w:rsidRDefault="00B920D5">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A83B" w14:textId="77777777" w:rsidR="00370B63" w:rsidRDefault="00370B63">
      <w:pPr>
        <w:rPr>
          <w:rFonts w:hint="eastAsia"/>
        </w:rPr>
      </w:pPr>
      <w:r>
        <w:separator/>
      </w:r>
    </w:p>
  </w:footnote>
  <w:footnote w:type="continuationSeparator" w:id="0">
    <w:p w14:paraId="5F01512E" w14:textId="77777777" w:rsidR="00370B63" w:rsidRDefault="00370B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6ACC" w14:textId="77777777" w:rsidR="00B920D5" w:rsidRDefault="00B920D5">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0C7436" w14:paraId="2974DA88" w14:textId="77777777">
      <w:trPr>
        <w:trHeight w:val="424"/>
      </w:trPr>
      <w:tc>
        <w:tcPr>
          <w:tcW w:w="3652" w:type="dxa"/>
          <w:shd w:val="clear" w:color="auto" w:fill="F3F3F3"/>
          <w:vAlign w:val="center"/>
        </w:tcPr>
        <w:p w14:paraId="3607D75F" w14:textId="77777777" w:rsidR="000C7436" w:rsidRDefault="00000000">
          <w:pPr>
            <w:pStyle w:val="a5"/>
            <w:pBdr>
              <w:bottom w:val="none" w:sz="0" w:space="0" w:color="auto"/>
            </w:pBdr>
            <w:jc w:val="right"/>
            <w:rPr>
              <w:rFonts w:ascii="Times New Roman" w:eastAsia="宋体" w:hAnsi="Times New Roman" w:cs="Times New Roman"/>
              <w:kern w:val="0"/>
            </w:rPr>
          </w:pPr>
          <w:r>
            <w:rPr>
              <w:rFonts w:ascii="Times New Roman" w:eastAsia="宋体" w:hAnsi="Times New Roman" w:cs="Times New Roman" w:hint="eastAsia"/>
              <w:kern w:val="0"/>
            </w:rPr>
            <w:t>证券研究报告</w:t>
          </w:r>
        </w:p>
      </w:tc>
      <w:tc>
        <w:tcPr>
          <w:tcW w:w="284" w:type="dxa"/>
          <w:shd w:val="clear" w:color="auto" w:fill="C3E2F4"/>
        </w:tcPr>
        <w:p w14:paraId="65DE1E2B" w14:textId="77777777" w:rsidR="000C7436" w:rsidRDefault="000C7436">
          <w:pPr>
            <w:pStyle w:val="a5"/>
            <w:pBdr>
              <w:bottom w:val="none" w:sz="0" w:space="0" w:color="auto"/>
            </w:pBdr>
            <w:jc w:val="left"/>
            <w:rPr>
              <w:rFonts w:ascii="Times New Roman" w:eastAsia="宋体" w:hAnsi="Times New Roman" w:cs="Times New Roman"/>
              <w:kern w:val="0"/>
            </w:rPr>
          </w:pPr>
        </w:p>
      </w:tc>
      <w:tc>
        <w:tcPr>
          <w:tcW w:w="2335" w:type="dxa"/>
          <w:shd w:val="clear" w:color="auto" w:fill="013F98"/>
          <w:vAlign w:val="center"/>
        </w:tcPr>
        <w:p w14:paraId="15383C7A" w14:textId="77777777" w:rsidR="000C7436" w:rsidRDefault="00000000">
          <w:pPr>
            <w:pStyle w:val="a5"/>
            <w:pBdr>
              <w:bottom w:val="none" w:sz="0" w:space="0" w:color="auto"/>
            </w:pBdr>
            <w:rPr>
              <w:rFonts w:ascii="Times New Roman" w:eastAsia="宋体" w:hAnsi="Times New Roman" w:cs="Times New Roman"/>
              <w:kern w:val="0"/>
            </w:rPr>
          </w:pPr>
          <w:r>
            <w:rPr>
              <w:rFonts w:ascii="Times New Roman" w:eastAsia="宋体" w:hAnsi="Times New Roman" w:cs="Times New Roman" w:hint="eastAsia"/>
              <w:kern w:val="0"/>
            </w:rPr>
            <w:t>权益周报</w:t>
          </w:r>
        </w:p>
      </w:tc>
    </w:tr>
  </w:tbl>
  <w:p w14:paraId="02F04E74" w14:textId="77777777" w:rsidR="000C7436" w:rsidRDefault="00000000">
    <w:pPr>
      <w:pStyle w:val="a5"/>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14:anchorId="1E02720A" wp14:editId="5EDDA559">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5CFF" w14:textId="77777777" w:rsidR="00B920D5" w:rsidRDefault="00B920D5">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2A"/>
    <w:rsid w:val="000C7436"/>
    <w:rsid w:val="0012783F"/>
    <w:rsid w:val="002010C7"/>
    <w:rsid w:val="0025172A"/>
    <w:rsid w:val="002F63B0"/>
    <w:rsid w:val="00370B63"/>
    <w:rsid w:val="007F6727"/>
    <w:rsid w:val="0082394C"/>
    <w:rsid w:val="00852735"/>
    <w:rsid w:val="008628FF"/>
    <w:rsid w:val="008A4C60"/>
    <w:rsid w:val="00B920D5"/>
    <w:rsid w:val="00C02F61"/>
    <w:rsid w:val="00C432C0"/>
    <w:rsid w:val="00C6192E"/>
    <w:rsid w:val="0FBD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1012C"/>
  <w15:docId w15:val="{E9BA0D3B-95DE-47C9-AE5E-F3CA20E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Normal (Web)"/>
    <w:basedOn w:val="a"/>
    <w:uiPriority w:val="99"/>
    <w:semiHidden/>
    <w:unhideWhenUsed/>
    <w:qFormat/>
    <w:rPr>
      <w:rFonts w:ascii="Times New Roman" w:hAnsi="Times New Roman" w:cs="Times New Roman"/>
      <w:szCs w:val="24"/>
    </w:rPr>
  </w:style>
  <w:style w:type="paragraph" w:styleId="aa">
    <w:name w:val="Title"/>
    <w:basedOn w:val="a"/>
    <w:next w:val="a"/>
    <w:link w:val="ab"/>
    <w:uiPriority w:val="10"/>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table" w:styleId="ac">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页脚 字符"/>
    <w:basedOn w:val="a0"/>
    <w:link w:val="a3"/>
    <w:uiPriority w:val="99"/>
    <w:qFormat/>
    <w:rPr>
      <w:sz w:val="18"/>
      <w:szCs w:val="18"/>
      <w14:ligatures w14:val="none"/>
    </w:rPr>
  </w:style>
  <w:style w:type="character" w:customStyle="1" w:styleId="a6">
    <w:name w:val="页眉 字符"/>
    <w:basedOn w:val="a0"/>
    <w:link w:val="a5"/>
    <w:uiPriority w:val="99"/>
    <w:qFormat/>
    <w:rPr>
      <w:sz w:val="18"/>
      <w:szCs w:val="18"/>
      <w14:ligatures w14:val="none"/>
    </w:rPr>
  </w:style>
  <w:style w:type="paragraph" w:styleId="af2">
    <w:name w:val="No Spacing"/>
    <w:basedOn w:val="a9"/>
    <w:link w:val="af3"/>
    <w:uiPriority w:val="1"/>
    <w:qFormat/>
    <w:pPr>
      <w:widowControl/>
      <w:shd w:val="clear" w:color="auto" w:fill="FFFFFF"/>
      <w:ind w:firstLineChars="200" w:firstLine="200"/>
      <w:jc w:val="left"/>
    </w:pPr>
    <w:rPr>
      <w:rFonts w:asciiTheme="minorHAnsi" w:hAnsiTheme="minorHAnsi" w:cstheme="minorBidi"/>
      <w:kern w:val="0"/>
      <w:szCs w:val="22"/>
    </w:rPr>
  </w:style>
  <w:style w:type="character" w:customStyle="1" w:styleId="af3">
    <w:name w:val="无间隔 字符"/>
    <w:basedOn w:val="a0"/>
    <w:link w:val="af2"/>
    <w:uiPriority w:val="1"/>
    <w:qFormat/>
    <w:rPr>
      <w:kern w:val="0"/>
      <w:sz w:val="24"/>
      <w:szCs w:val="22"/>
      <w:shd w:val="clear" w:color="auto" w:fill="FFFFFF"/>
      <w14:ligatures w14:val="none"/>
    </w:rPr>
  </w:style>
  <w:style w:type="paragraph" w:styleId="af4">
    <w:name w:val="Revision"/>
    <w:hidden/>
    <w:uiPriority w:val="99"/>
    <w:unhideWhenUsed/>
    <w:rsid w:val="00B920D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828</Words>
  <Characters>1003</Characters>
  <Application>Microsoft Office Word</Application>
  <DocSecurity>0</DocSecurity>
  <Lines>28</Lines>
  <Paragraphs>16</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3</cp:revision>
  <dcterms:created xsi:type="dcterms:W3CDTF">2025-08-25T01:22:00Z</dcterms:created>
  <dcterms:modified xsi:type="dcterms:W3CDTF">2025-08-25T06:58:00Z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7A9E2F84A2C84D0B82C43C21790D7EE7_12</vt:lpwstr>
  </property>
</Properties>
</file>