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1C455">
      <w:pPr>
        <w:pStyle w:val="3"/>
        <w:tabs>
          <w:tab w:val="left" w:pos="4364"/>
          <w:tab w:val="right" w:pos="10204"/>
        </w:tabs>
        <w:jc w:val="center"/>
        <w:rPr>
          <w:rFonts w:hint="eastAsia" w:ascii="思源黑体 CN Bold" w:hAnsi="思源黑体 CN Bold" w:eastAsia="思源黑体 CN Bold" w:cs="Times New Roman"/>
          <w:b/>
          <w:color w:val="FA842D"/>
          <w:kern w:val="0"/>
          <w:sz w:val="24"/>
          <w:szCs w:val="18"/>
        </w:rPr>
      </w:pPr>
      <w:bookmarkStart w:id="0" w:name="_Hlk182226954"/>
      <w:r>
        <w:rPr>
          <w:rFonts w:hint="eastAsia" w:ascii="思源黑体 CN Bold" w:hAnsi="思源黑体 CN Bold" w:eastAsia="思源黑体 CN Bold" w:cs="Times New Roman"/>
          <w:b/>
          <w:color w:val="FA842D"/>
          <w:kern w:val="0"/>
          <w:sz w:val="24"/>
          <w:szCs w:val="18"/>
        </w:rPr>
        <w:t>富荣权益：如何把握</w:t>
      </w:r>
      <w:r>
        <w:rPr>
          <w:rFonts w:hint="eastAsia" w:ascii="思源黑体 CN Bold" w:hAnsi="思源黑体 CN Bold" w:eastAsia="思源黑体 CN Bold" w:cs="Times New Roman"/>
          <w:b/>
          <w:color w:val="FA842D"/>
          <w:kern w:val="0"/>
          <w:sz w:val="24"/>
          <w:szCs w:val="18"/>
          <w:lang w:val="en-US" w:eastAsia="zh-CN"/>
        </w:rPr>
        <w:t>当下行情</w:t>
      </w:r>
      <w:r>
        <w:rPr>
          <w:rFonts w:hint="eastAsia" w:ascii="思源黑体 CN Bold" w:hAnsi="思源黑体 CN Bold" w:eastAsia="思源黑体 CN Bold" w:cs="Times New Roman"/>
          <w:b/>
          <w:color w:val="FA842D"/>
          <w:kern w:val="0"/>
          <w:sz w:val="24"/>
          <w:szCs w:val="18"/>
        </w:rPr>
        <w:t>中景气赛道的投资机会？</w:t>
      </w:r>
    </w:p>
    <w:p w14:paraId="63C5DF52">
      <w:pPr>
        <w:pStyle w:val="3"/>
        <w:tabs>
          <w:tab w:val="left" w:pos="4364"/>
          <w:tab w:val="right" w:pos="10204"/>
        </w:tabs>
        <w:rPr>
          <w:rFonts w:hint="eastAsia" w:ascii="思源黑体 CN Light" w:hAnsi="思源黑体 CN Light" w:eastAsia="思源黑体 CN Light" w:cs="Times New Roman"/>
          <w:b/>
          <w:bCs/>
          <w:sz w:val="22"/>
          <w:szCs w:val="24"/>
        </w:rPr>
      </w:pPr>
      <w:r>
        <w:rPr>
          <w:rFonts w:hint="eastAsia" w:ascii="思源黑体 CN Light" w:hAnsi="思源黑体 CN Light" w:eastAsia="思源黑体 CN Light" w:cs="Times New Roman"/>
          <w:b/>
          <w:bCs/>
          <w:sz w:val="22"/>
          <w:szCs w:val="24"/>
        </w:rPr>
        <w:t>一</w:t>
      </w:r>
      <w:r>
        <w:rPr>
          <w:rFonts w:ascii="思源黑体 CN Light" w:hAnsi="思源黑体 CN Light" w:eastAsia="思源黑体 CN Light" w:cs="Times New Roman"/>
          <w:b/>
          <w:bCs/>
          <w:sz w:val="22"/>
          <w:szCs w:val="24"/>
        </w:rPr>
        <w:t>、</w:t>
      </w:r>
      <w:r>
        <w:rPr>
          <w:rFonts w:hint="eastAsia" w:ascii="思源黑体 CN Light" w:hAnsi="思源黑体 CN Light" w:eastAsia="思源黑体 CN Light" w:cs="Times New Roman"/>
          <w:b/>
          <w:bCs/>
          <w:sz w:val="22"/>
          <w:szCs w:val="24"/>
        </w:rPr>
        <w:t>权益</w:t>
      </w:r>
      <w:r>
        <w:rPr>
          <w:rFonts w:ascii="思源黑体 CN Light" w:hAnsi="思源黑体 CN Light" w:eastAsia="思源黑体 CN Light" w:cs="Times New Roman"/>
          <w:b/>
          <w:bCs/>
          <w:sz w:val="22"/>
          <w:szCs w:val="24"/>
        </w:rPr>
        <w:t>市场</w:t>
      </w:r>
      <w:r>
        <w:rPr>
          <w:rFonts w:hint="eastAsia" w:ascii="思源黑体 CN Light" w:hAnsi="思源黑体 CN Light" w:eastAsia="思源黑体 CN Light" w:cs="Times New Roman"/>
          <w:b/>
          <w:bCs/>
          <w:sz w:val="22"/>
          <w:szCs w:val="24"/>
        </w:rPr>
        <w:t>周度表现</w:t>
      </w:r>
    </w:p>
    <w:p w14:paraId="391542F4">
      <w:pPr>
        <w:ind w:firstLine="420" w:firstLineChars="200"/>
        <w:jc w:val="left"/>
        <w:rPr>
          <w:rFonts w:hint="eastAsia" w:ascii="思源黑体 CN Light" w:hAnsi="思源黑体 CN Light" w:eastAsia="思源黑体 CN Light" w:cs="Times New Roman"/>
          <w:color w:val="000000" w:themeColor="text1"/>
          <w:sz w:val="21"/>
          <w:szCs w:val="20"/>
          <w14:textFill>
            <w14:solidFill>
              <w14:schemeClr w14:val="tx1"/>
            </w14:solidFill>
          </w14:textFill>
        </w:rPr>
      </w:pPr>
      <w:r>
        <w:rPr>
          <w:rFonts w:hint="eastAsia" w:ascii="思源黑体 CN Light" w:hAnsi="思源黑体 CN Light" w:eastAsia="思源黑体 CN Light" w:cs="Times New Roman"/>
          <w:color w:val="000000" w:themeColor="text1"/>
          <w:sz w:val="21"/>
          <w:szCs w:val="20"/>
          <w14:textFill>
            <w14:solidFill>
              <w14:schemeClr w14:val="tx1"/>
            </w14:solidFill>
          </w14:textFill>
        </w:rPr>
        <w:t>上周（2025年8月25日至2025年8月29日，下同）权益市场普遍上涨，</w:t>
      </w:r>
      <w:r>
        <w:rPr>
          <w:rFonts w:ascii="思源黑体 CN Light" w:hAnsi="思源黑体 CN Light" w:eastAsia="思源黑体 CN Light" w:cs="Times New Roman"/>
          <w:color w:val="000000" w:themeColor="text1"/>
          <w:sz w:val="21"/>
          <w:szCs w:val="20"/>
          <w14:textFill>
            <w14:solidFill>
              <w14:schemeClr w14:val="tx1"/>
            </w14:solidFill>
          </w14:textFill>
        </w:rPr>
        <w:t>深证成指、上证指数、创业板指分别报收</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12696.15</w:t>
      </w:r>
      <w:r>
        <w:rPr>
          <w:rFonts w:ascii="思源黑体 CN Light" w:hAnsi="思源黑体 CN Light" w:eastAsia="思源黑体 CN Light" w:cs="Times New Roman"/>
          <w:color w:val="000000" w:themeColor="text1"/>
          <w:sz w:val="21"/>
          <w:szCs w:val="20"/>
          <w14:textFill>
            <w14:solidFill>
              <w14:schemeClr w14:val="tx1"/>
            </w14:solidFill>
          </w14:textFill>
        </w:rPr>
        <w:t>点、</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3857.93</w:t>
      </w:r>
      <w:r>
        <w:rPr>
          <w:rFonts w:ascii="思源黑体 CN Light" w:hAnsi="思源黑体 CN Light" w:eastAsia="思源黑体 CN Light" w:cs="Times New Roman"/>
          <w:color w:val="000000" w:themeColor="text1"/>
          <w:sz w:val="21"/>
          <w:szCs w:val="20"/>
          <w14:textFill>
            <w14:solidFill>
              <w14:schemeClr w14:val="tx1"/>
            </w14:solidFill>
          </w14:textFill>
        </w:rPr>
        <w:t>点、</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2890.13</w:t>
      </w:r>
      <w:r>
        <w:rPr>
          <w:rFonts w:ascii="思源黑体 CN Light" w:hAnsi="思源黑体 CN Light" w:eastAsia="思源黑体 CN Light" w:cs="Times New Roman"/>
          <w:color w:val="000000" w:themeColor="text1"/>
          <w:sz w:val="21"/>
          <w:szCs w:val="20"/>
          <w14:textFill>
            <w14:solidFill>
              <w14:schemeClr w14:val="tx1"/>
            </w14:solidFill>
          </w14:textFill>
        </w:rPr>
        <w:t>点</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各主要指数涨跌表现如下：创业板50（+9.27%）、创业板指（+7.74%）、科创50（+7.49%）、创成长（+6.45%）、深证成指（+4.36%）、中证500（+3.24%）、沪深300（+2.71%）、上证50（+1.63%）、中证1000（+1.03%）、上证指数（+0.84%）。</w:t>
      </w:r>
    </w:p>
    <w:p w14:paraId="7FB64F45">
      <w:pPr>
        <w:ind w:firstLine="420" w:firstLineChars="200"/>
        <w:jc w:val="left"/>
        <w:rPr>
          <w:rFonts w:hint="eastAsia" w:ascii="思源黑体 CN Light" w:hAnsi="思源黑体 CN Light" w:eastAsia="思源黑体 CN Light" w:cs="Times New Roman"/>
          <w:sz w:val="13"/>
          <w:szCs w:val="20"/>
        </w:rPr>
      </w:pPr>
      <w:r>
        <w:rPr>
          <w:rFonts w:ascii="思源黑体 CN Light" w:hAnsi="思源黑体 CN Light" w:eastAsia="思源黑体 CN Light" w:cs="Times New Roman"/>
          <w:b/>
          <w:sz w:val="21"/>
          <w:szCs w:val="20"/>
        </w:rPr>
        <w:t>图：主要股指</w:t>
      </w:r>
      <w:r>
        <w:rPr>
          <w:rFonts w:hint="eastAsia" w:ascii="思源黑体 CN Light" w:hAnsi="思源黑体 CN Light" w:eastAsia="思源黑体 CN Light" w:cs="Times New Roman"/>
          <w:b/>
          <w:sz w:val="21"/>
          <w:szCs w:val="20"/>
        </w:rPr>
        <w:t>周度/月度</w:t>
      </w:r>
      <w:r>
        <w:rPr>
          <w:rFonts w:ascii="思源黑体 CN Light" w:hAnsi="思源黑体 CN Light" w:eastAsia="思源黑体 CN Light" w:cs="Times New Roman"/>
          <w:b/>
          <w:sz w:val="21"/>
          <w:szCs w:val="20"/>
        </w:rPr>
        <w:t>涨跌幅（单位：%）</w:t>
      </w:r>
      <w:r>
        <w:rPr>
          <w:rFonts w:ascii="思源黑体 CN Light" w:hAnsi="思源黑体 CN Light" w:eastAsia="思源黑体 CN Light" w:cs="Times New Roman"/>
          <w:b/>
          <w:sz w:val="21"/>
          <w:szCs w:val="20"/>
        </w:rPr>
        <w:drawing>
          <wp:inline distT="0" distB="0" distL="0" distR="0">
            <wp:extent cx="6431280" cy="3291840"/>
            <wp:effectExtent l="0" t="0" r="7620" b="3810"/>
            <wp:docPr id="55" name="图片 54" descr="图表, 条形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4" descr="图表, 条形图&#10;&#10;AI 生成的内容可能不正确。"/>
                    <pic:cNvPicPr>
                      <a:picLocks noChangeAspect="1"/>
                    </pic:cNvPicPr>
                  </pic:nvPicPr>
                  <pic:blipFill>
                    <a:blip r:embed="rId8"/>
                    <a:stretch>
                      <a:fillRect/>
                    </a:stretch>
                  </pic:blipFill>
                  <pic:spPr>
                    <a:xfrm>
                      <a:off x="0" y="0"/>
                      <a:ext cx="6431280" cy="3291840"/>
                    </a:xfrm>
                    <a:prstGeom prst="rect">
                      <a:avLst/>
                    </a:prstGeom>
                  </pic:spPr>
                </pic:pic>
              </a:graphicData>
            </a:graphic>
          </wp:inline>
        </w:drawing>
      </w:r>
      <w:r>
        <w:rPr>
          <w:rFonts w:ascii="思源黑体 CN Light" w:hAnsi="思源黑体 CN Light" w:eastAsia="思源黑体 CN Light" w:cs="Times New Roman"/>
          <w:sz w:val="13"/>
          <w:szCs w:val="20"/>
        </w:rPr>
        <w:t>数据来源：wind，富荣基金管理有限公司</w:t>
      </w:r>
      <w:r>
        <w:rPr>
          <w:rFonts w:hint="eastAsia" w:ascii="思源黑体 CN Light" w:hAnsi="思源黑体 CN Light" w:eastAsia="思源黑体 CN Light" w:cs="Times New Roman"/>
          <w:sz w:val="13"/>
          <w:szCs w:val="20"/>
        </w:rPr>
        <w:t>；周涨跌幅统计区间：20250825-20250829；月涨跌幅统计区间：20250801-20250829</w:t>
      </w:r>
    </w:p>
    <w:p w14:paraId="100C18F5">
      <w:pPr>
        <w:ind w:firstLine="420" w:firstLineChars="200"/>
        <w:jc w:val="left"/>
        <w:rPr>
          <w:rFonts w:hint="eastAsia" w:ascii="思源黑体 CN Light" w:hAnsi="思源黑体 CN Light" w:eastAsia="思源黑体 CN Light" w:cs="Times New Roman"/>
          <w:color w:val="000000" w:themeColor="text1"/>
          <w:sz w:val="21"/>
          <w:szCs w:val="20"/>
          <w14:textFill>
            <w14:solidFill>
              <w14:schemeClr w14:val="tx1"/>
            </w14:solidFill>
          </w14:textFill>
        </w:rPr>
      </w:pPr>
      <w:r>
        <w:rPr>
          <w:rFonts w:hint="eastAsia" w:ascii="思源黑体 CN Light" w:hAnsi="思源黑体 CN Light" w:eastAsia="思源黑体 CN Light" w:cs="Times New Roman"/>
          <w:color w:val="000000" w:themeColor="text1"/>
          <w:sz w:val="21"/>
          <w:szCs w:val="20"/>
          <w14:textFill>
            <w14:solidFill>
              <w14:schemeClr w14:val="tx1"/>
            </w14:solidFill>
          </w14:textFill>
        </w:rPr>
        <w:t>各行业普遍上涨，少数行业补跌。申万一级行业指数中，通信（+12.38%）、有色金属（+7.16%）、电子（+6.28%）等行业上涨较为明显，银行（-2.13%）、煤炭（-2.76%）、纺织服饰（-2.87%）等行业补跌。</w:t>
      </w:r>
    </w:p>
    <w:p w14:paraId="6FF727EF">
      <w:pPr>
        <w:ind w:firstLine="420" w:firstLineChars="200"/>
        <w:jc w:val="left"/>
        <w:rPr>
          <w:rFonts w:hint="eastAsia" w:ascii="思源黑体 CN Light" w:hAnsi="思源黑体 CN Light" w:eastAsia="思源黑体 CN Light" w:cs="Times New Roman"/>
          <w:b/>
          <w:sz w:val="21"/>
          <w:szCs w:val="20"/>
          <w:lang w:eastAsia="zh-CN"/>
        </w:rPr>
      </w:pPr>
      <w:r>
        <w:rPr>
          <w:rFonts w:ascii="思源黑体 CN Light" w:hAnsi="思源黑体 CN Light" w:eastAsia="思源黑体 CN Light" w:cs="Times New Roman"/>
          <w:b/>
          <w:sz w:val="21"/>
          <w:szCs w:val="20"/>
        </w:rPr>
        <w:t>图：申万一级行业周涨跌幅（单位：%）</w:t>
      </w:r>
      <w:r>
        <w:rPr>
          <w:rFonts w:hint="eastAsia" w:ascii="思源黑体 CN Light" w:hAnsi="思源黑体 CN Light" w:eastAsia="思源黑体 CN Light" w:cs="Times New Roman"/>
          <w:b/>
          <w:sz w:val="21"/>
          <w:szCs w:val="20"/>
          <w:lang w:eastAsia="zh-CN"/>
        </w:rPr>
        <w:drawing>
          <wp:inline distT="0" distB="0" distL="114300" distR="114300">
            <wp:extent cx="6473825" cy="4262755"/>
            <wp:effectExtent l="0" t="0" r="3175" b="4445"/>
            <wp:docPr id="3" name="图片 3" descr="突突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突突突"/>
                    <pic:cNvPicPr>
                      <a:picLocks noChangeAspect="1"/>
                    </pic:cNvPicPr>
                  </pic:nvPicPr>
                  <pic:blipFill>
                    <a:blip r:embed="rId9"/>
                    <a:stretch>
                      <a:fillRect/>
                    </a:stretch>
                  </pic:blipFill>
                  <pic:spPr>
                    <a:xfrm>
                      <a:off x="0" y="0"/>
                      <a:ext cx="6473825" cy="4262755"/>
                    </a:xfrm>
                    <a:prstGeom prst="rect">
                      <a:avLst/>
                    </a:prstGeom>
                  </pic:spPr>
                </pic:pic>
              </a:graphicData>
            </a:graphic>
          </wp:inline>
        </w:drawing>
      </w:r>
      <w:bookmarkStart w:id="2" w:name="_GoBack"/>
      <w:bookmarkEnd w:id="2"/>
    </w:p>
    <w:p w14:paraId="3B263177">
      <w:pPr>
        <w:ind w:firstLine="260" w:firstLineChars="200"/>
        <w:jc w:val="left"/>
        <w:rPr>
          <w:rFonts w:hint="eastAsia" w:ascii="思源黑体 CN Light" w:hAnsi="思源黑体 CN Light" w:eastAsia="思源黑体 CN Light" w:cs="Times New Roman"/>
          <w:sz w:val="13"/>
          <w:szCs w:val="20"/>
        </w:rPr>
      </w:pPr>
      <w:r>
        <w:rPr>
          <w:rFonts w:ascii="思源黑体 CN Light" w:hAnsi="思源黑体 CN Light" w:eastAsia="思源黑体 CN Light" w:cs="Times New Roman"/>
          <w:sz w:val="13"/>
          <w:szCs w:val="20"/>
        </w:rPr>
        <w:t>数据来源：wind，富荣基金管理有限公司</w:t>
      </w:r>
      <w:r>
        <w:rPr>
          <w:rFonts w:hint="eastAsia" w:ascii="思源黑体 CN Light" w:hAnsi="思源黑体 CN Light" w:eastAsia="思源黑体 CN Light" w:cs="Times New Roman"/>
          <w:sz w:val="13"/>
          <w:szCs w:val="20"/>
        </w:rPr>
        <w:t>；统计区间：20250825-20250829</w:t>
      </w:r>
    </w:p>
    <w:p w14:paraId="4344807E">
      <w:pPr>
        <w:pStyle w:val="3"/>
        <w:tabs>
          <w:tab w:val="left" w:pos="4364"/>
          <w:tab w:val="right" w:pos="10204"/>
        </w:tabs>
        <w:rPr>
          <w:rFonts w:hint="eastAsia" w:ascii="思源黑体 CN Light" w:hAnsi="思源黑体 CN Light" w:eastAsia="思源黑体 CN Light" w:cs="Times New Roman"/>
          <w:color w:val="000000"/>
          <w:sz w:val="21"/>
          <w:szCs w:val="20"/>
          <w:shd w:val="clear" w:color="auto" w:fill="FFFFFF"/>
        </w:rPr>
      </w:pPr>
    </w:p>
    <w:p w14:paraId="36022895">
      <w:pPr>
        <w:pStyle w:val="3"/>
        <w:tabs>
          <w:tab w:val="left" w:pos="4364"/>
          <w:tab w:val="right" w:pos="10204"/>
        </w:tabs>
        <w:rPr>
          <w:rFonts w:hint="eastAsia" w:ascii="思源黑体 CN Light" w:hAnsi="思源黑体 CN Light" w:eastAsia="思源黑体 CN Light" w:cs="Times New Roman"/>
          <w:b/>
          <w:bCs/>
          <w:sz w:val="22"/>
          <w:szCs w:val="24"/>
        </w:rPr>
      </w:pPr>
      <w:r>
        <w:rPr>
          <w:rFonts w:hint="eastAsia" w:ascii="思源黑体 CN Light" w:hAnsi="思源黑体 CN Light" w:eastAsia="思源黑体 CN Light" w:cs="Times New Roman"/>
          <w:b/>
          <w:bCs/>
          <w:sz w:val="22"/>
          <w:szCs w:val="24"/>
        </w:rPr>
        <w:t>二、通信行业行业点评与展望</w:t>
      </w:r>
    </w:p>
    <w:p w14:paraId="4CA2263A">
      <w:pPr>
        <w:tabs>
          <w:tab w:val="left" w:pos="5594"/>
        </w:tabs>
        <w:ind w:firstLine="420" w:firstLineChars="200"/>
        <w:rPr>
          <w:rFonts w:hint="eastAsia" w:ascii="思源黑体 CN Light" w:hAnsi="思源黑体 CN Light" w:eastAsia="思源黑体 CN Light" w:cs="Times New Roman"/>
          <w:color w:val="000000" w:themeColor="text1"/>
          <w:sz w:val="21"/>
          <w:szCs w:val="20"/>
          <w14:textFill>
            <w14:solidFill>
              <w14:schemeClr w14:val="tx1"/>
            </w14:solidFill>
          </w14:textFill>
        </w:rPr>
      </w:pPr>
      <w:bookmarkStart w:id="1" w:name="_Hlk140420797"/>
      <w:r>
        <w:rPr>
          <w:rFonts w:hint="eastAsia" w:ascii="思源黑体 CN Light" w:hAnsi="思源黑体 CN Light" w:eastAsia="思源黑体 CN Light" w:cs="Times New Roman"/>
          <w:color w:val="000000" w:themeColor="text1"/>
          <w:sz w:val="21"/>
          <w:szCs w:val="20"/>
          <w14:textFill>
            <w14:solidFill>
              <w14:schemeClr w14:val="tx1"/>
            </w14:solidFill>
          </w14:textFill>
        </w:rPr>
        <w:t>上周通信申万一级指数上涨12.38%，在所有行业中涨幅第一，同期沪深300上涨2.71%。通信行业涨幅较大，主要原因是</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海外</w:t>
      </w:r>
      <w:r>
        <w:rPr>
          <w:rFonts w:ascii="思源黑体 CN Light" w:hAnsi="思源黑体 CN Light" w:eastAsia="思源黑体 CN Light" w:cs="Times New Roman"/>
          <w:color w:val="000000" w:themeColor="text1"/>
          <w:sz w:val="21"/>
          <w:szCs w:val="20"/>
          <w14:textFill>
            <w14:solidFill>
              <w14:schemeClr w14:val="tx1"/>
            </w14:solidFill>
          </w14:textFill>
        </w:rPr>
        <w:t>人工智能（AI）芯片巨头</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财报超预期，带动产业链远期信心增强。</w:t>
      </w:r>
    </w:p>
    <w:p w14:paraId="03A15D56">
      <w:pPr>
        <w:tabs>
          <w:tab w:val="left" w:pos="5594"/>
        </w:tabs>
        <w:ind w:firstLine="420" w:firstLineChars="200"/>
        <w:rPr>
          <w:rFonts w:hint="eastAsia" w:ascii="思源黑体 CN Light" w:hAnsi="思源黑体 CN Light" w:eastAsia="思源黑体 CN Light" w:cs="Times New Roman"/>
          <w:color w:val="000000" w:themeColor="text1"/>
          <w:sz w:val="21"/>
          <w:szCs w:val="20"/>
          <w14:textFill>
            <w14:solidFill>
              <w14:schemeClr w14:val="tx1"/>
            </w14:solidFill>
          </w14:textFill>
        </w:rPr>
      </w:pP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海外</w:t>
      </w:r>
      <w:r>
        <w:rPr>
          <w:rFonts w:ascii="思源黑体 CN Light" w:hAnsi="思源黑体 CN Light" w:eastAsia="思源黑体 CN Light" w:cs="Times New Roman"/>
          <w:color w:val="000000" w:themeColor="text1"/>
          <w:sz w:val="21"/>
          <w:szCs w:val="20"/>
          <w14:textFill>
            <w14:solidFill>
              <w14:schemeClr w14:val="tx1"/>
            </w14:solidFill>
          </w14:textFill>
        </w:rPr>
        <w:t>人工智能（AI）芯片巨头</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FY26Q2实现收入467.43亿美元，同比增长56%、环比增长6%；实现净利润264.22亿元，同比增长59%、环比增长41%；预计FY26Q3收入为540亿美元，同比增长54%、环比增长16%，均超过彭博一致预期。其中，数据中心网络二季度营收73亿美元，环比增长46%、同比增长98%，表明GB系列服务器进入大规模组网落地阶段。更超预期的是该公司首次给出AI基础设施可触达市场空间，预计2025年全球AI 资本开支6000亿美元，预计2030年达到3-4万亿美元，相当于5年5倍，年复合增速约40%+。这一强劲指引，让市场对AI板块业绩持续性的信心增强，推动板块上涨。</w:t>
      </w:r>
    </w:p>
    <w:p w14:paraId="60864CAF">
      <w:pPr>
        <w:tabs>
          <w:tab w:val="left" w:pos="5594"/>
        </w:tabs>
        <w:ind w:firstLine="420" w:firstLineChars="200"/>
        <w:rPr>
          <w:rFonts w:ascii="思源黑体 CN Light" w:hAnsi="思源黑体 CN Light" w:eastAsia="思源黑体 CN Light" w:cs="Times New Roman"/>
          <w:color w:val="000000" w:themeColor="text1"/>
          <w:sz w:val="21"/>
          <w:szCs w:val="20"/>
          <w14:textFill>
            <w14:solidFill>
              <w14:schemeClr w14:val="tx1"/>
            </w14:solidFill>
          </w14:textFill>
        </w:rPr>
      </w:pPr>
      <w:r>
        <w:rPr>
          <w:rFonts w:hint="eastAsia" w:ascii="思源黑体 CN Light" w:hAnsi="思源黑体 CN Light" w:eastAsia="思源黑体 CN Light" w:cs="Times New Roman"/>
          <w:color w:val="000000" w:themeColor="text1"/>
          <w:sz w:val="21"/>
          <w:szCs w:val="20"/>
          <w14:textFill>
            <w14:solidFill>
              <w14:schemeClr w14:val="tx1"/>
            </w14:solidFill>
          </w14:textFill>
        </w:rPr>
        <w:t>同时国内方面国务院印发《关于深入实施“人工智能</w:t>
      </w:r>
      <w:r>
        <w:rPr>
          <w:rFonts w:ascii="思源黑体 CN Light" w:hAnsi="思源黑体 CN Light" w:eastAsia="思源黑体 CN Light" w:cs="Times New Roman"/>
          <w:color w:val="000000" w:themeColor="text1"/>
          <w:sz w:val="21"/>
          <w:szCs w:val="20"/>
          <w14:textFill>
            <w14:solidFill>
              <w14:schemeClr w14:val="tx1"/>
            </w14:solidFill>
          </w14:textFill>
        </w:rPr>
        <w:t>+”行动的意见》，其核心可概括为：以应用为牵引，以融合为关键，以创新为驱动，旨在将人工智能培育成经济增长新引擎。这份《意见》是我国抢占全球人工智能竞争制高点的宣言书和路线图。它展现出国家推动AI发展的高度决心和系统思维，不仅关注技术本身，更关注其与经济社会深度融合带来的范式变革。其成功实施，有望使AI成为推动中国式现代化建设的强大引擎。</w:t>
      </w:r>
    </w:p>
    <w:p w14:paraId="04AD7527">
      <w:pPr>
        <w:tabs>
          <w:tab w:val="left" w:pos="5594"/>
        </w:tabs>
        <w:ind w:firstLine="420" w:firstLineChars="200"/>
        <w:rPr>
          <w:rFonts w:hint="eastAsia" w:ascii="思源黑体 CN Light" w:hAnsi="思源黑体 CN Light" w:eastAsia="思源黑体 CN Light" w:cs="Times New Roman"/>
          <w:color w:val="000000" w:themeColor="text1"/>
          <w:sz w:val="21"/>
          <w:szCs w:val="20"/>
          <w14:textFill>
            <w14:solidFill>
              <w14:schemeClr w14:val="tx1"/>
            </w14:solidFill>
          </w14:textFill>
        </w:rPr>
      </w:pPr>
      <w:r>
        <w:rPr>
          <w:rFonts w:hint="eastAsia" w:ascii="思源黑体 CN Light" w:hAnsi="思源黑体 CN Light" w:eastAsia="思源黑体 CN Light" w:cs="Times New Roman"/>
          <w:color w:val="000000" w:themeColor="text1"/>
          <w:sz w:val="21"/>
          <w:szCs w:val="20"/>
          <w14:textFill>
            <w14:solidFill>
              <w14:schemeClr w14:val="tx1"/>
            </w14:solidFill>
          </w14:textFill>
        </w:rPr>
        <w:t>我们持续看好AI产业，AI相关的算力需求、应用创新、硬件载体均蕴含着可观投资机遇。在国家政策支持和产业技术进步的共同推动下，AI有望成为像水电一样的基础设施，渗透到经济社会的方方面面。</w:t>
      </w:r>
    </w:p>
    <w:p w14:paraId="0D740F1F">
      <w:pPr>
        <w:tabs>
          <w:tab w:val="left" w:pos="5594"/>
        </w:tabs>
        <w:ind w:firstLine="420" w:firstLineChars="200"/>
        <w:rPr>
          <w:rFonts w:hint="eastAsia" w:ascii="思源黑体 CN Light" w:hAnsi="思源黑体 CN Light" w:eastAsia="思源黑体 CN Light" w:cs="Times New Roman"/>
          <w:color w:val="000000"/>
          <w:sz w:val="21"/>
          <w:szCs w:val="20"/>
          <w:shd w:val="clear" w:color="auto" w:fill="FFFFFF"/>
        </w:rPr>
      </w:pPr>
    </w:p>
    <w:bookmarkEnd w:id="1"/>
    <w:p w14:paraId="3874C359">
      <w:pPr>
        <w:pStyle w:val="3"/>
        <w:tabs>
          <w:tab w:val="left" w:pos="4364"/>
          <w:tab w:val="right" w:pos="10204"/>
        </w:tabs>
        <w:rPr>
          <w:rFonts w:hint="eastAsia" w:ascii="思源黑体 CN Light" w:hAnsi="思源黑体 CN Light" w:eastAsia="思源黑体 CN Light" w:cs="Times New Roman"/>
          <w:b/>
          <w:bCs/>
          <w:sz w:val="22"/>
          <w:szCs w:val="24"/>
        </w:rPr>
      </w:pPr>
      <w:r>
        <w:rPr>
          <w:rFonts w:ascii="思源黑体 CN Light" w:hAnsi="思源黑体 CN Light" w:eastAsia="思源黑体 CN Light" w:cs="Times New Roman"/>
          <w:b/>
          <w:bCs/>
          <w:sz w:val="22"/>
          <w:szCs w:val="24"/>
        </w:rPr>
        <w:t>三、本周展望</w:t>
      </w:r>
    </w:p>
    <w:p w14:paraId="4EB4971C">
      <w:pPr>
        <w:ind w:firstLine="420" w:firstLineChars="200"/>
        <w:rPr>
          <w:rFonts w:ascii="思源黑体 CN Light" w:hAnsi="思源黑体 CN Light" w:eastAsia="思源黑体 CN Light" w:cs="Times New Roman"/>
          <w:color w:val="000000"/>
          <w:sz w:val="21"/>
          <w:szCs w:val="20"/>
          <w:shd w:val="clear" w:color="auto" w:fill="FFFFFF"/>
        </w:rPr>
      </w:pPr>
      <w:r>
        <w:rPr>
          <w:rFonts w:hint="eastAsia" w:ascii="思源黑体 CN Light" w:hAnsi="思源黑体 CN Light" w:eastAsia="思源黑体 CN Light" w:cs="Times New Roman"/>
          <w:color w:val="000000"/>
          <w:sz w:val="21"/>
          <w:szCs w:val="20"/>
          <w:shd w:val="clear" w:color="auto" w:fill="FFFFFF"/>
        </w:rPr>
        <w:t>上周权益市场情绪依旧高涨，日成交额突破3万亿。板块内，以AI算力为代表的科技成长板块持续领涨，而红利以及微盘等板块表现较差。值得注意的是AI算力板块在过去2~3周内加速上涨，并开始出现“虹吸”市场流动性的迹象。</w:t>
      </w:r>
    </w:p>
    <w:p w14:paraId="183BEA5F">
      <w:pPr>
        <w:ind w:firstLine="420" w:firstLineChars="200"/>
        <w:rPr>
          <w:rFonts w:ascii="思源黑体 CN Light" w:hAnsi="思源黑体 CN Light" w:eastAsia="思源黑体 CN Light" w:cs="Times New Roman"/>
          <w:color w:val="000000"/>
          <w:sz w:val="21"/>
          <w:szCs w:val="20"/>
          <w:shd w:val="clear" w:color="auto" w:fill="FFFFFF"/>
        </w:rPr>
      </w:pPr>
      <w:r>
        <w:rPr>
          <w:rFonts w:hint="eastAsia" w:ascii="思源黑体 CN Light" w:hAnsi="思源黑体 CN Light" w:eastAsia="思源黑体 CN Light" w:cs="Times New Roman"/>
          <w:color w:val="000000"/>
          <w:sz w:val="21"/>
          <w:szCs w:val="20"/>
          <w:shd w:val="clear" w:color="auto" w:fill="FFFFFF"/>
        </w:rPr>
        <w:t>目前市场对AI算力板块的担心集中在交易拥挤度上，但板块基本面仍处于景气阶段，海内外的互联网大厂资本开支以及财报均验证了这一趋势。在</w:t>
      </w:r>
      <w:r>
        <w:rPr>
          <w:rFonts w:hint="eastAsia" w:ascii="思源黑体 CN Light" w:hAnsi="思源黑体 CN Light" w:eastAsia="思源黑体 CN Light" w:cs="Times New Roman"/>
          <w:color w:val="000000"/>
          <w:sz w:val="21"/>
          <w:szCs w:val="20"/>
          <w:shd w:val="clear" w:color="auto" w:fill="FFFFFF"/>
          <w:lang w:val="en-US" w:eastAsia="zh-CN"/>
        </w:rPr>
        <w:t>目前的</w:t>
      </w:r>
      <w:r>
        <w:rPr>
          <w:rFonts w:hint="eastAsia" w:ascii="思源黑体 CN Light" w:hAnsi="思源黑体 CN Light" w:eastAsia="思源黑体 CN Light" w:cs="Times New Roman"/>
          <w:color w:val="000000"/>
          <w:sz w:val="21"/>
          <w:szCs w:val="20"/>
          <w:shd w:val="clear" w:color="auto" w:fill="FFFFFF"/>
        </w:rPr>
        <w:t>阶段，我们并不建议为了“高低切”而刻意切换。对于低位</w:t>
      </w:r>
      <w:r>
        <w:rPr>
          <w:rFonts w:hint="eastAsia" w:ascii="思源黑体 CN Light" w:hAnsi="思源黑体 CN Light" w:eastAsia="思源黑体 CN Light" w:cs="Times New Roman"/>
          <w:color w:val="000000"/>
          <w:sz w:val="21"/>
          <w:szCs w:val="20"/>
          <w:shd w:val="clear" w:color="auto" w:fill="FFFFFF"/>
          <w:lang w:val="en-US" w:eastAsia="zh-CN"/>
        </w:rPr>
        <w:t>区间</w:t>
      </w:r>
      <w:r>
        <w:rPr>
          <w:rFonts w:hint="eastAsia" w:ascii="思源黑体 CN Light" w:hAnsi="思源黑体 CN Light" w:eastAsia="思源黑体 CN Light" w:cs="Times New Roman"/>
          <w:color w:val="000000"/>
          <w:sz w:val="21"/>
          <w:szCs w:val="20"/>
          <w:shd w:val="clear" w:color="auto" w:fill="FFFFFF"/>
        </w:rPr>
        <w:t>板块，应该首先关注其叙事逻辑与盈利预期是否出现变化；对于高位板块，则不主观预设股价高度。</w:t>
      </w:r>
      <w:r>
        <w:rPr>
          <w:rFonts w:hint="eastAsia" w:ascii="思源黑体 CN Light" w:hAnsi="思源黑体 CN Light" w:eastAsia="思源黑体 CN Light" w:cs="Times New Roman"/>
          <w:color w:val="000000"/>
          <w:sz w:val="21"/>
          <w:szCs w:val="20"/>
          <w:shd w:val="clear" w:color="auto" w:fill="FFFFFF"/>
          <w:lang w:val="en-US" w:eastAsia="zh-CN"/>
        </w:rPr>
        <w:t>我们认为，目前行情</w:t>
      </w:r>
      <w:r>
        <w:rPr>
          <w:rFonts w:hint="eastAsia" w:ascii="思源黑体 CN Light" w:hAnsi="思源黑体 CN Light" w:eastAsia="思源黑体 CN Light" w:cs="Times New Roman"/>
          <w:color w:val="000000"/>
          <w:sz w:val="21"/>
          <w:szCs w:val="20"/>
          <w:shd w:val="clear" w:color="auto" w:fill="FFFFFF"/>
        </w:rPr>
        <w:t>的核心策略，应是在景气赛道中不断挖掘具备预期差、边际增量的优质标的，并顺势而为。</w:t>
      </w:r>
    </w:p>
    <w:p w14:paraId="5E1EAE95">
      <w:pPr>
        <w:ind w:firstLine="420" w:firstLineChars="200"/>
        <w:rPr>
          <w:rFonts w:ascii="思源黑体 CN Light" w:hAnsi="思源黑体 CN Light" w:eastAsia="思源黑体 CN Light" w:cs="Times New Roman"/>
          <w:color w:val="000000"/>
          <w:sz w:val="21"/>
          <w:szCs w:val="20"/>
          <w:shd w:val="clear" w:color="auto" w:fill="FFFFFF"/>
        </w:rPr>
      </w:pPr>
      <w:r>
        <w:rPr>
          <w:rFonts w:hint="eastAsia" w:ascii="思源黑体 CN Light" w:hAnsi="思源黑体 CN Light" w:eastAsia="思源黑体 CN Light" w:cs="Times New Roman"/>
          <w:color w:val="000000"/>
          <w:sz w:val="21"/>
          <w:szCs w:val="20"/>
          <w:shd w:val="clear" w:color="auto" w:fill="FFFFFF"/>
        </w:rPr>
        <w:t>短期内，</w:t>
      </w:r>
      <w:r>
        <w:rPr>
          <w:rFonts w:hint="eastAsia" w:ascii="思源黑体 CN Light" w:hAnsi="思源黑体 CN Light" w:eastAsia="思源黑体 CN Light" w:cs="Times New Roman"/>
          <w:color w:val="000000"/>
          <w:sz w:val="21"/>
          <w:szCs w:val="20"/>
          <w:shd w:val="clear" w:color="auto" w:fill="FFFFFF"/>
          <w:lang w:val="en-US" w:eastAsia="zh-CN"/>
        </w:rPr>
        <w:t>因国内</w:t>
      </w:r>
      <w:r>
        <w:rPr>
          <w:rFonts w:hint="eastAsia" w:ascii="思源黑体 CN Light" w:hAnsi="思源黑体 CN Light" w:eastAsia="思源黑体 CN Light" w:cs="Times New Roman"/>
          <w:color w:val="000000"/>
          <w:sz w:val="21"/>
          <w:szCs w:val="20"/>
          <w:shd w:val="clear" w:color="auto" w:fill="FFFFFF"/>
        </w:rPr>
        <w:t>算力龙头公司停牌或频繁发布澄清公告，</w:t>
      </w:r>
      <w:r>
        <w:rPr>
          <w:rFonts w:hint="eastAsia" w:ascii="思源黑体 CN Light" w:hAnsi="思源黑体 CN Light" w:eastAsia="思源黑体 CN Light" w:cs="Times New Roman"/>
          <w:color w:val="000000"/>
          <w:sz w:val="21"/>
          <w:szCs w:val="20"/>
          <w:shd w:val="clear" w:color="auto" w:fill="FFFFFF"/>
          <w:lang w:val="en-US" w:eastAsia="zh-CN"/>
        </w:rPr>
        <w:t>相关板块</w:t>
      </w:r>
      <w:r>
        <w:rPr>
          <w:rFonts w:hint="eastAsia" w:ascii="思源黑体 CN Light" w:hAnsi="思源黑体 CN Light" w:eastAsia="思源黑体 CN Light" w:cs="Times New Roman"/>
          <w:color w:val="000000"/>
          <w:sz w:val="21"/>
          <w:szCs w:val="20"/>
          <w:shd w:val="clear" w:color="auto" w:fill="FFFFFF"/>
        </w:rPr>
        <w:t>波动率或将显著抬升。但就中期维度而言，我们仍然保持乐观。</w:t>
      </w:r>
    </w:p>
    <w:p w14:paraId="201A8359">
      <w:pPr>
        <w:pStyle w:val="40"/>
        <w:ind w:firstLine="0" w:firstLineChars="0"/>
        <w:rPr>
          <w:rFonts w:ascii="思源黑体 CN Light" w:hAnsi="思源黑体 CN Light" w:eastAsia="思源黑体 CN Light" w:cs="Times New Roman"/>
          <w:sz w:val="20"/>
          <w:szCs w:val="20"/>
        </w:rPr>
      </w:pPr>
    </w:p>
    <w:p w14:paraId="45DE382D">
      <w:pPr>
        <w:pStyle w:val="40"/>
        <w:ind w:firstLine="0" w:firstLineChars="0"/>
        <w:rPr>
          <w:rFonts w:hint="eastAsia" w:ascii="思源黑体 CN Light" w:hAnsi="思源黑体 CN Light" w:eastAsia="思源黑体 CN Light" w:cs="Times New Roman"/>
          <w:sz w:val="20"/>
          <w:szCs w:val="20"/>
        </w:rPr>
      </w:pPr>
    </w:p>
    <w:p w14:paraId="7473416C">
      <w:pPr>
        <w:ind w:firstLine="360" w:firstLineChars="200"/>
        <w:rPr>
          <w:rFonts w:hint="eastAsia"/>
        </w:rPr>
      </w:pPr>
      <w:r>
        <w:rPr>
          <w:rFonts w:hint="eastAsia" w:ascii="思源黑体 CN Light" w:hAnsi="思源黑体 CN Light" w:eastAsia="思源黑体 CN Light"/>
          <w:sz w:val="18"/>
          <w:szCs w:val="15"/>
        </w:rPr>
        <w:t>风险提示：</w:t>
      </w:r>
      <w:r>
        <w:rPr>
          <w:rFonts w:ascii="思源黑体 CN Light" w:hAnsi="思源黑体 CN Light" w:eastAsia="思源黑体 CN Light"/>
          <w:sz w:val="18"/>
          <w:szCs w:val="15"/>
        </w:rPr>
        <w:t>1、本材料中的信息均来源于我们认为可靠的已公开资料和合作客户的研究成果，但本公司及研究人员对这些信息的准确性和完整性不作任何保证，也不保证本材料所包含的信息或建议在本材料发出后不会发生任何变更，且本材料仅反映发布时的资料、观点和预测，可能在随后会作出调整。2、本材料中的资料、观点和预测等仅供参考，在任何时候均不构成对任何人的个人推荐。市场有风险，投资需谨慎。</w:t>
      </w:r>
      <w:bookmarkEnd w:id="0"/>
    </w:p>
    <w:sectPr>
      <w:headerReference r:id="rId5" w:type="default"/>
      <w:footerReference r:id="rId6" w:type="default"/>
      <w:pgSz w:w="11906" w:h="16838"/>
      <w:pgMar w:top="1440" w:right="851" w:bottom="1134" w:left="851" w:header="851" w:footer="56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思源黑体 CN Bold">
    <w:panose1 w:val="020B0800000000000000"/>
    <w:charset w:val="86"/>
    <w:family w:val="swiss"/>
    <w:pitch w:val="default"/>
    <w:sig w:usb0="20000003" w:usb1="2ADF3C10" w:usb2="00000016" w:usb3="00000000" w:csb0="60060107" w:csb1="00000000"/>
  </w:font>
  <w:font w:name="思源黑体 CN Light">
    <w:panose1 w:val="020B0300000000000000"/>
    <w:charset w:val="86"/>
    <w:family w:val="swiss"/>
    <w:pitch w:val="default"/>
    <w:sig w:usb0="20000003" w:usb1="2ADF3C10" w:usb2="00000016" w:usb3="00000000" w:csb0="60060107"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F4FC2">
    <w:pPr>
      <w:pStyle w:val="12"/>
      <w:tabs>
        <w:tab w:val="center" w:pos="5102"/>
        <w:tab w:val="left" w:pos="6847"/>
      </w:tabs>
      <w:rPr>
        <w:rFonts w:hint="eastAsia"/>
      </w:rPr>
    </w:pPr>
    <w:r>
      <w:tab/>
    </w:r>
    <w:r>
      <w:tab/>
    </w:r>
    <w:sdt>
      <w:sdtPr>
        <w:id w:val="1107850672"/>
      </w:sdtPr>
      <w:sdtContent>
        <w:sdt>
          <w:sdtPr>
            <w:id w:val="1728636285"/>
          </w:sdtPr>
          <w:sdtContent>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sdtContent>
        </w:sdt>
      </w:sdtContent>
    </w:sdt>
    <w:r>
      <w:tab/>
    </w:r>
  </w:p>
  <w:p w14:paraId="3413B139">
    <w:pPr>
      <w:pStyle w:val="12"/>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pPr w:leftFromText="180" w:rightFromText="180" w:vertAnchor="text" w:tblpXSpec="right" w:tblpY="1"/>
      <w:tblOverlap w:val="never"/>
      <w:tblW w:w="62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52"/>
      <w:gridCol w:w="284"/>
      <w:gridCol w:w="2335"/>
    </w:tblGrid>
    <w:tr w14:paraId="15674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652" w:type="dxa"/>
          <w:shd w:val="clear" w:color="auto" w:fill="F3F3F3"/>
          <w:vAlign w:val="center"/>
        </w:tcPr>
        <w:p w14:paraId="528F1620">
          <w:pPr>
            <w:pStyle w:val="13"/>
            <w:pBdr>
              <w:bottom w:val="none" w:color="auto" w:sz="0" w:space="0"/>
            </w:pBdr>
            <w:jc w:val="right"/>
            <w:rPr>
              <w:rFonts w:ascii="Times New Roman" w:hAnsi="Times New Roman" w:eastAsia="宋体" w:cs="Times New Roman"/>
              <w:kern w:val="0"/>
            </w:rPr>
          </w:pPr>
          <w:r>
            <w:rPr>
              <w:rFonts w:hint="eastAsia" w:ascii="Times New Roman" w:hAnsi="Times New Roman" w:eastAsia="宋体" w:cs="Times New Roman"/>
              <w:kern w:val="0"/>
            </w:rPr>
            <w:t>证券研究报告</w:t>
          </w:r>
        </w:p>
      </w:tc>
      <w:tc>
        <w:tcPr>
          <w:tcW w:w="284" w:type="dxa"/>
          <w:shd w:val="clear" w:color="auto" w:fill="C3E2F4"/>
        </w:tcPr>
        <w:p w14:paraId="5650BA04">
          <w:pPr>
            <w:pStyle w:val="13"/>
            <w:pBdr>
              <w:bottom w:val="none" w:color="auto" w:sz="0" w:space="0"/>
            </w:pBdr>
            <w:jc w:val="left"/>
            <w:rPr>
              <w:rFonts w:ascii="Times New Roman" w:hAnsi="Times New Roman" w:eastAsia="宋体" w:cs="Times New Roman"/>
              <w:kern w:val="0"/>
            </w:rPr>
          </w:pPr>
        </w:p>
      </w:tc>
      <w:tc>
        <w:tcPr>
          <w:tcW w:w="2335" w:type="dxa"/>
          <w:shd w:val="clear" w:color="auto" w:fill="013F98"/>
          <w:vAlign w:val="center"/>
        </w:tcPr>
        <w:p w14:paraId="71FD16F9">
          <w:pPr>
            <w:pStyle w:val="13"/>
            <w:pBdr>
              <w:bottom w:val="none" w:color="auto" w:sz="0" w:space="0"/>
            </w:pBdr>
            <w:rPr>
              <w:rFonts w:ascii="Times New Roman" w:hAnsi="Times New Roman" w:eastAsia="宋体" w:cs="Times New Roman"/>
              <w:kern w:val="0"/>
            </w:rPr>
          </w:pPr>
          <w:r>
            <w:rPr>
              <w:rFonts w:hint="eastAsia" w:ascii="Times New Roman" w:hAnsi="Times New Roman" w:eastAsia="宋体" w:cs="Times New Roman"/>
              <w:kern w:val="0"/>
            </w:rPr>
            <w:t>权益周报</w:t>
          </w:r>
        </w:p>
      </w:tc>
    </w:tr>
  </w:tbl>
  <w:p w14:paraId="3544B21C">
    <w:pPr>
      <w:pStyle w:val="13"/>
      <w:pBdr>
        <w:bottom w:val="single" w:color="auto" w:sz="6" w:space="0"/>
      </w:pBdr>
      <w:tabs>
        <w:tab w:val="left" w:pos="4673"/>
        <w:tab w:val="left" w:pos="8341"/>
        <w:tab w:val="clear" w:pos="4153"/>
        <w:tab w:val="clear" w:pos="8306"/>
      </w:tabs>
      <w:ind w:left="-809" w:leftChars="-337" w:right="-1848" w:rightChars="-770" w:firstLine="540" w:firstLineChars="300"/>
      <w:jc w:val="left"/>
      <w:rPr>
        <w:rFonts w:hint="eastAsia"/>
      </w:rPr>
    </w:pPr>
    <w:r>
      <w:drawing>
        <wp:inline distT="0" distB="0" distL="0" distR="0">
          <wp:extent cx="883920" cy="285750"/>
          <wp:effectExtent l="0" t="0" r="0" b="0"/>
          <wp:docPr id="2" name="图片 2" descr="C:\Users\Administrator\Desktop\富荣基金SIRM-G1\{EE36CA8E-224C-471B-8096-7E812271AC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富荣基金SIRM-G1\{EE36CA8E-224C-471B-8096-7E812271AC7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84041" cy="285750"/>
                  </a:xfrm>
                  <a:prstGeom prst="rect">
                    <a:avLst/>
                  </a:prstGeom>
                  <a:noFill/>
                  <a:ln>
                    <a:noFill/>
                  </a:ln>
                </pic:spPr>
              </pic:pic>
            </a:graphicData>
          </a:graphic>
        </wp:inline>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8C"/>
    <w:rsid w:val="0007144E"/>
    <w:rsid w:val="002F63B0"/>
    <w:rsid w:val="0032078C"/>
    <w:rsid w:val="006A07F6"/>
    <w:rsid w:val="00852735"/>
    <w:rsid w:val="009C5F08"/>
    <w:rsid w:val="00A861FC"/>
    <w:rsid w:val="00A90BDA"/>
    <w:rsid w:val="01354F5F"/>
    <w:rsid w:val="03951FA0"/>
    <w:rsid w:val="04B72265"/>
    <w:rsid w:val="4E746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360" w:lineRule="auto"/>
      <w:jc w:val="both"/>
    </w:pPr>
    <w:rPr>
      <w:rFonts w:asciiTheme="minorHAnsi" w:hAnsiTheme="minorHAnsi" w:eastAsiaTheme="minorEastAsia" w:cstheme="minorBidi"/>
      <w:kern w:val="2"/>
      <w:sz w:val="24"/>
      <w:szCs w:val="22"/>
      <w:lang w:val="en-US" w:eastAsia="zh-CN" w:bidi="ar-SA"/>
      <w14:ligatures w14:val="none"/>
    </w:rPr>
  </w:style>
  <w:style w:type="paragraph" w:styleId="2">
    <w:name w:val="heading 1"/>
    <w:basedOn w:val="1"/>
    <w:next w:val="1"/>
    <w:link w:val="20"/>
    <w:qFormat/>
    <w:uiPriority w:val="9"/>
    <w:pPr>
      <w:keepNext/>
      <w:keepLines/>
      <w:spacing w:before="480" w:after="80" w:line="278" w:lineRule="auto"/>
      <w:jc w:val="left"/>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21"/>
    <w:unhideWhenUsed/>
    <w:qFormat/>
    <w:uiPriority w:val="9"/>
    <w:pPr>
      <w:keepNext/>
      <w:keepLines/>
      <w:spacing w:before="160" w:after="80" w:line="278" w:lineRule="auto"/>
      <w:jc w:val="left"/>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22"/>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23"/>
    <w:semiHidden/>
    <w:unhideWhenUsed/>
    <w:qFormat/>
    <w:uiPriority w:val="9"/>
    <w:pPr>
      <w:keepNext/>
      <w:keepLines/>
      <w:spacing w:before="80" w:after="40" w:line="278" w:lineRule="auto"/>
      <w:jc w:val="left"/>
      <w:outlineLvl w:val="3"/>
    </w:pPr>
    <w:rPr>
      <w:rFonts w:cstheme="majorBidi"/>
      <w:color w:val="104862" w:themeColor="accent1" w:themeShade="BF"/>
      <w:sz w:val="28"/>
      <w:szCs w:val="28"/>
      <w14:ligatures w14:val="standardContextual"/>
    </w:rPr>
  </w:style>
  <w:style w:type="paragraph" w:styleId="6">
    <w:name w:val="heading 5"/>
    <w:basedOn w:val="1"/>
    <w:next w:val="1"/>
    <w:link w:val="24"/>
    <w:semiHidden/>
    <w:unhideWhenUsed/>
    <w:qFormat/>
    <w:uiPriority w:val="9"/>
    <w:pPr>
      <w:keepNext/>
      <w:keepLines/>
      <w:spacing w:before="80" w:after="40" w:line="278" w:lineRule="auto"/>
      <w:jc w:val="left"/>
      <w:outlineLvl w:val="4"/>
    </w:pPr>
    <w:rPr>
      <w:rFonts w:cstheme="majorBidi"/>
      <w:color w:val="104862" w:themeColor="accent1" w:themeShade="BF"/>
      <w:szCs w:val="24"/>
      <w14:ligatures w14:val="standardContextual"/>
    </w:rPr>
  </w:style>
  <w:style w:type="paragraph" w:styleId="7">
    <w:name w:val="heading 6"/>
    <w:basedOn w:val="1"/>
    <w:next w:val="1"/>
    <w:link w:val="25"/>
    <w:semiHidden/>
    <w:unhideWhenUsed/>
    <w:qFormat/>
    <w:uiPriority w:val="9"/>
    <w:pPr>
      <w:keepNext/>
      <w:keepLines/>
      <w:spacing w:before="40" w:line="278" w:lineRule="auto"/>
      <w:jc w:val="left"/>
      <w:outlineLvl w:val="5"/>
    </w:pPr>
    <w:rPr>
      <w:rFonts w:cstheme="majorBidi"/>
      <w:b/>
      <w:bCs/>
      <w:color w:val="104862" w:themeColor="accent1" w:themeShade="BF"/>
      <w:sz w:val="22"/>
      <w:szCs w:val="24"/>
      <w14:ligatures w14:val="standardContextual"/>
    </w:rPr>
  </w:style>
  <w:style w:type="paragraph" w:styleId="8">
    <w:name w:val="heading 7"/>
    <w:basedOn w:val="1"/>
    <w:next w:val="1"/>
    <w:link w:val="26"/>
    <w:semiHidden/>
    <w:unhideWhenUsed/>
    <w:qFormat/>
    <w:uiPriority w:val="9"/>
    <w:pPr>
      <w:keepNext/>
      <w:keepLines/>
      <w:spacing w:before="40" w:line="278" w:lineRule="auto"/>
      <w:jc w:val="left"/>
      <w:outlineLvl w:val="6"/>
    </w:pPr>
    <w:rPr>
      <w:rFonts w:cstheme="majorBidi"/>
      <w:b/>
      <w:bCs/>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9">
    <w:name w:val="heading 8"/>
    <w:basedOn w:val="1"/>
    <w:next w:val="1"/>
    <w:link w:val="27"/>
    <w:semiHidden/>
    <w:unhideWhenUsed/>
    <w:qFormat/>
    <w:uiPriority w:val="9"/>
    <w:pPr>
      <w:keepNext/>
      <w:keepLines/>
      <w:spacing w:line="278" w:lineRule="auto"/>
      <w:jc w:val="left"/>
      <w:outlineLvl w:val="7"/>
    </w:pPr>
    <w:rPr>
      <w:rFonts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10">
    <w:name w:val="heading 9"/>
    <w:basedOn w:val="1"/>
    <w:next w:val="1"/>
    <w:link w:val="28"/>
    <w:semiHidden/>
    <w:unhideWhenUsed/>
    <w:qFormat/>
    <w:uiPriority w:val="9"/>
    <w:pPr>
      <w:keepNext/>
      <w:keepLines/>
      <w:spacing w:line="278" w:lineRule="auto"/>
      <w:jc w:val="left"/>
      <w:outlineLvl w:val="8"/>
    </w:pPr>
    <w:rPr>
      <w:rFonts w:eastAsiaTheme="maj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semiHidden/>
    <w:unhideWhenUsed/>
    <w:qFormat/>
    <w:uiPriority w:val="99"/>
    <w:pPr>
      <w:jc w:val="left"/>
    </w:pPr>
  </w:style>
  <w:style w:type="paragraph" w:styleId="12">
    <w:name w:val="footer"/>
    <w:basedOn w:val="1"/>
    <w:link w:val="38"/>
    <w:unhideWhenUsed/>
    <w:qFormat/>
    <w:uiPriority w:val="99"/>
    <w:pPr>
      <w:tabs>
        <w:tab w:val="center" w:pos="4153"/>
        <w:tab w:val="right" w:pos="8306"/>
      </w:tabs>
      <w:snapToGrid w:val="0"/>
      <w:jc w:val="left"/>
    </w:pPr>
    <w:rPr>
      <w:sz w:val="18"/>
      <w:szCs w:val="18"/>
    </w:rPr>
  </w:style>
  <w:style w:type="paragraph" w:styleId="1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0"/>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5">
    <w:name w:val="Normal (Web)"/>
    <w:basedOn w:val="1"/>
    <w:semiHidden/>
    <w:unhideWhenUsed/>
    <w:qFormat/>
    <w:uiPriority w:val="99"/>
    <w:rPr>
      <w:rFonts w:ascii="Times New Roman" w:hAnsi="Times New Roman" w:cs="Times New Roman"/>
      <w:szCs w:val="24"/>
    </w:rPr>
  </w:style>
  <w:style w:type="paragraph" w:styleId="16">
    <w:name w:val="Title"/>
    <w:basedOn w:val="1"/>
    <w:next w:val="1"/>
    <w:link w:val="29"/>
    <w:qFormat/>
    <w:uiPriority w:val="10"/>
    <w:pPr>
      <w:spacing w:after="80" w:line="240" w:lineRule="auto"/>
      <w:contextualSpacing/>
      <w:jc w:val="center"/>
    </w:pPr>
    <w:rPr>
      <w:rFonts w:asciiTheme="majorHAnsi" w:hAnsiTheme="majorHAnsi" w:eastAsiaTheme="majorEastAsia" w:cstheme="majorBidi"/>
      <w:spacing w:val="-10"/>
      <w:kern w:val="28"/>
      <w:sz w:val="56"/>
      <w:szCs w:val="56"/>
      <w14:ligatures w14:val="standardContextual"/>
    </w:rPr>
  </w:style>
  <w:style w:type="table" w:styleId="18">
    <w:name w:val="Table Grid"/>
    <w:basedOn w:val="17"/>
    <w:qFormat/>
    <w:uiPriority w:val="39"/>
    <w:pPr>
      <w:spacing w:after="0" w:line="240" w:lineRule="auto"/>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1 字符"/>
    <w:basedOn w:val="19"/>
    <w:link w:val="2"/>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9"/>
    <w:link w:val="3"/>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9"/>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9"/>
    <w:link w:val="5"/>
    <w:semiHidden/>
    <w:qFormat/>
    <w:uiPriority w:val="9"/>
    <w:rPr>
      <w:rFonts w:cstheme="majorBidi"/>
      <w:color w:val="104862" w:themeColor="accent1" w:themeShade="BF"/>
      <w:sz w:val="28"/>
      <w:szCs w:val="28"/>
    </w:rPr>
  </w:style>
  <w:style w:type="character" w:customStyle="1" w:styleId="24">
    <w:name w:val="标题 5 字符"/>
    <w:basedOn w:val="19"/>
    <w:link w:val="6"/>
    <w:semiHidden/>
    <w:qFormat/>
    <w:uiPriority w:val="9"/>
    <w:rPr>
      <w:rFonts w:cstheme="majorBidi"/>
      <w:color w:val="104862" w:themeColor="accent1" w:themeShade="BF"/>
      <w:sz w:val="24"/>
    </w:rPr>
  </w:style>
  <w:style w:type="character" w:customStyle="1" w:styleId="25">
    <w:name w:val="标题 6 字符"/>
    <w:basedOn w:val="19"/>
    <w:link w:val="7"/>
    <w:semiHidden/>
    <w:qFormat/>
    <w:uiPriority w:val="9"/>
    <w:rPr>
      <w:rFonts w:cstheme="majorBidi"/>
      <w:b/>
      <w:bCs/>
      <w:color w:val="104862" w:themeColor="accent1" w:themeShade="BF"/>
    </w:rPr>
  </w:style>
  <w:style w:type="character" w:customStyle="1" w:styleId="26">
    <w:name w:val="标题 7 字符"/>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9"/>
    <w:link w:val="16"/>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9"/>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line="278" w:lineRule="auto"/>
      <w:jc w:val="center"/>
    </w:pPr>
    <w:rPr>
      <w:i/>
      <w:iCs/>
      <w:color w:val="404040" w:themeColor="text1" w:themeTint="BF"/>
      <w:sz w:val="22"/>
      <w:szCs w:val="24"/>
      <w14:textFill>
        <w14:solidFill>
          <w14:schemeClr w14:val="tx1">
            <w14:lumMod w14:val="75000"/>
            <w14:lumOff w14:val="25000"/>
          </w14:schemeClr>
        </w14:solidFill>
      </w14:textFill>
      <w14:ligatures w14:val="standardContextual"/>
    </w:rPr>
  </w:style>
  <w:style w:type="character" w:customStyle="1" w:styleId="32">
    <w:name w:val="引用 字符"/>
    <w:basedOn w:val="19"/>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spacing w:after="160" w:line="278" w:lineRule="auto"/>
      <w:ind w:left="720"/>
      <w:contextualSpacing/>
      <w:jc w:val="left"/>
    </w:pPr>
    <w:rPr>
      <w:sz w:val="22"/>
      <w:szCs w:val="24"/>
      <w14:ligatures w14:val="standardContextual"/>
    </w:rPr>
  </w:style>
  <w:style w:type="character" w:customStyle="1" w:styleId="34">
    <w:name w:val="Intense Emphasis"/>
    <w:basedOn w:val="19"/>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line="278" w:lineRule="auto"/>
      <w:ind w:left="864" w:right="864"/>
      <w:jc w:val="center"/>
    </w:pPr>
    <w:rPr>
      <w:i/>
      <w:iCs/>
      <w:color w:val="104862" w:themeColor="accent1" w:themeShade="BF"/>
      <w:sz w:val="22"/>
      <w:szCs w:val="24"/>
      <w14:ligatures w14:val="standardContextual"/>
    </w:rPr>
  </w:style>
  <w:style w:type="character" w:customStyle="1" w:styleId="36">
    <w:name w:val="明显引用 字符"/>
    <w:basedOn w:val="19"/>
    <w:link w:val="35"/>
    <w:qFormat/>
    <w:uiPriority w:val="30"/>
    <w:rPr>
      <w:i/>
      <w:iCs/>
      <w:color w:val="104862" w:themeColor="accent1" w:themeShade="BF"/>
    </w:rPr>
  </w:style>
  <w:style w:type="character" w:customStyle="1" w:styleId="37">
    <w:name w:val="Intense Reference"/>
    <w:basedOn w:val="19"/>
    <w:qFormat/>
    <w:uiPriority w:val="32"/>
    <w:rPr>
      <w:b/>
      <w:bCs/>
      <w:smallCaps/>
      <w:color w:val="104862" w:themeColor="accent1" w:themeShade="BF"/>
      <w:spacing w:val="5"/>
    </w:rPr>
  </w:style>
  <w:style w:type="character" w:customStyle="1" w:styleId="38">
    <w:name w:val="页脚 字符"/>
    <w:basedOn w:val="19"/>
    <w:link w:val="12"/>
    <w:qFormat/>
    <w:uiPriority w:val="99"/>
    <w:rPr>
      <w:sz w:val="18"/>
      <w:szCs w:val="18"/>
      <w14:ligatures w14:val="none"/>
    </w:rPr>
  </w:style>
  <w:style w:type="character" w:customStyle="1" w:styleId="39">
    <w:name w:val="页眉 字符"/>
    <w:basedOn w:val="19"/>
    <w:link w:val="13"/>
    <w:qFormat/>
    <w:uiPriority w:val="99"/>
    <w:rPr>
      <w:sz w:val="18"/>
      <w:szCs w:val="18"/>
      <w14:ligatures w14:val="none"/>
    </w:rPr>
  </w:style>
  <w:style w:type="paragraph" w:styleId="40">
    <w:name w:val="No Spacing"/>
    <w:basedOn w:val="15"/>
    <w:link w:val="41"/>
    <w:qFormat/>
    <w:uiPriority w:val="1"/>
    <w:pPr>
      <w:widowControl/>
      <w:shd w:val="clear" w:color="auto" w:fill="FFFFFF"/>
      <w:ind w:firstLine="200" w:firstLineChars="200"/>
      <w:jc w:val="left"/>
    </w:pPr>
    <w:rPr>
      <w:rFonts w:asciiTheme="minorHAnsi" w:hAnsiTheme="minorHAnsi" w:cstheme="minorBidi"/>
      <w:kern w:val="0"/>
      <w:szCs w:val="22"/>
    </w:rPr>
  </w:style>
  <w:style w:type="character" w:customStyle="1" w:styleId="41">
    <w:name w:val="无间隔 字符"/>
    <w:basedOn w:val="19"/>
    <w:link w:val="40"/>
    <w:qFormat/>
    <w:uiPriority w:val="1"/>
    <w:rPr>
      <w:kern w:val="0"/>
      <w:sz w:val="24"/>
      <w:szCs w:val="22"/>
      <w:shd w:val="clear" w:color="auto" w:fill="FFFFFF"/>
      <w14:ligatures w14: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1520</Words>
  <Characters>1776</Characters>
  <Lines>33</Lines>
  <Paragraphs>14</Paragraphs>
  <TotalTime>16</TotalTime>
  <ScaleCrop>false</ScaleCrop>
  <LinksUpToDate>false</LinksUpToDate>
  <CharactersWithSpaces>1777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2025-09-01T01:00:00Z</dcterms:created>
  <dc:creator>叶蕊</dc:creator>
  <cp:lastModifiedBy>叶蕊</cp:lastModifiedBy>
  <dcterms:modified xsi:type="dcterms:W3CDTF">2025-09-01T08:31:05Z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eyJoZGlkIjoiM2Q0ZDE4MjZiMjI0N2FiMDcxYTI0ZDBlYWViZjQ5YTQiLCJ1c2VySWQiOiI4MzYyNzM1OTMifQ==</vt:lpwstr>
  </property>
  <property fmtid="{D5CDD505-2E9C-101B-9397-08002B2CF9AE}" pid="3" name="KSOProductBuildVer">
    <vt:lpwstr>2052-12.1.0.22529</vt:lpwstr>
  </property>
  <property fmtid="{D5CDD505-2E9C-101B-9397-08002B2CF9AE}" pid="4" name="ICV">
    <vt:lpwstr>4288E31B75314F7192142E5A2F6AB3FB_12</vt:lpwstr>
  </property>
</Properties>
</file>