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918EFC">
      <w:pPr>
        <w:jc w:val="center"/>
        <w:rPr>
          <w:rFonts w:ascii="思源黑体 CN Bold" w:hAnsi="思源黑体 CN Bold" w:eastAsia="思源黑体 CN Bold"/>
          <w:b/>
          <w:bCs/>
          <w:sz w:val="28"/>
          <w:szCs w:val="28"/>
        </w:rPr>
      </w:pPr>
      <w:r>
        <w:rPr>
          <w:rFonts w:hint="eastAsia" w:ascii="思源黑体 CN Bold" w:hAnsi="思源黑体 CN Bold" w:eastAsia="思源黑体 CN Bold"/>
          <w:b/>
          <w:bCs/>
          <w:sz w:val="28"/>
          <w:szCs w:val="28"/>
        </w:rPr>
        <w:t>富荣固收：债市震荡偏强</w:t>
      </w:r>
    </w:p>
    <w:p w14:paraId="2F81BE6E">
      <w:pPr>
        <w:rPr>
          <w:rFonts w:ascii="思源黑体 CN Light" w:hAnsi="思源黑体 CN Light" w:eastAsia="思源黑体 CN Light"/>
          <w:b/>
          <w:bCs/>
          <w:szCs w:val="21"/>
        </w:rPr>
      </w:pPr>
      <w:r>
        <w:rPr>
          <w:rFonts w:hint="eastAsia" w:ascii="思源黑体 CN Light" w:hAnsi="思源黑体 CN Light" w:eastAsia="思源黑体 CN Light"/>
          <w:b/>
          <w:bCs/>
          <w:szCs w:val="21"/>
        </w:rPr>
        <w:t>观点：</w:t>
      </w:r>
      <w:bookmarkStart w:id="0" w:name="_Toc134985519"/>
    </w:p>
    <w:p w14:paraId="49F92DA5">
      <w:pPr>
        <w:ind w:firstLine="420" w:firstLineChars="200"/>
        <w:rPr>
          <w:rFonts w:ascii="思源黑体 CN Light" w:hAnsi="思源黑体 CN Light" w:eastAsia="思源黑体 CN Light"/>
          <w:szCs w:val="21"/>
        </w:rPr>
      </w:pPr>
      <w:r>
        <w:rPr>
          <w:rFonts w:hint="eastAsia" w:ascii="思源黑体 CN Light" w:hAnsi="思源黑体 CN Light" w:eastAsia="思源黑体 CN Light"/>
          <w:szCs w:val="21"/>
        </w:rPr>
        <w:t>（1）国内方面：</w:t>
      </w:r>
    </w:p>
    <w:p w14:paraId="540B6C1E">
      <w:pPr>
        <w:ind w:firstLine="420" w:firstLineChars="200"/>
        <w:rPr>
          <w:rFonts w:ascii="思源黑体 CN Light" w:hAnsi="思源黑体 CN Light" w:eastAsia="思源黑体 CN Light"/>
          <w:szCs w:val="21"/>
        </w:rPr>
      </w:pPr>
      <w:r>
        <w:rPr>
          <w:rFonts w:hint="eastAsia" w:ascii="思源黑体 CN Light" w:hAnsi="思源黑体 CN Light" w:eastAsia="思源黑体 CN Light"/>
          <w:szCs w:val="21"/>
        </w:rPr>
        <w:t>我们认为，类似2024年9月24日的大规模增量政策再次出现的可能性或有限，央行有望加大买断式逆回购投放力度补充银行负债缺口。后续国内的降息节奏或与美联储降息节奏共振，“金九银十”旺季房贷利率也存在下调的可能。</w:t>
      </w:r>
    </w:p>
    <w:p w14:paraId="20807C88">
      <w:pPr>
        <w:ind w:firstLine="420" w:firstLineChars="200"/>
        <w:rPr>
          <w:rFonts w:hint="eastAsia" w:ascii="思源黑体 CN Light" w:hAnsi="思源黑体 CN Light" w:eastAsia="思源黑体 CN Light"/>
          <w:szCs w:val="21"/>
        </w:rPr>
      </w:pPr>
      <w:r>
        <w:rPr>
          <w:rFonts w:hint="eastAsia" w:ascii="思源黑体 CN Light" w:hAnsi="思源黑体 CN Light" w:eastAsia="思源黑体 CN Light"/>
          <w:szCs w:val="21"/>
        </w:rPr>
        <w:t>未来经济复苏进程可能会更为温和，社融增速可能先回升后回落。但若稳增长政策加速落地，边际上或将对债市不利。</w:t>
      </w:r>
    </w:p>
    <w:p w14:paraId="5ED69B4D">
      <w:pPr>
        <w:ind w:firstLine="420" w:firstLineChars="200"/>
        <w:rPr>
          <w:rFonts w:ascii="思源黑体 CN Light" w:hAnsi="思源黑体 CN Light" w:eastAsia="思源黑体 CN Light"/>
          <w:szCs w:val="21"/>
        </w:rPr>
      </w:pPr>
      <w:r>
        <w:rPr>
          <w:rFonts w:hint="eastAsia" w:ascii="思源黑体 CN Light" w:hAnsi="思源黑体 CN Light" w:eastAsia="思源黑体 CN Light"/>
          <w:szCs w:val="21"/>
        </w:rPr>
        <w:t>（2）海外及其他：</w:t>
      </w:r>
    </w:p>
    <w:p w14:paraId="41055C0F">
      <w:pPr>
        <w:ind w:firstLine="420" w:firstLineChars="200"/>
        <w:rPr>
          <w:rFonts w:ascii="思源黑体 CN Light" w:hAnsi="思源黑体 CN Light" w:eastAsia="思源黑体 CN Light"/>
          <w:szCs w:val="21"/>
        </w:rPr>
      </w:pPr>
      <w:r>
        <w:rPr>
          <w:rFonts w:hint="eastAsia" w:ascii="思源黑体 CN Light" w:hAnsi="思源黑体 CN Light" w:eastAsia="思源黑体 CN Light"/>
          <w:szCs w:val="21"/>
        </w:rPr>
        <w:t>未来债市需关注已被市场忽略很久且持续脱敏的中美贸易冲突。若美联储9月如期降息，我国央行四季度同步下调OMO利率的概率可能提升。</w:t>
      </w:r>
    </w:p>
    <w:p w14:paraId="3ABC3536">
      <w:pPr>
        <w:ind w:firstLine="420" w:firstLineChars="200"/>
        <w:rPr>
          <w:rFonts w:ascii="思源黑体 CN Light" w:hAnsi="思源黑体 CN Light" w:eastAsia="思源黑体 CN Light"/>
          <w:szCs w:val="21"/>
        </w:rPr>
      </w:pPr>
      <w:r>
        <w:rPr>
          <w:rFonts w:hint="eastAsia" w:ascii="思源黑体 CN Light" w:hAnsi="思源黑体 CN Light" w:eastAsia="思源黑体 CN Light"/>
          <w:szCs w:val="21"/>
        </w:rPr>
        <w:t>（3）上周债券市场：</w:t>
      </w:r>
    </w:p>
    <w:p w14:paraId="37245D60">
      <w:pPr>
        <w:ind w:firstLine="420" w:firstLineChars="200"/>
        <w:rPr>
          <w:rFonts w:ascii="思源黑体 CN Light" w:hAnsi="思源黑体 CN Light" w:eastAsia="思源黑体 CN Light"/>
          <w:szCs w:val="21"/>
        </w:rPr>
      </w:pPr>
      <w:r>
        <w:rPr>
          <w:rFonts w:hint="eastAsia" w:ascii="思源黑体 CN Light" w:hAnsi="思源黑体 CN Light" w:eastAsia="思源黑体 CN Light"/>
          <w:szCs w:val="21"/>
        </w:rPr>
        <w:t>上周（2025年8月25日-2025年8月29日，以下简称上周）是8月最后一周，股债再次“脱敏”，多空拉锯下债市维持震荡，交易盘买盘回温。</w:t>
      </w:r>
    </w:p>
    <w:p w14:paraId="747EE18A">
      <w:pPr>
        <w:ind w:firstLine="420" w:firstLineChars="200"/>
        <w:rPr>
          <w:rFonts w:ascii="思源黑体 CN Light" w:hAnsi="思源黑体 CN Light" w:eastAsia="思源黑体 CN Light"/>
          <w:szCs w:val="21"/>
        </w:rPr>
      </w:pPr>
      <w:r>
        <w:rPr>
          <w:rFonts w:hint="eastAsia" w:ascii="思源黑体 CN Light" w:hAnsi="思源黑体 CN Light" w:eastAsia="思源黑体 CN Light"/>
          <w:szCs w:val="21"/>
        </w:rPr>
        <w:t>债市短期难回快速下行通道，9月“股债跷跷板”主线或淡化，但机构行为主导下债市冲击前低的动力不足，且一旦利率向上突破关键点位，可能引发快速调整和交易盘的再度抛售。破局需看货币增量政策，九月底和四季度债市或将迎来顺风期。</w:t>
      </w:r>
    </w:p>
    <w:p w14:paraId="340876B8">
      <w:pPr>
        <w:pStyle w:val="2"/>
        <w:tabs>
          <w:tab w:val="left" w:pos="6289"/>
        </w:tabs>
        <w:spacing w:line="360" w:lineRule="auto"/>
        <w:rPr>
          <w:rFonts w:ascii="思源黑体 CN Light" w:hAnsi="思源黑体 CN Light" w:eastAsia="思源黑体 CN Light" w:cs="Times New Roman"/>
          <w:szCs w:val="21"/>
        </w:rPr>
      </w:pPr>
      <w:r>
        <w:rPr>
          <w:rFonts w:hint="eastAsia" w:ascii="思源黑体 CN Light" w:hAnsi="思源黑体 CN Light" w:eastAsia="思源黑体 CN Light" w:cs="Arial"/>
          <w:sz w:val="36"/>
          <w:szCs w:val="36"/>
        </w:rPr>
        <w:t>1</w:t>
      </w:r>
      <w:r>
        <w:rPr>
          <w:rFonts w:ascii="思源黑体 CN Light" w:hAnsi="思源黑体 CN Light" w:eastAsia="思源黑体 CN Light" w:cs="Arial"/>
          <w:sz w:val="36"/>
          <w:szCs w:val="36"/>
        </w:rPr>
        <w:t>、</w:t>
      </w:r>
      <w:r>
        <w:rPr>
          <w:rFonts w:hint="eastAsia" w:ascii="思源黑体 CN Light" w:hAnsi="思源黑体 CN Light" w:eastAsia="思源黑体 CN Light" w:cs="Arial"/>
          <w:sz w:val="36"/>
          <w:szCs w:val="36"/>
        </w:rPr>
        <w:t>上周</w:t>
      </w:r>
      <w:r>
        <w:rPr>
          <w:rFonts w:ascii="思源黑体 CN Light" w:hAnsi="思源黑体 CN Light" w:eastAsia="思源黑体 CN Light" w:cs="Arial"/>
          <w:sz w:val="36"/>
          <w:szCs w:val="36"/>
        </w:rPr>
        <w:t>高频数据</w:t>
      </w:r>
      <w:bookmarkEnd w:id="0"/>
    </w:p>
    <w:p w14:paraId="5D47F37C">
      <w:pPr>
        <w:spacing w:line="288" w:lineRule="auto"/>
        <w:ind w:firstLine="440" w:firstLineChars="200"/>
        <w:jc w:val="left"/>
        <w:rPr>
          <w:rFonts w:ascii="思源黑体 CN Light" w:hAnsi="思源黑体 CN Light" w:eastAsia="思源黑体 CN Light" w:cs="Times New Roman"/>
          <w:sz w:val="22"/>
          <w:szCs w:val="21"/>
          <w14:ligatures w14:val="standardContextual"/>
        </w:rPr>
      </w:pPr>
      <w:r>
        <w:rPr>
          <w:rFonts w:hint="eastAsia" w:ascii="思源黑体 CN Light" w:hAnsi="思源黑体 CN Light" w:eastAsia="思源黑体 CN Light" w:cs="Times New Roman"/>
          <w:sz w:val="22"/>
          <w:szCs w:val="21"/>
          <w14:ligatures w14:val="standardContextual"/>
        </w:rPr>
        <w:t>鲍威尔在杰克逊霍尔全球央行年会上暗示可能在未来数月内降息，7月非农就业数据表现强劲，强化了市场对美国经济韧性的信心。截至8月29日，美元指数涨0.14%，在岸人民币涨0.66%，英镑跌0.21%，欧元跌0.11%。</w:t>
      </w:r>
    </w:p>
    <w:p w14:paraId="1DAB59AC">
      <w:pPr>
        <w:spacing w:line="288" w:lineRule="auto"/>
        <w:jc w:val="left"/>
        <w:rPr>
          <w:rFonts w:ascii="思源黑体 CN Light" w:hAnsi="思源黑体 CN Light" w:eastAsia="思源黑体 CN Light" w:cs="Times New Roman"/>
          <w:sz w:val="16"/>
          <w:szCs w:val="16"/>
        </w:rPr>
      </w:pPr>
      <w:r>
        <w:rPr>
          <w:rFonts w:hint="eastAsia" w:ascii="思源黑体 CN Light" w:hAnsi="思源黑体 CN Light" w:eastAsia="思源黑体 CN Light" w:cs="Times New Roman"/>
          <w:b/>
          <w:color w:val="000000"/>
          <w:kern w:val="0"/>
          <w:sz w:val="20"/>
          <w:szCs w:val="20"/>
        </w:rPr>
        <w:t>图一：主要货币变化率</w:t>
      </w:r>
      <w:r>
        <w:rPr>
          <w:rFonts w:ascii="思源黑体 CN Light" w:hAnsi="思源黑体 CN Light" w:eastAsia="思源黑体 CN Light" w:cs="Times New Roman"/>
          <w:b/>
          <w:color w:val="000000"/>
          <w:kern w:val="0"/>
          <w:sz w:val="20"/>
          <w:szCs w:val="20"/>
        </w:rPr>
        <w:drawing>
          <wp:inline distT="0" distB="0" distL="0" distR="0">
            <wp:extent cx="5274310" cy="2060575"/>
            <wp:effectExtent l="0" t="0" r="2540" b="0"/>
            <wp:docPr id="48" name="图片 47" descr="图表, 条形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7" descr="图表, 条形图&#10;&#10;AI 生成的内容可能不正确。"/>
                    <pic:cNvPicPr>
                      <a:picLocks noChangeAspect="1"/>
                    </pic:cNvPicPr>
                  </pic:nvPicPr>
                  <pic:blipFill>
                    <a:blip r:embed="rId4"/>
                    <a:stretch>
                      <a:fillRect/>
                    </a:stretch>
                  </pic:blipFill>
                  <pic:spPr>
                    <a:xfrm>
                      <a:off x="0" y="0"/>
                      <a:ext cx="5274310" cy="2060575"/>
                    </a:xfrm>
                    <a:prstGeom prst="rect">
                      <a:avLst/>
                    </a:prstGeom>
                  </pic:spPr>
                </pic:pic>
              </a:graphicData>
            </a:graphic>
          </wp:inline>
        </w:drawing>
      </w:r>
      <w:r>
        <w:rPr>
          <w:rFonts w:hint="eastAsia" w:ascii="思源黑体 CN Light" w:hAnsi="思源黑体 CN Light" w:eastAsia="思源黑体 CN Light" w:cs="Times New Roman"/>
          <w:sz w:val="16"/>
          <w:szCs w:val="16"/>
        </w:rPr>
        <w:t>数据来源：wind，富荣基金；统计区间：20250825-2025</w:t>
      </w:r>
      <w:bookmarkStart w:id="1" w:name="_Toc134985520"/>
      <w:r>
        <w:rPr>
          <w:rFonts w:hint="eastAsia" w:ascii="思源黑体 CN Light" w:hAnsi="思源黑体 CN Light" w:eastAsia="思源黑体 CN Light" w:cs="Times New Roman"/>
          <w:sz w:val="16"/>
          <w:szCs w:val="16"/>
        </w:rPr>
        <w:t>0829</w:t>
      </w:r>
    </w:p>
    <w:p w14:paraId="035E7028">
      <w:pPr>
        <w:pStyle w:val="2"/>
        <w:spacing w:line="360" w:lineRule="auto"/>
        <w:rPr>
          <w:rFonts w:ascii="思源黑体 CN Light" w:hAnsi="思源黑体 CN Light" w:eastAsia="思源黑体 CN Light" w:cs="Arial"/>
          <w:sz w:val="36"/>
          <w:szCs w:val="36"/>
        </w:rPr>
      </w:pPr>
      <w:r>
        <w:rPr>
          <w:rFonts w:hint="eastAsia" w:ascii="思源黑体 CN Light" w:hAnsi="思源黑体 CN Light" w:eastAsia="思源黑体 CN Light" w:cs="Arial"/>
          <w:sz w:val="36"/>
          <w:szCs w:val="36"/>
        </w:rPr>
        <w:t>2</w:t>
      </w:r>
      <w:r>
        <w:rPr>
          <w:rFonts w:ascii="思源黑体 CN Light" w:hAnsi="思源黑体 CN Light" w:eastAsia="思源黑体 CN Light" w:cs="Arial"/>
          <w:sz w:val="36"/>
          <w:szCs w:val="36"/>
        </w:rPr>
        <w:t>、</w:t>
      </w:r>
      <w:r>
        <w:rPr>
          <w:rFonts w:hint="eastAsia" w:ascii="思源黑体 CN Light" w:hAnsi="思源黑体 CN Light" w:eastAsia="思源黑体 CN Light" w:cs="Arial"/>
          <w:sz w:val="36"/>
          <w:szCs w:val="36"/>
        </w:rPr>
        <w:t>上周</w:t>
      </w:r>
      <w:r>
        <w:rPr>
          <w:rFonts w:ascii="思源黑体 CN Light" w:hAnsi="思源黑体 CN Light" w:eastAsia="思源黑体 CN Light" w:cs="Arial"/>
          <w:sz w:val="36"/>
          <w:szCs w:val="36"/>
        </w:rPr>
        <w:t>债券市场</w:t>
      </w:r>
      <w:bookmarkEnd w:id="1"/>
    </w:p>
    <w:p w14:paraId="443315F8">
      <w:pPr>
        <w:spacing w:line="288" w:lineRule="auto"/>
        <w:jc w:val="left"/>
        <w:rPr>
          <w:rFonts w:ascii="思源黑体 CN Light" w:hAnsi="思源黑体 CN Light" w:eastAsia="思源黑体 CN Light" w:cs="Times New Roman"/>
          <w:b/>
          <w:bCs/>
          <w:sz w:val="22"/>
          <w:szCs w:val="21"/>
          <w14:ligatures w14:val="standardContextual"/>
        </w:rPr>
      </w:pPr>
      <w:r>
        <w:rPr>
          <w:rFonts w:hint="eastAsia" w:ascii="思源黑体 CN Light" w:hAnsi="思源黑体 CN Light" w:eastAsia="思源黑体 CN Light" w:cs="Times New Roman"/>
          <w:b/>
          <w:bCs/>
          <w:sz w:val="22"/>
          <w:szCs w:val="21"/>
          <w14:ligatures w14:val="standardContextual"/>
        </w:rPr>
        <w:t>资金面相对平稳。</w:t>
      </w:r>
      <w:r>
        <w:rPr>
          <w:rFonts w:hint="eastAsia" w:ascii="思源黑体 CN Light" w:hAnsi="思源黑体 CN Light" w:eastAsia="思源黑体 CN Light" w:cs="Times New Roman"/>
          <w:sz w:val="22"/>
          <w:szCs w:val="21"/>
          <w14:ligatures w14:val="standardContextual"/>
        </w:rPr>
        <w:t>DR001下行8.27bp至1.33%，DR007上行4.89bp至1.52%，R001下行2.82bp至1.42％，R007上行3.32bp至1.52％，GC001下行2.50bp至1.23%，GC007下行4.90bp至1.48％。</w:t>
      </w:r>
    </w:p>
    <w:p w14:paraId="151638B3">
      <w:pPr>
        <w:spacing w:line="288" w:lineRule="auto"/>
        <w:jc w:val="left"/>
        <w:rPr>
          <w:rFonts w:ascii="思源黑体 CN Light" w:hAnsi="思源黑体 CN Light" w:eastAsia="思源黑体 CN Light" w:cs="Times New Roman"/>
          <w:b/>
          <w:bCs/>
          <w:sz w:val="22"/>
          <w:szCs w:val="21"/>
          <w14:ligatures w14:val="standardContextual"/>
        </w:rPr>
      </w:pPr>
      <w:r>
        <w:rPr>
          <w:rFonts w:hint="eastAsia" w:ascii="思源黑体 CN Light" w:hAnsi="思源黑体 CN Light" w:eastAsia="思源黑体 CN Light" w:cs="Times New Roman"/>
          <w:b/>
          <w:bCs/>
          <w:sz w:val="22"/>
          <w:szCs w:val="21"/>
          <w14:ligatures w14:val="standardContextual"/>
        </w:rPr>
        <w:t>股债跷跷板效应延续，债市承压。</w:t>
      </w:r>
      <w:r>
        <w:rPr>
          <w:rFonts w:hint="eastAsia" w:ascii="思源黑体 CN Light" w:hAnsi="思源黑体 CN Light" w:eastAsia="思源黑体 CN Light" w:cs="Times New Roman"/>
          <w:sz w:val="22"/>
          <w:szCs w:val="21"/>
          <w14:ligatures w14:val="standardContextual"/>
        </w:rPr>
        <w:t>1Y、5Y、10Y、30Y国债收益率分别较前一周变化-0.09bp、-0.02bp、5.61bp、6.00bp至1.3698%、1.6322%、1.8379%、2.1375%。</w:t>
      </w:r>
    </w:p>
    <w:p w14:paraId="1025EF1C">
      <w:pPr>
        <w:spacing w:line="288" w:lineRule="auto"/>
        <w:jc w:val="left"/>
        <w:rPr>
          <w:rFonts w:ascii="思源黑体 CN Light" w:hAnsi="思源黑体 CN Light" w:eastAsia="思源黑体 CN Light" w:cs="Times New Roman"/>
          <w:sz w:val="16"/>
          <w:szCs w:val="16"/>
        </w:rPr>
      </w:pPr>
      <w:r>
        <w:rPr>
          <w:rFonts w:hint="eastAsia" w:ascii="思源黑体 CN Light" w:hAnsi="思源黑体 CN Light" w:eastAsia="思源黑体 CN Light" w:cs="Times New Roman"/>
          <w:b/>
          <w:color w:val="000000"/>
          <w:kern w:val="0"/>
          <w:sz w:val="20"/>
          <w:szCs w:val="20"/>
        </w:rPr>
        <w:t>图二：资金面变化</w:t>
      </w:r>
      <w:r>
        <w:rPr>
          <w:rFonts w:ascii="思源黑体 CN Light" w:hAnsi="思源黑体 CN Light" w:eastAsia="思源黑体 CN Light" w:cs="Times New Roman"/>
          <w:b/>
          <w:color w:val="000000"/>
          <w:kern w:val="0"/>
          <w:sz w:val="20"/>
          <w:szCs w:val="20"/>
        </w:rPr>
        <w:drawing>
          <wp:inline distT="0" distB="0" distL="0" distR="0">
            <wp:extent cx="5274310" cy="3075940"/>
            <wp:effectExtent l="0" t="0" r="2540" b="0"/>
            <wp:docPr id="70" name="图片 69" descr="图表&#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69" descr="图表&#10;&#10;AI 生成的内容可能不正确。"/>
                    <pic:cNvPicPr>
                      <a:picLocks noChangeAspect="1"/>
                    </pic:cNvPicPr>
                  </pic:nvPicPr>
                  <pic:blipFill>
                    <a:blip r:embed="rId5"/>
                    <a:stretch>
                      <a:fillRect/>
                    </a:stretch>
                  </pic:blipFill>
                  <pic:spPr>
                    <a:xfrm>
                      <a:off x="0" y="0"/>
                      <a:ext cx="5274310" cy="3075940"/>
                    </a:xfrm>
                    <a:prstGeom prst="rect">
                      <a:avLst/>
                    </a:prstGeom>
                  </pic:spPr>
                </pic:pic>
              </a:graphicData>
            </a:graphic>
          </wp:inline>
        </w:drawing>
      </w:r>
      <w:r>
        <w:rPr>
          <w:rFonts w:hint="eastAsia" w:ascii="思源黑体 CN Light" w:hAnsi="思源黑体 CN Light" w:eastAsia="思源黑体 CN Light" w:cs="Times New Roman"/>
          <w:sz w:val="16"/>
          <w:szCs w:val="16"/>
        </w:rPr>
        <w:t>数据来源：wind，富荣基金；统计区间：20250825-20250829</w:t>
      </w:r>
    </w:p>
    <w:p w14:paraId="6C2B9582">
      <w:pPr>
        <w:spacing w:line="288" w:lineRule="auto"/>
        <w:jc w:val="left"/>
        <w:rPr>
          <w:rFonts w:ascii="思源黑体 CN Light" w:hAnsi="思源黑体 CN Light" w:eastAsia="思源黑体 CN Light" w:cs="Times New Roman"/>
          <w:sz w:val="16"/>
          <w:szCs w:val="16"/>
        </w:rPr>
      </w:pPr>
      <w:r>
        <w:rPr>
          <w:rFonts w:hint="eastAsia" w:ascii="思源黑体 CN Light" w:hAnsi="思源黑体 CN Light" w:eastAsia="思源黑体 CN Light" w:cs="Times New Roman"/>
          <w:b/>
          <w:color w:val="000000"/>
          <w:kern w:val="0"/>
          <w:sz w:val="20"/>
          <w:szCs w:val="20"/>
        </w:rPr>
        <w:t>图三：国债周度变化</w:t>
      </w:r>
      <w:r>
        <w:rPr>
          <w:rFonts w:ascii="思源黑体 CN Light" w:hAnsi="思源黑体 CN Light" w:eastAsia="思源黑体 CN Light" w:cs="Times New Roman"/>
          <w:b/>
          <w:color w:val="000000"/>
          <w:kern w:val="0"/>
          <w:sz w:val="20"/>
          <w:szCs w:val="20"/>
        </w:rPr>
        <w:drawing>
          <wp:inline distT="0" distB="0" distL="0" distR="0">
            <wp:extent cx="5227320" cy="2577465"/>
            <wp:effectExtent l="0" t="0" r="0" b="0"/>
            <wp:docPr id="69" name="图片 68" descr="图表, 瀑布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8" descr="图表, 瀑布图&#10;&#10;AI 生成的内容可能不正确。"/>
                    <pic:cNvPicPr>
                      <a:picLocks noChangeAspect="1"/>
                    </pic:cNvPicPr>
                  </pic:nvPicPr>
                  <pic:blipFill>
                    <a:blip r:embed="rId6"/>
                    <a:stretch>
                      <a:fillRect/>
                    </a:stretch>
                  </pic:blipFill>
                  <pic:spPr>
                    <a:xfrm>
                      <a:off x="0" y="0"/>
                      <a:ext cx="5235580" cy="2582064"/>
                    </a:xfrm>
                    <a:prstGeom prst="rect">
                      <a:avLst/>
                    </a:prstGeom>
                  </pic:spPr>
                </pic:pic>
              </a:graphicData>
            </a:graphic>
          </wp:inline>
        </w:drawing>
      </w:r>
      <w:r>
        <w:rPr>
          <w:rFonts w:hint="eastAsia" w:ascii="思源黑体 CN Light" w:hAnsi="思源黑体 CN Light" w:eastAsia="思源黑体 CN Light" w:cs="Times New Roman"/>
          <w:sz w:val="16"/>
          <w:szCs w:val="16"/>
        </w:rPr>
        <w:t>数据来源：wind，富荣基金；统计区间：20250825-20250829</w:t>
      </w:r>
    </w:p>
    <w:p w14:paraId="7002F3FD">
      <w:pPr>
        <w:spacing w:line="288" w:lineRule="auto"/>
        <w:ind w:firstLine="440" w:firstLineChars="200"/>
        <w:rPr>
          <w:rFonts w:ascii="思源黑体 CN Light" w:hAnsi="思源黑体 CN Light" w:eastAsia="思源黑体 CN Light" w:cs="Times New Roman"/>
          <w:sz w:val="22"/>
          <w:szCs w:val="21"/>
          <w14:ligatures w14:val="standardContextual"/>
        </w:rPr>
      </w:pPr>
      <w:r>
        <w:rPr>
          <w:rFonts w:hint="eastAsia" w:ascii="思源黑体 CN Light" w:hAnsi="思源黑体 CN Light" w:eastAsia="思源黑体 CN Light" w:cs="Times New Roman"/>
          <w:sz w:val="22"/>
          <w:szCs w:val="21"/>
          <w14:ligatures w14:val="standardContextual"/>
        </w:rPr>
        <w:t>央行续做6000亿MLF，呵护跨月资金利率相对平稳，R001、DR001周均值较上周（税期）明显回落，分别下行13bp、14bp，DR007也下行1bp，R007则在跨月的影响下抬升，不过幅度不大。</w:t>
      </w:r>
    </w:p>
    <w:p w14:paraId="1E57CF48">
      <w:pPr>
        <w:spacing w:line="288" w:lineRule="auto"/>
        <w:ind w:firstLine="440" w:firstLineChars="200"/>
        <w:rPr>
          <w:rFonts w:ascii="思源黑体 CN Light" w:hAnsi="思源黑体 CN Light" w:eastAsia="思源黑体 CN Light" w:cs="Times New Roman"/>
          <w:sz w:val="22"/>
          <w:szCs w:val="21"/>
          <w14:ligatures w14:val="standardContextual"/>
        </w:rPr>
      </w:pPr>
      <w:r>
        <w:rPr>
          <w:rFonts w:hint="eastAsia" w:ascii="思源黑体 CN Light" w:hAnsi="思源黑体 CN Light" w:eastAsia="思源黑体 CN Light" w:cs="Times New Roman"/>
          <w:sz w:val="22"/>
          <w:szCs w:val="21"/>
          <w14:ligatures w14:val="standardContextual"/>
        </w:rPr>
        <w:t>上周信用债短端</w:t>
      </w:r>
      <w:r>
        <w:rPr>
          <w:rFonts w:hint="eastAsia" w:ascii="思源黑体 CN Light" w:hAnsi="思源黑体 CN Light" w:eastAsia="思源黑体 CN Light" w:cs="Times New Roman"/>
          <w:sz w:val="22"/>
          <w:szCs w:val="21"/>
          <w:lang w:val="en-US" w:eastAsia="zh-CN"/>
          <w14:ligatures w14:val="standardContextual"/>
        </w:rPr>
        <w:t>收益率</w:t>
      </w:r>
      <w:r>
        <w:rPr>
          <w:rFonts w:hint="eastAsia" w:ascii="思源黑体 CN Light" w:hAnsi="思源黑体 CN Light" w:eastAsia="思源黑体 CN Light" w:cs="Times New Roman"/>
          <w:sz w:val="22"/>
          <w:szCs w:val="21"/>
          <w14:ligatures w14:val="standardContextual"/>
        </w:rPr>
        <w:t>开始向下，仅个别品种5Y、3Y有继续上行。从利差看，券</w:t>
      </w:r>
      <w:bookmarkStart w:id="2" w:name="_GoBack"/>
      <w:bookmarkEnd w:id="2"/>
      <w:r>
        <w:rPr>
          <w:rFonts w:hint="eastAsia" w:ascii="思源黑体 CN Light" w:hAnsi="思源黑体 CN Light" w:eastAsia="思源黑体 CN Light" w:cs="Times New Roman"/>
          <w:sz w:val="22"/>
          <w:szCs w:val="21"/>
          <w14:ligatures w14:val="standardContextual"/>
        </w:rPr>
        <w:t>商次级、银行二级资本债有全面收窄趋势，其余品种5Y继续走阔，但短端已有收窄。</w:t>
      </w:r>
    </w:p>
    <w:p w14:paraId="5DB6374F">
      <w:pPr>
        <w:spacing w:line="288" w:lineRule="auto"/>
        <w:rPr>
          <w:rFonts w:ascii="思源黑体 CN Light" w:hAnsi="思源黑体 CN Light" w:eastAsia="思源黑体 CN Light" w:cs="Times New Roman"/>
          <w:b/>
          <w:color w:val="000000"/>
          <w:kern w:val="0"/>
          <w:sz w:val="20"/>
          <w:szCs w:val="20"/>
        </w:rPr>
      </w:pPr>
      <w:r>
        <w:rPr>
          <w:rFonts w:hint="eastAsia" w:ascii="思源黑体 CN Light" w:hAnsi="思源黑体 CN Light" w:eastAsia="思源黑体 CN Light" w:cs="Times New Roman"/>
          <w:b/>
          <w:color w:val="000000"/>
          <w:kern w:val="0"/>
          <w:sz w:val="20"/>
          <w:szCs w:val="20"/>
        </w:rPr>
        <w:t>图四：信用债收益率变化</w:t>
      </w:r>
    </w:p>
    <w:p w14:paraId="1BE02FF1">
      <w:pPr>
        <w:spacing w:line="288" w:lineRule="auto"/>
        <w:rPr>
          <w:rFonts w:ascii="思源黑体 CN Light" w:hAnsi="思源黑体 CN Light" w:eastAsia="思源黑体 CN Light" w:cs="Times New Roman"/>
          <w:sz w:val="16"/>
          <w:szCs w:val="16"/>
        </w:rPr>
      </w:pPr>
      <w:r>
        <w:rPr>
          <w:rFonts w:ascii="思源黑体 CN Light" w:hAnsi="思源黑体 CN Light" w:eastAsia="思源黑体 CN Light" w:cs="Times New Roman"/>
          <w:b/>
          <w:color w:val="000000"/>
          <w:kern w:val="0"/>
          <w:sz w:val="20"/>
          <w:szCs w:val="20"/>
        </w:rPr>
        <w:drawing>
          <wp:inline distT="0" distB="0" distL="0" distR="0">
            <wp:extent cx="5274310" cy="2308860"/>
            <wp:effectExtent l="0" t="0" r="2540" b="0"/>
            <wp:docPr id="4" name="图片 3" descr="图表, 瀑布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图表, 瀑布图&#10;&#10;AI 生成的内容可能不正确。"/>
                    <pic:cNvPicPr>
                      <a:picLocks noChangeAspect="1"/>
                    </pic:cNvPicPr>
                  </pic:nvPicPr>
                  <pic:blipFill>
                    <a:blip r:embed="rId7"/>
                    <a:stretch>
                      <a:fillRect/>
                    </a:stretch>
                  </pic:blipFill>
                  <pic:spPr>
                    <a:xfrm>
                      <a:off x="0" y="0"/>
                      <a:ext cx="5274310" cy="2308860"/>
                    </a:xfrm>
                    <a:prstGeom prst="rect">
                      <a:avLst/>
                    </a:prstGeom>
                  </pic:spPr>
                </pic:pic>
              </a:graphicData>
            </a:graphic>
          </wp:inline>
        </w:drawing>
      </w:r>
      <w:r>
        <w:rPr>
          <w:rFonts w:hint="eastAsia" w:ascii="思源黑体 CN Light" w:hAnsi="思源黑体 CN Light" w:eastAsia="思源黑体 CN Light" w:cs="Times New Roman"/>
          <w:sz w:val="16"/>
          <w:szCs w:val="16"/>
        </w:rPr>
        <w:t>数据来源：wind，富荣基金；统计区间：20250825-20250829</w:t>
      </w:r>
    </w:p>
    <w:p w14:paraId="027D0CAE">
      <w:pPr>
        <w:spacing w:line="288" w:lineRule="auto"/>
        <w:jc w:val="left"/>
        <w:rPr>
          <w:rFonts w:ascii="思源黑体 CN Light" w:hAnsi="思源黑体 CN Light" w:eastAsia="思源黑体 CN Light" w:cs="Times New Roman"/>
          <w:b/>
          <w:color w:val="000000"/>
          <w:kern w:val="0"/>
          <w:sz w:val="20"/>
          <w:szCs w:val="20"/>
        </w:rPr>
      </w:pPr>
      <w:r>
        <w:rPr>
          <w:rFonts w:hint="eastAsia" w:ascii="思源黑体 CN Light" w:hAnsi="思源黑体 CN Light" w:eastAsia="思源黑体 CN Light" w:cs="Times New Roman"/>
          <w:b/>
          <w:color w:val="000000"/>
          <w:kern w:val="0"/>
          <w:sz w:val="20"/>
          <w:szCs w:val="20"/>
        </w:rPr>
        <w:t>图五：信用利差变化</w:t>
      </w:r>
    </w:p>
    <w:p w14:paraId="2930C568">
      <w:pPr>
        <w:spacing w:line="288" w:lineRule="auto"/>
        <w:jc w:val="left"/>
        <w:rPr>
          <w:rFonts w:ascii="思源黑体 CN Light" w:hAnsi="思源黑体 CN Light" w:eastAsia="思源黑体 CN Light"/>
          <w:sz w:val="20"/>
          <w:szCs w:val="20"/>
        </w:rPr>
      </w:pPr>
      <w:r>
        <w:rPr>
          <w:rFonts w:ascii="思源黑体 CN Light" w:hAnsi="思源黑体 CN Light" w:eastAsia="思源黑体 CN Light" w:cs="Times New Roman"/>
          <w:b/>
          <w:color w:val="000000"/>
          <w:kern w:val="0"/>
          <w:sz w:val="20"/>
          <w:szCs w:val="20"/>
        </w:rPr>
        <w:drawing>
          <wp:inline distT="0" distB="0" distL="0" distR="0">
            <wp:extent cx="5274310" cy="1997710"/>
            <wp:effectExtent l="0" t="0" r="2540" b="2540"/>
            <wp:docPr id="12" name="图片 11" descr="图表, 瀑布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图表, 瀑布图&#10;&#10;AI 生成的内容可能不正确。"/>
                    <pic:cNvPicPr>
                      <a:picLocks noChangeAspect="1"/>
                    </pic:cNvPicPr>
                  </pic:nvPicPr>
                  <pic:blipFill>
                    <a:blip r:embed="rId8"/>
                    <a:stretch>
                      <a:fillRect/>
                    </a:stretch>
                  </pic:blipFill>
                  <pic:spPr>
                    <a:xfrm>
                      <a:off x="0" y="0"/>
                      <a:ext cx="5274310" cy="1997710"/>
                    </a:xfrm>
                    <a:prstGeom prst="rect">
                      <a:avLst/>
                    </a:prstGeom>
                  </pic:spPr>
                </pic:pic>
              </a:graphicData>
            </a:graphic>
          </wp:inline>
        </w:drawing>
      </w:r>
      <w:r>
        <w:rPr>
          <w:rFonts w:hint="eastAsia" w:ascii="思源黑体 CN Light" w:hAnsi="思源黑体 CN Light" w:eastAsia="思源黑体 CN Light" w:cs="Times New Roman"/>
          <w:sz w:val="16"/>
          <w:szCs w:val="16"/>
        </w:rPr>
        <w:t>数据来源：wind，富荣基金；统计区间：20250825-20250829</w:t>
      </w:r>
    </w:p>
    <w:p w14:paraId="0F611918">
      <w:pPr>
        <w:ind w:firstLine="400" w:firstLineChars="200"/>
        <w:rPr>
          <w:rFonts w:ascii="思源黑体 CN Light" w:hAnsi="思源黑体 CN Light" w:eastAsia="思源黑体 CN Light"/>
          <w:sz w:val="20"/>
          <w:szCs w:val="20"/>
        </w:rPr>
      </w:pPr>
    </w:p>
    <w:p w14:paraId="582CD664">
      <w:pPr>
        <w:ind w:firstLine="400" w:firstLineChars="200"/>
        <w:rPr>
          <w:rFonts w:ascii="思源黑体 CN Light" w:hAnsi="思源黑体 CN Light" w:eastAsia="思源黑体 CN Light"/>
          <w:sz w:val="20"/>
          <w:szCs w:val="20"/>
        </w:rPr>
      </w:pPr>
    </w:p>
    <w:p w14:paraId="63658DFA">
      <w:pPr>
        <w:rPr>
          <w:rFonts w:ascii="思源黑体 CN Light" w:hAnsi="思源黑体 CN Light" w:eastAsia="思源黑体 CN Light" w:cs="Times New Roman"/>
          <w:sz w:val="18"/>
          <w:szCs w:val="18"/>
        </w:rPr>
      </w:pPr>
      <w:r>
        <w:rPr>
          <w:rFonts w:hint="eastAsia" w:ascii="思源黑体 CN Light" w:hAnsi="思源黑体 CN Light" w:eastAsia="思源黑体 CN Light"/>
          <w:sz w:val="18"/>
          <w:szCs w:val="18"/>
        </w:rPr>
        <w:t>风险提示：</w:t>
      </w:r>
    </w:p>
    <w:p w14:paraId="54FE0C56">
      <w:pPr>
        <w:rPr>
          <w:sz w:val="20"/>
          <w:szCs w:val="21"/>
        </w:rPr>
      </w:pPr>
      <w:r>
        <w:rPr>
          <w:rFonts w:ascii="思源黑体 CN Light" w:hAnsi="思源黑体 CN Light" w:eastAsia="思源黑体 CN Light"/>
          <w:sz w:val="18"/>
          <w:szCs w:val="18"/>
        </w:rPr>
        <w:t>1、本材料中的信息均来源于我们认为可靠的已公开资料和合作客户的研究成果，但本公司及研究人员对这些信息的准确性和完整性不作任何保证，也不保证本材料所包含的信息或建议在本材料发出后不会发生任何变更，且本材料仅反映发布时的资料、观点和预测，可能在随后会作出调整。2、本材料中的资料、观点和预测等仅供参考，在任何时候均不构成对任何人的个人推荐。市场有风险，投资需谨慎。</w:t>
      </w:r>
    </w:p>
    <w:p w14:paraId="3641E41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思源黑体 CN Bold">
    <w:panose1 w:val="020B0800000000000000"/>
    <w:charset w:val="86"/>
    <w:family w:val="swiss"/>
    <w:pitch w:val="default"/>
    <w:sig w:usb0="20000003" w:usb1="2ADF3C10" w:usb2="00000016" w:usb3="00000000" w:csb0="60060107" w:csb1="00000000"/>
  </w:font>
  <w:font w:name="思源黑体 CN Light">
    <w:panose1 w:val="020B0300000000000000"/>
    <w:charset w:val="86"/>
    <w:family w:val="swiss"/>
    <w:pitch w:val="default"/>
    <w:sig w:usb0="20000003" w:usb1="2ADF3C10" w:usb2="00000016" w:usb3="00000000" w:csb0="60060107"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000"/>
    <w:rsid w:val="00022FC7"/>
    <w:rsid w:val="000571C4"/>
    <w:rsid w:val="00197000"/>
    <w:rsid w:val="002F63B0"/>
    <w:rsid w:val="005F5DAD"/>
    <w:rsid w:val="00852735"/>
    <w:rsid w:val="009D07E5"/>
    <w:rsid w:val="00A90BDA"/>
    <w:rsid w:val="00B34D63"/>
    <w:rsid w:val="00DC7EBF"/>
    <w:rsid w:val="15C35B8E"/>
    <w:rsid w:val="26D2715A"/>
    <w:rsid w:val="6D7C2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480" w:after="80" w:line="278" w:lineRule="auto"/>
      <w:jc w:val="left"/>
      <w:outlineLvl w:val="0"/>
    </w:pPr>
    <w:rPr>
      <w:rFonts w:asciiTheme="majorHAnsi" w:hAnsiTheme="majorHAnsi" w:eastAsiaTheme="majorEastAsia" w:cstheme="majorBidi"/>
      <w:color w:val="104862" w:themeColor="accent1" w:themeShade="BF"/>
      <w:sz w:val="48"/>
      <w:szCs w:val="48"/>
      <w14:ligatures w14:val="standardContextual"/>
    </w:rPr>
  </w:style>
  <w:style w:type="paragraph" w:styleId="3">
    <w:name w:val="heading 2"/>
    <w:basedOn w:val="1"/>
    <w:next w:val="1"/>
    <w:link w:val="22"/>
    <w:semiHidden/>
    <w:unhideWhenUsed/>
    <w:qFormat/>
    <w:uiPriority w:val="9"/>
    <w:pPr>
      <w:keepNext/>
      <w:keepLines/>
      <w:spacing w:before="160" w:after="80" w:line="278" w:lineRule="auto"/>
      <w:jc w:val="left"/>
      <w:outlineLvl w:val="1"/>
    </w:pPr>
    <w:rPr>
      <w:rFonts w:asciiTheme="majorHAnsi" w:hAnsiTheme="majorHAnsi" w:eastAsiaTheme="majorEastAsia" w:cstheme="majorBidi"/>
      <w:color w:val="104862" w:themeColor="accent1" w:themeShade="BF"/>
      <w:sz w:val="40"/>
      <w:szCs w:val="40"/>
      <w14:ligatures w14:val="standardContextual"/>
    </w:rPr>
  </w:style>
  <w:style w:type="paragraph" w:styleId="4">
    <w:name w:val="heading 3"/>
    <w:basedOn w:val="1"/>
    <w:next w:val="1"/>
    <w:link w:val="23"/>
    <w:semiHidden/>
    <w:unhideWhenUsed/>
    <w:qFormat/>
    <w:uiPriority w:val="9"/>
    <w:pPr>
      <w:keepNext/>
      <w:keepLines/>
      <w:spacing w:before="160" w:after="80" w:line="278" w:lineRule="auto"/>
      <w:jc w:val="left"/>
      <w:outlineLvl w:val="2"/>
    </w:pPr>
    <w:rPr>
      <w:rFonts w:asciiTheme="majorHAnsi" w:hAnsiTheme="majorHAnsi" w:eastAsiaTheme="majorEastAsia" w:cstheme="majorBidi"/>
      <w:color w:val="104862" w:themeColor="accent1" w:themeShade="BF"/>
      <w:sz w:val="32"/>
      <w:szCs w:val="32"/>
      <w14:ligatures w14:val="standardContextual"/>
    </w:rPr>
  </w:style>
  <w:style w:type="paragraph" w:styleId="5">
    <w:name w:val="heading 4"/>
    <w:basedOn w:val="1"/>
    <w:next w:val="1"/>
    <w:link w:val="24"/>
    <w:semiHidden/>
    <w:unhideWhenUsed/>
    <w:qFormat/>
    <w:uiPriority w:val="9"/>
    <w:pPr>
      <w:keepNext/>
      <w:keepLines/>
      <w:spacing w:before="80" w:after="40" w:line="278" w:lineRule="auto"/>
      <w:jc w:val="left"/>
      <w:outlineLvl w:val="3"/>
    </w:pPr>
    <w:rPr>
      <w:rFonts w:cstheme="majorBidi"/>
      <w:color w:val="104862" w:themeColor="accent1" w:themeShade="BF"/>
      <w:sz w:val="28"/>
      <w:szCs w:val="28"/>
      <w14:ligatures w14:val="standardContextual"/>
    </w:rPr>
  </w:style>
  <w:style w:type="paragraph" w:styleId="6">
    <w:name w:val="heading 5"/>
    <w:basedOn w:val="1"/>
    <w:next w:val="1"/>
    <w:link w:val="25"/>
    <w:semiHidden/>
    <w:unhideWhenUsed/>
    <w:qFormat/>
    <w:uiPriority w:val="9"/>
    <w:pPr>
      <w:keepNext/>
      <w:keepLines/>
      <w:spacing w:before="80" w:after="40" w:line="278" w:lineRule="auto"/>
      <w:jc w:val="left"/>
      <w:outlineLvl w:val="4"/>
    </w:pPr>
    <w:rPr>
      <w:rFonts w:cstheme="majorBidi"/>
      <w:color w:val="104862" w:themeColor="accent1" w:themeShade="BF"/>
      <w:sz w:val="24"/>
      <w:szCs w:val="24"/>
      <w14:ligatures w14:val="standardContextual"/>
    </w:rPr>
  </w:style>
  <w:style w:type="paragraph" w:styleId="7">
    <w:name w:val="heading 6"/>
    <w:basedOn w:val="1"/>
    <w:next w:val="1"/>
    <w:link w:val="26"/>
    <w:semiHidden/>
    <w:unhideWhenUsed/>
    <w:qFormat/>
    <w:uiPriority w:val="9"/>
    <w:pPr>
      <w:keepNext/>
      <w:keepLines/>
      <w:spacing w:before="40" w:line="278" w:lineRule="auto"/>
      <w:jc w:val="left"/>
      <w:outlineLvl w:val="5"/>
    </w:pPr>
    <w:rPr>
      <w:rFonts w:cstheme="majorBidi"/>
      <w:b/>
      <w:bCs/>
      <w:color w:val="104862" w:themeColor="accent1" w:themeShade="BF"/>
      <w:sz w:val="22"/>
      <w:szCs w:val="24"/>
      <w14:ligatures w14:val="standardContextual"/>
    </w:rPr>
  </w:style>
  <w:style w:type="paragraph" w:styleId="8">
    <w:name w:val="heading 7"/>
    <w:basedOn w:val="1"/>
    <w:next w:val="1"/>
    <w:link w:val="27"/>
    <w:semiHidden/>
    <w:unhideWhenUsed/>
    <w:qFormat/>
    <w:uiPriority w:val="9"/>
    <w:pPr>
      <w:keepNext/>
      <w:keepLines/>
      <w:spacing w:before="40" w:line="278" w:lineRule="auto"/>
      <w:jc w:val="left"/>
      <w:outlineLvl w:val="6"/>
    </w:pPr>
    <w:rPr>
      <w:rFonts w:cstheme="majorBidi"/>
      <w:b/>
      <w:bCs/>
      <w:color w:val="595959" w:themeColor="text1" w:themeTint="A6"/>
      <w:sz w:val="22"/>
      <w:szCs w:val="24"/>
      <w14:textFill>
        <w14:solidFill>
          <w14:schemeClr w14:val="tx1">
            <w14:lumMod w14:val="65000"/>
            <w14:lumOff w14:val="35000"/>
          </w14:schemeClr>
        </w14:solidFill>
      </w14:textFill>
      <w14:ligatures w14:val="standardContextual"/>
    </w:rPr>
  </w:style>
  <w:style w:type="paragraph" w:styleId="9">
    <w:name w:val="heading 8"/>
    <w:basedOn w:val="1"/>
    <w:next w:val="1"/>
    <w:link w:val="28"/>
    <w:semiHidden/>
    <w:unhideWhenUsed/>
    <w:qFormat/>
    <w:uiPriority w:val="9"/>
    <w:pPr>
      <w:keepNext/>
      <w:keepLines/>
      <w:spacing w:line="278" w:lineRule="auto"/>
      <w:jc w:val="left"/>
      <w:outlineLvl w:val="7"/>
    </w:pPr>
    <w:rPr>
      <w:rFonts w:cstheme="majorBidi"/>
      <w:color w:val="595959" w:themeColor="text1" w:themeTint="A6"/>
      <w:sz w:val="22"/>
      <w:szCs w:val="24"/>
      <w14:textFill>
        <w14:solidFill>
          <w14:schemeClr w14:val="tx1">
            <w14:lumMod w14:val="65000"/>
            <w14:lumOff w14:val="35000"/>
          </w14:schemeClr>
        </w14:solidFill>
      </w14:textFill>
      <w14:ligatures w14:val="standardContextual"/>
    </w:rPr>
  </w:style>
  <w:style w:type="paragraph" w:styleId="10">
    <w:name w:val="heading 9"/>
    <w:basedOn w:val="1"/>
    <w:next w:val="1"/>
    <w:link w:val="29"/>
    <w:semiHidden/>
    <w:unhideWhenUsed/>
    <w:qFormat/>
    <w:uiPriority w:val="9"/>
    <w:pPr>
      <w:keepNext/>
      <w:keepLines/>
      <w:spacing w:line="278" w:lineRule="auto"/>
      <w:jc w:val="left"/>
      <w:outlineLvl w:val="8"/>
    </w:pPr>
    <w:rPr>
      <w:rFonts w:eastAsiaTheme="majorEastAsia" w:cstheme="majorBidi"/>
      <w:color w:val="595959" w:themeColor="text1" w:themeTint="A6"/>
      <w:sz w:val="22"/>
      <w:szCs w:val="24"/>
      <w14:textFill>
        <w14:solidFill>
          <w14:schemeClr w14:val="tx1">
            <w14:lumMod w14:val="65000"/>
            <w14:lumOff w14:val="35000"/>
          </w14:schemeClr>
        </w14:solidFill>
      </w14:textFill>
      <w14:ligatures w14:val="standardContextual"/>
    </w:rPr>
  </w:style>
  <w:style w:type="character" w:default="1" w:styleId="19">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2"/>
    <w:semiHidden/>
    <w:unhideWhenUsed/>
    <w:qFormat/>
    <w:uiPriority w:val="99"/>
    <w:pPr>
      <w:jc w:val="left"/>
    </w:pPr>
  </w:style>
  <w:style w:type="paragraph" w:styleId="12">
    <w:name w:val="Balloon Text"/>
    <w:basedOn w:val="1"/>
    <w:link w:val="39"/>
    <w:semiHidden/>
    <w:unhideWhenUsed/>
    <w:qFormat/>
    <w:uiPriority w:val="99"/>
    <w:rPr>
      <w:sz w:val="18"/>
      <w:szCs w:val="18"/>
    </w:rPr>
  </w:style>
  <w:style w:type="paragraph" w:styleId="13">
    <w:name w:val="footer"/>
    <w:basedOn w:val="1"/>
    <w:link w:val="41"/>
    <w:unhideWhenUsed/>
    <w:qFormat/>
    <w:uiPriority w:val="99"/>
    <w:pPr>
      <w:tabs>
        <w:tab w:val="center" w:pos="4153"/>
        <w:tab w:val="right" w:pos="8306"/>
      </w:tabs>
      <w:snapToGrid w:val="0"/>
      <w:jc w:val="left"/>
    </w:pPr>
    <w:rPr>
      <w:sz w:val="18"/>
      <w:szCs w:val="18"/>
    </w:rPr>
  </w:style>
  <w:style w:type="paragraph" w:styleId="14">
    <w:name w:val="header"/>
    <w:basedOn w:val="1"/>
    <w:link w:val="40"/>
    <w:unhideWhenUsed/>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1"/>
    <w:qFormat/>
    <w:uiPriority w:val="11"/>
    <w:pPr>
      <w:spacing w:after="160" w:line="278"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6">
    <w:name w:val="Title"/>
    <w:basedOn w:val="1"/>
    <w:next w:val="1"/>
    <w:link w:val="30"/>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paragraph" w:styleId="17">
    <w:name w:val="annotation subject"/>
    <w:basedOn w:val="11"/>
    <w:next w:val="11"/>
    <w:link w:val="43"/>
    <w:semiHidden/>
    <w:unhideWhenUsed/>
    <w:qFormat/>
    <w:uiPriority w:val="99"/>
    <w:rPr>
      <w:b/>
      <w:bCs/>
    </w:rPr>
  </w:style>
  <w:style w:type="character" w:styleId="20">
    <w:name w:val="annotation reference"/>
    <w:basedOn w:val="19"/>
    <w:semiHidden/>
    <w:unhideWhenUsed/>
    <w:qFormat/>
    <w:uiPriority w:val="99"/>
    <w:rPr>
      <w:sz w:val="21"/>
      <w:szCs w:val="21"/>
    </w:rPr>
  </w:style>
  <w:style w:type="character" w:customStyle="1" w:styleId="21">
    <w:name w:val="标题 1 Char"/>
    <w:basedOn w:val="19"/>
    <w:link w:val="2"/>
    <w:qFormat/>
    <w:uiPriority w:val="9"/>
    <w:rPr>
      <w:rFonts w:asciiTheme="majorHAnsi" w:hAnsiTheme="majorHAnsi" w:eastAsiaTheme="majorEastAsia" w:cstheme="majorBidi"/>
      <w:color w:val="104862" w:themeColor="accent1" w:themeShade="BF"/>
      <w:sz w:val="48"/>
      <w:szCs w:val="48"/>
    </w:rPr>
  </w:style>
  <w:style w:type="character" w:customStyle="1" w:styleId="22">
    <w:name w:val="标题 2 Char"/>
    <w:basedOn w:val="19"/>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3">
    <w:name w:val="标题 3 Char"/>
    <w:basedOn w:val="19"/>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4">
    <w:name w:val="标题 4 Char"/>
    <w:basedOn w:val="19"/>
    <w:link w:val="5"/>
    <w:semiHidden/>
    <w:qFormat/>
    <w:uiPriority w:val="9"/>
    <w:rPr>
      <w:rFonts w:cstheme="majorBidi"/>
      <w:color w:val="104862" w:themeColor="accent1" w:themeShade="BF"/>
      <w:sz w:val="28"/>
      <w:szCs w:val="28"/>
    </w:rPr>
  </w:style>
  <w:style w:type="character" w:customStyle="1" w:styleId="25">
    <w:name w:val="标题 5 Char"/>
    <w:basedOn w:val="19"/>
    <w:link w:val="6"/>
    <w:semiHidden/>
    <w:qFormat/>
    <w:uiPriority w:val="9"/>
    <w:rPr>
      <w:rFonts w:cstheme="majorBidi"/>
      <w:color w:val="104862" w:themeColor="accent1" w:themeShade="BF"/>
      <w:sz w:val="24"/>
    </w:rPr>
  </w:style>
  <w:style w:type="character" w:customStyle="1" w:styleId="26">
    <w:name w:val="标题 6 Char"/>
    <w:basedOn w:val="19"/>
    <w:link w:val="7"/>
    <w:semiHidden/>
    <w:qFormat/>
    <w:uiPriority w:val="9"/>
    <w:rPr>
      <w:rFonts w:cstheme="majorBidi"/>
      <w:b/>
      <w:bCs/>
      <w:color w:val="104862" w:themeColor="accent1" w:themeShade="BF"/>
    </w:rPr>
  </w:style>
  <w:style w:type="character" w:customStyle="1" w:styleId="27">
    <w:name w:val="标题 7 Char"/>
    <w:basedOn w:val="19"/>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8">
    <w:name w:val="标题 8 Char"/>
    <w:basedOn w:val="19"/>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9">
    <w:name w:val="标题 9 Char"/>
    <w:basedOn w:val="19"/>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0">
    <w:name w:val="标题 Char"/>
    <w:basedOn w:val="19"/>
    <w:link w:val="16"/>
    <w:qFormat/>
    <w:uiPriority w:val="10"/>
    <w:rPr>
      <w:rFonts w:asciiTheme="majorHAnsi" w:hAnsiTheme="majorHAnsi" w:eastAsiaTheme="majorEastAsia" w:cstheme="majorBidi"/>
      <w:spacing w:val="-10"/>
      <w:kern w:val="28"/>
      <w:sz w:val="56"/>
      <w:szCs w:val="56"/>
    </w:rPr>
  </w:style>
  <w:style w:type="character" w:customStyle="1" w:styleId="31">
    <w:name w:val="副标题 Char"/>
    <w:basedOn w:val="19"/>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Quote"/>
    <w:basedOn w:val="1"/>
    <w:next w:val="1"/>
    <w:link w:val="33"/>
    <w:qFormat/>
    <w:uiPriority w:val="29"/>
    <w:pPr>
      <w:spacing w:before="160" w:after="160" w:line="278" w:lineRule="auto"/>
      <w:jc w:val="center"/>
    </w:pPr>
    <w:rPr>
      <w:i/>
      <w:iCs/>
      <w:color w:val="404040" w:themeColor="text1" w:themeTint="BF"/>
      <w:sz w:val="22"/>
      <w:szCs w:val="24"/>
      <w14:textFill>
        <w14:solidFill>
          <w14:schemeClr w14:val="tx1">
            <w14:lumMod w14:val="75000"/>
            <w14:lumOff w14:val="25000"/>
          </w14:schemeClr>
        </w14:solidFill>
      </w14:textFill>
      <w14:ligatures w14:val="standardContextual"/>
    </w:rPr>
  </w:style>
  <w:style w:type="character" w:customStyle="1" w:styleId="33">
    <w:name w:val="引用 Char"/>
    <w:basedOn w:val="19"/>
    <w:link w:val="32"/>
    <w:qFormat/>
    <w:uiPriority w:val="29"/>
    <w:rPr>
      <w:i/>
      <w:iCs/>
      <w:color w:val="404040" w:themeColor="text1" w:themeTint="BF"/>
      <w14:textFill>
        <w14:solidFill>
          <w14:schemeClr w14:val="tx1">
            <w14:lumMod w14:val="75000"/>
            <w14:lumOff w14:val="25000"/>
          </w14:schemeClr>
        </w14:solidFill>
      </w14:textFill>
    </w:rPr>
  </w:style>
  <w:style w:type="paragraph" w:styleId="34">
    <w:name w:val="List Paragraph"/>
    <w:basedOn w:val="1"/>
    <w:qFormat/>
    <w:uiPriority w:val="34"/>
    <w:pPr>
      <w:spacing w:after="160" w:line="278" w:lineRule="auto"/>
      <w:ind w:left="720"/>
      <w:contextualSpacing/>
      <w:jc w:val="left"/>
    </w:pPr>
    <w:rPr>
      <w:sz w:val="22"/>
      <w:szCs w:val="24"/>
      <w14:ligatures w14:val="standardContextual"/>
    </w:rPr>
  </w:style>
  <w:style w:type="character" w:customStyle="1" w:styleId="35">
    <w:name w:val="明显强调1"/>
    <w:basedOn w:val="19"/>
    <w:qFormat/>
    <w:uiPriority w:val="21"/>
    <w:rPr>
      <w:i/>
      <w:iCs/>
      <w:color w:val="104862" w:themeColor="accent1" w:themeShade="BF"/>
    </w:rPr>
  </w:style>
  <w:style w:type="paragraph" w:styleId="36">
    <w:name w:val="Intense Quote"/>
    <w:basedOn w:val="1"/>
    <w:next w:val="1"/>
    <w:link w:val="37"/>
    <w:qFormat/>
    <w:uiPriority w:val="30"/>
    <w:pPr>
      <w:pBdr>
        <w:top w:val="single" w:color="0F4761" w:themeColor="accent1" w:themeShade="BF" w:sz="4" w:space="10"/>
        <w:bottom w:val="single" w:color="0F4761" w:themeColor="accent1" w:themeShade="BF" w:sz="4" w:space="10"/>
      </w:pBdr>
      <w:spacing w:before="360" w:after="360" w:line="278" w:lineRule="auto"/>
      <w:ind w:left="864" w:right="864"/>
      <w:jc w:val="center"/>
    </w:pPr>
    <w:rPr>
      <w:i/>
      <w:iCs/>
      <w:color w:val="104862" w:themeColor="accent1" w:themeShade="BF"/>
      <w:sz w:val="22"/>
      <w:szCs w:val="24"/>
      <w14:ligatures w14:val="standardContextual"/>
    </w:rPr>
  </w:style>
  <w:style w:type="character" w:customStyle="1" w:styleId="37">
    <w:name w:val="明显引用 Char"/>
    <w:basedOn w:val="19"/>
    <w:link w:val="36"/>
    <w:qFormat/>
    <w:uiPriority w:val="30"/>
    <w:rPr>
      <w:i/>
      <w:iCs/>
      <w:color w:val="104862" w:themeColor="accent1" w:themeShade="BF"/>
    </w:rPr>
  </w:style>
  <w:style w:type="character" w:customStyle="1" w:styleId="38">
    <w:name w:val="明显参考1"/>
    <w:basedOn w:val="19"/>
    <w:qFormat/>
    <w:uiPriority w:val="32"/>
    <w:rPr>
      <w:b/>
      <w:bCs/>
      <w:smallCaps/>
      <w:color w:val="104862" w:themeColor="accent1" w:themeShade="BF"/>
      <w:spacing w:val="5"/>
    </w:rPr>
  </w:style>
  <w:style w:type="character" w:customStyle="1" w:styleId="39">
    <w:name w:val="批注框文本 Char"/>
    <w:basedOn w:val="19"/>
    <w:link w:val="12"/>
    <w:semiHidden/>
    <w:qFormat/>
    <w:uiPriority w:val="99"/>
    <w:rPr>
      <w:kern w:val="2"/>
      <w:sz w:val="18"/>
      <w:szCs w:val="18"/>
    </w:rPr>
  </w:style>
  <w:style w:type="character" w:customStyle="1" w:styleId="40">
    <w:name w:val="页眉 Char"/>
    <w:basedOn w:val="19"/>
    <w:link w:val="14"/>
    <w:qFormat/>
    <w:uiPriority w:val="99"/>
    <w:rPr>
      <w:kern w:val="2"/>
      <w:sz w:val="18"/>
      <w:szCs w:val="18"/>
    </w:rPr>
  </w:style>
  <w:style w:type="character" w:customStyle="1" w:styleId="41">
    <w:name w:val="页脚 Char"/>
    <w:basedOn w:val="19"/>
    <w:link w:val="13"/>
    <w:qFormat/>
    <w:uiPriority w:val="99"/>
    <w:rPr>
      <w:kern w:val="2"/>
      <w:sz w:val="18"/>
      <w:szCs w:val="18"/>
    </w:rPr>
  </w:style>
  <w:style w:type="character" w:customStyle="1" w:styleId="42">
    <w:name w:val="批注文字 Char"/>
    <w:basedOn w:val="19"/>
    <w:link w:val="11"/>
    <w:semiHidden/>
    <w:qFormat/>
    <w:uiPriority w:val="99"/>
    <w:rPr>
      <w:kern w:val="2"/>
      <w:sz w:val="21"/>
      <w:szCs w:val="22"/>
    </w:rPr>
  </w:style>
  <w:style w:type="character" w:customStyle="1" w:styleId="43">
    <w:name w:val="批注主题 Char"/>
    <w:basedOn w:val="42"/>
    <w:link w:val="17"/>
    <w:semiHidden/>
    <w:qFormat/>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1099</Words>
  <Characters>1381</Characters>
  <Lines>10</Lines>
  <Paragraphs>2</Paragraphs>
  <TotalTime>11</TotalTime>
  <ScaleCrop>false</ScaleCrop>
  <LinksUpToDate>false</LinksUpToDate>
  <CharactersWithSpaces>1381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2025-09-01T07:56:00Z</dcterms:created>
  <dc:creator>叶蕊</dc:creator>
  <cp:lastModifiedBy>叶蕊</cp:lastModifiedBy>
  <dcterms:modified xsi:type="dcterms:W3CDTF">2025-09-01T08:12:30Z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eyJoZGlkIjoiM2Q0ZDE4MjZiMjI0N2FiMDcxYTI0ZDBlYWViZjQ5YTQiLCJ1c2VySWQiOiI4MzYyNzM1OTMifQ==</vt:lpwstr>
  </property>
  <property fmtid="{D5CDD505-2E9C-101B-9397-08002B2CF9AE}" pid="3" name="KSOProductBuildVer">
    <vt:lpwstr>2052-12.1.0.22529</vt:lpwstr>
  </property>
  <property fmtid="{D5CDD505-2E9C-101B-9397-08002B2CF9AE}" pid="4" name="ICV">
    <vt:lpwstr>99B4CA50AB2D452F87C504F1880DF3BF_12</vt:lpwstr>
  </property>
</Properties>
</file>