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1C455">
      <w:pPr>
        <w:pStyle w:val="2"/>
        <w:tabs>
          <w:tab w:val="left" w:pos="4364"/>
          <w:tab w:val="right" w:pos="10204"/>
        </w:tabs>
        <w:jc w:val="center"/>
        <w:rPr>
          <w:rFonts w:hint="eastAsia" w:ascii="思源黑体 CN Bold" w:hAnsi="思源黑体 CN Bold" w:eastAsia="思源黑体 CN Bold" w:cs="Times New Roman"/>
          <w:b/>
          <w:color w:val="FA842D"/>
          <w:kern w:val="0"/>
          <w:sz w:val="24"/>
          <w:szCs w:val="18"/>
        </w:rPr>
      </w:pPr>
      <w:bookmarkStart w:id="0" w:name="_Hlk182226954"/>
      <w:r>
        <w:rPr>
          <w:rFonts w:hint="eastAsia" w:ascii="思源黑体 CN Bold" w:hAnsi="思源黑体 CN Bold" w:eastAsia="思源黑体 CN Bold" w:cs="Times New Roman"/>
          <w:b/>
          <w:color w:val="FA842D"/>
          <w:kern w:val="0"/>
          <w:sz w:val="24"/>
          <w:szCs w:val="18"/>
        </w:rPr>
        <w:t>富荣权益：市场短期震荡，板块轮动或将加速</w:t>
      </w:r>
    </w:p>
    <w:p w14:paraId="63C5DF52">
      <w:pPr>
        <w:pStyle w:val="2"/>
        <w:tabs>
          <w:tab w:val="left" w:pos="4364"/>
          <w:tab w:val="right" w:pos="10204"/>
        </w:tabs>
        <w:rPr>
          <w:rFonts w:hint="eastAsia"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一</w:t>
      </w:r>
      <w:r>
        <w:rPr>
          <w:rFonts w:ascii="思源黑体 CN Light" w:hAnsi="思源黑体 CN Light" w:eastAsia="思源黑体 CN Light" w:cs="Times New Roman"/>
          <w:b/>
          <w:bCs/>
          <w:sz w:val="22"/>
          <w:szCs w:val="24"/>
        </w:rPr>
        <w:t>、</w:t>
      </w:r>
      <w:r>
        <w:rPr>
          <w:rFonts w:hint="eastAsia" w:ascii="思源黑体 CN Light" w:hAnsi="思源黑体 CN Light" w:eastAsia="思源黑体 CN Light" w:cs="Times New Roman"/>
          <w:b/>
          <w:bCs/>
          <w:sz w:val="22"/>
          <w:szCs w:val="24"/>
        </w:rPr>
        <w:t>权益</w:t>
      </w:r>
      <w:r>
        <w:rPr>
          <w:rFonts w:ascii="思源黑体 CN Light" w:hAnsi="思源黑体 CN Light" w:eastAsia="思源黑体 CN Light" w:cs="Times New Roman"/>
          <w:b/>
          <w:bCs/>
          <w:sz w:val="22"/>
          <w:szCs w:val="24"/>
        </w:rPr>
        <w:t>市场</w:t>
      </w:r>
      <w:r>
        <w:rPr>
          <w:rFonts w:hint="eastAsia" w:ascii="思源黑体 CN Light" w:hAnsi="思源黑体 CN Light" w:eastAsia="思源黑体 CN Light" w:cs="Times New Roman"/>
          <w:b/>
          <w:bCs/>
          <w:sz w:val="22"/>
          <w:szCs w:val="24"/>
        </w:rPr>
        <w:t>周度表现</w:t>
      </w:r>
    </w:p>
    <w:p w14:paraId="1BA8E70D">
      <w:pPr>
        <w:ind w:firstLine="420" w:firstLineChars="200"/>
        <w:jc w:val="left"/>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上周（2025年</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9</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月</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1</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日至2025年</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9</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月</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5</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日，下同）权益市场普遍回调，</w:t>
      </w:r>
      <w:r>
        <w:rPr>
          <w:rFonts w:ascii="思源黑体 CN Light" w:hAnsi="思源黑体 CN Light" w:eastAsia="思源黑体 CN Light" w:cs="Times New Roman"/>
          <w:color w:val="000000" w:themeColor="text1"/>
          <w:sz w:val="21"/>
          <w:szCs w:val="20"/>
          <w14:textFill>
            <w14:solidFill>
              <w14:schemeClr w14:val="tx1"/>
            </w14:solidFill>
          </w14:textFill>
        </w:rPr>
        <w:t>深证成指、上证指数、创业板指分别报收</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12590.56</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3812.51</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2958.18</w:t>
      </w:r>
      <w:r>
        <w:rPr>
          <w:rFonts w:ascii="思源黑体 CN Light" w:hAnsi="思源黑体 CN Light" w:eastAsia="思源黑体 CN Light" w:cs="Times New Roman"/>
          <w:color w:val="000000" w:themeColor="text1"/>
          <w:sz w:val="21"/>
          <w:szCs w:val="20"/>
          <w14:textFill>
            <w14:solidFill>
              <w14:schemeClr w14:val="tx1"/>
            </w14:solidFill>
          </w14:textFill>
        </w:rPr>
        <w:t>点</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主要指数涨跌表现如下：创业板50（+3.42%）、创业板指（+2.35%）、沪深300（-0.81%）、深证成指（-0.83%）、上证50（-1.15%）、上证指数（-1.18%）、创成长（-1.30%）、中证500（-1.85%）、中证1000（-2.59%）、科创50（-5.42%）。</w:t>
      </w:r>
    </w:p>
    <w:p w14:paraId="48187B0D">
      <w:pPr>
        <w:ind w:firstLine="420" w:firstLineChars="200"/>
        <w:jc w:val="left"/>
        <w:rPr>
          <w:rFonts w:hint="eastAsia" w:ascii="思源黑体 CN Light" w:hAnsi="思源黑体 CN Light" w:eastAsia="思源黑体 CN Light" w:cs="Times New Roman"/>
          <w:b/>
          <w:sz w:val="21"/>
          <w:szCs w:val="20"/>
          <w:lang w:eastAsia="zh-CN"/>
        </w:rPr>
      </w:pPr>
      <w:r>
        <w:rPr>
          <w:rFonts w:ascii="思源黑体 CN Light" w:hAnsi="思源黑体 CN Light" w:eastAsia="思源黑体 CN Light" w:cs="Times New Roman"/>
          <w:b/>
          <w:sz w:val="21"/>
          <w:szCs w:val="20"/>
        </w:rPr>
        <w:t>图：主要股指</w:t>
      </w:r>
      <w:r>
        <w:rPr>
          <w:rFonts w:hint="eastAsia" w:ascii="思源黑体 CN Light" w:hAnsi="思源黑体 CN Light" w:eastAsia="思源黑体 CN Light" w:cs="Times New Roman"/>
          <w:b/>
          <w:sz w:val="21"/>
          <w:szCs w:val="20"/>
        </w:rPr>
        <w:t>周度/月度</w:t>
      </w:r>
      <w:r>
        <w:rPr>
          <w:rFonts w:ascii="思源黑体 CN Light" w:hAnsi="思源黑体 CN Light" w:eastAsia="思源黑体 CN Light" w:cs="Times New Roman"/>
          <w:b/>
          <w:sz w:val="21"/>
          <w:szCs w:val="20"/>
        </w:rPr>
        <w:t>涨跌幅（单位：%）</w:t>
      </w:r>
      <w:r>
        <w:rPr>
          <w:rFonts w:hint="eastAsia" w:ascii="思源黑体 CN Light" w:hAnsi="思源黑体 CN Light" w:eastAsia="思源黑体 CN Light" w:cs="Times New Roman"/>
          <w:b/>
          <w:sz w:val="21"/>
          <w:szCs w:val="20"/>
          <w:lang w:eastAsia="zh-CN"/>
        </w:rPr>
        <w:drawing>
          <wp:inline distT="0" distB="0" distL="114300" distR="114300">
            <wp:extent cx="6477635" cy="3316605"/>
            <wp:effectExtent l="0" t="0" r="14605" b="57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6477635" cy="3316605"/>
                    </a:xfrm>
                    <a:prstGeom prst="rect">
                      <a:avLst/>
                    </a:prstGeom>
                  </pic:spPr>
                </pic:pic>
              </a:graphicData>
            </a:graphic>
          </wp:inline>
        </w:drawing>
      </w:r>
    </w:p>
    <w:p w14:paraId="7FB64F45">
      <w:pPr>
        <w:ind w:firstLine="260" w:firstLineChars="200"/>
        <w:jc w:val="left"/>
        <w:rPr>
          <w:rFonts w:hint="default" w:ascii="思源黑体 CN Light" w:hAnsi="思源黑体 CN Light" w:eastAsia="思源黑体 CN Light" w:cs="Times New Roman"/>
          <w:sz w:val="13"/>
          <w:szCs w:val="20"/>
          <w:lang w:val="en-US" w:eastAsia="zh-CN"/>
        </w:rPr>
      </w:pP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；周涨跌幅统计区间：20250</w:t>
      </w:r>
      <w:r>
        <w:rPr>
          <w:rFonts w:hint="eastAsia" w:ascii="思源黑体 CN Light" w:hAnsi="思源黑体 CN Light" w:eastAsia="思源黑体 CN Light" w:cs="Times New Roman"/>
          <w:sz w:val="13"/>
          <w:szCs w:val="20"/>
          <w:lang w:val="en-US" w:eastAsia="zh-CN"/>
        </w:rPr>
        <w:t>901</w:t>
      </w:r>
      <w:r>
        <w:rPr>
          <w:rFonts w:hint="eastAsia" w:ascii="思源黑体 CN Light" w:hAnsi="思源黑体 CN Light" w:eastAsia="思源黑体 CN Light" w:cs="Times New Roman"/>
          <w:sz w:val="13"/>
          <w:szCs w:val="20"/>
        </w:rPr>
        <w:t>-20250</w:t>
      </w:r>
      <w:r>
        <w:rPr>
          <w:rFonts w:hint="eastAsia" w:ascii="思源黑体 CN Light" w:hAnsi="思源黑体 CN Light" w:eastAsia="思源黑体 CN Light" w:cs="Times New Roman"/>
          <w:sz w:val="13"/>
          <w:szCs w:val="20"/>
          <w:lang w:val="en-US" w:eastAsia="zh-CN"/>
        </w:rPr>
        <w:t>905</w:t>
      </w:r>
      <w:r>
        <w:rPr>
          <w:rFonts w:hint="eastAsia" w:ascii="思源黑体 CN Light" w:hAnsi="思源黑体 CN Light" w:eastAsia="思源黑体 CN Light" w:cs="Times New Roman"/>
          <w:sz w:val="13"/>
          <w:szCs w:val="20"/>
        </w:rPr>
        <w:t>；月涨跌幅统计区间：20250</w:t>
      </w:r>
      <w:r>
        <w:rPr>
          <w:rFonts w:hint="eastAsia" w:ascii="思源黑体 CN Light" w:hAnsi="思源黑体 CN Light" w:eastAsia="思源黑体 CN Light" w:cs="Times New Roman"/>
          <w:sz w:val="13"/>
          <w:szCs w:val="20"/>
          <w:lang w:val="en-US" w:eastAsia="zh-CN"/>
        </w:rPr>
        <w:t>9</w:t>
      </w:r>
      <w:r>
        <w:rPr>
          <w:rFonts w:hint="eastAsia" w:ascii="思源黑体 CN Light" w:hAnsi="思源黑体 CN Light" w:eastAsia="思源黑体 CN Light" w:cs="Times New Roman"/>
          <w:sz w:val="13"/>
          <w:szCs w:val="20"/>
        </w:rPr>
        <w:t>01-20250</w:t>
      </w:r>
      <w:r>
        <w:rPr>
          <w:rFonts w:hint="eastAsia" w:ascii="思源黑体 CN Light" w:hAnsi="思源黑体 CN Light" w:eastAsia="思源黑体 CN Light" w:cs="Times New Roman"/>
          <w:sz w:val="13"/>
          <w:szCs w:val="20"/>
          <w:lang w:val="en-US" w:eastAsia="zh-CN"/>
        </w:rPr>
        <w:t>905</w:t>
      </w:r>
    </w:p>
    <w:p w14:paraId="100C18F5">
      <w:pPr>
        <w:ind w:firstLine="420" w:firstLineChars="200"/>
        <w:jc w:val="left"/>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14:textFill>
            <w14:solidFill>
              <w14:schemeClr w14:val="tx1"/>
            </w14:solidFill>
          </w14:textFill>
        </w:rPr>
        <w:t>各行业普遍回调，少数行业逆势上涨。申万一级行业指数中，电力设备（+7.39%）、综合（+5.38%）、有色金属（+2.12%）等行业逆势上涨，非银金融（-4.96%）、计算机（-7.27%）、国防军工（-10.25%）等行业领跌。</w:t>
      </w:r>
    </w:p>
    <w:p w14:paraId="6FF727EF">
      <w:pPr>
        <w:ind w:firstLine="420" w:firstLineChars="200"/>
        <w:jc w:val="left"/>
        <w:rPr>
          <w:rFonts w:hint="eastAsia" w:ascii="思源黑体 CN Light" w:hAnsi="思源黑体 CN Light" w:eastAsia="思源黑体 CN Light" w:cs="Times New Roman"/>
          <w:b/>
          <w:sz w:val="21"/>
          <w:szCs w:val="20"/>
          <w:lang w:eastAsia="zh-CN"/>
        </w:rPr>
      </w:pPr>
      <w:r>
        <w:rPr>
          <w:rFonts w:ascii="思源黑体 CN Light" w:hAnsi="思源黑体 CN Light" w:eastAsia="思源黑体 CN Light" w:cs="Times New Roman"/>
          <w:b/>
          <w:sz w:val="21"/>
          <w:szCs w:val="20"/>
        </w:rPr>
        <w:t>图：申万一级行业周涨跌幅（单位：%）</w:t>
      </w:r>
      <w:r>
        <w:drawing>
          <wp:inline distT="0" distB="0" distL="114300" distR="114300">
            <wp:extent cx="6513195" cy="3255010"/>
            <wp:effectExtent l="0" t="0" r="952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6513195" cy="3255010"/>
                    </a:xfrm>
                    <a:prstGeom prst="rect">
                      <a:avLst/>
                    </a:prstGeom>
                    <a:noFill/>
                    <a:ln>
                      <a:noFill/>
                    </a:ln>
                  </pic:spPr>
                </pic:pic>
              </a:graphicData>
            </a:graphic>
          </wp:inline>
        </w:drawing>
      </w:r>
    </w:p>
    <w:p w14:paraId="3B263177">
      <w:pPr>
        <w:ind w:firstLine="260" w:firstLineChars="200"/>
        <w:jc w:val="left"/>
        <w:rPr>
          <w:rFonts w:hint="default" w:ascii="思源黑体 CN Light" w:hAnsi="思源黑体 CN Light" w:eastAsia="思源黑体 CN Light" w:cs="Times New Roman"/>
          <w:sz w:val="13"/>
          <w:szCs w:val="20"/>
          <w:lang w:val="en-US" w:eastAsia="zh-CN"/>
        </w:rPr>
      </w:pPr>
      <w:r>
        <w:rPr>
          <w:rFonts w:ascii="思源黑体 CN Light" w:hAnsi="思源黑体 CN Light" w:eastAsia="思源黑体 CN Light" w:cs="Times New Roman"/>
          <w:sz w:val="13"/>
          <w:szCs w:val="20"/>
        </w:rPr>
        <w:t>数据来源：wind，富荣基金管理有限公司</w:t>
      </w:r>
      <w:r>
        <w:rPr>
          <w:rFonts w:hint="eastAsia" w:ascii="思源黑体 CN Light" w:hAnsi="思源黑体 CN Light" w:eastAsia="思源黑体 CN Light" w:cs="Times New Roman"/>
          <w:sz w:val="13"/>
          <w:szCs w:val="20"/>
        </w:rPr>
        <w:t>；统计区间：20250</w:t>
      </w:r>
      <w:r>
        <w:rPr>
          <w:rFonts w:hint="eastAsia" w:ascii="思源黑体 CN Light" w:hAnsi="思源黑体 CN Light" w:eastAsia="思源黑体 CN Light" w:cs="Times New Roman"/>
          <w:sz w:val="13"/>
          <w:szCs w:val="20"/>
          <w:lang w:val="en-US" w:eastAsia="zh-CN"/>
        </w:rPr>
        <w:t>901</w:t>
      </w:r>
      <w:r>
        <w:rPr>
          <w:rFonts w:hint="eastAsia" w:ascii="思源黑体 CN Light" w:hAnsi="思源黑体 CN Light" w:eastAsia="思源黑体 CN Light" w:cs="Times New Roman"/>
          <w:sz w:val="13"/>
          <w:szCs w:val="20"/>
        </w:rPr>
        <w:t>-20250</w:t>
      </w:r>
      <w:r>
        <w:rPr>
          <w:rFonts w:hint="eastAsia" w:ascii="思源黑体 CN Light" w:hAnsi="思源黑体 CN Light" w:eastAsia="思源黑体 CN Light" w:cs="Times New Roman"/>
          <w:sz w:val="13"/>
          <w:szCs w:val="20"/>
          <w:lang w:val="en-US" w:eastAsia="zh-CN"/>
        </w:rPr>
        <w:t>905</w:t>
      </w:r>
    </w:p>
    <w:p w14:paraId="4344807E">
      <w:pPr>
        <w:pStyle w:val="2"/>
        <w:tabs>
          <w:tab w:val="left" w:pos="4364"/>
          <w:tab w:val="right" w:pos="10204"/>
        </w:tabs>
        <w:rPr>
          <w:rFonts w:hint="eastAsia" w:ascii="思源黑体 CN Light" w:hAnsi="思源黑体 CN Light" w:eastAsia="思源黑体 CN Light" w:cs="Times New Roman"/>
          <w:color w:val="000000"/>
          <w:sz w:val="21"/>
          <w:szCs w:val="20"/>
          <w:shd w:val="clear" w:color="auto" w:fill="FFFFFF"/>
        </w:rPr>
      </w:pPr>
    </w:p>
    <w:p w14:paraId="36022895">
      <w:pPr>
        <w:pStyle w:val="2"/>
        <w:tabs>
          <w:tab w:val="left" w:pos="4364"/>
          <w:tab w:val="right" w:pos="10204"/>
        </w:tabs>
        <w:rPr>
          <w:rFonts w:hint="eastAsia" w:ascii="思源黑体 CN Light" w:hAnsi="思源黑体 CN Light" w:eastAsia="思源黑体 CN Light" w:cs="Times New Roman"/>
          <w:b/>
          <w:bCs/>
          <w:sz w:val="22"/>
          <w:szCs w:val="24"/>
        </w:rPr>
      </w:pPr>
      <w:r>
        <w:rPr>
          <w:rFonts w:hint="eastAsia" w:ascii="思源黑体 CN Light" w:hAnsi="思源黑体 CN Light" w:eastAsia="思源黑体 CN Light" w:cs="Times New Roman"/>
          <w:b/>
          <w:bCs/>
          <w:sz w:val="22"/>
          <w:szCs w:val="24"/>
        </w:rPr>
        <w:t>二、电力设备行业点评与展望</w:t>
      </w:r>
    </w:p>
    <w:p w14:paraId="5B9846E0">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bookmarkStart w:id="1" w:name="_Hlk140420797"/>
      <w:r>
        <w:rPr>
          <w:rFonts w:hint="eastAsia" w:ascii="思源黑体 CN Light" w:hAnsi="思源黑体 CN Light" w:eastAsia="思源黑体 CN Light" w:cs="Times New Roman"/>
          <w:color w:val="000000" w:themeColor="text1"/>
          <w:sz w:val="21"/>
          <w:szCs w:val="20"/>
          <w14:textFill>
            <w14:solidFill>
              <w14:schemeClr w14:val="tx1"/>
            </w14:solidFill>
          </w14:textFill>
        </w:rPr>
        <w:t>上周电力设备（申万）指数上涨7.39%，表现显著优于市场平均水平，成为A股市场中涨幅</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较</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大的行业之一</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其中光伏设备、电池及风电设备</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等细分板块</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涨幅居前，分别为14.04%、10.15%和3.28%。这一轮上涨主要受到多重利好因素的推动，包括政策端的持续支持、产业链价格的逐步修复以及市场需求的回暖。</w:t>
      </w:r>
    </w:p>
    <w:p w14:paraId="62243F97">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首先</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政策端治理低价竞争，优化</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了</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行业生态</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9月4日工信部与市场监管总局发布《电子信息制造业2025—2026年稳增长行动方案》，明确依法治理光伏、锂电池等领域低价竞争，引导产能有序布局。政策直接缓解市场对“内卷式竞争”的担忧，推动板块估值修复。</w:t>
      </w:r>
    </w:p>
    <w:p w14:paraId="2F0A85A0">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其次</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产业链盈利预期</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的</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修复</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多晶硅行业自律及市场交易推动硅料价格上行，棒状硅主流报价达55元/kg，颗粒硅报价49元/kg</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在硅料挺价支撑下，价格传导预期增强，有望带动产业链盈利修复。</w:t>
      </w:r>
    </w:p>
    <w:p w14:paraId="2FB78107">
      <w:pPr>
        <w:tabs>
          <w:tab w:val="left" w:pos="5594"/>
        </w:tabs>
        <w:ind w:firstLine="420" w:firstLineChars="200"/>
        <w:rPr>
          <w:rFonts w:hint="eastAsia" w:ascii="思源黑体 CN Light" w:hAnsi="思源黑体 CN Light" w:eastAsia="思源黑体 CN Light" w:cs="Times New Roman"/>
          <w:color w:val="000000" w:themeColor="text1"/>
          <w:sz w:val="21"/>
          <w:szCs w:val="20"/>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再次</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储能电芯涨价印证</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了</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需求</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的</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高景气，储能板块估值有望迎来修复</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储能电芯报价每瓦时上移0.003-0.01元，国内外储能排产持续创新高，行业景气度提升</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此前储能板块处于较低估值水平，安全边际</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较</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高，</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在</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高景气背景下板块估值有望迎来修复。</w:t>
      </w:r>
    </w:p>
    <w:p w14:paraId="2854D4E2">
      <w:pPr>
        <w:tabs>
          <w:tab w:val="left" w:pos="5594"/>
        </w:tabs>
        <w:ind w:firstLine="420" w:firstLineChars="200"/>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pP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展望后市，</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在政策的持续呵护</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供需结构预期改善</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的</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背景下</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，建议重点关注两条主线：一是主产业链硅料、硅片、电池片、组件和辅材的盈利修复，龙头</w:t>
      </w:r>
      <w:r>
        <w:rPr>
          <w:rFonts w:hint="eastAsia" w:ascii="思源黑体 CN Light" w:hAnsi="思源黑体 CN Light" w:eastAsia="思源黑体 CN Light" w:cs="Times New Roman"/>
          <w:color w:val="000000" w:themeColor="text1"/>
          <w:sz w:val="21"/>
          <w:szCs w:val="20"/>
          <w:lang w:val="en-US" w:eastAsia="zh-CN"/>
          <w14:textFill>
            <w14:solidFill>
              <w14:schemeClr w14:val="tx1"/>
            </w14:solidFill>
          </w14:textFill>
        </w:rPr>
        <w:t>公司或将</w:t>
      </w:r>
      <w:r>
        <w:rPr>
          <w:rFonts w:hint="eastAsia" w:ascii="思源黑体 CN Light" w:hAnsi="思源黑体 CN Light" w:eastAsia="思源黑体 CN Light" w:cs="Times New Roman"/>
          <w:color w:val="000000" w:themeColor="text1"/>
          <w:sz w:val="21"/>
          <w:szCs w:val="20"/>
          <w14:textFill>
            <w14:solidFill>
              <w14:schemeClr w14:val="tx1"/>
            </w14:solidFill>
          </w14:textFill>
        </w:rPr>
        <w:t>显著受益；二是海外需求支撑强劲，逆变器及储能板块景气有望延续</w:t>
      </w:r>
      <w:r>
        <w:rPr>
          <w:rFonts w:hint="eastAsia" w:ascii="思源黑体 CN Light" w:hAnsi="思源黑体 CN Light" w:eastAsia="思源黑体 CN Light" w:cs="Times New Roman"/>
          <w:color w:val="000000" w:themeColor="text1"/>
          <w:sz w:val="21"/>
          <w:szCs w:val="20"/>
          <w:lang w:eastAsia="zh-CN"/>
          <w14:textFill>
            <w14:solidFill>
              <w14:schemeClr w14:val="tx1"/>
            </w14:solidFill>
          </w14:textFill>
        </w:rPr>
        <w:t>。</w:t>
      </w:r>
    </w:p>
    <w:p w14:paraId="0D740F1F">
      <w:pPr>
        <w:tabs>
          <w:tab w:val="left" w:pos="5594"/>
        </w:tabs>
        <w:ind w:firstLine="420" w:firstLineChars="200"/>
        <w:rPr>
          <w:rFonts w:hint="eastAsia" w:ascii="思源黑体 CN Light" w:hAnsi="思源黑体 CN Light" w:eastAsia="思源黑体 CN Light" w:cs="Times New Roman"/>
          <w:color w:val="000000"/>
          <w:sz w:val="21"/>
          <w:szCs w:val="20"/>
          <w:shd w:val="clear" w:color="auto" w:fill="FFFFFF"/>
        </w:rPr>
      </w:pPr>
    </w:p>
    <w:bookmarkEnd w:id="1"/>
    <w:p w14:paraId="3874C359">
      <w:pPr>
        <w:pStyle w:val="2"/>
        <w:tabs>
          <w:tab w:val="left" w:pos="4364"/>
          <w:tab w:val="right" w:pos="10204"/>
        </w:tabs>
        <w:rPr>
          <w:rFonts w:hint="eastAsia" w:ascii="思源黑体 CN Light" w:hAnsi="思源黑体 CN Light" w:eastAsia="思源黑体 CN Light" w:cs="Times New Roman"/>
          <w:b/>
          <w:bCs/>
          <w:sz w:val="22"/>
          <w:szCs w:val="24"/>
        </w:rPr>
      </w:pPr>
      <w:r>
        <w:rPr>
          <w:rFonts w:ascii="思源黑体 CN Light" w:hAnsi="思源黑体 CN Light" w:eastAsia="思源黑体 CN Light" w:cs="Times New Roman"/>
          <w:b/>
          <w:bCs/>
          <w:sz w:val="22"/>
          <w:szCs w:val="24"/>
        </w:rPr>
        <w:t>三、本周展望</w:t>
      </w:r>
    </w:p>
    <w:p w14:paraId="77F8B70E">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思源黑体 CN Light" w:hAnsi="思源黑体 CN Light" w:eastAsia="思源黑体 CN Light" w:cs="Times New Roman"/>
          <w:color w:val="000000"/>
          <w:sz w:val="21"/>
          <w:szCs w:val="20"/>
          <w:shd w:val="clear" w:color="auto" w:fill="FFFFFF"/>
        </w:rPr>
      </w:pPr>
      <w:r>
        <w:rPr>
          <w:rFonts w:hint="eastAsia" w:ascii="思源黑体 CN Light" w:hAnsi="思源黑体 CN Light" w:eastAsia="思源黑体 CN Light" w:cs="Times New Roman"/>
          <w:color w:val="000000"/>
          <w:sz w:val="21"/>
          <w:szCs w:val="20"/>
          <w:shd w:val="clear" w:color="auto" w:fill="FFFFFF"/>
        </w:rPr>
        <w:t>上周权益市场的波动率明显放大，尤其是前期强势的科技板块出现了明显下跌。短期内行情大概率将告别7~8月的单边上涨。不过，把视角拉长到中期，我们依旧对指数向上保持乐观：一方面，政策端仍有十五五规划的产业政策可以期待；另一方面，全球降息周期叠加国内居民存款搬家仍在持续演绎。</w:t>
      </w:r>
    </w:p>
    <w:p w14:paraId="201A8359">
      <w:pPr>
        <w:pStyle w:val="9"/>
        <w:keepNext w:val="0"/>
        <w:keepLines w:val="0"/>
        <w:pageBreakBefore w:val="0"/>
        <w:widowControl/>
        <w:kinsoku/>
        <w:wordWrap/>
        <w:overflowPunct/>
        <w:topLinePunct w:val="0"/>
        <w:autoSpaceDE/>
        <w:autoSpaceDN/>
        <w:bidi w:val="0"/>
        <w:adjustRightInd/>
        <w:snapToGrid/>
        <w:ind w:firstLine="420" w:firstLineChars="200"/>
        <w:textAlignment w:val="auto"/>
        <w:rPr>
          <w:rFonts w:ascii="思源黑体 CN Light" w:hAnsi="思源黑体 CN Light" w:eastAsia="思源黑体 CN Light" w:cs="Times New Roman"/>
          <w:sz w:val="20"/>
          <w:szCs w:val="20"/>
        </w:rPr>
      </w:pPr>
      <w:r>
        <w:rPr>
          <w:rFonts w:hint="eastAsia" w:ascii="思源黑体 CN Light" w:hAnsi="思源黑体 CN Light" w:eastAsia="思源黑体 CN Light" w:cs="Times New Roman"/>
          <w:color w:val="000000"/>
          <w:sz w:val="21"/>
          <w:szCs w:val="20"/>
          <w:shd w:val="clear" w:color="auto" w:fill="FFFFFF"/>
        </w:rPr>
        <w:t>在震荡阶段，市场大概率会从前期聚焦的AI算力、创新药等向外扩散，板块之间或将呈现快速轮动，直至新的催化因子与细分主线方向出现。就AI等景气方向而言，短期调整更多源于交易拥挤度，对其中板块核心标的仍可保持信心。对于相对低位</w:t>
      </w:r>
      <w:r>
        <w:rPr>
          <w:rFonts w:hint="eastAsia" w:ascii="思源黑体 CN Light" w:hAnsi="思源黑体 CN Light" w:eastAsia="思源黑体 CN Light" w:cs="Times New Roman"/>
          <w:color w:val="000000"/>
          <w:sz w:val="21"/>
          <w:szCs w:val="20"/>
          <w:shd w:val="clear" w:color="auto" w:fill="FFFFFF"/>
          <w:lang w:val="en-US" w:eastAsia="zh-CN"/>
        </w:rPr>
        <w:t>区间</w:t>
      </w:r>
      <w:r>
        <w:rPr>
          <w:rFonts w:hint="eastAsia" w:ascii="思源黑体 CN Light" w:hAnsi="思源黑体 CN Light" w:eastAsia="思源黑体 CN Light" w:cs="Times New Roman"/>
          <w:color w:val="000000"/>
          <w:sz w:val="21"/>
          <w:szCs w:val="20"/>
          <w:shd w:val="clear" w:color="auto" w:fill="FFFFFF"/>
        </w:rPr>
        <w:t>的板块，轮动可能加速，应重点关注是否有产业的边际变化，不建议为了“高低切”而刻意切换。</w:t>
      </w:r>
    </w:p>
    <w:p w14:paraId="45DE382D">
      <w:pPr>
        <w:pStyle w:val="9"/>
        <w:ind w:firstLine="0" w:firstLineChars="0"/>
        <w:rPr>
          <w:rFonts w:hint="eastAsia" w:ascii="思源黑体 CN Light" w:hAnsi="思源黑体 CN Light" w:eastAsia="思源黑体 CN Light" w:cs="Times New Roman"/>
          <w:sz w:val="20"/>
          <w:szCs w:val="20"/>
        </w:rPr>
      </w:pPr>
    </w:p>
    <w:p w14:paraId="703AD684">
      <w:pPr>
        <w:pStyle w:val="9"/>
        <w:ind w:firstLine="0" w:firstLineChars="0"/>
        <w:rPr>
          <w:rFonts w:hint="eastAsia" w:ascii="思源黑体 CN Light" w:hAnsi="思源黑体 CN Light" w:eastAsia="思源黑体 CN Light" w:cs="Times New Roman"/>
          <w:sz w:val="20"/>
          <w:szCs w:val="20"/>
        </w:rPr>
      </w:pPr>
      <w:bookmarkStart w:id="2" w:name="_GoBack"/>
      <w:bookmarkEnd w:id="2"/>
    </w:p>
    <w:p w14:paraId="1497C668">
      <w:pPr>
        <w:pStyle w:val="9"/>
        <w:ind w:firstLine="0" w:firstLineChars="0"/>
        <w:rPr>
          <w:rFonts w:hint="eastAsia" w:ascii="思源黑体 CN Light" w:hAnsi="思源黑体 CN Light" w:eastAsia="思源黑体 CN Light" w:cs="Times New Roman"/>
          <w:sz w:val="20"/>
          <w:szCs w:val="20"/>
        </w:rPr>
      </w:pPr>
    </w:p>
    <w:p w14:paraId="57D82D19">
      <w:pPr>
        <w:pStyle w:val="9"/>
        <w:ind w:firstLine="0" w:firstLineChars="0"/>
        <w:rPr>
          <w:rFonts w:hint="eastAsia" w:ascii="思源黑体 CN Light" w:hAnsi="思源黑体 CN Light" w:eastAsia="思源黑体 CN Light" w:cs="Times New Roman"/>
          <w:sz w:val="20"/>
          <w:szCs w:val="20"/>
        </w:rPr>
      </w:pPr>
    </w:p>
    <w:p w14:paraId="0A3A1EF9">
      <w:pPr>
        <w:pStyle w:val="9"/>
        <w:ind w:firstLine="0" w:firstLineChars="0"/>
        <w:rPr>
          <w:rFonts w:hint="eastAsia" w:ascii="思源黑体 CN Light" w:hAnsi="思源黑体 CN Light" w:eastAsia="思源黑体 CN Light" w:cs="Times New Roman"/>
          <w:sz w:val="20"/>
          <w:szCs w:val="20"/>
        </w:rPr>
      </w:pPr>
    </w:p>
    <w:p w14:paraId="3A4BEFB8">
      <w:pPr>
        <w:pStyle w:val="9"/>
        <w:ind w:firstLine="0" w:firstLineChars="0"/>
        <w:rPr>
          <w:rFonts w:hint="eastAsia" w:ascii="思源黑体 CN Light" w:hAnsi="思源黑体 CN Light" w:eastAsia="思源黑体 CN Light" w:cs="Times New Roman"/>
          <w:sz w:val="20"/>
          <w:szCs w:val="20"/>
        </w:rPr>
      </w:pPr>
    </w:p>
    <w:p w14:paraId="798EDB93">
      <w:pPr>
        <w:ind w:firstLine="360" w:firstLineChars="200"/>
      </w:pPr>
      <w:r>
        <w:rPr>
          <w:rFonts w:hint="eastAsia" w:ascii="思源黑体 CN Light" w:hAnsi="思源黑体 CN Light" w:eastAsia="思源黑体 CN Light"/>
          <w:sz w:val="18"/>
          <w:szCs w:val="15"/>
        </w:rPr>
        <w:t>风险提示：</w:t>
      </w:r>
      <w:r>
        <w:rPr>
          <w:rFonts w:ascii="思源黑体 CN Light" w:hAnsi="思源黑体 CN Light" w:eastAsia="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作出调整。2、本材料中的资料、观点和预测等仅供参考，在任何时候均不构成对任何人的个人推荐。市场有风险，投资需谨慎。</w:t>
      </w:r>
      <w:bookmarkEnd w:id="0"/>
    </w:p>
    <w:sectPr>
      <w:headerReference r:id="rId5" w:type="default"/>
      <w:footerReference r:id="rId6" w:type="default"/>
      <w:pgSz w:w="11906" w:h="16838"/>
      <w:pgMar w:top="1440" w:right="851" w:bottom="1134" w:left="851" w:header="851"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CN Bold">
    <w:panose1 w:val="020B0800000000000000"/>
    <w:charset w:val="86"/>
    <w:family w:val="swiss"/>
    <w:pitch w:val="default"/>
    <w:sig w:usb0="20000003" w:usb1="2ADF3C10" w:usb2="00000016" w:usb3="00000000" w:csb0="60060107" w:csb1="00000000"/>
  </w:font>
  <w:font w:name="思源黑体 CN Light">
    <w:panose1 w:val="020B0300000000000000"/>
    <w:charset w:val="86"/>
    <w:family w:val="swiss"/>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4FC2">
    <w:pPr>
      <w:pStyle w:val="3"/>
      <w:tabs>
        <w:tab w:val="center" w:pos="5102"/>
        <w:tab w:val="left" w:pos="6847"/>
      </w:tabs>
      <w:rPr>
        <w:rFonts w:hint="eastAsia"/>
      </w:rPr>
    </w:pPr>
    <w:r>
      <w:tab/>
    </w:r>
    <w:r>
      <w:tab/>
    </w:r>
    <w:sdt>
      <w:sdtPr>
        <w:id w:val="1107850672"/>
      </w:sdtPr>
      <w:sdtContent>
        <w:sdt>
          <w:sdtPr>
            <w:id w:val="1728636285"/>
          </w:sdtPr>
          <w:sdtContent>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sdtContent>
        </w:sdt>
      </w:sdtContent>
    </w:sdt>
    <w:r>
      <w:tab/>
    </w:r>
  </w:p>
  <w:p w14:paraId="3413B139">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text" w:tblpXSpec="right" w:tblpY="1"/>
      <w:tblOverlap w:val="never"/>
      <w:tblW w:w="6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84"/>
      <w:gridCol w:w="2335"/>
    </w:tblGrid>
    <w:tr w14:paraId="1567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652" w:type="dxa"/>
          <w:shd w:val="clear" w:color="auto" w:fill="F3F3F3"/>
          <w:vAlign w:val="center"/>
        </w:tcPr>
        <w:p w14:paraId="528F1620">
          <w:pPr>
            <w:pStyle w:val="4"/>
            <w:pBdr>
              <w:bottom w:val="none" w:color="auto" w:sz="0" w:space="0"/>
            </w:pBdr>
            <w:jc w:val="right"/>
            <w:rPr>
              <w:rFonts w:ascii="Times New Roman" w:hAnsi="Times New Roman" w:eastAsia="宋体" w:cs="Times New Roman"/>
              <w:kern w:val="0"/>
            </w:rPr>
          </w:pPr>
          <w:r>
            <w:rPr>
              <w:rFonts w:hint="eastAsia" w:ascii="Times New Roman" w:hAnsi="Times New Roman" w:eastAsia="宋体" w:cs="Times New Roman"/>
              <w:kern w:val="0"/>
            </w:rPr>
            <w:t>证券研究报告</w:t>
          </w:r>
        </w:p>
      </w:tc>
      <w:tc>
        <w:tcPr>
          <w:tcW w:w="284" w:type="dxa"/>
          <w:shd w:val="clear" w:color="auto" w:fill="C3E2F4"/>
        </w:tcPr>
        <w:p w14:paraId="5650BA04">
          <w:pPr>
            <w:pStyle w:val="4"/>
            <w:pBdr>
              <w:bottom w:val="none" w:color="auto" w:sz="0" w:space="0"/>
            </w:pBdr>
            <w:jc w:val="left"/>
            <w:rPr>
              <w:rFonts w:ascii="Times New Roman" w:hAnsi="Times New Roman" w:eastAsia="宋体" w:cs="Times New Roman"/>
              <w:kern w:val="0"/>
            </w:rPr>
          </w:pPr>
        </w:p>
      </w:tc>
      <w:tc>
        <w:tcPr>
          <w:tcW w:w="2335" w:type="dxa"/>
          <w:shd w:val="clear" w:color="auto" w:fill="013F98"/>
          <w:vAlign w:val="center"/>
        </w:tcPr>
        <w:p w14:paraId="71FD16F9">
          <w:pPr>
            <w:pStyle w:val="4"/>
            <w:pBdr>
              <w:bottom w:val="none" w:color="auto" w:sz="0" w:space="0"/>
            </w:pBdr>
            <w:rPr>
              <w:rFonts w:ascii="Times New Roman" w:hAnsi="Times New Roman" w:eastAsia="宋体" w:cs="Times New Roman"/>
              <w:kern w:val="0"/>
            </w:rPr>
          </w:pPr>
          <w:r>
            <w:rPr>
              <w:rFonts w:hint="eastAsia" w:ascii="Times New Roman" w:hAnsi="Times New Roman" w:eastAsia="宋体" w:cs="Times New Roman"/>
              <w:kern w:val="0"/>
            </w:rPr>
            <w:t>权益周报</w:t>
          </w:r>
        </w:p>
      </w:tc>
    </w:tr>
  </w:tbl>
  <w:p w14:paraId="3544B21C">
    <w:pPr>
      <w:pStyle w:val="4"/>
      <w:pBdr>
        <w:bottom w:val="single" w:color="auto" w:sz="6" w:space="0"/>
      </w:pBdr>
      <w:tabs>
        <w:tab w:val="left" w:pos="4673"/>
        <w:tab w:val="left" w:pos="8341"/>
        <w:tab w:val="clear" w:pos="4153"/>
        <w:tab w:val="clear" w:pos="8306"/>
      </w:tabs>
      <w:ind w:left="-809" w:leftChars="-337" w:right="-1848" w:rightChars="-770" w:firstLine="540" w:firstLineChars="300"/>
      <w:jc w:val="left"/>
      <w:rPr>
        <w:rFonts w:hint="eastAsia"/>
      </w:rPr>
    </w:pPr>
    <w:r>
      <w:drawing>
        <wp:inline distT="0" distB="0" distL="0" distR="0">
          <wp:extent cx="883920" cy="285750"/>
          <wp:effectExtent l="0" t="0" r="0" b="381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E5D1E"/>
    <w:rsid w:val="29A17623"/>
    <w:rsid w:val="47DE0996"/>
    <w:rsid w:val="47DE5D1E"/>
    <w:rsid w:val="533B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jc w:val="both"/>
    </w:pPr>
    <w:rPr>
      <w:rFonts w:asciiTheme="minorHAnsi" w:hAnsiTheme="minorHAnsi" w:eastAsiaTheme="minorEastAsia" w:cstheme="minorBidi"/>
      <w:kern w:val="2"/>
      <w:sz w:val="24"/>
      <w:szCs w:val="22"/>
      <w:lang w:val="en-US" w:eastAsia="zh-CN" w:bidi="ar-SA"/>
      <w14:ligatures w14:val="none"/>
    </w:rPr>
  </w:style>
  <w:style w:type="paragraph" w:styleId="2">
    <w:name w:val="heading 2"/>
    <w:basedOn w:val="1"/>
    <w:next w:val="1"/>
    <w:unhideWhenUsed/>
    <w:qFormat/>
    <w:uiPriority w:val="9"/>
    <w:pPr>
      <w:keepNext/>
      <w:keepLines/>
      <w:spacing w:before="160" w:after="80" w:line="278" w:lineRule="auto"/>
      <w:jc w:val="left"/>
      <w:outlineLvl w:val="1"/>
    </w:pPr>
    <w:rPr>
      <w:rFonts w:asciiTheme="majorHAnsi" w:hAnsiTheme="majorHAnsi" w:eastAsiaTheme="majorEastAsia" w:cstheme="majorBidi"/>
      <w:color w:val="2E54A1" w:themeColor="accent1" w:themeShade="BF"/>
      <w:sz w:val="40"/>
      <w:szCs w:val="40"/>
      <w14:ligatures w14:val="standardContextual"/>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Cs w:val="24"/>
    </w:rPr>
  </w:style>
  <w:style w:type="table" w:styleId="7">
    <w:name w:val="Table Grid"/>
    <w:basedOn w:val="6"/>
    <w:qFormat/>
    <w:uiPriority w:val="39"/>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basedOn w:val="5"/>
    <w:qFormat/>
    <w:uiPriority w:val="1"/>
    <w:pPr>
      <w:widowControl/>
      <w:shd w:val="clear" w:color="auto" w:fill="FFFFFF"/>
      <w:ind w:firstLine="200" w:firstLineChars="200"/>
      <w:jc w:val="left"/>
    </w:pPr>
    <w:rPr>
      <w:rFonts w:asciiTheme="minorHAnsi" w:hAnsiTheme="minorHAnsi" w:cstheme="minorBidi"/>
      <w:kern w:val="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1384</Words>
  <Characters>1597</Characters>
  <Lines>0</Lines>
  <Paragraphs>0</Paragraphs>
  <TotalTime>92</TotalTime>
  <ScaleCrop>false</ScaleCrop>
  <LinksUpToDate>false</LinksUpToDate>
  <CharactersWithSpaces>1597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2025-09-08T00:17:00Z</dcterms:created>
  <dc:creator>叶蕊</dc:creator>
  <cp:lastModifiedBy>叶蕊</cp:lastModifiedBy>
  <dcterms:modified xsi:type="dcterms:W3CDTF">2025-09-08T07:24:04Z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1BE9919C86D74CEC839FE3E846EB87D7_13</vt:lpwstr>
  </property>
  <property fmtid="{D5CDD505-2E9C-101B-9397-08002B2CF9AE}" pid="4" name="KSOTemplateDocerSaveRecord">
    <vt:lpwstr>eyJoZGlkIjoiM2Q0ZDE4MjZiMjI0N2FiMDcxYTI0ZDBlYWViZjQ5YTQiLCJ1c2VySWQiOiI4MzYyNzM1OTMifQ==</vt:lpwstr>
  </property>
</Properties>
</file>