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918EFC">
      <w:pPr>
        <w:jc w:val="center"/>
        <w:rPr>
          <w:rFonts w:ascii="思源黑体 CN Bold" w:hAnsi="思源黑体 CN Bold" w:eastAsia="思源黑体 CN Bold"/>
          <w:b/>
          <w:bCs/>
          <w:sz w:val="28"/>
          <w:szCs w:val="28"/>
        </w:rPr>
      </w:pPr>
      <w:r>
        <w:rPr>
          <w:rFonts w:hint="eastAsia" w:ascii="思源黑体 CN Bold" w:hAnsi="思源黑体 CN Bold" w:eastAsia="思源黑体 CN Bold"/>
          <w:b/>
          <w:bCs/>
          <w:sz w:val="28"/>
          <w:szCs w:val="28"/>
        </w:rPr>
        <w:t>富荣固收：债市</w:t>
      </w:r>
      <w:r>
        <w:rPr>
          <w:rFonts w:hint="eastAsia" w:ascii="思源黑体 CN Bold" w:hAnsi="思源黑体 CN Bold" w:eastAsia="思源黑体 CN Bold"/>
          <w:b/>
          <w:bCs/>
          <w:sz w:val="28"/>
          <w:szCs w:val="28"/>
          <w:lang w:val="en-US" w:eastAsia="zh-CN"/>
        </w:rPr>
        <w:t>或</w:t>
      </w:r>
      <w:r>
        <w:rPr>
          <w:rFonts w:hint="eastAsia" w:ascii="思源黑体 CN Bold" w:hAnsi="思源黑体 CN Bold" w:eastAsia="思源黑体 CN Bold"/>
          <w:b/>
          <w:bCs/>
          <w:sz w:val="28"/>
          <w:szCs w:val="28"/>
        </w:rPr>
        <w:t>将延续震荡，短期压力与中期机会并存</w:t>
      </w:r>
    </w:p>
    <w:p w14:paraId="44751D7B">
      <w:pPr>
        <w:rPr>
          <w:rFonts w:hint="eastAsia" w:ascii="思源黑体 CN Light" w:hAnsi="思源黑体 CN Light" w:eastAsia="思源黑体 CN Light"/>
          <w:b/>
          <w:bCs/>
          <w:szCs w:val="21"/>
        </w:rPr>
      </w:pPr>
    </w:p>
    <w:p w14:paraId="2F81BE6E">
      <w:pPr>
        <w:rPr>
          <w:rFonts w:ascii="思源黑体 CN Light" w:hAnsi="思源黑体 CN Light" w:eastAsia="思源黑体 CN Light"/>
          <w:b/>
          <w:bCs/>
          <w:szCs w:val="21"/>
        </w:rPr>
      </w:pPr>
      <w:r>
        <w:rPr>
          <w:rFonts w:hint="eastAsia" w:ascii="思源黑体 CN Light" w:hAnsi="思源黑体 CN Light" w:eastAsia="思源黑体 CN Light"/>
          <w:b/>
          <w:bCs/>
          <w:szCs w:val="21"/>
        </w:rPr>
        <w:t>观点：</w:t>
      </w:r>
      <w:bookmarkStart w:id="0" w:name="_Toc134985519"/>
    </w:p>
    <w:p w14:paraId="49F92DA5">
      <w:pPr>
        <w:ind w:firstLine="420" w:firstLineChars="200"/>
        <w:rPr>
          <w:rFonts w:ascii="思源黑体 CN Light" w:hAnsi="思源黑体 CN Light" w:eastAsia="思源黑体 CN Light"/>
          <w:szCs w:val="21"/>
        </w:rPr>
      </w:pPr>
      <w:r>
        <w:rPr>
          <w:rFonts w:hint="eastAsia" w:ascii="思源黑体 CN Light" w:hAnsi="思源黑体 CN Light" w:eastAsia="思源黑体 CN Light"/>
          <w:szCs w:val="21"/>
        </w:rPr>
        <w:t>（1）国内方面：</w:t>
      </w:r>
    </w:p>
    <w:p w14:paraId="0570CBF6">
      <w:pPr>
        <w:ind w:firstLine="420" w:firstLineChars="200"/>
        <w:rPr>
          <w:rFonts w:hint="eastAsia" w:ascii="思源黑体 CN Light" w:hAnsi="思源黑体 CN Light" w:eastAsia="思源黑体 CN Light"/>
          <w:szCs w:val="21"/>
        </w:rPr>
      </w:pPr>
      <w:r>
        <w:rPr>
          <w:rFonts w:hint="eastAsia" w:ascii="思源黑体 CN Light" w:hAnsi="思源黑体 CN Light" w:eastAsia="思源黑体 CN Light"/>
          <w:szCs w:val="21"/>
        </w:rPr>
        <w:t>经济呈现结构性修复特征，市场对此已有较充分预期，对债市的影响趋于钝化。关注重点转向房地产等以及9月末政治局会议可能出台的财政刺激或中长期资金疏导政策。关键变量在于周期品（尤其工业金属）价格波动可能传导至PPI超预期回升，若出现可能强化政策紧缩预期。</w:t>
      </w:r>
    </w:p>
    <w:p w14:paraId="0F187CF7">
      <w:pPr>
        <w:ind w:firstLine="420" w:firstLineChars="200"/>
        <w:rPr>
          <w:rFonts w:hint="eastAsia" w:ascii="思源黑体 CN Light" w:hAnsi="思源黑体 CN Light" w:eastAsia="思源黑体 CN Light"/>
          <w:szCs w:val="21"/>
        </w:rPr>
      </w:pPr>
      <w:r>
        <w:rPr>
          <w:rFonts w:hint="eastAsia" w:ascii="思源黑体 CN Light" w:hAnsi="思源黑体 CN Light" w:eastAsia="思源黑体 CN Light"/>
          <w:szCs w:val="21"/>
        </w:rPr>
        <w:t>9月面临年内最大单周存单到期（超1.2万亿）、季末缴税高峰、信贷冲量及MPA考核四重压力，资金利率中枢或系统性抬升（DR007预期至1.55%），波动率显著放大。流动性维持合理充裕需央行加大公开市场操作力度</w:t>
      </w:r>
      <w:r>
        <w:rPr>
          <w:rFonts w:hint="eastAsia" w:ascii="思源黑体 CN Light" w:hAnsi="思源黑体 CN Light" w:eastAsia="思源黑体 CN Light"/>
          <w:szCs w:val="21"/>
          <w:lang w:eastAsia="zh-CN"/>
        </w:rPr>
        <w:t>。</w:t>
      </w:r>
      <w:r>
        <w:rPr>
          <w:rFonts w:hint="eastAsia" w:ascii="思源黑体 CN Light" w:hAnsi="思源黑体 CN Light" w:eastAsia="思源黑体 CN Light"/>
          <w:szCs w:val="21"/>
        </w:rPr>
        <w:t>美联储9月降息为高度共识事件，但需关注国内市场定价的“跟随降息”预期。</w:t>
      </w:r>
    </w:p>
    <w:p w14:paraId="2FB3CA31">
      <w:pPr>
        <w:ind w:firstLine="420" w:firstLineChars="200"/>
        <w:rPr>
          <w:rFonts w:hint="eastAsia" w:ascii="思源黑体 CN Light" w:hAnsi="思源黑体 CN Light" w:eastAsia="思源黑体 CN Light"/>
          <w:szCs w:val="21"/>
        </w:rPr>
      </w:pPr>
      <w:r>
        <w:rPr>
          <w:rFonts w:hint="eastAsia" w:ascii="思源黑体 CN Light" w:hAnsi="思源黑体 CN Light" w:eastAsia="思源黑体 CN Light"/>
          <w:szCs w:val="21"/>
          <w:lang w:eastAsia="zh-CN"/>
        </w:rPr>
        <w:t>《</w:t>
      </w:r>
      <w:r>
        <w:rPr>
          <w:rFonts w:hint="eastAsia" w:ascii="思源黑体 CN Light" w:hAnsi="思源黑体 CN Light" w:eastAsia="思源黑体 CN Light"/>
          <w:szCs w:val="21"/>
        </w:rPr>
        <w:t>公开募集证券投资基金销售费用管理规定</w:t>
      </w:r>
      <w:r>
        <w:rPr>
          <w:rFonts w:hint="eastAsia" w:ascii="思源黑体 CN Light" w:hAnsi="思源黑体 CN Light" w:eastAsia="思源黑体 CN Light"/>
          <w:szCs w:val="21"/>
          <w:lang w:eastAsia="zh-CN"/>
        </w:rPr>
        <w:t>（</w:t>
      </w:r>
      <w:r>
        <w:rPr>
          <w:rFonts w:hint="eastAsia" w:ascii="思源黑体 CN Light" w:hAnsi="思源黑体 CN Light" w:eastAsia="思源黑体 CN Light"/>
          <w:szCs w:val="21"/>
          <w:lang w:val="en-US" w:eastAsia="zh-CN"/>
        </w:rPr>
        <w:t>征求意见稿</w:t>
      </w:r>
      <w:r>
        <w:rPr>
          <w:rFonts w:hint="eastAsia" w:ascii="思源黑体 CN Light" w:hAnsi="思源黑体 CN Light" w:eastAsia="思源黑体 CN Light"/>
          <w:szCs w:val="21"/>
          <w:lang w:eastAsia="zh-CN"/>
        </w:rPr>
        <w:t>）》</w:t>
      </w:r>
      <w:r>
        <w:rPr>
          <w:rFonts w:hint="eastAsia" w:ascii="思源黑体 CN Light" w:hAnsi="思源黑体 CN Light" w:eastAsia="思源黑体 CN Light"/>
          <w:szCs w:val="21"/>
          <w:lang w:val="en-US" w:eastAsia="zh-CN"/>
        </w:rPr>
        <w:t>中</w:t>
      </w:r>
      <w:r>
        <w:rPr>
          <w:rFonts w:hint="eastAsia" w:ascii="思源黑体 CN Light" w:hAnsi="思源黑体 CN Light" w:eastAsia="思源黑体 CN Light"/>
          <w:szCs w:val="21"/>
        </w:rPr>
        <w:t>下调公募基金</w:t>
      </w:r>
      <w:r>
        <w:rPr>
          <w:rFonts w:hint="eastAsia" w:ascii="思源黑体 CN Light" w:hAnsi="思源黑体 CN Light" w:eastAsia="思源黑体 CN Light"/>
          <w:szCs w:val="21"/>
          <w:lang w:val="en-US" w:eastAsia="zh-CN"/>
        </w:rPr>
        <w:t>销售</w:t>
      </w:r>
      <w:r>
        <w:rPr>
          <w:rFonts w:hint="eastAsia" w:ascii="思源黑体 CN Light" w:hAnsi="思源黑体 CN Light" w:eastAsia="思源黑体 CN Light"/>
          <w:szCs w:val="21"/>
        </w:rPr>
        <w:t>费率</w:t>
      </w:r>
      <w:r>
        <w:rPr>
          <w:rFonts w:hint="eastAsia" w:ascii="思源黑体 CN Light" w:hAnsi="思源黑体 CN Light" w:eastAsia="思源黑体 CN Light"/>
          <w:szCs w:val="21"/>
          <w:lang w:eastAsia="zh-CN"/>
        </w:rPr>
        <w:t>，</w:t>
      </w:r>
      <w:r>
        <w:rPr>
          <w:rFonts w:hint="eastAsia" w:ascii="思源黑体 CN Light" w:hAnsi="思源黑体 CN Light" w:eastAsia="思源黑体 CN Light"/>
          <w:szCs w:val="21"/>
        </w:rPr>
        <w:t>可能降低机构配置意愿，</w:t>
      </w:r>
      <w:r>
        <w:rPr>
          <w:rFonts w:hint="eastAsia" w:ascii="思源黑体 CN Light" w:hAnsi="思源黑体 CN Light" w:eastAsia="思源黑体 CN Light"/>
          <w:szCs w:val="21"/>
          <w:lang w:val="en-US" w:eastAsia="zh-CN"/>
        </w:rPr>
        <w:t>短期或</w:t>
      </w:r>
      <w:r>
        <w:rPr>
          <w:rFonts w:hint="eastAsia" w:ascii="思源黑体 CN Light" w:hAnsi="思源黑体 CN Light" w:eastAsia="思源黑体 CN Light"/>
          <w:szCs w:val="21"/>
        </w:rPr>
        <w:t>触发赎回行为并引发债市连锁调整。叠加当前机构久期仍处高位、情绪修复不充分，需警惕负反馈风险演化。</w:t>
      </w:r>
      <w:bookmarkStart w:id="2" w:name="_GoBack"/>
      <w:bookmarkEnd w:id="2"/>
    </w:p>
    <w:p w14:paraId="5ED69B4D">
      <w:pPr>
        <w:ind w:firstLine="420" w:firstLineChars="200"/>
        <w:rPr>
          <w:rFonts w:ascii="思源黑体 CN Light" w:hAnsi="思源黑体 CN Light" w:eastAsia="思源黑体 CN Light"/>
          <w:szCs w:val="21"/>
        </w:rPr>
      </w:pPr>
      <w:r>
        <w:rPr>
          <w:rFonts w:hint="eastAsia" w:ascii="思源黑体 CN Light" w:hAnsi="思源黑体 CN Light" w:eastAsia="思源黑体 CN Light"/>
          <w:szCs w:val="21"/>
        </w:rPr>
        <w:t>（2）海外及其他：</w:t>
      </w:r>
    </w:p>
    <w:p w14:paraId="18DD345D">
      <w:pPr>
        <w:ind w:firstLine="420" w:firstLineChars="200"/>
        <w:rPr>
          <w:rFonts w:hint="eastAsia" w:ascii="思源黑体 CN Light" w:hAnsi="思源黑体 CN Light" w:eastAsia="思源黑体 CN Light"/>
          <w:szCs w:val="21"/>
        </w:rPr>
      </w:pPr>
      <w:r>
        <w:rPr>
          <w:rFonts w:hint="eastAsia" w:ascii="思源黑体 CN Light" w:hAnsi="思源黑体 CN Light" w:eastAsia="思源黑体 CN Light"/>
          <w:szCs w:val="21"/>
        </w:rPr>
        <w:t>海外宽松环境强化，但贸易摩擦加剧形成对冲压力。国内需防范政策不跟进海外降息的风险敞口，同时股债资金轮动效应尚未完全消退。</w:t>
      </w:r>
    </w:p>
    <w:p w14:paraId="3ABC3536">
      <w:pPr>
        <w:ind w:firstLine="420" w:firstLineChars="200"/>
        <w:rPr>
          <w:rFonts w:ascii="思源黑体 CN Light" w:hAnsi="思源黑体 CN Light" w:eastAsia="思源黑体 CN Light"/>
          <w:szCs w:val="21"/>
        </w:rPr>
      </w:pPr>
      <w:r>
        <w:rPr>
          <w:rFonts w:hint="eastAsia" w:ascii="思源黑体 CN Light" w:hAnsi="思源黑体 CN Light" w:eastAsia="思源黑体 CN Light"/>
          <w:szCs w:val="21"/>
        </w:rPr>
        <w:t>（3）上周债券市场：</w:t>
      </w:r>
    </w:p>
    <w:p w14:paraId="342DE0C9">
      <w:pPr>
        <w:ind w:firstLine="420" w:firstLineChars="200"/>
        <w:rPr>
          <w:rFonts w:hint="eastAsia" w:ascii="思源黑体 CN Light" w:hAnsi="思源黑体 CN Light" w:eastAsia="思源黑体 CN Light"/>
          <w:szCs w:val="21"/>
        </w:rPr>
      </w:pPr>
      <w:r>
        <w:rPr>
          <w:rFonts w:hint="eastAsia" w:ascii="思源黑体 CN Light" w:hAnsi="思源黑体 CN Light" w:eastAsia="思源黑体 CN Light"/>
          <w:szCs w:val="21"/>
        </w:rPr>
        <w:t>上周（2025年</w:t>
      </w:r>
      <w:r>
        <w:rPr>
          <w:rFonts w:hint="eastAsia" w:ascii="思源黑体 CN Light" w:hAnsi="思源黑体 CN Light" w:eastAsia="思源黑体 CN Light"/>
          <w:szCs w:val="21"/>
          <w:lang w:val="en-US" w:eastAsia="zh-CN"/>
        </w:rPr>
        <w:t>9</w:t>
      </w:r>
      <w:r>
        <w:rPr>
          <w:rFonts w:hint="eastAsia" w:ascii="思源黑体 CN Light" w:hAnsi="思源黑体 CN Light" w:eastAsia="思源黑体 CN Light"/>
          <w:szCs w:val="21"/>
        </w:rPr>
        <w:t>月</w:t>
      </w:r>
      <w:r>
        <w:rPr>
          <w:rFonts w:hint="eastAsia" w:ascii="思源黑体 CN Light" w:hAnsi="思源黑体 CN Light" w:eastAsia="思源黑体 CN Light"/>
          <w:szCs w:val="21"/>
          <w:lang w:val="en-US" w:eastAsia="zh-CN"/>
        </w:rPr>
        <w:t>1</w:t>
      </w:r>
      <w:r>
        <w:rPr>
          <w:rFonts w:hint="eastAsia" w:ascii="思源黑体 CN Light" w:hAnsi="思源黑体 CN Light" w:eastAsia="思源黑体 CN Light"/>
          <w:szCs w:val="21"/>
        </w:rPr>
        <w:t>日-2025年</w:t>
      </w:r>
      <w:r>
        <w:rPr>
          <w:rFonts w:hint="eastAsia" w:ascii="思源黑体 CN Light" w:hAnsi="思源黑体 CN Light" w:eastAsia="思源黑体 CN Light"/>
          <w:szCs w:val="21"/>
          <w:lang w:val="en-US" w:eastAsia="zh-CN"/>
        </w:rPr>
        <w:t>9</w:t>
      </w:r>
      <w:r>
        <w:rPr>
          <w:rFonts w:hint="eastAsia" w:ascii="思源黑体 CN Light" w:hAnsi="思源黑体 CN Light" w:eastAsia="思源黑体 CN Light"/>
          <w:szCs w:val="21"/>
        </w:rPr>
        <w:t>月</w:t>
      </w:r>
      <w:r>
        <w:rPr>
          <w:rFonts w:hint="eastAsia" w:ascii="思源黑体 CN Light" w:hAnsi="思源黑体 CN Light" w:eastAsia="思源黑体 CN Light"/>
          <w:szCs w:val="21"/>
          <w:lang w:val="en-US" w:eastAsia="zh-CN"/>
        </w:rPr>
        <w:t>5</w:t>
      </w:r>
      <w:r>
        <w:rPr>
          <w:rFonts w:hint="eastAsia" w:ascii="思源黑体 CN Light" w:hAnsi="思源黑体 CN Light" w:eastAsia="思源黑体 CN Light"/>
          <w:szCs w:val="21"/>
        </w:rPr>
        <w:t>日，以下简称上周）股债联动“不对称”</w:t>
      </w:r>
      <w:r>
        <w:rPr>
          <w:rFonts w:hint="eastAsia" w:ascii="思源黑体 CN Light" w:hAnsi="思源黑体 CN Light" w:eastAsia="思源黑体 CN Light"/>
          <w:szCs w:val="21"/>
          <w:lang w:eastAsia="zh-CN"/>
        </w:rPr>
        <w:t>。</w:t>
      </w:r>
      <w:r>
        <w:rPr>
          <w:rFonts w:hint="eastAsia" w:ascii="思源黑体 CN Light" w:hAnsi="思源黑体 CN Light" w:eastAsia="思源黑体 CN Light"/>
          <w:szCs w:val="21"/>
          <w:lang w:val="en-US" w:eastAsia="zh-CN"/>
        </w:rPr>
        <w:t>周初</w:t>
      </w:r>
      <w:r>
        <w:rPr>
          <w:rFonts w:hint="eastAsia" w:ascii="思源黑体 CN Light" w:hAnsi="思源黑体 CN Light" w:eastAsia="思源黑体 CN Light"/>
          <w:szCs w:val="21"/>
        </w:rPr>
        <w:t>股市调整</w:t>
      </w:r>
      <w:r>
        <w:rPr>
          <w:rFonts w:hint="eastAsia" w:ascii="思源黑体 CN Light" w:hAnsi="思源黑体 CN Light" w:eastAsia="思源黑体 CN Light"/>
          <w:szCs w:val="21"/>
          <w:lang w:val="en-US" w:eastAsia="zh-CN"/>
        </w:rPr>
        <w:t>但</w:t>
      </w:r>
      <w:r>
        <w:rPr>
          <w:rFonts w:hint="eastAsia" w:ascii="思源黑体 CN Light" w:hAnsi="思源黑体 CN Light" w:eastAsia="思源黑体 CN Light"/>
          <w:szCs w:val="21"/>
        </w:rPr>
        <w:t>债市修复颇为克制，而后股市迎来修复行情，叠加市场“反内卷”预期升温，推动债市单边下跌。</w:t>
      </w:r>
    </w:p>
    <w:p w14:paraId="0BB63F72">
      <w:pPr>
        <w:ind w:firstLine="420" w:firstLineChars="200"/>
        <w:rPr>
          <w:rFonts w:hint="eastAsia" w:ascii="思源黑体 CN Light" w:hAnsi="思源黑体 CN Light" w:eastAsia="思源黑体 CN Light"/>
          <w:szCs w:val="21"/>
        </w:rPr>
      </w:pPr>
      <w:r>
        <w:rPr>
          <w:rFonts w:hint="eastAsia" w:ascii="思源黑体 CN Light" w:hAnsi="思源黑体 CN Light" w:eastAsia="思源黑体 CN Light"/>
          <w:szCs w:val="21"/>
        </w:rPr>
        <w:t>展望后市，债市</w:t>
      </w:r>
      <w:r>
        <w:rPr>
          <w:rFonts w:hint="eastAsia" w:ascii="思源黑体 CN Light" w:hAnsi="思源黑体 CN Light" w:eastAsia="思源黑体 CN Light"/>
          <w:szCs w:val="21"/>
          <w:lang w:val="en-US" w:eastAsia="zh-CN"/>
        </w:rPr>
        <w:t>或</w:t>
      </w:r>
      <w:r>
        <w:rPr>
          <w:rFonts w:hint="eastAsia" w:ascii="思源黑体 CN Light" w:hAnsi="思源黑体 CN Light" w:eastAsia="思源黑体 CN Light"/>
          <w:szCs w:val="21"/>
        </w:rPr>
        <w:t>将延续震荡态势，短期压力与中期机会并存。9月资金面多重扰动因素集中（存单到期高峰、缴税大月、MPA考核）可能推升资金利率中枢；美联储降息窗口临近但国内政策跟进存在不确定性，形成核心博弈点；公募基金费率下调或引发短期赎回潮冲击市场情绪。尽管结构性修复预期下债市对基本面钝化，但“股债跷跷板”效应减弱、政府债供给压力趋缓及中期资产荒逻辑未改，</w:t>
      </w:r>
      <w:r>
        <w:rPr>
          <w:rFonts w:hint="eastAsia" w:ascii="思源黑体 CN Light" w:hAnsi="思源黑体 CN Light" w:eastAsia="思源黑体 CN Light"/>
          <w:szCs w:val="21"/>
          <w:lang w:val="en-US" w:eastAsia="zh-CN"/>
        </w:rPr>
        <w:t>或</w:t>
      </w:r>
      <w:r>
        <w:rPr>
          <w:rFonts w:hint="eastAsia" w:ascii="思源黑体 CN Light" w:hAnsi="思源黑体 CN Light" w:eastAsia="思源黑体 CN Light"/>
          <w:szCs w:val="21"/>
        </w:rPr>
        <w:t>为四季度利率下行埋下伏笔。</w:t>
      </w:r>
    </w:p>
    <w:p w14:paraId="340876B8">
      <w:pPr>
        <w:pStyle w:val="2"/>
        <w:tabs>
          <w:tab w:val="left" w:pos="6289"/>
        </w:tabs>
        <w:spacing w:line="360" w:lineRule="auto"/>
        <w:rPr>
          <w:rFonts w:ascii="思源黑体 CN Light" w:hAnsi="思源黑体 CN Light" w:eastAsia="思源黑体 CN Light" w:cs="Times New Roman"/>
          <w:szCs w:val="21"/>
        </w:rPr>
      </w:pPr>
      <w:r>
        <w:rPr>
          <w:rFonts w:hint="eastAsia" w:ascii="思源黑体 CN Light" w:hAnsi="思源黑体 CN Light" w:eastAsia="思源黑体 CN Light" w:cs="Arial"/>
          <w:sz w:val="36"/>
          <w:szCs w:val="36"/>
        </w:rPr>
        <w:t>1</w:t>
      </w:r>
      <w:r>
        <w:rPr>
          <w:rFonts w:ascii="思源黑体 CN Light" w:hAnsi="思源黑体 CN Light" w:eastAsia="思源黑体 CN Light" w:cs="Arial"/>
          <w:sz w:val="36"/>
          <w:szCs w:val="36"/>
        </w:rPr>
        <w:t>、</w:t>
      </w:r>
      <w:r>
        <w:rPr>
          <w:rFonts w:hint="eastAsia" w:ascii="思源黑体 CN Light" w:hAnsi="思源黑体 CN Light" w:eastAsia="思源黑体 CN Light" w:cs="Arial"/>
          <w:sz w:val="36"/>
          <w:szCs w:val="36"/>
        </w:rPr>
        <w:t>上周</w:t>
      </w:r>
      <w:r>
        <w:rPr>
          <w:rFonts w:ascii="思源黑体 CN Light" w:hAnsi="思源黑体 CN Light" w:eastAsia="思源黑体 CN Light" w:cs="Arial"/>
          <w:sz w:val="36"/>
          <w:szCs w:val="36"/>
        </w:rPr>
        <w:t>高频数据</w:t>
      </w:r>
      <w:bookmarkEnd w:id="0"/>
    </w:p>
    <w:p w14:paraId="0D7808F5">
      <w:pPr>
        <w:spacing w:line="288" w:lineRule="auto"/>
        <w:ind w:firstLine="440" w:firstLineChars="200"/>
        <w:jc w:val="left"/>
        <w:rPr>
          <w:rFonts w:hint="eastAsia" w:ascii="思源黑体 CN Light" w:hAnsi="思源黑体 CN Light" w:eastAsia="思源黑体 CN Light" w:cs="Times New Roman"/>
          <w:sz w:val="22"/>
          <w:szCs w:val="21"/>
          <w14:ligatures w14:val="standardContextual"/>
        </w:rPr>
      </w:pPr>
      <w:r>
        <w:rPr>
          <w:rFonts w:hint="eastAsia" w:ascii="思源黑体 CN Light" w:hAnsi="思源黑体 CN Light" w:eastAsia="思源黑体 CN Light" w:cs="Times New Roman"/>
          <w:sz w:val="22"/>
          <w:szCs w:val="21"/>
          <w14:ligatures w14:val="standardContextual"/>
        </w:rPr>
        <w:t>8月</w:t>
      </w:r>
      <w:r>
        <w:rPr>
          <w:rFonts w:hint="eastAsia" w:ascii="思源黑体 CN Light" w:hAnsi="思源黑体 CN Light" w:eastAsia="思源黑体 CN Light" w:cs="Times New Roman"/>
          <w:sz w:val="22"/>
          <w:szCs w:val="21"/>
          <w:lang w:val="en-US" w:eastAsia="zh-CN"/>
          <w14:ligatures w14:val="standardContextual"/>
        </w:rPr>
        <w:t>美国</w:t>
      </w:r>
      <w:r>
        <w:rPr>
          <w:rFonts w:hint="eastAsia" w:ascii="思源黑体 CN Light" w:hAnsi="思源黑体 CN Light" w:eastAsia="思源黑体 CN Light" w:cs="Times New Roman"/>
          <w:sz w:val="22"/>
          <w:szCs w:val="21"/>
          <w14:ligatures w14:val="standardContextual"/>
        </w:rPr>
        <w:t>非农就业人数仅增加2.2万人，远低于预期，失业率升至4.3%。截至9月5日，美元指数跌0.12%，在岸人民币跌0.07%，欧元跌8.15%，瑞郎涨0.47%，澳元涨0.24%。</w:t>
      </w:r>
    </w:p>
    <w:p w14:paraId="1DAB59AC">
      <w:pPr>
        <w:spacing w:line="288" w:lineRule="auto"/>
        <w:jc w:val="left"/>
        <w:rPr>
          <w:rFonts w:hint="default" w:ascii="思源黑体 CN Light" w:hAnsi="思源黑体 CN Light" w:eastAsia="思源黑体 CN Light" w:cs="Times New Roman"/>
          <w:sz w:val="16"/>
          <w:szCs w:val="16"/>
          <w:lang w:val="en-US" w:eastAsia="zh-CN"/>
        </w:rPr>
      </w:pPr>
      <w:r>
        <w:rPr>
          <w:rFonts w:hint="eastAsia" w:ascii="思源黑体 CN Light" w:hAnsi="思源黑体 CN Light" w:eastAsia="思源黑体 CN Light" w:cs="Times New Roman"/>
          <w:b/>
          <w:color w:val="000000"/>
          <w:kern w:val="0"/>
          <w:sz w:val="20"/>
          <w:szCs w:val="20"/>
        </w:rPr>
        <w:t>图一：主要货币变化率</w:t>
      </w:r>
      <w:r>
        <w:drawing>
          <wp:inline distT="0" distB="0" distL="114300" distR="114300">
            <wp:extent cx="5269865" cy="2059305"/>
            <wp:effectExtent l="0" t="0" r="317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9865" cy="2059305"/>
                    </a:xfrm>
                    <a:prstGeom prst="rect">
                      <a:avLst/>
                    </a:prstGeom>
                    <a:noFill/>
                    <a:ln>
                      <a:noFill/>
                    </a:ln>
                  </pic:spPr>
                </pic:pic>
              </a:graphicData>
            </a:graphic>
          </wp:inline>
        </w:drawing>
      </w:r>
      <w:r>
        <w:rPr>
          <w:rFonts w:hint="eastAsia" w:ascii="思源黑体 CN Light" w:hAnsi="思源黑体 CN Light" w:eastAsia="思源黑体 CN Light" w:cs="Times New Roman"/>
          <w:sz w:val="16"/>
          <w:szCs w:val="16"/>
        </w:rPr>
        <w:t>数据来源：wind，富荣基金；统计区间：20250</w:t>
      </w:r>
      <w:r>
        <w:rPr>
          <w:rFonts w:hint="eastAsia" w:ascii="思源黑体 CN Light" w:hAnsi="思源黑体 CN Light" w:eastAsia="思源黑体 CN Light" w:cs="Times New Roman"/>
          <w:sz w:val="16"/>
          <w:szCs w:val="16"/>
          <w:lang w:val="en-US" w:eastAsia="zh-CN"/>
        </w:rPr>
        <w:t>901</w:t>
      </w:r>
      <w:r>
        <w:rPr>
          <w:rFonts w:hint="eastAsia" w:ascii="思源黑体 CN Light" w:hAnsi="思源黑体 CN Light" w:eastAsia="思源黑体 CN Light" w:cs="Times New Roman"/>
          <w:sz w:val="16"/>
          <w:szCs w:val="16"/>
        </w:rPr>
        <w:t>-2025</w:t>
      </w:r>
      <w:bookmarkStart w:id="1" w:name="_Toc134985520"/>
      <w:r>
        <w:rPr>
          <w:rFonts w:hint="eastAsia" w:ascii="思源黑体 CN Light" w:hAnsi="思源黑体 CN Light" w:eastAsia="思源黑体 CN Light" w:cs="Times New Roman"/>
          <w:sz w:val="16"/>
          <w:szCs w:val="16"/>
        </w:rPr>
        <w:t>0</w:t>
      </w:r>
      <w:r>
        <w:rPr>
          <w:rFonts w:hint="eastAsia" w:ascii="思源黑体 CN Light" w:hAnsi="思源黑体 CN Light" w:eastAsia="思源黑体 CN Light" w:cs="Times New Roman"/>
          <w:sz w:val="16"/>
          <w:szCs w:val="16"/>
          <w:lang w:val="en-US" w:eastAsia="zh-CN"/>
        </w:rPr>
        <w:t>905</w:t>
      </w:r>
    </w:p>
    <w:p w14:paraId="035E7028">
      <w:pPr>
        <w:pStyle w:val="2"/>
        <w:spacing w:line="360" w:lineRule="auto"/>
        <w:rPr>
          <w:rFonts w:ascii="思源黑体 CN Light" w:hAnsi="思源黑体 CN Light" w:eastAsia="思源黑体 CN Light" w:cs="Arial"/>
          <w:sz w:val="36"/>
          <w:szCs w:val="36"/>
        </w:rPr>
      </w:pPr>
      <w:r>
        <w:rPr>
          <w:rFonts w:hint="eastAsia" w:ascii="思源黑体 CN Light" w:hAnsi="思源黑体 CN Light" w:eastAsia="思源黑体 CN Light" w:cs="Arial"/>
          <w:sz w:val="36"/>
          <w:szCs w:val="36"/>
        </w:rPr>
        <w:t>2</w:t>
      </w:r>
      <w:r>
        <w:rPr>
          <w:rFonts w:ascii="思源黑体 CN Light" w:hAnsi="思源黑体 CN Light" w:eastAsia="思源黑体 CN Light" w:cs="Arial"/>
          <w:sz w:val="36"/>
          <w:szCs w:val="36"/>
        </w:rPr>
        <w:t>、</w:t>
      </w:r>
      <w:r>
        <w:rPr>
          <w:rFonts w:hint="eastAsia" w:ascii="思源黑体 CN Light" w:hAnsi="思源黑体 CN Light" w:eastAsia="思源黑体 CN Light" w:cs="Arial"/>
          <w:sz w:val="36"/>
          <w:szCs w:val="36"/>
        </w:rPr>
        <w:t>上周</w:t>
      </w:r>
      <w:r>
        <w:rPr>
          <w:rFonts w:ascii="思源黑体 CN Light" w:hAnsi="思源黑体 CN Light" w:eastAsia="思源黑体 CN Light" w:cs="Arial"/>
          <w:sz w:val="36"/>
          <w:szCs w:val="36"/>
        </w:rPr>
        <w:t>债券市场</w:t>
      </w:r>
      <w:bookmarkEnd w:id="1"/>
    </w:p>
    <w:p w14:paraId="5756822A">
      <w:pPr>
        <w:keepNext w:val="0"/>
        <w:keepLines w:val="0"/>
        <w:pageBreakBefore w:val="0"/>
        <w:widowControl w:val="0"/>
        <w:kinsoku/>
        <w:wordWrap/>
        <w:overflowPunct/>
        <w:topLinePunct w:val="0"/>
        <w:autoSpaceDE/>
        <w:autoSpaceDN/>
        <w:bidi w:val="0"/>
        <w:adjustRightInd/>
        <w:snapToGrid/>
        <w:spacing w:line="288" w:lineRule="auto"/>
        <w:ind w:firstLine="440" w:firstLineChars="200"/>
        <w:jc w:val="left"/>
        <w:textAlignment w:val="auto"/>
        <w:rPr>
          <w:rFonts w:hint="eastAsia" w:ascii="思源黑体 CN Light" w:hAnsi="思源黑体 CN Light" w:eastAsia="思源黑体 CN Light" w:cs="Times New Roman"/>
          <w:b w:val="0"/>
          <w:bCs w:val="0"/>
          <w:sz w:val="22"/>
          <w:szCs w:val="21"/>
          <w14:ligatures w14:val="standardContextual"/>
        </w:rPr>
      </w:pPr>
      <w:r>
        <w:rPr>
          <w:rFonts w:hint="eastAsia" w:ascii="思源黑体 CN Light" w:hAnsi="思源黑体 CN Light" w:eastAsia="思源黑体 CN Light" w:cs="Times New Roman"/>
          <w:b/>
          <w:bCs/>
          <w:sz w:val="22"/>
          <w:szCs w:val="21"/>
          <w14:ligatures w14:val="standardContextual"/>
        </w:rPr>
        <w:t>资金面整体均衡偏暖。</w:t>
      </w:r>
      <w:r>
        <w:rPr>
          <w:rFonts w:hint="eastAsia" w:ascii="思源黑体 CN Light" w:hAnsi="思源黑体 CN Light" w:eastAsia="思源黑体 CN Light" w:cs="Times New Roman"/>
          <w:b w:val="0"/>
          <w:bCs w:val="0"/>
          <w:sz w:val="22"/>
          <w:szCs w:val="21"/>
          <w14:ligatures w14:val="standardContextual"/>
        </w:rPr>
        <w:t>DR001下行1.32</w:t>
      </w:r>
      <w:r>
        <w:rPr>
          <w:rFonts w:hint="eastAsia" w:ascii="思源黑体 CN Light" w:hAnsi="思源黑体 CN Light" w:eastAsia="思源黑体 CN Light" w:cs="Times New Roman"/>
          <w:b w:val="0"/>
          <w:bCs w:val="0"/>
          <w:sz w:val="22"/>
          <w:szCs w:val="21"/>
          <w:lang w:val="en-US" w:eastAsia="zh-CN"/>
          <w14:ligatures w14:val="standardContextual"/>
        </w:rPr>
        <w:t>bp</w:t>
      </w:r>
      <w:r>
        <w:rPr>
          <w:rFonts w:hint="eastAsia" w:ascii="思源黑体 CN Light" w:hAnsi="思源黑体 CN Light" w:eastAsia="思源黑体 CN Light" w:cs="Times New Roman"/>
          <w:b w:val="0"/>
          <w:bCs w:val="0"/>
          <w:sz w:val="22"/>
          <w:szCs w:val="21"/>
          <w14:ligatures w14:val="standardContextual"/>
        </w:rPr>
        <w:t>至1.32%，DR007下行7.86</w:t>
      </w:r>
      <w:r>
        <w:rPr>
          <w:rFonts w:hint="eastAsia" w:ascii="思源黑体 CN Light" w:hAnsi="思源黑体 CN Light" w:eastAsia="思源黑体 CN Light" w:cs="Times New Roman"/>
          <w:b w:val="0"/>
          <w:bCs w:val="0"/>
          <w:sz w:val="22"/>
          <w:szCs w:val="21"/>
          <w:lang w:val="en-US" w:eastAsia="zh-CN"/>
          <w14:ligatures w14:val="standardContextual"/>
        </w:rPr>
        <w:t>bp</w:t>
      </w:r>
      <w:r>
        <w:rPr>
          <w:rFonts w:hint="eastAsia" w:ascii="思源黑体 CN Light" w:hAnsi="思源黑体 CN Light" w:eastAsia="思源黑体 CN Light" w:cs="Times New Roman"/>
          <w:b w:val="0"/>
          <w:bCs w:val="0"/>
          <w:sz w:val="22"/>
          <w:szCs w:val="21"/>
          <w14:ligatures w14:val="standardContextual"/>
        </w:rPr>
        <w:t>至1.44%，R001下行5.75</w:t>
      </w:r>
      <w:r>
        <w:rPr>
          <w:rFonts w:hint="eastAsia" w:ascii="思源黑体 CN Light" w:hAnsi="思源黑体 CN Light" w:eastAsia="思源黑体 CN Light" w:cs="Times New Roman"/>
          <w:b w:val="0"/>
          <w:bCs w:val="0"/>
          <w:sz w:val="22"/>
          <w:szCs w:val="21"/>
          <w:lang w:val="en-US" w:eastAsia="zh-CN"/>
          <w14:ligatures w14:val="standardContextual"/>
        </w:rPr>
        <w:t>bp</w:t>
      </w:r>
      <w:r>
        <w:rPr>
          <w:rFonts w:hint="eastAsia" w:ascii="思源黑体 CN Light" w:hAnsi="思源黑体 CN Light" w:eastAsia="思源黑体 CN Light" w:cs="Times New Roman"/>
          <w:b w:val="0"/>
          <w:bCs w:val="0"/>
          <w:sz w:val="22"/>
          <w:szCs w:val="21"/>
          <w14:ligatures w14:val="standardContextual"/>
        </w:rPr>
        <w:t>至1.36％，R007下行6.05</w:t>
      </w:r>
      <w:r>
        <w:rPr>
          <w:rFonts w:hint="eastAsia" w:ascii="思源黑体 CN Light" w:hAnsi="思源黑体 CN Light" w:eastAsia="思源黑体 CN Light" w:cs="Times New Roman"/>
          <w:b w:val="0"/>
          <w:bCs w:val="0"/>
          <w:sz w:val="22"/>
          <w:szCs w:val="21"/>
          <w:lang w:val="en-US" w:eastAsia="zh-CN"/>
          <w14:ligatures w14:val="standardContextual"/>
        </w:rPr>
        <w:t>bp</w:t>
      </w:r>
      <w:r>
        <w:rPr>
          <w:rFonts w:hint="eastAsia" w:ascii="思源黑体 CN Light" w:hAnsi="思源黑体 CN Light" w:eastAsia="思源黑体 CN Light" w:cs="Times New Roman"/>
          <w:b w:val="0"/>
          <w:bCs w:val="0"/>
          <w:sz w:val="22"/>
          <w:szCs w:val="21"/>
          <w14:ligatures w14:val="standardContextual"/>
        </w:rPr>
        <w:t>至1.46％，GC001上行15.70</w:t>
      </w:r>
      <w:r>
        <w:rPr>
          <w:rFonts w:hint="eastAsia" w:ascii="思源黑体 CN Light" w:hAnsi="思源黑体 CN Light" w:eastAsia="思源黑体 CN Light" w:cs="Times New Roman"/>
          <w:b w:val="0"/>
          <w:bCs w:val="0"/>
          <w:sz w:val="22"/>
          <w:szCs w:val="21"/>
          <w:lang w:val="en-US" w:eastAsia="zh-CN"/>
          <w14:ligatures w14:val="standardContextual"/>
        </w:rPr>
        <w:t>bp</w:t>
      </w:r>
      <w:r>
        <w:rPr>
          <w:rFonts w:hint="eastAsia" w:ascii="思源黑体 CN Light" w:hAnsi="思源黑体 CN Light" w:eastAsia="思源黑体 CN Light" w:cs="Times New Roman"/>
          <w:b w:val="0"/>
          <w:bCs w:val="0"/>
          <w:sz w:val="22"/>
          <w:szCs w:val="21"/>
          <w14:ligatures w14:val="standardContextual"/>
        </w:rPr>
        <w:t>至1.39%，GC007下行3.10</w:t>
      </w:r>
      <w:r>
        <w:rPr>
          <w:rFonts w:hint="eastAsia" w:ascii="思源黑体 CN Light" w:hAnsi="思源黑体 CN Light" w:eastAsia="思源黑体 CN Light" w:cs="Times New Roman"/>
          <w:b w:val="0"/>
          <w:bCs w:val="0"/>
          <w:sz w:val="22"/>
          <w:szCs w:val="21"/>
          <w:lang w:val="en-US" w:eastAsia="zh-CN"/>
          <w14:ligatures w14:val="standardContextual"/>
        </w:rPr>
        <w:t>bp</w:t>
      </w:r>
      <w:r>
        <w:rPr>
          <w:rFonts w:hint="eastAsia" w:ascii="思源黑体 CN Light" w:hAnsi="思源黑体 CN Light" w:eastAsia="思源黑体 CN Light" w:cs="Times New Roman"/>
          <w:b w:val="0"/>
          <w:bCs w:val="0"/>
          <w:sz w:val="22"/>
          <w:szCs w:val="21"/>
          <w14:ligatures w14:val="standardContextual"/>
        </w:rPr>
        <w:t>至1.45％。</w:t>
      </w:r>
    </w:p>
    <w:p w14:paraId="0FAB3604">
      <w:pPr>
        <w:keepNext w:val="0"/>
        <w:keepLines w:val="0"/>
        <w:pageBreakBefore w:val="0"/>
        <w:widowControl w:val="0"/>
        <w:kinsoku/>
        <w:wordWrap/>
        <w:overflowPunct/>
        <w:topLinePunct w:val="0"/>
        <w:autoSpaceDE/>
        <w:autoSpaceDN/>
        <w:bidi w:val="0"/>
        <w:adjustRightInd/>
        <w:snapToGrid/>
        <w:spacing w:line="288" w:lineRule="auto"/>
        <w:ind w:firstLine="440" w:firstLineChars="200"/>
        <w:jc w:val="left"/>
        <w:textAlignment w:val="auto"/>
        <w:rPr>
          <w:rFonts w:hint="eastAsia" w:ascii="思源黑体 CN Light" w:hAnsi="思源黑体 CN Light" w:eastAsia="思源黑体 CN Light" w:cs="Times New Roman"/>
          <w:b/>
          <w:bCs/>
          <w:sz w:val="22"/>
          <w:szCs w:val="21"/>
          <w14:ligatures w14:val="standardContextual"/>
        </w:rPr>
      </w:pPr>
      <w:r>
        <w:rPr>
          <w:rFonts w:hint="eastAsia" w:ascii="思源黑体 CN Light" w:hAnsi="思源黑体 CN Light" w:eastAsia="思源黑体 CN Light" w:cs="Times New Roman"/>
          <w:b/>
          <w:bCs/>
          <w:sz w:val="22"/>
          <w:szCs w:val="21"/>
          <w14:ligatures w14:val="standardContextual"/>
        </w:rPr>
        <w:t>债市延续震荡走弱态势。</w:t>
      </w:r>
      <w:r>
        <w:rPr>
          <w:rFonts w:hint="eastAsia" w:ascii="思源黑体 CN Light" w:hAnsi="思源黑体 CN Light" w:eastAsia="思源黑体 CN Light" w:cs="Times New Roman"/>
          <w:b w:val="0"/>
          <w:bCs w:val="0"/>
          <w:sz w:val="22"/>
          <w:szCs w:val="21"/>
          <w14:ligatures w14:val="standardContextual"/>
        </w:rPr>
        <w:t>1Y、5Y、10Y、30Y国债收益率分别较前一周变化2.61</w:t>
      </w:r>
      <w:r>
        <w:rPr>
          <w:rFonts w:hint="eastAsia" w:ascii="思源黑体 CN Light" w:hAnsi="思源黑体 CN Light" w:eastAsia="思源黑体 CN Light" w:cs="Times New Roman"/>
          <w:b w:val="0"/>
          <w:bCs w:val="0"/>
          <w:sz w:val="22"/>
          <w:szCs w:val="21"/>
          <w:lang w:val="en-US" w:eastAsia="zh-CN"/>
          <w14:ligatures w14:val="standardContextual"/>
        </w:rPr>
        <w:t>bp</w:t>
      </w:r>
      <w:r>
        <w:rPr>
          <w:rFonts w:hint="eastAsia" w:ascii="思源黑体 CN Light" w:hAnsi="思源黑体 CN Light" w:eastAsia="思源黑体 CN Light" w:cs="Times New Roman"/>
          <w:b w:val="0"/>
          <w:bCs w:val="0"/>
          <w:sz w:val="22"/>
          <w:szCs w:val="21"/>
          <w14:ligatures w14:val="standardContextual"/>
        </w:rPr>
        <w:t>、-2.01</w:t>
      </w:r>
      <w:r>
        <w:rPr>
          <w:rFonts w:hint="eastAsia" w:ascii="思源黑体 CN Light" w:hAnsi="思源黑体 CN Light" w:eastAsia="思源黑体 CN Light" w:cs="Times New Roman"/>
          <w:b w:val="0"/>
          <w:bCs w:val="0"/>
          <w:sz w:val="22"/>
          <w:szCs w:val="21"/>
          <w:lang w:val="en-US" w:eastAsia="zh-CN"/>
          <w14:ligatures w14:val="standardContextual"/>
        </w:rPr>
        <w:t>bp</w:t>
      </w:r>
      <w:r>
        <w:rPr>
          <w:rFonts w:hint="eastAsia" w:ascii="思源黑体 CN Light" w:hAnsi="思源黑体 CN Light" w:eastAsia="思源黑体 CN Light" w:cs="Times New Roman"/>
          <w:b w:val="0"/>
          <w:bCs w:val="0"/>
          <w:sz w:val="22"/>
          <w:szCs w:val="21"/>
          <w14:ligatures w14:val="standardContextual"/>
        </w:rPr>
        <w:t>、-1.19</w:t>
      </w:r>
      <w:r>
        <w:rPr>
          <w:rFonts w:hint="eastAsia" w:ascii="思源黑体 CN Light" w:hAnsi="思源黑体 CN Light" w:eastAsia="思源黑体 CN Light" w:cs="Times New Roman"/>
          <w:b w:val="0"/>
          <w:bCs w:val="0"/>
          <w:sz w:val="22"/>
          <w:szCs w:val="21"/>
          <w:lang w:val="en-US" w:eastAsia="zh-CN"/>
          <w14:ligatures w14:val="standardContextual"/>
        </w:rPr>
        <w:t>bp</w:t>
      </w:r>
      <w:r>
        <w:rPr>
          <w:rFonts w:hint="eastAsia" w:ascii="思源黑体 CN Light" w:hAnsi="思源黑体 CN Light" w:eastAsia="思源黑体 CN Light" w:cs="Times New Roman"/>
          <w:b w:val="0"/>
          <w:bCs w:val="0"/>
          <w:sz w:val="22"/>
          <w:szCs w:val="21"/>
          <w14:ligatures w14:val="standardContextual"/>
        </w:rPr>
        <w:t>、-2.5</w:t>
      </w:r>
      <w:r>
        <w:rPr>
          <w:rFonts w:hint="eastAsia" w:ascii="思源黑体 CN Light" w:hAnsi="思源黑体 CN Light" w:eastAsia="思源黑体 CN Light" w:cs="Times New Roman"/>
          <w:b w:val="0"/>
          <w:bCs w:val="0"/>
          <w:sz w:val="22"/>
          <w:szCs w:val="21"/>
          <w:lang w:val="en-US" w:eastAsia="zh-CN"/>
          <w14:ligatures w14:val="standardContextual"/>
        </w:rPr>
        <w:t>bp</w:t>
      </w:r>
      <w:r>
        <w:rPr>
          <w:rFonts w:hint="eastAsia" w:ascii="思源黑体 CN Light" w:hAnsi="思源黑体 CN Light" w:eastAsia="思源黑体 CN Light" w:cs="Times New Roman"/>
          <w:b w:val="0"/>
          <w:bCs w:val="0"/>
          <w:sz w:val="22"/>
          <w:szCs w:val="21"/>
          <w14:ligatures w14:val="standardContextual"/>
        </w:rPr>
        <w:t>至1.3959</w:t>
      </w:r>
      <w:r>
        <w:rPr>
          <w:rFonts w:hint="eastAsia" w:ascii="思源黑体 CN Light" w:hAnsi="思源黑体 CN Light" w:eastAsia="思源黑体 CN Light" w:cs="Times New Roman"/>
          <w:b w:val="0"/>
          <w:bCs w:val="0"/>
          <w:sz w:val="22"/>
          <w:szCs w:val="21"/>
          <w:lang w:val="en-US" w:eastAsia="zh-CN"/>
          <w14:ligatures w14:val="standardContextual"/>
        </w:rPr>
        <w:t>%</w:t>
      </w:r>
      <w:r>
        <w:rPr>
          <w:rFonts w:hint="eastAsia" w:ascii="思源黑体 CN Light" w:hAnsi="思源黑体 CN Light" w:eastAsia="思源黑体 CN Light" w:cs="Times New Roman"/>
          <w:b w:val="0"/>
          <w:bCs w:val="0"/>
          <w:sz w:val="22"/>
          <w:szCs w:val="21"/>
          <w14:ligatures w14:val="standardContextual"/>
        </w:rPr>
        <w:t>、1.6121</w:t>
      </w:r>
      <w:r>
        <w:rPr>
          <w:rFonts w:hint="eastAsia" w:ascii="思源黑体 CN Light" w:hAnsi="思源黑体 CN Light" w:eastAsia="思源黑体 CN Light" w:cs="Times New Roman"/>
          <w:b w:val="0"/>
          <w:bCs w:val="0"/>
          <w:sz w:val="22"/>
          <w:szCs w:val="21"/>
          <w:lang w:val="en-US" w:eastAsia="zh-CN"/>
          <w14:ligatures w14:val="standardContextual"/>
        </w:rPr>
        <w:t>%</w:t>
      </w:r>
      <w:r>
        <w:rPr>
          <w:rFonts w:hint="eastAsia" w:ascii="思源黑体 CN Light" w:hAnsi="思源黑体 CN Light" w:eastAsia="思源黑体 CN Light" w:cs="Times New Roman"/>
          <w:b w:val="0"/>
          <w:bCs w:val="0"/>
          <w:sz w:val="22"/>
          <w:szCs w:val="21"/>
          <w14:ligatures w14:val="standardContextual"/>
        </w:rPr>
        <w:t>、1.8260</w:t>
      </w:r>
      <w:r>
        <w:rPr>
          <w:rFonts w:hint="eastAsia" w:ascii="思源黑体 CN Light" w:hAnsi="思源黑体 CN Light" w:eastAsia="思源黑体 CN Light" w:cs="Times New Roman"/>
          <w:b w:val="0"/>
          <w:bCs w:val="0"/>
          <w:sz w:val="22"/>
          <w:szCs w:val="21"/>
          <w:lang w:val="en-US" w:eastAsia="zh-CN"/>
          <w14:ligatures w14:val="standardContextual"/>
        </w:rPr>
        <w:t>%</w:t>
      </w:r>
      <w:r>
        <w:rPr>
          <w:rFonts w:hint="eastAsia" w:ascii="思源黑体 CN Light" w:hAnsi="思源黑体 CN Light" w:eastAsia="思源黑体 CN Light" w:cs="Times New Roman"/>
          <w:b w:val="0"/>
          <w:bCs w:val="0"/>
          <w:sz w:val="22"/>
          <w:szCs w:val="21"/>
          <w14:ligatures w14:val="standardContextual"/>
        </w:rPr>
        <w:t>、2.1125</w:t>
      </w:r>
      <w:r>
        <w:rPr>
          <w:rFonts w:hint="eastAsia" w:ascii="思源黑体 CN Light" w:hAnsi="思源黑体 CN Light" w:eastAsia="思源黑体 CN Light" w:cs="Times New Roman"/>
          <w:b w:val="0"/>
          <w:bCs w:val="0"/>
          <w:sz w:val="22"/>
          <w:szCs w:val="21"/>
          <w:lang w:val="en-US" w:eastAsia="zh-CN"/>
          <w14:ligatures w14:val="standardContextual"/>
        </w:rPr>
        <w:t>%</w:t>
      </w:r>
      <w:r>
        <w:rPr>
          <w:rFonts w:hint="eastAsia" w:ascii="思源黑体 CN Light" w:hAnsi="思源黑体 CN Light" w:eastAsia="思源黑体 CN Light" w:cs="Times New Roman"/>
          <w:b w:val="0"/>
          <w:bCs w:val="0"/>
          <w:sz w:val="22"/>
          <w:szCs w:val="21"/>
          <w14:ligatures w14:val="standardContextual"/>
        </w:rPr>
        <w:t>。</w:t>
      </w:r>
      <w:r>
        <w:rPr>
          <w:rFonts w:hint="eastAsia" w:ascii="思源黑体 CN Light" w:hAnsi="思源黑体 CN Light" w:eastAsia="思源黑体 CN Light" w:cs="Times New Roman"/>
          <w:b/>
          <w:bCs/>
          <w:sz w:val="22"/>
          <w:szCs w:val="21"/>
          <w14:ligatures w14:val="standardContextual"/>
        </w:rPr>
        <w:t xml:space="preserve">     </w:t>
      </w:r>
    </w:p>
    <w:p w14:paraId="0DBE0809">
      <w:pPr>
        <w:spacing w:line="288" w:lineRule="auto"/>
        <w:jc w:val="left"/>
        <w:rPr>
          <w:rFonts w:hint="default" w:ascii="思源黑体 CN Light" w:hAnsi="思源黑体 CN Light" w:eastAsia="思源黑体 CN Light" w:cs="Times New Roman"/>
          <w:sz w:val="16"/>
          <w:szCs w:val="16"/>
          <w:lang w:val="en-US" w:eastAsia="zh-CN"/>
        </w:rPr>
      </w:pPr>
      <w:r>
        <w:rPr>
          <w:rFonts w:hint="eastAsia" w:ascii="思源黑体 CN Light" w:hAnsi="思源黑体 CN Light" w:eastAsia="思源黑体 CN Light" w:cs="Times New Roman"/>
          <w:b/>
          <w:color w:val="000000"/>
          <w:kern w:val="0"/>
          <w:sz w:val="20"/>
          <w:szCs w:val="20"/>
        </w:rPr>
        <w:t>图二：资金面变化</w:t>
      </w:r>
      <w:r>
        <w:drawing>
          <wp:inline distT="0" distB="0" distL="114300" distR="114300">
            <wp:extent cx="5274310" cy="3074670"/>
            <wp:effectExtent l="0" t="0" r="1397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74310" cy="3074670"/>
                    </a:xfrm>
                    <a:prstGeom prst="rect">
                      <a:avLst/>
                    </a:prstGeom>
                    <a:noFill/>
                    <a:ln>
                      <a:noFill/>
                    </a:ln>
                  </pic:spPr>
                </pic:pic>
              </a:graphicData>
            </a:graphic>
          </wp:inline>
        </w:drawing>
      </w:r>
      <w:r>
        <w:rPr>
          <w:rFonts w:hint="eastAsia" w:ascii="思源黑体 CN Light" w:hAnsi="思源黑体 CN Light" w:eastAsia="思源黑体 CN Light" w:cs="Times New Roman"/>
          <w:sz w:val="16"/>
          <w:szCs w:val="16"/>
        </w:rPr>
        <w:t>数据来源：wind，富荣基金；统计区间：20250</w:t>
      </w:r>
      <w:r>
        <w:rPr>
          <w:rFonts w:hint="eastAsia" w:ascii="思源黑体 CN Light" w:hAnsi="思源黑体 CN Light" w:eastAsia="思源黑体 CN Light" w:cs="Times New Roman"/>
          <w:sz w:val="16"/>
          <w:szCs w:val="16"/>
          <w:lang w:val="en-US" w:eastAsia="zh-CN"/>
        </w:rPr>
        <w:t>901</w:t>
      </w:r>
      <w:r>
        <w:rPr>
          <w:rFonts w:hint="eastAsia" w:ascii="思源黑体 CN Light" w:hAnsi="思源黑体 CN Light" w:eastAsia="思源黑体 CN Light" w:cs="Times New Roman"/>
          <w:sz w:val="16"/>
          <w:szCs w:val="16"/>
        </w:rPr>
        <w:t>-20250</w:t>
      </w:r>
      <w:r>
        <w:rPr>
          <w:rFonts w:hint="eastAsia" w:ascii="思源黑体 CN Light" w:hAnsi="思源黑体 CN Light" w:eastAsia="思源黑体 CN Light" w:cs="Times New Roman"/>
          <w:sz w:val="16"/>
          <w:szCs w:val="16"/>
          <w:lang w:val="en-US" w:eastAsia="zh-CN"/>
        </w:rPr>
        <w:t>905</w:t>
      </w:r>
    </w:p>
    <w:p w14:paraId="61DC76BF">
      <w:pPr>
        <w:spacing w:line="288" w:lineRule="auto"/>
        <w:jc w:val="left"/>
        <w:rPr>
          <w:rFonts w:hint="default" w:ascii="思源黑体 CN Light" w:hAnsi="思源黑体 CN Light" w:eastAsia="思源黑体 CN Light" w:cs="Times New Roman"/>
          <w:sz w:val="16"/>
          <w:szCs w:val="16"/>
          <w:lang w:val="en-US" w:eastAsia="zh-CN"/>
        </w:rPr>
      </w:pPr>
      <w:r>
        <w:rPr>
          <w:rFonts w:hint="eastAsia" w:ascii="思源黑体 CN Light" w:hAnsi="思源黑体 CN Light" w:eastAsia="思源黑体 CN Light" w:cs="Times New Roman"/>
          <w:b/>
          <w:color w:val="000000"/>
          <w:kern w:val="0"/>
          <w:sz w:val="20"/>
          <w:szCs w:val="20"/>
        </w:rPr>
        <w:t>图三：国债周度变化</w:t>
      </w:r>
      <w:r>
        <w:drawing>
          <wp:inline distT="0" distB="0" distL="114300" distR="114300">
            <wp:extent cx="5218430" cy="2578735"/>
            <wp:effectExtent l="0" t="0" r="8890" b="1206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218430" cy="2578735"/>
                    </a:xfrm>
                    <a:prstGeom prst="rect">
                      <a:avLst/>
                    </a:prstGeom>
                    <a:noFill/>
                    <a:ln>
                      <a:noFill/>
                    </a:ln>
                  </pic:spPr>
                </pic:pic>
              </a:graphicData>
            </a:graphic>
          </wp:inline>
        </w:drawing>
      </w:r>
      <w:r>
        <w:rPr>
          <w:rFonts w:hint="eastAsia" w:ascii="思源黑体 CN Light" w:hAnsi="思源黑体 CN Light" w:eastAsia="思源黑体 CN Light" w:cs="Times New Roman"/>
          <w:sz w:val="16"/>
          <w:szCs w:val="16"/>
        </w:rPr>
        <w:t>数据来源：wind，富荣基金；统计区间：20250</w:t>
      </w:r>
      <w:r>
        <w:rPr>
          <w:rFonts w:hint="eastAsia" w:ascii="思源黑体 CN Light" w:hAnsi="思源黑体 CN Light" w:eastAsia="思源黑体 CN Light" w:cs="Times New Roman"/>
          <w:sz w:val="16"/>
          <w:szCs w:val="16"/>
          <w:lang w:val="en-US" w:eastAsia="zh-CN"/>
        </w:rPr>
        <w:t>901</w:t>
      </w:r>
      <w:r>
        <w:rPr>
          <w:rFonts w:hint="eastAsia" w:ascii="思源黑体 CN Light" w:hAnsi="思源黑体 CN Light" w:eastAsia="思源黑体 CN Light" w:cs="Times New Roman"/>
          <w:sz w:val="16"/>
          <w:szCs w:val="16"/>
        </w:rPr>
        <w:t>-20250</w:t>
      </w:r>
      <w:r>
        <w:rPr>
          <w:rFonts w:hint="eastAsia" w:ascii="思源黑体 CN Light" w:hAnsi="思源黑体 CN Light" w:eastAsia="思源黑体 CN Light" w:cs="Times New Roman"/>
          <w:sz w:val="16"/>
          <w:szCs w:val="16"/>
          <w:lang w:val="en-US" w:eastAsia="zh-CN"/>
        </w:rPr>
        <w:t>905</w:t>
      </w:r>
    </w:p>
    <w:p w14:paraId="456D6EBE">
      <w:pPr>
        <w:keepNext w:val="0"/>
        <w:keepLines w:val="0"/>
        <w:pageBreakBefore w:val="0"/>
        <w:widowControl w:val="0"/>
        <w:kinsoku/>
        <w:wordWrap/>
        <w:overflowPunct/>
        <w:topLinePunct w:val="0"/>
        <w:autoSpaceDE/>
        <w:autoSpaceDN/>
        <w:bidi w:val="0"/>
        <w:adjustRightInd/>
        <w:snapToGrid/>
        <w:spacing w:line="288" w:lineRule="auto"/>
        <w:ind w:firstLine="440" w:firstLineChars="200"/>
        <w:textAlignment w:val="auto"/>
        <w:rPr>
          <w:rFonts w:hint="eastAsia" w:ascii="思源黑体 CN Light" w:hAnsi="思源黑体 CN Light" w:eastAsia="思源黑体 CN Light" w:cs="Times New Roman"/>
          <w:sz w:val="22"/>
          <w:szCs w:val="21"/>
          <w14:ligatures w14:val="standardContextual"/>
        </w:rPr>
      </w:pPr>
      <w:r>
        <w:rPr>
          <w:rFonts w:hint="eastAsia" w:ascii="思源黑体 CN Light" w:hAnsi="思源黑体 CN Light" w:eastAsia="思源黑体 CN Light" w:cs="Times New Roman"/>
          <w:sz w:val="22"/>
          <w:szCs w:val="21"/>
          <w14:ligatures w14:val="standardContextual"/>
        </w:rPr>
        <w:t>央行全口径净回笼12047亿元，月初资金面保持平稳，3M买断式逆回购等量续作，1</w:t>
      </w:r>
      <w:r>
        <w:rPr>
          <w:rFonts w:hint="eastAsia" w:ascii="思源黑体 CN Light" w:hAnsi="思源黑体 CN Light" w:eastAsia="思源黑体 CN Light" w:cs="Times New Roman"/>
          <w:sz w:val="22"/>
          <w:szCs w:val="21"/>
          <w:lang w:val="en-US" w:eastAsia="zh-CN"/>
          <w14:ligatures w14:val="standardContextual"/>
        </w:rPr>
        <w:t>Y</w:t>
      </w:r>
      <w:r>
        <w:rPr>
          <w:rFonts w:hint="eastAsia" w:ascii="思源黑体 CN Light" w:hAnsi="思源黑体 CN Light" w:eastAsia="思源黑体 CN Light" w:cs="Times New Roman"/>
          <w:sz w:val="22"/>
          <w:szCs w:val="21"/>
          <w14:ligatures w14:val="standardContextual"/>
        </w:rPr>
        <w:t>国股行存单发行价格下行至1.66%，1</w:t>
      </w:r>
      <w:r>
        <w:rPr>
          <w:rFonts w:hint="eastAsia" w:ascii="思源黑体 CN Light" w:hAnsi="思源黑体 CN Light" w:eastAsia="思源黑体 CN Light" w:cs="Times New Roman"/>
          <w:sz w:val="22"/>
          <w:szCs w:val="21"/>
          <w:lang w:val="en-US" w:eastAsia="zh-CN"/>
          <w14:ligatures w14:val="standardContextual"/>
        </w:rPr>
        <w:t>Y</w:t>
      </w:r>
      <w:r>
        <w:rPr>
          <w:rFonts w:hint="eastAsia" w:ascii="思源黑体 CN Light" w:hAnsi="思源黑体 CN Light" w:eastAsia="思源黑体 CN Light" w:cs="Times New Roman"/>
          <w:sz w:val="22"/>
          <w:szCs w:val="21"/>
          <w14:ligatures w14:val="standardContextual"/>
        </w:rPr>
        <w:t>国债活跃券收益率上行4BP至1.39%。</w:t>
      </w:r>
    </w:p>
    <w:p w14:paraId="7F100638">
      <w:pPr>
        <w:keepNext w:val="0"/>
        <w:keepLines w:val="0"/>
        <w:pageBreakBefore w:val="0"/>
        <w:widowControl w:val="0"/>
        <w:kinsoku/>
        <w:wordWrap/>
        <w:overflowPunct/>
        <w:topLinePunct w:val="0"/>
        <w:autoSpaceDE/>
        <w:autoSpaceDN/>
        <w:bidi w:val="0"/>
        <w:adjustRightInd/>
        <w:snapToGrid/>
        <w:spacing w:line="288" w:lineRule="auto"/>
        <w:ind w:firstLine="440" w:firstLineChars="200"/>
        <w:textAlignment w:val="auto"/>
        <w:rPr>
          <w:rFonts w:hint="eastAsia" w:ascii="思源黑体 CN Light" w:hAnsi="思源黑体 CN Light" w:eastAsia="思源黑体 CN Light" w:cs="Times New Roman"/>
          <w:sz w:val="22"/>
          <w:szCs w:val="21"/>
          <w14:ligatures w14:val="standardContextual"/>
        </w:rPr>
      </w:pPr>
      <w:r>
        <w:rPr>
          <w:rFonts w:hint="eastAsia" w:ascii="思源黑体 CN Light" w:hAnsi="思源黑体 CN Light" w:eastAsia="思源黑体 CN Light" w:cs="Times New Roman"/>
          <w:sz w:val="22"/>
          <w:szCs w:val="21"/>
          <w14:ligatures w14:val="standardContextual"/>
        </w:rPr>
        <w:t>信用债收益率多数品种开始下行，长短下行幅度大于短端。从利差角度看，多数品种利差收窄。整体上信用债虽重回下行格局，但依然受到权益类资产趋势的</w:t>
      </w:r>
      <w:r>
        <w:rPr>
          <w:rFonts w:hint="eastAsia" w:ascii="思源黑体 CN Light" w:hAnsi="思源黑体 CN Light" w:eastAsia="思源黑体 CN Light" w:cs="Times New Roman"/>
          <w:sz w:val="22"/>
          <w:szCs w:val="21"/>
          <w:lang w:val="en-US" w:eastAsia="zh-CN"/>
          <w14:ligatures w14:val="standardContextual"/>
        </w:rPr>
        <w:t>较</w:t>
      </w:r>
      <w:r>
        <w:rPr>
          <w:rFonts w:hint="eastAsia" w:ascii="思源黑体 CN Light" w:hAnsi="思源黑体 CN Light" w:eastAsia="思源黑体 CN Light" w:cs="Times New Roman"/>
          <w:sz w:val="22"/>
          <w:szCs w:val="21"/>
          <w14:ligatures w14:val="standardContextual"/>
        </w:rPr>
        <w:t>大影响。</w:t>
      </w:r>
    </w:p>
    <w:p w14:paraId="5DB6374F">
      <w:pPr>
        <w:spacing w:line="288" w:lineRule="auto"/>
        <w:rPr>
          <w:rFonts w:hint="eastAsia" w:ascii="思源黑体 CN Light" w:hAnsi="思源黑体 CN Light" w:eastAsia="思源黑体 CN Light" w:cs="Times New Roman"/>
          <w:b/>
          <w:color w:val="000000"/>
          <w:kern w:val="0"/>
          <w:sz w:val="20"/>
          <w:szCs w:val="20"/>
        </w:rPr>
      </w:pPr>
      <w:r>
        <w:rPr>
          <w:rFonts w:hint="eastAsia" w:ascii="思源黑体 CN Light" w:hAnsi="思源黑体 CN Light" w:eastAsia="思源黑体 CN Light" w:cs="Times New Roman"/>
          <w:b/>
          <w:color w:val="000000"/>
          <w:kern w:val="0"/>
          <w:sz w:val="20"/>
          <w:szCs w:val="20"/>
        </w:rPr>
        <w:t>图四：信用债收益率变化</w:t>
      </w:r>
    </w:p>
    <w:p w14:paraId="56508941">
      <w:pPr>
        <w:spacing w:line="288" w:lineRule="auto"/>
        <w:rPr>
          <w:rFonts w:hint="default" w:ascii="思源黑体 CN Light" w:hAnsi="思源黑体 CN Light" w:eastAsia="思源黑体 CN Light" w:cs="Times New Roman"/>
          <w:sz w:val="16"/>
          <w:szCs w:val="16"/>
          <w:lang w:val="en-US" w:eastAsia="zh-CN"/>
        </w:rPr>
      </w:pPr>
      <w:r>
        <w:drawing>
          <wp:inline distT="0" distB="0" distL="114300" distR="114300">
            <wp:extent cx="5269230" cy="2509520"/>
            <wp:effectExtent l="0" t="0" r="3810"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tretch>
                      <a:fillRect/>
                    </a:stretch>
                  </pic:blipFill>
                  <pic:spPr>
                    <a:xfrm>
                      <a:off x="0" y="0"/>
                      <a:ext cx="5269230" cy="2509520"/>
                    </a:xfrm>
                    <a:prstGeom prst="rect">
                      <a:avLst/>
                    </a:prstGeom>
                    <a:noFill/>
                    <a:ln>
                      <a:noFill/>
                    </a:ln>
                  </pic:spPr>
                </pic:pic>
              </a:graphicData>
            </a:graphic>
          </wp:inline>
        </w:drawing>
      </w:r>
      <w:r>
        <w:rPr>
          <w:rFonts w:hint="eastAsia" w:ascii="思源黑体 CN Light" w:hAnsi="思源黑体 CN Light" w:eastAsia="思源黑体 CN Light" w:cs="Times New Roman"/>
          <w:sz w:val="16"/>
          <w:szCs w:val="16"/>
        </w:rPr>
        <w:t>数据来源：wind，富荣基金；统计区间：20250</w:t>
      </w:r>
      <w:r>
        <w:rPr>
          <w:rFonts w:hint="eastAsia" w:ascii="思源黑体 CN Light" w:hAnsi="思源黑体 CN Light" w:eastAsia="思源黑体 CN Light" w:cs="Times New Roman"/>
          <w:sz w:val="16"/>
          <w:szCs w:val="16"/>
          <w:lang w:val="en-US" w:eastAsia="zh-CN"/>
        </w:rPr>
        <w:t>901</w:t>
      </w:r>
      <w:r>
        <w:rPr>
          <w:rFonts w:hint="eastAsia" w:ascii="思源黑体 CN Light" w:hAnsi="思源黑体 CN Light" w:eastAsia="思源黑体 CN Light" w:cs="Times New Roman"/>
          <w:sz w:val="16"/>
          <w:szCs w:val="16"/>
        </w:rPr>
        <w:t>-20250</w:t>
      </w:r>
      <w:r>
        <w:rPr>
          <w:rFonts w:hint="eastAsia" w:ascii="思源黑体 CN Light" w:hAnsi="思源黑体 CN Light" w:eastAsia="思源黑体 CN Light" w:cs="Times New Roman"/>
          <w:sz w:val="16"/>
          <w:szCs w:val="16"/>
          <w:lang w:val="en-US" w:eastAsia="zh-CN"/>
        </w:rPr>
        <w:t>905</w:t>
      </w:r>
    </w:p>
    <w:p w14:paraId="027D0CAE">
      <w:pPr>
        <w:spacing w:line="288" w:lineRule="auto"/>
        <w:jc w:val="left"/>
        <w:rPr>
          <w:rFonts w:hint="eastAsia" w:ascii="思源黑体 CN Light" w:hAnsi="思源黑体 CN Light" w:eastAsia="思源黑体 CN Light" w:cs="Times New Roman"/>
          <w:b/>
          <w:color w:val="000000"/>
          <w:kern w:val="0"/>
          <w:sz w:val="20"/>
          <w:szCs w:val="20"/>
        </w:rPr>
      </w:pPr>
      <w:r>
        <w:rPr>
          <w:rFonts w:hint="eastAsia" w:ascii="思源黑体 CN Light" w:hAnsi="思源黑体 CN Light" w:eastAsia="思源黑体 CN Light" w:cs="Times New Roman"/>
          <w:b/>
          <w:color w:val="000000"/>
          <w:kern w:val="0"/>
          <w:sz w:val="20"/>
          <w:szCs w:val="20"/>
        </w:rPr>
        <w:t>图五：信用利差变化</w:t>
      </w:r>
    </w:p>
    <w:p w14:paraId="62A0B0A0">
      <w:pPr>
        <w:spacing w:line="288" w:lineRule="auto"/>
        <w:jc w:val="left"/>
        <w:rPr>
          <w:rFonts w:hint="default" w:ascii="思源黑体 CN Light" w:hAnsi="思源黑体 CN Light" w:eastAsia="思源黑体 CN Light" w:cs="Times New Roman"/>
          <w:sz w:val="16"/>
          <w:szCs w:val="16"/>
          <w:lang w:val="en-US" w:eastAsia="zh-CN"/>
        </w:rPr>
      </w:pPr>
      <w:r>
        <w:drawing>
          <wp:inline distT="0" distB="0" distL="114300" distR="114300">
            <wp:extent cx="5270500" cy="2170430"/>
            <wp:effectExtent l="0" t="0" r="2540" b="889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stretch>
                      <a:fillRect/>
                    </a:stretch>
                  </pic:blipFill>
                  <pic:spPr>
                    <a:xfrm>
                      <a:off x="0" y="0"/>
                      <a:ext cx="5270500" cy="2170430"/>
                    </a:xfrm>
                    <a:prstGeom prst="rect">
                      <a:avLst/>
                    </a:prstGeom>
                    <a:noFill/>
                    <a:ln>
                      <a:noFill/>
                    </a:ln>
                  </pic:spPr>
                </pic:pic>
              </a:graphicData>
            </a:graphic>
          </wp:inline>
        </w:drawing>
      </w:r>
      <w:r>
        <w:rPr>
          <w:rFonts w:hint="eastAsia" w:ascii="思源黑体 CN Light" w:hAnsi="思源黑体 CN Light" w:eastAsia="思源黑体 CN Light" w:cs="Times New Roman"/>
          <w:sz w:val="16"/>
          <w:szCs w:val="16"/>
        </w:rPr>
        <w:t>数据来源：wind，富荣基金；统计区间：20250</w:t>
      </w:r>
      <w:r>
        <w:rPr>
          <w:rFonts w:hint="eastAsia" w:ascii="思源黑体 CN Light" w:hAnsi="思源黑体 CN Light" w:eastAsia="思源黑体 CN Light" w:cs="Times New Roman"/>
          <w:sz w:val="16"/>
          <w:szCs w:val="16"/>
          <w:lang w:val="en-US" w:eastAsia="zh-CN"/>
        </w:rPr>
        <w:t>901</w:t>
      </w:r>
      <w:r>
        <w:rPr>
          <w:rFonts w:hint="eastAsia" w:ascii="思源黑体 CN Light" w:hAnsi="思源黑体 CN Light" w:eastAsia="思源黑体 CN Light" w:cs="Times New Roman"/>
          <w:sz w:val="16"/>
          <w:szCs w:val="16"/>
        </w:rPr>
        <w:t>-20250</w:t>
      </w:r>
      <w:r>
        <w:rPr>
          <w:rFonts w:hint="eastAsia" w:ascii="思源黑体 CN Light" w:hAnsi="思源黑体 CN Light" w:eastAsia="思源黑体 CN Light" w:cs="Times New Roman"/>
          <w:sz w:val="16"/>
          <w:szCs w:val="16"/>
          <w:lang w:val="en-US" w:eastAsia="zh-CN"/>
        </w:rPr>
        <w:t>905</w:t>
      </w:r>
    </w:p>
    <w:p w14:paraId="3E23AABE">
      <w:pPr>
        <w:ind w:firstLine="400" w:firstLineChars="200"/>
        <w:rPr>
          <w:rFonts w:ascii="思源黑体 CN Light" w:hAnsi="思源黑体 CN Light" w:eastAsia="思源黑体 CN Light"/>
          <w:sz w:val="20"/>
          <w:szCs w:val="20"/>
        </w:rPr>
      </w:pPr>
    </w:p>
    <w:p w14:paraId="582CD664">
      <w:pPr>
        <w:ind w:firstLine="400" w:firstLineChars="200"/>
        <w:rPr>
          <w:rFonts w:ascii="思源黑体 CN Light" w:hAnsi="思源黑体 CN Light" w:eastAsia="思源黑体 CN Light"/>
          <w:sz w:val="20"/>
          <w:szCs w:val="20"/>
        </w:rPr>
      </w:pPr>
    </w:p>
    <w:p w14:paraId="4EA623C1">
      <w:pPr>
        <w:ind w:firstLine="400" w:firstLineChars="200"/>
        <w:rPr>
          <w:rFonts w:ascii="思源黑体 CN Light" w:hAnsi="思源黑体 CN Light" w:eastAsia="思源黑体 CN Light"/>
          <w:sz w:val="20"/>
          <w:szCs w:val="20"/>
        </w:rPr>
      </w:pPr>
    </w:p>
    <w:p w14:paraId="7D7EDF74">
      <w:pPr>
        <w:ind w:firstLine="400" w:firstLineChars="200"/>
        <w:rPr>
          <w:rFonts w:ascii="思源黑体 CN Light" w:hAnsi="思源黑体 CN Light" w:eastAsia="思源黑体 CN Light"/>
          <w:sz w:val="20"/>
          <w:szCs w:val="20"/>
        </w:rPr>
      </w:pPr>
    </w:p>
    <w:p w14:paraId="6EB20037">
      <w:pPr>
        <w:ind w:firstLine="400" w:firstLineChars="200"/>
        <w:rPr>
          <w:rFonts w:ascii="思源黑体 CN Light" w:hAnsi="思源黑体 CN Light" w:eastAsia="思源黑体 CN Light"/>
          <w:sz w:val="20"/>
          <w:szCs w:val="20"/>
        </w:rPr>
      </w:pPr>
    </w:p>
    <w:p w14:paraId="4711E0F2">
      <w:pPr>
        <w:ind w:firstLine="0" w:firstLineChars="0"/>
        <w:rPr>
          <w:rFonts w:ascii="思源黑体 CN Light" w:hAnsi="思源黑体 CN Light" w:eastAsia="思源黑体 CN Light"/>
          <w:sz w:val="20"/>
          <w:szCs w:val="20"/>
        </w:rPr>
      </w:pPr>
    </w:p>
    <w:p w14:paraId="63658DFA">
      <w:pPr>
        <w:rPr>
          <w:rFonts w:ascii="思源黑体 CN Light" w:hAnsi="思源黑体 CN Light" w:eastAsia="思源黑体 CN Light" w:cs="Times New Roman"/>
          <w:sz w:val="18"/>
          <w:szCs w:val="18"/>
        </w:rPr>
      </w:pPr>
      <w:r>
        <w:rPr>
          <w:rFonts w:hint="eastAsia" w:ascii="思源黑体 CN Light" w:hAnsi="思源黑体 CN Light" w:eastAsia="思源黑体 CN Light"/>
          <w:sz w:val="18"/>
          <w:szCs w:val="18"/>
        </w:rPr>
        <w:t>风险提示：</w:t>
      </w:r>
    </w:p>
    <w:p w14:paraId="54FE0C56">
      <w:pPr>
        <w:rPr>
          <w:sz w:val="20"/>
          <w:szCs w:val="21"/>
        </w:rPr>
      </w:pPr>
      <w:r>
        <w:rPr>
          <w:rFonts w:ascii="思源黑体 CN Light" w:hAnsi="思源黑体 CN Light" w:eastAsia="思源黑体 CN Light"/>
          <w:sz w:val="18"/>
          <w:szCs w:val="18"/>
        </w:rPr>
        <w:t>1、本材料中的信息均来源于我们认为可靠的已公开资料和合作客户的研究成果，但本公司及研究人员对这些信息的准确性和完整性不作任何保证，也不保证本材料所包含的信息或建议在本材料发出后不会发生任何变更，且本材料仅反映发布时的资料、观点和预测，可能在随后会作出调整。2、本材料中的资料、观点和预测等仅供参考，在任何时候均不构成对任何人的个人推荐。市场有风险，投资需谨慎。</w:t>
      </w:r>
    </w:p>
    <w:p w14:paraId="3641E41C"/>
    <w:p w14:paraId="58C5A6E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CN Bold">
    <w:panose1 w:val="020B0800000000000000"/>
    <w:charset w:val="86"/>
    <w:family w:val="swiss"/>
    <w:pitch w:val="default"/>
    <w:sig w:usb0="20000003" w:usb1="2ADF3C10" w:usb2="00000016" w:usb3="00000000" w:csb0="60060107" w:csb1="00000000"/>
  </w:font>
  <w:font w:name="思源黑体 CN Light">
    <w:panose1 w:val="020B0300000000000000"/>
    <w:charset w:val="86"/>
    <w:family w:val="swiss"/>
    <w:pitch w:val="default"/>
    <w:sig w:usb0="20000003" w:usb1="2ADF3C10" w:usb2="00000016" w:usb3="00000000" w:csb0="60060107"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432EF2"/>
    <w:rsid w:val="3D432EF2"/>
    <w:rsid w:val="453449A2"/>
    <w:rsid w:val="5CA30384"/>
    <w:rsid w:val="6BF67EB0"/>
    <w:rsid w:val="734E6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480" w:after="80" w:line="278" w:lineRule="auto"/>
      <w:jc w:val="left"/>
      <w:outlineLvl w:val="0"/>
    </w:pPr>
    <w:rPr>
      <w:rFonts w:asciiTheme="majorHAnsi" w:hAnsiTheme="majorHAnsi" w:eastAsiaTheme="majorEastAsia" w:cstheme="majorBidi"/>
      <w:color w:val="2E54A1" w:themeColor="accent1" w:themeShade="BF"/>
      <w:sz w:val="48"/>
      <w:szCs w:val="48"/>
      <w14:ligatures w14:val="standardContextual"/>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1383</Words>
  <Characters>1669</Characters>
  <Lines>0</Lines>
  <Paragraphs>0</Paragraphs>
  <TotalTime>29</TotalTime>
  <ScaleCrop>false</ScaleCrop>
  <LinksUpToDate>false</LinksUpToDate>
  <CharactersWithSpaces>1674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2025-09-08T00:17:00Z</dcterms:created>
  <dc:creator>叶蕊</dc:creator>
  <cp:lastModifiedBy>叶蕊</cp:lastModifiedBy>
  <dcterms:modified xsi:type="dcterms:W3CDTF">2025-09-08T07:20:12Z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DE093BEB9DC947059ABD227B1365A53A_13</vt:lpwstr>
  </property>
  <property fmtid="{D5CDD505-2E9C-101B-9397-08002B2CF9AE}" pid="4" name="KSOTemplateDocerSaveRecord">
    <vt:lpwstr>eyJoZGlkIjoiM2Q0ZDE4MjZiMjI0N2FiMDcxYTI0ZDBlYWViZjQ5YTQiLCJ1c2VySWQiOiI4MzYyNzM1OTMifQ==</vt:lpwstr>
  </property>
</Properties>
</file>