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18EFC">
      <w:pPr>
        <w:jc w:val="center"/>
        <w:rPr>
          <w:rFonts w:ascii="思源黑体 CN Bold" w:hAnsi="思源黑体 CN Bold" w:eastAsia="思源黑体 CN Bold"/>
          <w:b/>
          <w:bCs/>
          <w:sz w:val="28"/>
          <w:szCs w:val="28"/>
        </w:rPr>
      </w:pPr>
      <w:r>
        <w:rPr>
          <w:rFonts w:hint="eastAsia" w:ascii="思源黑体 CN Bold" w:hAnsi="思源黑体 CN Bold" w:eastAsia="思源黑体 CN Bold"/>
          <w:b/>
          <w:bCs/>
          <w:sz w:val="28"/>
          <w:szCs w:val="28"/>
        </w:rPr>
        <w:t>富荣固收：</w:t>
      </w:r>
      <w:r>
        <w:rPr>
          <w:rFonts w:hint="eastAsia" w:ascii="思源黑体 CN Bold" w:hAnsi="思源黑体 CN Bold" w:eastAsia="思源黑体 CN Bold"/>
          <w:b/>
          <w:bCs/>
          <w:sz w:val="28"/>
          <w:szCs w:val="28"/>
          <w:lang w:val="en-US" w:eastAsia="zh-CN"/>
        </w:rPr>
        <w:t>当下</w:t>
      </w:r>
      <w:r>
        <w:rPr>
          <w:rFonts w:hint="eastAsia" w:ascii="思源黑体 CN Bold" w:hAnsi="思源黑体 CN Bold" w:eastAsia="思源黑体 CN Bold"/>
          <w:b/>
          <w:bCs/>
          <w:sz w:val="28"/>
          <w:szCs w:val="28"/>
        </w:rPr>
        <w:t>债券</w:t>
      </w:r>
      <w:r>
        <w:rPr>
          <w:rFonts w:hint="eastAsia" w:ascii="思源黑体 CN Bold" w:hAnsi="思源黑体 CN Bold" w:eastAsia="思源黑体 CN Bold"/>
          <w:b/>
          <w:bCs/>
          <w:sz w:val="28"/>
          <w:szCs w:val="28"/>
          <w:lang w:val="en-US" w:eastAsia="zh-CN"/>
        </w:rPr>
        <w:t>或已具备</w:t>
      </w:r>
      <w:r>
        <w:rPr>
          <w:rFonts w:hint="eastAsia" w:ascii="思源黑体 CN Bold" w:hAnsi="思源黑体 CN Bold" w:eastAsia="思源黑体 CN Bold"/>
          <w:b/>
          <w:bCs/>
          <w:sz w:val="28"/>
          <w:szCs w:val="28"/>
        </w:rPr>
        <w:t>配置价值</w:t>
      </w:r>
    </w:p>
    <w:p w14:paraId="44751D7B">
      <w:pPr>
        <w:rPr>
          <w:rFonts w:hint="eastAsia" w:ascii="思源黑体 CN Light" w:hAnsi="思源黑体 CN Light" w:eastAsia="思源黑体 CN Light"/>
          <w:b/>
          <w:bCs/>
          <w:szCs w:val="21"/>
        </w:rPr>
      </w:pPr>
    </w:p>
    <w:p w14:paraId="2F81BE6E">
      <w:pPr>
        <w:rPr>
          <w:rFonts w:ascii="思源黑体 CN Light" w:hAnsi="思源黑体 CN Light" w:eastAsia="思源黑体 CN Light"/>
          <w:b/>
          <w:bCs/>
          <w:szCs w:val="21"/>
        </w:rPr>
      </w:pPr>
      <w:r>
        <w:rPr>
          <w:rFonts w:hint="eastAsia" w:ascii="思源黑体 CN Light" w:hAnsi="思源黑体 CN Light" w:eastAsia="思源黑体 CN Light"/>
          <w:b/>
          <w:bCs/>
          <w:szCs w:val="21"/>
        </w:rPr>
        <w:t>观点：</w:t>
      </w:r>
      <w:bookmarkStart w:id="0" w:name="_Toc134985519"/>
    </w:p>
    <w:p w14:paraId="49F92DA5">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（1）国内方面：</w:t>
      </w:r>
    </w:p>
    <w:p w14:paraId="7D4DCF1D">
      <w:pPr>
        <w:ind w:firstLine="420" w:firstLineChars="200"/>
        <w:rPr>
          <w:rFonts w:hint="eastAsia" w:ascii="思源黑体 CN Light" w:hAnsi="思源黑体 CN Light" w:eastAsia="思源黑体 CN Light"/>
          <w:szCs w:val="21"/>
        </w:rPr>
      </w:pPr>
      <w:r>
        <w:rPr>
          <w:rFonts w:hint="eastAsia" w:ascii="思源黑体 CN Light" w:hAnsi="思源黑体 CN Light" w:eastAsia="思源黑体 CN Light"/>
          <w:szCs w:val="21"/>
        </w:rPr>
        <w:t>央行维持资金宽松基调明确，税期资金面或有扰动但整体流动性</w:t>
      </w:r>
      <w:r>
        <w:rPr>
          <w:rFonts w:hint="eastAsia" w:ascii="思源黑体 CN Light" w:hAnsi="思源黑体 CN Light" w:eastAsia="思源黑体 CN Light"/>
          <w:szCs w:val="21"/>
          <w:lang w:val="en-US" w:eastAsia="zh-CN"/>
        </w:rPr>
        <w:t>大概率</w:t>
      </w:r>
      <w:r>
        <w:rPr>
          <w:rFonts w:hint="eastAsia" w:ascii="思源黑体 CN Light" w:hAnsi="思源黑体 CN Light" w:eastAsia="思源黑体 CN Light"/>
          <w:szCs w:val="21"/>
        </w:rPr>
        <w:t>无虞，且买断式逆回购加量续作央行呵护态度持续。关注降准降息必要性与国债买卖重启预期。央行可能重启国债购买、MLF超额续作等工具，美联储若降息</w:t>
      </w:r>
      <w:r>
        <w:rPr>
          <w:rFonts w:hint="eastAsia" w:ascii="思源黑体 CN Light" w:hAnsi="思源黑体 CN Light" w:eastAsia="思源黑体 CN Light"/>
          <w:szCs w:val="21"/>
          <w:lang w:val="en-US" w:eastAsia="zh-CN"/>
        </w:rPr>
        <w:t>或</w:t>
      </w:r>
      <w:r>
        <w:rPr>
          <w:rFonts w:hint="eastAsia" w:ascii="思源黑体 CN Light" w:hAnsi="思源黑体 CN Light" w:eastAsia="思源黑体 CN Light"/>
          <w:szCs w:val="21"/>
        </w:rPr>
        <w:t>将打开国内货币政策宽松窗口。</w:t>
      </w:r>
    </w:p>
    <w:p w14:paraId="2FB3CA31">
      <w:pPr>
        <w:ind w:firstLine="420" w:firstLineChars="200"/>
        <w:rPr>
          <w:rFonts w:hint="eastAsia" w:ascii="思源黑体 CN Light" w:hAnsi="思源黑体 CN Light" w:eastAsia="思源黑体 CN Light"/>
          <w:szCs w:val="21"/>
        </w:rPr>
      </w:pPr>
      <w:r>
        <w:rPr>
          <w:rFonts w:hint="eastAsia" w:ascii="思源黑体 CN Light" w:hAnsi="思源黑体 CN Light" w:eastAsia="思源黑体 CN Light"/>
          <w:szCs w:val="21"/>
        </w:rPr>
        <w:t>当前经济仍处于“弱复苏”阶段，对债市而言将存利好。社融增速可能继续放缓，政府债发行放量后或进一步承压</w:t>
      </w:r>
      <w:r>
        <w:rPr>
          <w:rFonts w:hint="eastAsia" w:ascii="思源黑体 CN Light" w:hAnsi="思源黑体 CN Light" w:eastAsia="思源黑体 CN Light"/>
          <w:szCs w:val="21"/>
          <w:lang w:eastAsia="zh-CN"/>
        </w:rPr>
        <w:t>，</w:t>
      </w:r>
      <w:r>
        <w:rPr>
          <w:rFonts w:hint="eastAsia" w:ascii="思源黑体 CN Light" w:hAnsi="思源黑体 CN Light" w:eastAsia="思源黑体 CN Light"/>
          <w:szCs w:val="21"/>
        </w:rPr>
        <w:t>供强需弱格局或将延续。后续关注居民信贷需求能否触底反弹。</w:t>
      </w:r>
    </w:p>
    <w:p w14:paraId="5ED69B4D">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（2）海外及其他：</w:t>
      </w:r>
    </w:p>
    <w:p w14:paraId="11CF151A">
      <w:pPr>
        <w:ind w:firstLine="420" w:firstLineChars="200"/>
        <w:rPr>
          <w:rFonts w:hint="eastAsia" w:ascii="思源黑体 CN Light" w:hAnsi="思源黑体 CN Light" w:eastAsia="思源黑体 CN Light"/>
          <w:szCs w:val="21"/>
        </w:rPr>
      </w:pPr>
      <w:r>
        <w:rPr>
          <w:rFonts w:hint="eastAsia" w:ascii="思源黑体 CN Light" w:hAnsi="思源黑体 CN Light" w:eastAsia="思源黑体 CN Light"/>
          <w:szCs w:val="21"/>
        </w:rPr>
        <w:t>美联储9月降息预期</w:t>
      </w:r>
      <w:r>
        <w:rPr>
          <w:rFonts w:hint="eastAsia" w:ascii="思源黑体 CN Light" w:hAnsi="思源黑体 CN Light" w:eastAsia="思源黑体 CN Light"/>
          <w:szCs w:val="21"/>
          <w:lang w:val="en-US" w:eastAsia="zh-CN"/>
        </w:rPr>
        <w:t>持续升温</w:t>
      </w:r>
      <w:r>
        <w:rPr>
          <w:rFonts w:hint="eastAsia" w:ascii="思源黑体 CN Light" w:hAnsi="思源黑体 CN Light" w:eastAsia="思源黑体 CN Light"/>
          <w:szCs w:val="21"/>
        </w:rPr>
        <w:t>，叠加美国经济降温，为国内降息创造外部条件。中美贸易谈判进展仍是重要变量。</w:t>
      </w:r>
    </w:p>
    <w:p w14:paraId="3ABC3536">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（3）上周债券市场：</w:t>
      </w:r>
    </w:p>
    <w:p w14:paraId="7F742275">
      <w:pPr>
        <w:ind w:firstLine="420" w:firstLineChars="200"/>
        <w:rPr>
          <w:rFonts w:hint="eastAsia" w:ascii="思源黑体 CN Light" w:hAnsi="思源黑体 CN Light" w:eastAsia="思源黑体 CN Light"/>
          <w:szCs w:val="21"/>
        </w:rPr>
      </w:pPr>
      <w:r>
        <w:rPr>
          <w:rFonts w:hint="eastAsia" w:ascii="思源黑体 CN Light" w:hAnsi="思源黑体 CN Light" w:eastAsia="思源黑体 CN Light"/>
          <w:szCs w:val="21"/>
        </w:rPr>
        <w:t>上周（2025年</w:t>
      </w:r>
      <w:r>
        <w:rPr>
          <w:rFonts w:hint="eastAsia" w:ascii="思源黑体 CN Light" w:hAnsi="思源黑体 CN Light" w:eastAsia="思源黑体 CN Light"/>
          <w:szCs w:val="21"/>
          <w:lang w:val="en-US" w:eastAsia="zh-CN"/>
        </w:rPr>
        <w:t>9</w:t>
      </w:r>
      <w:r>
        <w:rPr>
          <w:rFonts w:hint="eastAsia" w:ascii="思源黑体 CN Light" w:hAnsi="思源黑体 CN Light" w:eastAsia="思源黑体 CN Light"/>
          <w:szCs w:val="21"/>
        </w:rPr>
        <w:t>月</w:t>
      </w:r>
      <w:r>
        <w:rPr>
          <w:rFonts w:hint="eastAsia" w:ascii="思源黑体 CN Light" w:hAnsi="思源黑体 CN Light" w:eastAsia="思源黑体 CN Light"/>
          <w:szCs w:val="21"/>
          <w:lang w:val="en-US" w:eastAsia="zh-CN"/>
        </w:rPr>
        <w:t>8</w:t>
      </w:r>
      <w:r>
        <w:rPr>
          <w:rFonts w:hint="eastAsia" w:ascii="思源黑体 CN Light" w:hAnsi="思源黑体 CN Light" w:eastAsia="思源黑体 CN Light"/>
          <w:szCs w:val="21"/>
        </w:rPr>
        <w:t>日-2025年</w:t>
      </w:r>
      <w:r>
        <w:rPr>
          <w:rFonts w:hint="eastAsia" w:ascii="思源黑体 CN Light" w:hAnsi="思源黑体 CN Light" w:eastAsia="思源黑体 CN Light"/>
          <w:szCs w:val="21"/>
          <w:lang w:val="en-US" w:eastAsia="zh-CN"/>
        </w:rPr>
        <w:t>9</w:t>
      </w:r>
      <w:r>
        <w:rPr>
          <w:rFonts w:hint="eastAsia" w:ascii="思源黑体 CN Light" w:hAnsi="思源黑体 CN Light" w:eastAsia="思源黑体 CN Light"/>
          <w:szCs w:val="21"/>
        </w:rPr>
        <w:t>月</w:t>
      </w:r>
      <w:r>
        <w:rPr>
          <w:rFonts w:hint="eastAsia" w:ascii="思源黑体 CN Light" w:hAnsi="思源黑体 CN Light" w:eastAsia="思源黑体 CN Light"/>
          <w:szCs w:val="21"/>
          <w:lang w:val="en-US" w:eastAsia="zh-CN"/>
        </w:rPr>
        <w:t>12</w:t>
      </w:r>
      <w:r>
        <w:rPr>
          <w:rFonts w:hint="eastAsia" w:ascii="思源黑体 CN Light" w:hAnsi="思源黑体 CN Light" w:eastAsia="思源黑体 CN Light"/>
          <w:szCs w:val="21"/>
        </w:rPr>
        <w:t>日，以下简称上周）10年国债利率</w:t>
      </w:r>
      <w:r>
        <w:rPr>
          <w:rFonts w:hint="eastAsia" w:ascii="思源黑体 CN Light" w:hAnsi="思源黑体 CN Light" w:eastAsia="思源黑体 CN Light"/>
          <w:szCs w:val="21"/>
          <w:lang w:val="en-US" w:eastAsia="zh-CN"/>
        </w:rPr>
        <w:t>再度</w:t>
      </w:r>
      <w:r>
        <w:rPr>
          <w:rFonts w:hint="eastAsia" w:ascii="思源黑体 CN Light" w:hAnsi="思源黑体 CN Light" w:eastAsia="思源黑体 CN Light"/>
          <w:szCs w:val="21"/>
        </w:rPr>
        <w:t>“寻顶”，上行升破1.83%</w:t>
      </w:r>
      <w:r>
        <w:rPr>
          <w:rFonts w:hint="eastAsia" w:ascii="思源黑体 CN Light" w:hAnsi="思源黑体 CN Light" w:eastAsia="思源黑体 CN Light"/>
          <w:szCs w:val="21"/>
          <w:lang w:eastAsia="zh-CN"/>
        </w:rPr>
        <w:t>。</w:t>
      </w:r>
      <w:r>
        <w:rPr>
          <w:rFonts w:hint="eastAsia" w:ascii="思源黑体 CN Light" w:hAnsi="思源黑体 CN Light" w:eastAsia="思源黑体 CN Light"/>
          <w:szCs w:val="21"/>
        </w:rPr>
        <w:t>周初受公募基金新规冲击，基金大幅抛盘，债市显著走弱，后半周央行重启买债预期升温，行情有所修复。</w:t>
      </w:r>
    </w:p>
    <w:p w14:paraId="44CA6271">
      <w:pPr>
        <w:ind w:firstLine="420" w:firstLineChars="200"/>
        <w:rPr>
          <w:rFonts w:hint="eastAsia" w:ascii="思源黑体 CN Light" w:hAnsi="思源黑体 CN Light" w:eastAsia="思源黑体 CN Light"/>
          <w:szCs w:val="21"/>
        </w:rPr>
      </w:pPr>
      <w:r>
        <w:rPr>
          <w:rFonts w:hint="eastAsia" w:ascii="思源黑体 CN Light" w:hAnsi="思源黑体 CN Light" w:eastAsia="思源黑体 CN Light"/>
          <w:szCs w:val="21"/>
        </w:rPr>
        <w:t>展望后市，经历</w:t>
      </w:r>
      <w:r>
        <w:rPr>
          <w:rFonts w:hint="eastAsia" w:ascii="思源黑体 CN Light" w:hAnsi="思源黑体 CN Light" w:eastAsia="思源黑体 CN Light"/>
          <w:szCs w:val="21"/>
          <w:lang w:val="en-US" w:eastAsia="zh-CN"/>
        </w:rPr>
        <w:t>大幅</w:t>
      </w:r>
      <w:r>
        <w:rPr>
          <w:rFonts w:hint="eastAsia" w:ascii="思源黑体 CN Light" w:hAnsi="思源黑体 CN Light" w:eastAsia="思源黑体 CN Light"/>
          <w:szCs w:val="21"/>
        </w:rPr>
        <w:t>调整后，利率债的配置价值开始浮现，长债利率更为顺畅的下行或在4季度中后段，年内仍有望创新低。债市交易</w:t>
      </w:r>
      <w:r>
        <w:rPr>
          <w:rFonts w:hint="eastAsia" w:ascii="思源黑体 CN Light" w:hAnsi="思源黑体 CN Light" w:eastAsia="思源黑体 CN Light"/>
          <w:szCs w:val="21"/>
          <w:lang w:val="en-US" w:eastAsia="zh-CN"/>
        </w:rPr>
        <w:t>或</w:t>
      </w:r>
      <w:r>
        <w:rPr>
          <w:rFonts w:hint="eastAsia" w:ascii="思源黑体 CN Light" w:hAnsi="思源黑体 CN Light" w:eastAsia="思源黑体 CN Light"/>
          <w:szCs w:val="21"/>
        </w:rPr>
        <w:t>会逐步向基本面回归。经济</w:t>
      </w:r>
      <w:r>
        <w:rPr>
          <w:rFonts w:hint="eastAsia" w:ascii="思源黑体 CN Light" w:hAnsi="思源黑体 CN Light" w:eastAsia="思源黑体 CN Light"/>
          <w:szCs w:val="21"/>
          <w:lang w:val="en-US" w:eastAsia="zh-CN"/>
        </w:rPr>
        <w:t>弱复苏</w:t>
      </w:r>
      <w:r>
        <w:rPr>
          <w:rFonts w:hint="eastAsia" w:ascii="思源黑体 CN Light" w:hAnsi="思源黑体 CN Light" w:eastAsia="思源黑体 CN Light"/>
          <w:szCs w:val="21"/>
        </w:rPr>
        <w:t>与降息、央行或重启国债买卖等宽货币预期构成核心支撑，美联储若降息亦</w:t>
      </w:r>
      <w:r>
        <w:rPr>
          <w:rFonts w:hint="eastAsia" w:ascii="思源黑体 CN Light" w:hAnsi="思源黑体 CN Light" w:eastAsia="思源黑体 CN Light"/>
          <w:szCs w:val="21"/>
          <w:lang w:val="en-US" w:eastAsia="zh-CN"/>
        </w:rPr>
        <w:t>或</w:t>
      </w:r>
      <w:r>
        <w:rPr>
          <w:rFonts w:hint="eastAsia" w:ascii="思源黑体 CN Light" w:hAnsi="思源黑体 CN Light" w:eastAsia="思源黑体 CN Light"/>
          <w:szCs w:val="21"/>
        </w:rPr>
        <w:t>提供外部空间。但同时，短期市场情绪尚未完全稳定，需留意季末因素、机构行为</w:t>
      </w:r>
      <w:r>
        <w:rPr>
          <w:rFonts w:hint="eastAsia" w:ascii="思源黑体 CN Light" w:hAnsi="思源黑体 CN Light" w:eastAsia="思源黑体 CN Light"/>
          <w:szCs w:val="21"/>
          <w:lang w:eastAsia="zh-CN"/>
        </w:rPr>
        <w:t>、</w:t>
      </w:r>
      <w:r>
        <w:rPr>
          <w:rFonts w:hint="eastAsia" w:ascii="思源黑体 CN Light" w:hAnsi="思源黑体 CN Light" w:eastAsia="思源黑体 CN Light"/>
          <w:szCs w:val="21"/>
        </w:rPr>
        <w:t>更明确政策信号的落地。</w:t>
      </w:r>
    </w:p>
    <w:p w14:paraId="340876B8">
      <w:pPr>
        <w:pStyle w:val="2"/>
        <w:tabs>
          <w:tab w:val="left" w:pos="6289"/>
        </w:tabs>
        <w:spacing w:line="360" w:lineRule="auto"/>
        <w:rPr>
          <w:rFonts w:ascii="思源黑体 CN Light" w:hAnsi="思源黑体 CN Light" w:eastAsia="思源黑体 CN Light" w:cs="Times New Roman"/>
          <w:szCs w:val="21"/>
        </w:rPr>
      </w:pPr>
      <w:r>
        <w:rPr>
          <w:rFonts w:hint="eastAsia" w:ascii="思源黑体 CN Light" w:hAnsi="思源黑体 CN Light" w:eastAsia="思源黑体 CN Light" w:cs="Arial"/>
          <w:sz w:val="36"/>
          <w:szCs w:val="36"/>
        </w:rPr>
        <w:t>1</w:t>
      </w:r>
      <w:r>
        <w:rPr>
          <w:rFonts w:ascii="思源黑体 CN Light" w:hAnsi="思源黑体 CN Light" w:eastAsia="思源黑体 CN Light" w:cs="Arial"/>
          <w:sz w:val="36"/>
          <w:szCs w:val="36"/>
        </w:rPr>
        <w:t>、</w:t>
      </w:r>
      <w:r>
        <w:rPr>
          <w:rFonts w:hint="eastAsia" w:ascii="思源黑体 CN Light" w:hAnsi="思源黑体 CN Light" w:eastAsia="思源黑体 CN Light" w:cs="Arial"/>
          <w:sz w:val="36"/>
          <w:szCs w:val="36"/>
        </w:rPr>
        <w:t>上周</w:t>
      </w:r>
      <w:r>
        <w:rPr>
          <w:rFonts w:ascii="思源黑体 CN Light" w:hAnsi="思源黑体 CN Light" w:eastAsia="思源黑体 CN Light" w:cs="Arial"/>
          <w:sz w:val="36"/>
          <w:szCs w:val="36"/>
        </w:rPr>
        <w:t>高频数据</w:t>
      </w:r>
      <w:bookmarkEnd w:id="0"/>
    </w:p>
    <w:p w14:paraId="0D7808F5">
      <w:pPr>
        <w:spacing w:line="288" w:lineRule="auto"/>
        <w:ind w:firstLine="440" w:firstLineChars="200"/>
        <w:jc w:val="left"/>
        <w:rPr>
          <w:rFonts w:hint="eastAsia" w:ascii="思源黑体 CN Light" w:hAnsi="思源黑体 CN Light" w:eastAsia="思源黑体 CN Light" w:cs="Times New Roman"/>
          <w:sz w:val="22"/>
          <w:szCs w:val="21"/>
          <w14:ligatures w14:val="standardContextual"/>
        </w:rPr>
      </w:pPr>
      <w:r>
        <w:rPr>
          <w:rFonts w:hint="eastAsia" w:ascii="思源黑体 CN Light" w:hAnsi="思源黑体 CN Light" w:eastAsia="思源黑体 CN Light" w:cs="Times New Roman"/>
          <w:sz w:val="22"/>
          <w:szCs w:val="21"/>
          <w14:ligatures w14:val="standardContextual"/>
        </w:rPr>
        <w:t>美联储降息预期升温，</w:t>
      </w:r>
      <w:r>
        <w:rPr>
          <w:rFonts w:hint="eastAsia" w:ascii="思源黑体 CN Light" w:hAnsi="思源黑体 CN Light" w:eastAsia="思源黑体 CN Light" w:cs="Times New Roman"/>
          <w:sz w:val="22"/>
          <w:szCs w:val="21"/>
          <w:lang w:val="en-US" w:eastAsia="zh-CN"/>
          <w14:ligatures w14:val="standardContextual"/>
        </w:rPr>
        <w:t>美国</w:t>
      </w:r>
      <w:r>
        <w:rPr>
          <w:rFonts w:hint="eastAsia" w:ascii="思源黑体 CN Light" w:hAnsi="思源黑体 CN Light" w:eastAsia="思源黑体 CN Light" w:cs="Times New Roman"/>
          <w:sz w:val="22"/>
          <w:szCs w:val="21"/>
          <w14:ligatures w14:val="standardContextual"/>
        </w:rPr>
        <w:t>8月CPI同比</w:t>
      </w:r>
      <w:r>
        <w:rPr>
          <w:rFonts w:hint="eastAsia" w:ascii="思源黑体 CN Light" w:hAnsi="思源黑体 CN Light" w:eastAsia="思源黑体 CN Light" w:cs="Times New Roman"/>
          <w:sz w:val="22"/>
          <w:szCs w:val="21"/>
          <w:lang w:val="en-US" w:eastAsia="zh-CN"/>
          <w14:ligatures w14:val="standardContextual"/>
        </w:rPr>
        <w:t>增长</w:t>
      </w:r>
      <w:r>
        <w:rPr>
          <w:rFonts w:hint="eastAsia" w:ascii="思源黑体 CN Light" w:hAnsi="思源黑体 CN Light" w:eastAsia="思源黑体 CN Light" w:cs="Times New Roman"/>
          <w:sz w:val="22"/>
          <w:szCs w:val="21"/>
          <w14:ligatures w14:val="standardContextual"/>
        </w:rPr>
        <w:t>2.9%，通胀分化。截至9月12日，美元指数跌0.12%，日元跌0.70%，在岸人民币涨0.22%，澳元涨1.42%。</w:t>
      </w:r>
    </w:p>
    <w:p w14:paraId="1DAB59AC">
      <w:pPr>
        <w:spacing w:line="288" w:lineRule="auto"/>
        <w:jc w:val="left"/>
        <w:rPr>
          <w:rFonts w:hint="default" w:ascii="思源黑体 CN Light" w:hAnsi="思源黑体 CN Light" w:eastAsia="思源黑体 CN Light" w:cs="Times New Roman"/>
          <w:sz w:val="16"/>
          <w:szCs w:val="16"/>
          <w:lang w:val="en-US" w:eastAsia="zh-CN"/>
        </w:rPr>
      </w:pPr>
      <w:r>
        <w:rPr>
          <w:rFonts w:hint="eastAsia" w:ascii="思源黑体 CN Light" w:hAnsi="思源黑体 CN Light" w:eastAsia="思源黑体 CN Light" w:cs="Times New Roman"/>
          <w:b/>
          <w:color w:val="000000"/>
          <w:kern w:val="0"/>
          <w:sz w:val="20"/>
          <w:szCs w:val="20"/>
        </w:rPr>
        <w:t>图一：主要货币变化率</w:t>
      </w:r>
      <w:r>
        <w:drawing>
          <wp:inline distT="0" distB="0" distL="114300" distR="114300">
            <wp:extent cx="5273675" cy="2059940"/>
            <wp:effectExtent l="0" t="0" r="14605" b="1270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73675" cy="2059940"/>
                    </a:xfrm>
                    <a:prstGeom prst="rect">
                      <a:avLst/>
                    </a:prstGeom>
                    <a:noFill/>
                    <a:ln>
                      <a:noFill/>
                    </a:ln>
                  </pic:spPr>
                </pic:pic>
              </a:graphicData>
            </a:graphic>
          </wp:inline>
        </w:drawing>
      </w:r>
      <w:r>
        <w:rPr>
          <w:rFonts w:hint="eastAsia" w:ascii="思源黑体 CN Light" w:hAnsi="思源黑体 CN Light" w:eastAsia="思源黑体 CN Light" w:cs="Times New Roman"/>
          <w:sz w:val="16"/>
          <w:szCs w:val="16"/>
        </w:rPr>
        <w:t>数据来源：wind，富荣基金；统计区间：20250</w:t>
      </w:r>
      <w:r>
        <w:rPr>
          <w:rFonts w:hint="eastAsia" w:ascii="思源黑体 CN Light" w:hAnsi="思源黑体 CN Light" w:eastAsia="思源黑体 CN Light" w:cs="Times New Roman"/>
          <w:sz w:val="16"/>
          <w:szCs w:val="16"/>
          <w:lang w:val="en-US" w:eastAsia="zh-CN"/>
        </w:rPr>
        <w:t>908</w:t>
      </w:r>
      <w:r>
        <w:rPr>
          <w:rFonts w:hint="eastAsia" w:ascii="思源黑体 CN Light" w:hAnsi="思源黑体 CN Light" w:eastAsia="思源黑体 CN Light" w:cs="Times New Roman"/>
          <w:sz w:val="16"/>
          <w:szCs w:val="16"/>
        </w:rPr>
        <w:t>-2025</w:t>
      </w:r>
      <w:bookmarkStart w:id="1" w:name="_Toc134985520"/>
      <w:r>
        <w:rPr>
          <w:rFonts w:hint="eastAsia" w:ascii="思源黑体 CN Light" w:hAnsi="思源黑体 CN Light" w:eastAsia="思源黑体 CN Light" w:cs="Times New Roman"/>
          <w:sz w:val="16"/>
          <w:szCs w:val="16"/>
        </w:rPr>
        <w:t>0</w:t>
      </w:r>
      <w:r>
        <w:rPr>
          <w:rFonts w:hint="eastAsia" w:ascii="思源黑体 CN Light" w:hAnsi="思源黑体 CN Light" w:eastAsia="思源黑体 CN Light" w:cs="Times New Roman"/>
          <w:sz w:val="16"/>
          <w:szCs w:val="16"/>
          <w:lang w:val="en-US" w:eastAsia="zh-CN"/>
        </w:rPr>
        <w:t>912</w:t>
      </w:r>
    </w:p>
    <w:p w14:paraId="035E7028">
      <w:pPr>
        <w:pStyle w:val="2"/>
        <w:spacing w:line="360" w:lineRule="auto"/>
        <w:rPr>
          <w:rFonts w:ascii="思源黑体 CN Light" w:hAnsi="思源黑体 CN Light" w:eastAsia="思源黑体 CN Light" w:cs="Arial"/>
          <w:sz w:val="36"/>
          <w:szCs w:val="36"/>
        </w:rPr>
      </w:pPr>
      <w:r>
        <w:rPr>
          <w:rFonts w:hint="eastAsia" w:ascii="思源黑体 CN Light" w:hAnsi="思源黑体 CN Light" w:eastAsia="思源黑体 CN Light" w:cs="Arial"/>
          <w:sz w:val="36"/>
          <w:szCs w:val="36"/>
        </w:rPr>
        <w:t>2</w:t>
      </w:r>
      <w:r>
        <w:rPr>
          <w:rFonts w:ascii="思源黑体 CN Light" w:hAnsi="思源黑体 CN Light" w:eastAsia="思源黑体 CN Light" w:cs="Arial"/>
          <w:sz w:val="36"/>
          <w:szCs w:val="36"/>
        </w:rPr>
        <w:t>、</w:t>
      </w:r>
      <w:r>
        <w:rPr>
          <w:rFonts w:hint="eastAsia" w:ascii="思源黑体 CN Light" w:hAnsi="思源黑体 CN Light" w:eastAsia="思源黑体 CN Light" w:cs="Arial"/>
          <w:sz w:val="36"/>
          <w:szCs w:val="36"/>
        </w:rPr>
        <w:t>上周</w:t>
      </w:r>
      <w:r>
        <w:rPr>
          <w:rFonts w:ascii="思源黑体 CN Light" w:hAnsi="思源黑体 CN Light" w:eastAsia="思源黑体 CN Light" w:cs="Arial"/>
          <w:sz w:val="36"/>
          <w:szCs w:val="36"/>
        </w:rPr>
        <w:t>债券市场</w:t>
      </w:r>
      <w:bookmarkEnd w:id="1"/>
    </w:p>
    <w:p w14:paraId="15F5F75C">
      <w:pPr>
        <w:keepNext w:val="0"/>
        <w:keepLines w:val="0"/>
        <w:pageBreakBefore w:val="0"/>
        <w:widowControl w:val="0"/>
        <w:kinsoku/>
        <w:wordWrap/>
        <w:overflowPunct/>
        <w:topLinePunct w:val="0"/>
        <w:autoSpaceDE/>
        <w:autoSpaceDN/>
        <w:bidi w:val="0"/>
        <w:adjustRightInd/>
        <w:snapToGrid/>
        <w:spacing w:line="288" w:lineRule="auto"/>
        <w:ind w:firstLine="440" w:firstLineChars="200"/>
        <w:jc w:val="left"/>
        <w:textAlignment w:val="auto"/>
        <w:rPr>
          <w:rFonts w:hint="eastAsia" w:ascii="思源黑体 CN Light" w:hAnsi="思源黑体 CN Light" w:eastAsia="思源黑体 CN Light" w:cs="Times New Roman"/>
          <w:b w:val="0"/>
          <w:bCs w:val="0"/>
          <w:sz w:val="22"/>
          <w:szCs w:val="21"/>
          <w14:ligatures w14:val="standardContextual"/>
        </w:rPr>
      </w:pPr>
      <w:r>
        <w:rPr>
          <w:rFonts w:hint="eastAsia" w:ascii="思源黑体 CN Light" w:hAnsi="思源黑体 CN Light" w:eastAsia="思源黑体 CN Light" w:cs="Times New Roman"/>
          <w:b/>
          <w:bCs/>
          <w:sz w:val="22"/>
          <w:szCs w:val="21"/>
          <w14:ligatures w14:val="standardContextual"/>
        </w:rPr>
        <w:t>资金面整体均衡偏紧。</w:t>
      </w:r>
      <w:r>
        <w:rPr>
          <w:rFonts w:hint="eastAsia" w:ascii="思源黑体 CN Light" w:hAnsi="思源黑体 CN Light" w:eastAsia="思源黑体 CN Light" w:cs="Times New Roman"/>
          <w:b w:val="0"/>
          <w:bCs w:val="0"/>
          <w:sz w:val="22"/>
          <w:szCs w:val="21"/>
          <w14:ligatures w14:val="standardContextual"/>
        </w:rPr>
        <w:t>DR001上行4.83</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至1.36%，DR007上行2.03</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至1.46%，R001上行3.70</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至1.40％，R007上行0.85</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至1.47％，GC001下行3.40</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至1.35%，GC007上行0.70</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至1.46%。</w:t>
      </w:r>
    </w:p>
    <w:p w14:paraId="0FAB3604">
      <w:pPr>
        <w:keepNext w:val="0"/>
        <w:keepLines w:val="0"/>
        <w:pageBreakBefore w:val="0"/>
        <w:widowControl w:val="0"/>
        <w:kinsoku/>
        <w:wordWrap/>
        <w:overflowPunct/>
        <w:topLinePunct w:val="0"/>
        <w:autoSpaceDE/>
        <w:autoSpaceDN/>
        <w:bidi w:val="0"/>
        <w:adjustRightInd/>
        <w:snapToGrid/>
        <w:spacing w:line="288" w:lineRule="auto"/>
        <w:ind w:firstLine="440" w:firstLineChars="200"/>
        <w:jc w:val="left"/>
        <w:textAlignment w:val="auto"/>
        <w:rPr>
          <w:rFonts w:hint="eastAsia" w:ascii="思源黑体 CN Light" w:hAnsi="思源黑体 CN Light" w:eastAsia="思源黑体 CN Light" w:cs="Times New Roman"/>
          <w:b/>
          <w:bCs/>
          <w:sz w:val="22"/>
          <w:szCs w:val="21"/>
          <w14:ligatures w14:val="standardContextual"/>
        </w:rPr>
      </w:pPr>
      <w:r>
        <w:rPr>
          <w:rFonts w:hint="eastAsia" w:ascii="思源黑体 CN Light" w:hAnsi="思源黑体 CN Light" w:eastAsia="思源黑体 CN Light" w:cs="Times New Roman"/>
          <w:b/>
          <w:bCs/>
          <w:sz w:val="22"/>
          <w:szCs w:val="21"/>
          <w14:ligatures w14:val="standardContextual"/>
        </w:rPr>
        <w:t>本周债市整体走弱。</w:t>
      </w:r>
      <w:r>
        <w:rPr>
          <w:rFonts w:hint="eastAsia" w:ascii="思源黑体 CN Light" w:hAnsi="思源黑体 CN Light" w:eastAsia="思源黑体 CN Light" w:cs="Times New Roman"/>
          <w:b w:val="0"/>
          <w:bCs w:val="0"/>
          <w:sz w:val="22"/>
          <w:szCs w:val="21"/>
          <w14:ligatures w14:val="standardContextual"/>
        </w:rPr>
        <w:t>1Y、5Y、10Y、30Y国债收益率分别较前一周变化0.41</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、0.18</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、4.10</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、7.15</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至1.4000</w:t>
      </w:r>
      <w:r>
        <w:rPr>
          <w:rFonts w:hint="eastAsia" w:ascii="思源黑体 CN Light" w:hAnsi="思源黑体 CN Light" w:eastAsia="思源黑体 CN Light" w:cs="Times New Roman"/>
          <w:b w:val="0"/>
          <w:bCs w:val="0"/>
          <w:sz w:val="22"/>
          <w:szCs w:val="21"/>
          <w:lang w:val="en-US" w:eastAsia="zh-CN"/>
          <w14:ligatures w14:val="standardContextual"/>
        </w:rPr>
        <w:t>%</w:t>
      </w:r>
      <w:r>
        <w:rPr>
          <w:rFonts w:hint="eastAsia" w:ascii="思源黑体 CN Light" w:hAnsi="思源黑体 CN Light" w:eastAsia="思源黑体 CN Light" w:cs="Times New Roman"/>
          <w:b w:val="0"/>
          <w:bCs w:val="0"/>
          <w:sz w:val="22"/>
          <w:szCs w:val="21"/>
          <w14:ligatures w14:val="standardContextual"/>
        </w:rPr>
        <w:t>、1.6139</w:t>
      </w:r>
      <w:r>
        <w:rPr>
          <w:rFonts w:hint="eastAsia" w:ascii="思源黑体 CN Light" w:hAnsi="思源黑体 CN Light" w:eastAsia="思源黑体 CN Light" w:cs="Times New Roman"/>
          <w:b w:val="0"/>
          <w:bCs w:val="0"/>
          <w:sz w:val="22"/>
          <w:szCs w:val="21"/>
          <w:lang w:val="en-US" w:eastAsia="zh-CN"/>
          <w14:ligatures w14:val="standardContextual"/>
        </w:rPr>
        <w:t>%</w:t>
      </w:r>
      <w:r>
        <w:rPr>
          <w:rFonts w:hint="eastAsia" w:ascii="思源黑体 CN Light" w:hAnsi="思源黑体 CN Light" w:eastAsia="思源黑体 CN Light" w:cs="Times New Roman"/>
          <w:b w:val="0"/>
          <w:bCs w:val="0"/>
          <w:sz w:val="22"/>
          <w:szCs w:val="21"/>
          <w14:ligatures w14:val="standardContextual"/>
        </w:rPr>
        <w:t>、1.8670</w:t>
      </w:r>
      <w:r>
        <w:rPr>
          <w:rFonts w:hint="eastAsia" w:ascii="思源黑体 CN Light" w:hAnsi="思源黑体 CN Light" w:eastAsia="思源黑体 CN Light" w:cs="Times New Roman"/>
          <w:b w:val="0"/>
          <w:bCs w:val="0"/>
          <w:sz w:val="22"/>
          <w:szCs w:val="21"/>
          <w:lang w:val="en-US" w:eastAsia="zh-CN"/>
          <w14:ligatures w14:val="standardContextual"/>
        </w:rPr>
        <w:t>%</w:t>
      </w:r>
      <w:r>
        <w:rPr>
          <w:rFonts w:hint="eastAsia" w:ascii="思源黑体 CN Light" w:hAnsi="思源黑体 CN Light" w:eastAsia="思源黑体 CN Light" w:cs="Times New Roman"/>
          <w:b w:val="0"/>
          <w:bCs w:val="0"/>
          <w:sz w:val="22"/>
          <w:szCs w:val="21"/>
          <w14:ligatures w14:val="standardContextual"/>
        </w:rPr>
        <w:t>、2.1840</w:t>
      </w:r>
      <w:r>
        <w:rPr>
          <w:rFonts w:hint="eastAsia" w:ascii="思源黑体 CN Light" w:hAnsi="思源黑体 CN Light" w:eastAsia="思源黑体 CN Light" w:cs="Times New Roman"/>
          <w:b w:val="0"/>
          <w:bCs w:val="0"/>
          <w:sz w:val="22"/>
          <w:szCs w:val="21"/>
          <w:lang w:val="en-US" w:eastAsia="zh-CN"/>
          <w14:ligatures w14:val="standardContextual"/>
        </w:rPr>
        <w:t>%</w:t>
      </w:r>
      <w:r>
        <w:rPr>
          <w:rFonts w:hint="eastAsia" w:ascii="思源黑体 CN Light" w:hAnsi="思源黑体 CN Light" w:eastAsia="思源黑体 CN Light" w:cs="Times New Roman"/>
          <w:b w:val="0"/>
          <w:bCs w:val="0"/>
          <w:sz w:val="22"/>
          <w:szCs w:val="21"/>
          <w14:ligatures w14:val="standardContextual"/>
        </w:rPr>
        <w:t xml:space="preserve">。                                   </w:t>
      </w:r>
      <w:r>
        <w:rPr>
          <w:rFonts w:hint="eastAsia" w:ascii="思源黑体 CN Light" w:hAnsi="思源黑体 CN Light" w:eastAsia="思源黑体 CN Light" w:cs="Times New Roman"/>
          <w:b/>
          <w:bCs/>
          <w:sz w:val="22"/>
          <w:szCs w:val="21"/>
          <w14:ligatures w14:val="standardContextual"/>
        </w:rPr>
        <w:t xml:space="preserve">                                                                                                                                      </w:t>
      </w:r>
    </w:p>
    <w:p w14:paraId="3691E857">
      <w:pPr>
        <w:spacing w:line="288" w:lineRule="auto"/>
        <w:jc w:val="left"/>
        <w:rPr>
          <w:rFonts w:hint="default" w:ascii="思源黑体 CN Light" w:hAnsi="思源黑体 CN Light" w:eastAsia="思源黑体 CN Light" w:cs="Times New Roman"/>
          <w:sz w:val="16"/>
          <w:szCs w:val="16"/>
          <w:lang w:val="en-US" w:eastAsia="zh-CN"/>
        </w:rPr>
      </w:pPr>
      <w:r>
        <w:rPr>
          <w:rFonts w:hint="eastAsia" w:ascii="思源黑体 CN Light" w:hAnsi="思源黑体 CN Light" w:eastAsia="思源黑体 CN Light" w:cs="Times New Roman"/>
          <w:b/>
          <w:color w:val="000000"/>
          <w:kern w:val="0"/>
          <w:sz w:val="20"/>
          <w:szCs w:val="20"/>
        </w:rPr>
        <w:t>图二：资金面变化</w:t>
      </w:r>
      <w:r>
        <w:drawing>
          <wp:inline distT="0" distB="0" distL="114300" distR="114300">
            <wp:extent cx="5274310" cy="3070860"/>
            <wp:effectExtent l="0" t="0" r="13970"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5274310" cy="3070860"/>
                    </a:xfrm>
                    <a:prstGeom prst="rect">
                      <a:avLst/>
                    </a:prstGeom>
                    <a:noFill/>
                    <a:ln>
                      <a:noFill/>
                    </a:ln>
                  </pic:spPr>
                </pic:pic>
              </a:graphicData>
            </a:graphic>
          </wp:inline>
        </w:drawing>
      </w:r>
      <w:r>
        <w:rPr>
          <w:rFonts w:hint="eastAsia" w:ascii="思源黑体 CN Light" w:hAnsi="思源黑体 CN Light" w:eastAsia="思源黑体 CN Light" w:cs="Times New Roman"/>
          <w:sz w:val="16"/>
          <w:szCs w:val="16"/>
        </w:rPr>
        <w:t>数据来源：wind，富荣基金；统计区间：20250</w:t>
      </w:r>
      <w:r>
        <w:rPr>
          <w:rFonts w:hint="eastAsia" w:ascii="思源黑体 CN Light" w:hAnsi="思源黑体 CN Light" w:eastAsia="思源黑体 CN Light" w:cs="Times New Roman"/>
          <w:sz w:val="16"/>
          <w:szCs w:val="16"/>
          <w:lang w:val="en-US" w:eastAsia="zh-CN"/>
        </w:rPr>
        <w:t>908</w:t>
      </w:r>
      <w:r>
        <w:rPr>
          <w:rFonts w:hint="eastAsia" w:ascii="思源黑体 CN Light" w:hAnsi="思源黑体 CN Light" w:eastAsia="思源黑体 CN Light" w:cs="Times New Roman"/>
          <w:sz w:val="16"/>
          <w:szCs w:val="16"/>
        </w:rPr>
        <w:t>-20250</w:t>
      </w:r>
      <w:r>
        <w:rPr>
          <w:rFonts w:hint="eastAsia" w:ascii="思源黑体 CN Light" w:hAnsi="思源黑体 CN Light" w:eastAsia="思源黑体 CN Light" w:cs="Times New Roman"/>
          <w:sz w:val="16"/>
          <w:szCs w:val="16"/>
          <w:lang w:val="en-US" w:eastAsia="zh-CN"/>
        </w:rPr>
        <w:t>912</w:t>
      </w:r>
    </w:p>
    <w:p w14:paraId="58974DBB">
      <w:pPr>
        <w:spacing w:line="288" w:lineRule="auto"/>
        <w:jc w:val="left"/>
        <w:rPr>
          <w:rFonts w:hint="default" w:ascii="思源黑体 CN Light" w:hAnsi="思源黑体 CN Light" w:eastAsia="思源黑体 CN Light" w:cs="Times New Roman"/>
          <w:sz w:val="16"/>
          <w:szCs w:val="16"/>
          <w:lang w:val="en-US" w:eastAsia="zh-CN"/>
        </w:rPr>
      </w:pPr>
      <w:r>
        <w:rPr>
          <w:rFonts w:hint="eastAsia" w:ascii="思源黑体 CN Light" w:hAnsi="思源黑体 CN Light" w:eastAsia="思源黑体 CN Light" w:cs="Times New Roman"/>
          <w:b/>
          <w:color w:val="000000"/>
          <w:kern w:val="0"/>
          <w:sz w:val="20"/>
          <w:szCs w:val="20"/>
        </w:rPr>
        <w:t>图三：国债周度变化</w:t>
      </w:r>
      <w:r>
        <w:drawing>
          <wp:inline distT="0" distB="0" distL="114300" distR="114300">
            <wp:extent cx="5279390" cy="2578735"/>
            <wp:effectExtent l="0" t="0" r="8890" b="1206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5279390" cy="2578735"/>
                    </a:xfrm>
                    <a:prstGeom prst="rect">
                      <a:avLst/>
                    </a:prstGeom>
                    <a:noFill/>
                    <a:ln>
                      <a:noFill/>
                    </a:ln>
                  </pic:spPr>
                </pic:pic>
              </a:graphicData>
            </a:graphic>
          </wp:inline>
        </w:drawing>
      </w:r>
      <w:r>
        <w:rPr>
          <w:rFonts w:hint="eastAsia" w:ascii="思源黑体 CN Light" w:hAnsi="思源黑体 CN Light" w:eastAsia="思源黑体 CN Light" w:cs="Times New Roman"/>
          <w:sz w:val="16"/>
          <w:szCs w:val="16"/>
        </w:rPr>
        <w:t>数据来源：wind，富荣基金；统计区间：20250</w:t>
      </w:r>
      <w:r>
        <w:rPr>
          <w:rFonts w:hint="eastAsia" w:ascii="思源黑体 CN Light" w:hAnsi="思源黑体 CN Light" w:eastAsia="思源黑体 CN Light" w:cs="Times New Roman"/>
          <w:sz w:val="16"/>
          <w:szCs w:val="16"/>
          <w:lang w:val="en-US" w:eastAsia="zh-CN"/>
        </w:rPr>
        <w:t>908</w:t>
      </w:r>
      <w:r>
        <w:rPr>
          <w:rFonts w:hint="eastAsia" w:ascii="思源黑体 CN Light" w:hAnsi="思源黑体 CN Light" w:eastAsia="思源黑体 CN Light" w:cs="Times New Roman"/>
          <w:sz w:val="16"/>
          <w:szCs w:val="16"/>
        </w:rPr>
        <w:t>-20250</w:t>
      </w:r>
      <w:r>
        <w:rPr>
          <w:rFonts w:hint="eastAsia" w:ascii="思源黑体 CN Light" w:hAnsi="思源黑体 CN Light" w:eastAsia="思源黑体 CN Light" w:cs="Times New Roman"/>
          <w:sz w:val="16"/>
          <w:szCs w:val="16"/>
          <w:lang w:val="en-US" w:eastAsia="zh-CN"/>
        </w:rPr>
        <w:t>912</w:t>
      </w:r>
    </w:p>
    <w:p w14:paraId="06D6D51F">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eastAsia" w:ascii="思源黑体 CN Light" w:hAnsi="思源黑体 CN Light" w:eastAsia="思源黑体 CN Light" w:cs="Times New Roman"/>
          <w:sz w:val="22"/>
          <w:szCs w:val="21"/>
          <w14:ligatures w14:val="standardContextual"/>
        </w:rPr>
      </w:pPr>
      <w:r>
        <w:rPr>
          <w:rFonts w:hint="eastAsia" w:ascii="思源黑体 CN Light" w:hAnsi="思源黑体 CN Light" w:eastAsia="思源黑体 CN Light" w:cs="Times New Roman"/>
          <w:sz w:val="22"/>
          <w:szCs w:val="21"/>
          <w14:ligatures w14:val="standardContextual"/>
        </w:rPr>
        <w:t>央行OMO小幅净投放1961亿元，资金面整体均衡，DR001、DR007加权价格上行至1.3646%、1.4575%，1y国股行存单发行价在1.67%附近，1</w:t>
      </w:r>
      <w:r>
        <w:rPr>
          <w:rFonts w:hint="eastAsia" w:ascii="思源黑体 CN Light" w:hAnsi="思源黑体 CN Light" w:eastAsia="思源黑体 CN Light" w:cs="Times New Roman"/>
          <w:sz w:val="22"/>
          <w:szCs w:val="21"/>
          <w:lang w:val="en-US" w:eastAsia="zh-CN"/>
          <w14:ligatures w14:val="standardContextual"/>
        </w:rPr>
        <w:t>Y</w:t>
      </w:r>
      <w:r>
        <w:rPr>
          <w:rFonts w:hint="eastAsia" w:ascii="思源黑体 CN Light" w:hAnsi="思源黑体 CN Light" w:eastAsia="思源黑体 CN Light" w:cs="Times New Roman"/>
          <w:sz w:val="22"/>
          <w:szCs w:val="21"/>
          <w14:ligatures w14:val="standardContextual"/>
        </w:rPr>
        <w:t>国债活跃券收</w:t>
      </w:r>
      <w:bookmarkStart w:id="2" w:name="_GoBack"/>
      <w:bookmarkEnd w:id="2"/>
      <w:r>
        <w:rPr>
          <w:rFonts w:hint="eastAsia" w:ascii="思源黑体 CN Light" w:hAnsi="思源黑体 CN Light" w:eastAsia="思源黑体 CN Light" w:cs="Times New Roman"/>
          <w:sz w:val="22"/>
          <w:szCs w:val="21"/>
          <w14:ligatures w14:val="standardContextual"/>
        </w:rPr>
        <w:t>益率上行1BP至1.4%附近。</w:t>
      </w:r>
    </w:p>
    <w:p w14:paraId="5F0E64A2">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eastAsia" w:ascii="思源黑体 CN Light" w:hAnsi="思源黑体 CN Light" w:eastAsia="思源黑体 CN Light" w:cs="Times New Roman"/>
          <w:sz w:val="22"/>
          <w:szCs w:val="21"/>
          <w14:ligatures w14:val="standardContextual"/>
        </w:rPr>
      </w:pPr>
      <w:r>
        <w:rPr>
          <w:rFonts w:hint="eastAsia" w:ascii="思源黑体 CN Light" w:hAnsi="思源黑体 CN Light" w:eastAsia="思源黑体 CN Light" w:cs="Times New Roman"/>
          <w:sz w:val="22"/>
          <w:szCs w:val="21"/>
          <w14:ligatures w14:val="standardContextual"/>
        </w:rPr>
        <w:t>受《公开募集证券投资基金销售费用管理规定（征求意见稿）》影响</w:t>
      </w:r>
      <w:r>
        <w:rPr>
          <w:rFonts w:hint="eastAsia" w:ascii="思源黑体 CN Light" w:hAnsi="思源黑体 CN Light" w:eastAsia="思源黑体 CN Light" w:cs="Times New Roman"/>
          <w:sz w:val="22"/>
          <w:szCs w:val="21"/>
          <w:lang w:eastAsia="zh-CN"/>
          <w14:ligatures w14:val="standardContextual"/>
        </w:rPr>
        <w:t>，</w:t>
      </w:r>
      <w:r>
        <w:rPr>
          <w:rFonts w:hint="eastAsia" w:ascii="思源黑体 CN Light" w:hAnsi="思源黑体 CN Light" w:eastAsia="思源黑体 CN Light" w:cs="Times New Roman"/>
          <w:sz w:val="22"/>
          <w:szCs w:val="21"/>
          <w14:ligatures w14:val="standardContextual"/>
        </w:rPr>
        <w:t>信用债收益率重新全线上行。利差方面，银行二级资本债、券商次级债流动性较好，利差走阔，其余品种上行幅度多数不及利率债。</w:t>
      </w:r>
    </w:p>
    <w:p w14:paraId="5DB6374F">
      <w:pPr>
        <w:spacing w:line="288" w:lineRule="auto"/>
        <w:rPr>
          <w:rFonts w:hint="eastAsia" w:ascii="思源黑体 CN Light" w:hAnsi="思源黑体 CN Light" w:eastAsia="思源黑体 CN Light" w:cs="Times New Roman"/>
          <w:b/>
          <w:color w:val="000000"/>
          <w:kern w:val="0"/>
          <w:sz w:val="20"/>
          <w:szCs w:val="20"/>
        </w:rPr>
      </w:pPr>
      <w:r>
        <w:rPr>
          <w:rFonts w:hint="eastAsia" w:ascii="思源黑体 CN Light" w:hAnsi="思源黑体 CN Light" w:eastAsia="思源黑体 CN Light" w:cs="Times New Roman"/>
          <w:b/>
          <w:color w:val="000000"/>
          <w:kern w:val="0"/>
          <w:sz w:val="20"/>
          <w:szCs w:val="20"/>
        </w:rPr>
        <w:t>图四：信用债收益率变化</w:t>
      </w:r>
    </w:p>
    <w:p w14:paraId="797598A1">
      <w:pPr>
        <w:spacing w:line="288" w:lineRule="auto"/>
        <w:rPr>
          <w:rFonts w:hint="default" w:ascii="思源黑体 CN Light" w:hAnsi="思源黑体 CN Light" w:eastAsia="思源黑体 CN Light" w:cs="Times New Roman"/>
          <w:sz w:val="16"/>
          <w:szCs w:val="16"/>
          <w:lang w:val="en-US" w:eastAsia="zh-CN"/>
        </w:rPr>
      </w:pPr>
      <w:r>
        <w:drawing>
          <wp:inline distT="0" distB="0" distL="114300" distR="114300">
            <wp:extent cx="5270500" cy="2517140"/>
            <wp:effectExtent l="0" t="0" r="2540" b="1270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5270500" cy="2517140"/>
                    </a:xfrm>
                    <a:prstGeom prst="rect">
                      <a:avLst/>
                    </a:prstGeom>
                    <a:noFill/>
                    <a:ln>
                      <a:noFill/>
                    </a:ln>
                  </pic:spPr>
                </pic:pic>
              </a:graphicData>
            </a:graphic>
          </wp:inline>
        </w:drawing>
      </w:r>
      <w:r>
        <w:rPr>
          <w:rFonts w:hint="eastAsia" w:ascii="思源黑体 CN Light" w:hAnsi="思源黑体 CN Light" w:eastAsia="思源黑体 CN Light" w:cs="Times New Roman"/>
          <w:sz w:val="16"/>
          <w:szCs w:val="16"/>
        </w:rPr>
        <w:t>数据来源：wind，富荣基金；统计区间：20250</w:t>
      </w:r>
      <w:r>
        <w:rPr>
          <w:rFonts w:hint="eastAsia" w:ascii="思源黑体 CN Light" w:hAnsi="思源黑体 CN Light" w:eastAsia="思源黑体 CN Light" w:cs="Times New Roman"/>
          <w:sz w:val="16"/>
          <w:szCs w:val="16"/>
          <w:lang w:val="en-US" w:eastAsia="zh-CN"/>
        </w:rPr>
        <w:t>908</w:t>
      </w:r>
      <w:r>
        <w:rPr>
          <w:rFonts w:hint="eastAsia" w:ascii="思源黑体 CN Light" w:hAnsi="思源黑体 CN Light" w:eastAsia="思源黑体 CN Light" w:cs="Times New Roman"/>
          <w:sz w:val="16"/>
          <w:szCs w:val="16"/>
        </w:rPr>
        <w:t>-20250</w:t>
      </w:r>
      <w:r>
        <w:rPr>
          <w:rFonts w:hint="eastAsia" w:ascii="思源黑体 CN Light" w:hAnsi="思源黑体 CN Light" w:eastAsia="思源黑体 CN Light" w:cs="Times New Roman"/>
          <w:sz w:val="16"/>
          <w:szCs w:val="16"/>
          <w:lang w:val="en-US" w:eastAsia="zh-CN"/>
        </w:rPr>
        <w:t>912</w:t>
      </w:r>
    </w:p>
    <w:p w14:paraId="027D0CAE">
      <w:pPr>
        <w:spacing w:line="288" w:lineRule="auto"/>
        <w:jc w:val="left"/>
        <w:rPr>
          <w:rFonts w:hint="eastAsia" w:ascii="思源黑体 CN Light" w:hAnsi="思源黑体 CN Light" w:eastAsia="思源黑体 CN Light" w:cs="Times New Roman"/>
          <w:b/>
          <w:color w:val="000000"/>
          <w:kern w:val="0"/>
          <w:sz w:val="20"/>
          <w:szCs w:val="20"/>
        </w:rPr>
      </w:pPr>
      <w:r>
        <w:rPr>
          <w:rFonts w:hint="eastAsia" w:ascii="思源黑体 CN Light" w:hAnsi="思源黑体 CN Light" w:eastAsia="思源黑体 CN Light" w:cs="Times New Roman"/>
          <w:b/>
          <w:color w:val="000000"/>
          <w:kern w:val="0"/>
          <w:sz w:val="20"/>
          <w:szCs w:val="20"/>
        </w:rPr>
        <w:t>图五：信用利差变化</w:t>
      </w:r>
    </w:p>
    <w:p w14:paraId="3E769A8C">
      <w:pPr>
        <w:spacing w:line="288" w:lineRule="auto"/>
        <w:jc w:val="left"/>
        <w:rPr>
          <w:rFonts w:hint="default" w:ascii="思源黑体 CN Light" w:hAnsi="思源黑体 CN Light" w:eastAsia="思源黑体 CN Light" w:cs="Times New Roman"/>
          <w:sz w:val="16"/>
          <w:szCs w:val="16"/>
          <w:lang w:val="en-US" w:eastAsia="zh-CN"/>
        </w:rPr>
      </w:pPr>
      <w:r>
        <w:drawing>
          <wp:inline distT="0" distB="0" distL="114300" distR="114300">
            <wp:extent cx="5273675" cy="2176145"/>
            <wp:effectExtent l="0" t="0" r="14605" b="317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5273675" cy="2176145"/>
                    </a:xfrm>
                    <a:prstGeom prst="rect">
                      <a:avLst/>
                    </a:prstGeom>
                    <a:noFill/>
                    <a:ln>
                      <a:noFill/>
                    </a:ln>
                  </pic:spPr>
                </pic:pic>
              </a:graphicData>
            </a:graphic>
          </wp:inline>
        </w:drawing>
      </w:r>
      <w:r>
        <w:rPr>
          <w:rFonts w:hint="eastAsia" w:ascii="思源黑体 CN Light" w:hAnsi="思源黑体 CN Light" w:eastAsia="思源黑体 CN Light" w:cs="Times New Roman"/>
          <w:sz w:val="16"/>
          <w:szCs w:val="16"/>
        </w:rPr>
        <w:t>数据来源：wind，富荣基金；统计区间：20250</w:t>
      </w:r>
      <w:r>
        <w:rPr>
          <w:rFonts w:hint="eastAsia" w:ascii="思源黑体 CN Light" w:hAnsi="思源黑体 CN Light" w:eastAsia="思源黑体 CN Light" w:cs="Times New Roman"/>
          <w:sz w:val="16"/>
          <w:szCs w:val="16"/>
          <w:lang w:val="en-US" w:eastAsia="zh-CN"/>
        </w:rPr>
        <w:t>908</w:t>
      </w:r>
      <w:r>
        <w:rPr>
          <w:rFonts w:hint="eastAsia" w:ascii="思源黑体 CN Light" w:hAnsi="思源黑体 CN Light" w:eastAsia="思源黑体 CN Light" w:cs="Times New Roman"/>
          <w:sz w:val="16"/>
          <w:szCs w:val="16"/>
        </w:rPr>
        <w:t>-20250</w:t>
      </w:r>
      <w:r>
        <w:rPr>
          <w:rFonts w:hint="eastAsia" w:ascii="思源黑体 CN Light" w:hAnsi="思源黑体 CN Light" w:eastAsia="思源黑体 CN Light" w:cs="Times New Roman"/>
          <w:sz w:val="16"/>
          <w:szCs w:val="16"/>
          <w:lang w:val="en-US" w:eastAsia="zh-CN"/>
        </w:rPr>
        <w:t>912</w:t>
      </w:r>
    </w:p>
    <w:p w14:paraId="4711E0F2">
      <w:pPr>
        <w:ind w:firstLine="0" w:firstLineChars="0"/>
        <w:rPr>
          <w:rFonts w:ascii="思源黑体 CN Light" w:hAnsi="思源黑体 CN Light" w:eastAsia="思源黑体 CN Light"/>
          <w:sz w:val="20"/>
          <w:szCs w:val="20"/>
        </w:rPr>
      </w:pPr>
    </w:p>
    <w:p w14:paraId="63658DFA">
      <w:pPr>
        <w:rPr>
          <w:rFonts w:ascii="思源黑体 CN Light" w:hAnsi="思源黑体 CN Light" w:eastAsia="思源黑体 CN Light" w:cs="Times New Roman"/>
          <w:sz w:val="18"/>
          <w:szCs w:val="18"/>
        </w:rPr>
      </w:pPr>
      <w:r>
        <w:rPr>
          <w:rFonts w:hint="eastAsia" w:ascii="思源黑体 CN Light" w:hAnsi="思源黑体 CN Light" w:eastAsia="思源黑体 CN Light"/>
          <w:sz w:val="18"/>
          <w:szCs w:val="18"/>
        </w:rPr>
        <w:t>风险提示：</w:t>
      </w:r>
    </w:p>
    <w:p w14:paraId="43B56871">
      <w:r>
        <w:rPr>
          <w:rFonts w:ascii="思源黑体 CN Light" w:hAnsi="思源黑体 CN Light" w:eastAsia="思源黑体 CN Light"/>
          <w:sz w:val="18"/>
          <w:szCs w:val="18"/>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作出调整。2、本材料中的资料、观点和预测等仅供参考，在任何时候均不构成对任何人的个人推荐。市场有风险，投资需谨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CN Bold">
    <w:panose1 w:val="020B0800000000000000"/>
    <w:charset w:val="86"/>
    <w:family w:val="swiss"/>
    <w:pitch w:val="default"/>
    <w:sig w:usb0="20000003" w:usb1="2ADF3C10" w:usb2="00000016" w:usb3="00000000" w:csb0="60060107" w:csb1="00000000"/>
  </w:font>
  <w:font w:name="思源黑体 CN Light">
    <w:panose1 w:val="020B0300000000000000"/>
    <w:charset w:val="86"/>
    <w:family w:val="swiss"/>
    <w:pitch w:val="default"/>
    <w:sig w:usb0="2000000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A496F"/>
    <w:rsid w:val="0D5319E8"/>
    <w:rsid w:val="0E9953A0"/>
    <w:rsid w:val="20F4758C"/>
    <w:rsid w:val="21BA496F"/>
    <w:rsid w:val="55B5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480" w:after="80" w:line="278" w:lineRule="auto"/>
      <w:jc w:val="left"/>
      <w:outlineLvl w:val="0"/>
    </w:pPr>
    <w:rPr>
      <w:rFonts w:asciiTheme="majorHAnsi" w:hAnsiTheme="majorHAnsi" w:eastAsiaTheme="majorEastAsia" w:cstheme="majorBidi"/>
      <w:color w:val="2E54A1" w:themeColor="accent1" w:themeShade="BF"/>
      <w:sz w:val="48"/>
      <w:szCs w:val="48"/>
      <w14:ligatures w14:val="standardContextua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1206</Words>
  <Characters>1511</Characters>
  <Lines>0</Lines>
  <Paragraphs>0</Paragraphs>
  <TotalTime>32</TotalTime>
  <ScaleCrop>false</ScaleCrop>
  <LinksUpToDate>false</LinksUpToDate>
  <CharactersWithSpaces>1680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2025-09-15T05:08:00Z</dcterms:created>
  <dc:creator>叶蕊</dc:creator>
  <cp:lastModifiedBy>叶蕊</cp:lastModifiedBy>
  <dcterms:modified xsi:type="dcterms:W3CDTF">2025-09-15T08:42:10Z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168E58E2BE9D461D9942ED5D11B09C13_13</vt:lpwstr>
  </property>
  <property fmtid="{D5CDD505-2E9C-101B-9397-08002B2CF9AE}" pid="4" name="KSOTemplateDocerSaveRecord">
    <vt:lpwstr>eyJoZGlkIjoiM2Q0ZDE4MjZiMjI0N2FiMDcxYTI0ZDBlYWViZjQ5YTQiLCJ1c2VySWQiOiI4MzYyNzM1OTMifQ==</vt:lpwstr>
  </property>
</Properties>
</file>