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1C455">
      <w:pPr>
        <w:pStyle w:val="2"/>
        <w:tabs>
          <w:tab w:val="left" w:pos="4364"/>
          <w:tab w:val="right" w:pos="10204"/>
        </w:tabs>
        <w:jc w:val="center"/>
        <w:rPr>
          <w:rFonts w:hint="eastAsia" w:ascii="思源黑体 CN Bold" w:hAnsi="思源黑体 CN Bold" w:eastAsia="思源黑体 CN Bold" w:cs="Times New Roman"/>
          <w:b/>
          <w:color w:val="FA842D"/>
          <w:kern w:val="0"/>
          <w:sz w:val="24"/>
          <w:szCs w:val="18"/>
        </w:rPr>
      </w:pPr>
      <w:bookmarkStart w:id="0" w:name="_Hlk182226954"/>
      <w:r>
        <w:rPr>
          <w:rFonts w:hint="eastAsia" w:ascii="思源黑体 CN Bold" w:hAnsi="思源黑体 CN Bold" w:eastAsia="思源黑体 CN Bold" w:cs="Times New Roman"/>
          <w:b/>
          <w:color w:val="FA842D"/>
          <w:kern w:val="0"/>
          <w:sz w:val="24"/>
          <w:szCs w:val="18"/>
        </w:rPr>
        <w:t>富荣权益：保持乐观，把握产业主线投资机会</w:t>
      </w:r>
    </w:p>
    <w:p w14:paraId="63C5DF52">
      <w:pPr>
        <w:pStyle w:val="2"/>
        <w:tabs>
          <w:tab w:val="left" w:pos="4364"/>
          <w:tab w:val="right" w:pos="10204"/>
        </w:tabs>
        <w:rPr>
          <w:rFonts w:hint="eastAsia"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一</w:t>
      </w:r>
      <w:r>
        <w:rPr>
          <w:rFonts w:ascii="思源黑体 CN Light" w:hAnsi="思源黑体 CN Light" w:eastAsia="思源黑体 CN Light" w:cs="Times New Roman"/>
          <w:b/>
          <w:bCs/>
          <w:sz w:val="22"/>
          <w:szCs w:val="24"/>
        </w:rPr>
        <w:t>、</w:t>
      </w:r>
      <w:r>
        <w:rPr>
          <w:rFonts w:hint="eastAsia" w:ascii="思源黑体 CN Light" w:hAnsi="思源黑体 CN Light" w:eastAsia="思源黑体 CN Light" w:cs="Times New Roman"/>
          <w:b/>
          <w:bCs/>
          <w:sz w:val="22"/>
          <w:szCs w:val="24"/>
        </w:rPr>
        <w:t>权益</w:t>
      </w:r>
      <w:r>
        <w:rPr>
          <w:rFonts w:ascii="思源黑体 CN Light" w:hAnsi="思源黑体 CN Light" w:eastAsia="思源黑体 CN Light" w:cs="Times New Roman"/>
          <w:b/>
          <w:bCs/>
          <w:sz w:val="22"/>
          <w:szCs w:val="24"/>
        </w:rPr>
        <w:t>市场</w:t>
      </w:r>
      <w:r>
        <w:rPr>
          <w:rFonts w:hint="eastAsia" w:ascii="思源黑体 CN Light" w:hAnsi="思源黑体 CN Light" w:eastAsia="思源黑体 CN Light" w:cs="Times New Roman"/>
          <w:b/>
          <w:bCs/>
          <w:sz w:val="22"/>
          <w:szCs w:val="24"/>
        </w:rPr>
        <w:t>周度表现</w:t>
      </w:r>
    </w:p>
    <w:p w14:paraId="6E207BC8">
      <w:pPr>
        <w:ind w:firstLine="420" w:firstLineChars="200"/>
        <w:jc w:val="left"/>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上周（2025年</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9</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月</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8</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日至2025年</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9</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月</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12</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日，下同）权益市场普遍反弹，</w:t>
      </w:r>
      <w:r>
        <w:rPr>
          <w:rFonts w:ascii="思源黑体 CN Light" w:hAnsi="思源黑体 CN Light" w:eastAsia="思源黑体 CN Light" w:cs="Times New Roman"/>
          <w:color w:val="000000" w:themeColor="text1"/>
          <w:sz w:val="21"/>
          <w:szCs w:val="20"/>
          <w14:textFill>
            <w14:solidFill>
              <w14:schemeClr w14:val="tx1"/>
            </w14:solidFill>
          </w14:textFill>
        </w:rPr>
        <w:t>深证成指、上证指数、创业板指分别报收</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12924.13</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3870.60</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3020.42</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各主要指数涨跌表现如下：科创50（+5.48%）、中证500（+3.38%）、创成长（+2.97%）、深证成指（+2.65%）、中证1000（+2.45%）、创业板指（+2.10%）、创业板50（+1.95%）、上证指数（+1.52%）、沪深300（+1.38%）、上证50（+0.89%）。</w:t>
      </w:r>
    </w:p>
    <w:p w14:paraId="7FB64F45">
      <w:pPr>
        <w:ind w:firstLine="420" w:firstLineChars="200"/>
        <w:jc w:val="left"/>
        <w:rPr>
          <w:rFonts w:hint="default" w:ascii="思源黑体 CN Light" w:hAnsi="思源黑体 CN Light" w:eastAsia="思源黑体 CN Light" w:cs="Times New Roman"/>
          <w:sz w:val="13"/>
          <w:szCs w:val="20"/>
          <w:lang w:val="en-US" w:eastAsia="zh-CN"/>
        </w:rPr>
      </w:pPr>
      <w:r>
        <w:rPr>
          <w:rFonts w:ascii="思源黑体 CN Light" w:hAnsi="思源黑体 CN Light" w:eastAsia="思源黑体 CN Light" w:cs="Times New Roman"/>
          <w:b/>
          <w:sz w:val="21"/>
          <w:szCs w:val="20"/>
        </w:rPr>
        <w:t>图：主要股指</w:t>
      </w:r>
      <w:r>
        <w:rPr>
          <w:rFonts w:hint="eastAsia" w:ascii="思源黑体 CN Light" w:hAnsi="思源黑体 CN Light" w:eastAsia="思源黑体 CN Light" w:cs="Times New Roman"/>
          <w:b/>
          <w:sz w:val="21"/>
          <w:szCs w:val="20"/>
        </w:rPr>
        <w:t>周度/月度</w:t>
      </w:r>
      <w:r>
        <w:rPr>
          <w:rFonts w:ascii="思源黑体 CN Light" w:hAnsi="思源黑体 CN Light" w:eastAsia="思源黑体 CN Light" w:cs="Times New Roman"/>
          <w:b/>
          <w:sz w:val="21"/>
          <w:szCs w:val="20"/>
        </w:rPr>
        <w:t>涨跌幅（单位：%）</w:t>
      </w:r>
      <w:r>
        <w:drawing>
          <wp:inline distT="0" distB="0" distL="114300" distR="114300">
            <wp:extent cx="6431280" cy="32918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6431280" cy="3291840"/>
                    </a:xfrm>
                    <a:prstGeom prst="rect">
                      <a:avLst/>
                    </a:prstGeom>
                    <a:noFill/>
                    <a:ln>
                      <a:noFill/>
                    </a:ln>
                  </pic:spPr>
                </pic:pic>
              </a:graphicData>
            </a:graphic>
          </wp:inline>
        </w:drawing>
      </w: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；周涨跌幅统计区间：20250</w:t>
      </w:r>
      <w:r>
        <w:rPr>
          <w:rFonts w:hint="eastAsia" w:ascii="思源黑体 CN Light" w:hAnsi="思源黑体 CN Light" w:eastAsia="思源黑体 CN Light" w:cs="Times New Roman"/>
          <w:sz w:val="13"/>
          <w:szCs w:val="20"/>
          <w:lang w:val="en-US" w:eastAsia="zh-CN"/>
        </w:rPr>
        <w:t>908</w:t>
      </w:r>
      <w:r>
        <w:rPr>
          <w:rFonts w:hint="eastAsia" w:ascii="思源黑体 CN Light" w:hAnsi="思源黑体 CN Light" w:eastAsia="思源黑体 CN Light" w:cs="Times New Roman"/>
          <w:sz w:val="13"/>
          <w:szCs w:val="20"/>
        </w:rPr>
        <w:t>-20250</w:t>
      </w:r>
      <w:r>
        <w:rPr>
          <w:rFonts w:hint="eastAsia" w:ascii="思源黑体 CN Light" w:hAnsi="思源黑体 CN Light" w:eastAsia="思源黑体 CN Light" w:cs="Times New Roman"/>
          <w:sz w:val="13"/>
          <w:szCs w:val="20"/>
          <w:lang w:val="en-US" w:eastAsia="zh-CN"/>
        </w:rPr>
        <w:t>912</w:t>
      </w:r>
      <w:r>
        <w:rPr>
          <w:rFonts w:hint="eastAsia" w:ascii="思源黑体 CN Light" w:hAnsi="思源黑体 CN Light" w:eastAsia="思源黑体 CN Light" w:cs="Times New Roman"/>
          <w:sz w:val="13"/>
          <w:szCs w:val="20"/>
        </w:rPr>
        <w:t>；月涨跌幅统计区间：20250</w:t>
      </w:r>
      <w:r>
        <w:rPr>
          <w:rFonts w:hint="eastAsia" w:ascii="思源黑体 CN Light" w:hAnsi="思源黑体 CN Light" w:eastAsia="思源黑体 CN Light" w:cs="Times New Roman"/>
          <w:sz w:val="13"/>
          <w:szCs w:val="20"/>
          <w:lang w:val="en-US" w:eastAsia="zh-CN"/>
        </w:rPr>
        <w:t>9</w:t>
      </w:r>
      <w:r>
        <w:rPr>
          <w:rFonts w:hint="eastAsia" w:ascii="思源黑体 CN Light" w:hAnsi="思源黑体 CN Light" w:eastAsia="思源黑体 CN Light" w:cs="Times New Roman"/>
          <w:sz w:val="13"/>
          <w:szCs w:val="20"/>
        </w:rPr>
        <w:t>01-20250</w:t>
      </w:r>
      <w:r>
        <w:rPr>
          <w:rFonts w:hint="eastAsia" w:ascii="思源黑体 CN Light" w:hAnsi="思源黑体 CN Light" w:eastAsia="思源黑体 CN Light" w:cs="Times New Roman"/>
          <w:sz w:val="13"/>
          <w:szCs w:val="20"/>
          <w:lang w:val="en-US" w:eastAsia="zh-CN"/>
        </w:rPr>
        <w:t>912</w:t>
      </w:r>
    </w:p>
    <w:p w14:paraId="100C18F5">
      <w:pPr>
        <w:ind w:firstLine="420" w:firstLineChars="200"/>
        <w:jc w:val="left"/>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各行业普遍反弹，少数行业补跌。申万一级行业指数中，电子（+6.15%）、房地产（+5.98%）、农林牧渔（+4.81%）等行业逆势上涨，石油石化（-0.41%）、银行（-0.66%）、综合（-1.43%）等行业补跌。</w:t>
      </w:r>
    </w:p>
    <w:p w14:paraId="3B263177">
      <w:pPr>
        <w:ind w:firstLine="420" w:firstLineChars="200"/>
        <w:jc w:val="left"/>
        <w:rPr>
          <w:rFonts w:hint="default" w:ascii="思源黑体 CN Light" w:hAnsi="思源黑体 CN Light" w:eastAsia="思源黑体 CN Light" w:cs="Times New Roman"/>
          <w:sz w:val="13"/>
          <w:szCs w:val="20"/>
          <w:lang w:val="en-US" w:eastAsia="zh-CN"/>
        </w:rPr>
      </w:pPr>
      <w:r>
        <w:rPr>
          <w:rFonts w:ascii="思源黑体 CN Light" w:hAnsi="思源黑体 CN Light" w:eastAsia="思源黑体 CN Light" w:cs="Times New Roman"/>
          <w:b/>
          <w:sz w:val="21"/>
          <w:szCs w:val="20"/>
        </w:rPr>
        <w:t>图：申万一级行业周涨跌幅（单位：%）</w:t>
      </w:r>
      <w:r>
        <w:drawing>
          <wp:inline distT="0" distB="0" distL="114300" distR="114300">
            <wp:extent cx="6530340" cy="3291840"/>
            <wp:effectExtent l="0" t="0" r="762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6530340" cy="3291840"/>
                    </a:xfrm>
                    <a:prstGeom prst="rect">
                      <a:avLst/>
                    </a:prstGeom>
                    <a:noFill/>
                    <a:ln>
                      <a:noFill/>
                    </a:ln>
                  </pic:spPr>
                </pic:pic>
              </a:graphicData>
            </a:graphic>
          </wp:inline>
        </w:drawing>
      </w: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；统计区间：20250</w:t>
      </w:r>
      <w:r>
        <w:rPr>
          <w:rFonts w:hint="eastAsia" w:ascii="思源黑体 CN Light" w:hAnsi="思源黑体 CN Light" w:eastAsia="思源黑体 CN Light" w:cs="Times New Roman"/>
          <w:sz w:val="13"/>
          <w:szCs w:val="20"/>
          <w:lang w:val="en-US" w:eastAsia="zh-CN"/>
        </w:rPr>
        <w:t>908</w:t>
      </w:r>
      <w:r>
        <w:rPr>
          <w:rFonts w:hint="eastAsia" w:ascii="思源黑体 CN Light" w:hAnsi="思源黑体 CN Light" w:eastAsia="思源黑体 CN Light" w:cs="Times New Roman"/>
          <w:sz w:val="13"/>
          <w:szCs w:val="20"/>
        </w:rPr>
        <w:t>-20250</w:t>
      </w:r>
      <w:r>
        <w:rPr>
          <w:rFonts w:hint="eastAsia" w:ascii="思源黑体 CN Light" w:hAnsi="思源黑体 CN Light" w:eastAsia="思源黑体 CN Light" w:cs="Times New Roman"/>
          <w:sz w:val="13"/>
          <w:szCs w:val="20"/>
          <w:lang w:val="en-US" w:eastAsia="zh-CN"/>
        </w:rPr>
        <w:t>912</w:t>
      </w:r>
    </w:p>
    <w:p w14:paraId="602B015F">
      <w:pPr>
        <w:pStyle w:val="2"/>
        <w:tabs>
          <w:tab w:val="left" w:pos="4364"/>
          <w:tab w:val="right" w:pos="10204"/>
        </w:tabs>
        <w:rPr>
          <w:rFonts w:hint="eastAsia" w:ascii="思源黑体 CN Light" w:hAnsi="思源黑体 CN Light" w:eastAsia="思源黑体 CN Light" w:cs="Times New Roman"/>
          <w:b/>
          <w:bCs/>
          <w:sz w:val="22"/>
          <w:szCs w:val="24"/>
        </w:rPr>
      </w:pPr>
    </w:p>
    <w:p w14:paraId="36022895">
      <w:pPr>
        <w:pStyle w:val="2"/>
        <w:tabs>
          <w:tab w:val="left" w:pos="4364"/>
          <w:tab w:val="right" w:pos="10204"/>
        </w:tabs>
        <w:rPr>
          <w:rFonts w:hint="eastAsia"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二、电子行业点评与展望</w:t>
      </w:r>
    </w:p>
    <w:p w14:paraId="09152680">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bookmarkStart w:id="1" w:name="_Hlk140420797"/>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上周电子</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申万</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指数</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上涨6.15%</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在所有申万一级行业指数中涨幅第一</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。电子行业中，电路板PCB板块以及存储芯片板块股价表现强劲。</w:t>
      </w:r>
    </w:p>
    <w:p w14:paraId="32873396">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电路板PCB作为海外算力上游基础建设的核心板块，上涨</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的</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动力主要来自于下游数据中心运营商Oracle财报的超预期表现；以及海外人工智能（AI）芯片巨头发布新款Rubin CPX GPU芯片、加速AI基建升级。</w:t>
      </w:r>
    </w:p>
    <w:p w14:paraId="21C8C8A0">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9月10日Oracle发布2026年Q1财报，公司剩余履约义务订单（RPO）上升至4550亿美元，同比增长359%，其中云RPO增速接近500%。并且指引FY2030年OCI收入1440亿美金。公司已与OpenAI、xAI、Meta、NVIDIA、AMD等AI领域巨头签署重大云合同。其中OpenAI与Oracle达成为期五年、总额3000亿美元的计算资源采购协议，该合约将从2027年起开始履行。OpenAI的订单将成为RPO的重要支撑</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之一</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。RPO（剩余履约义务）作为已签订但尚未交付的合同总金额，是衡量未来收入增长的关键先行指标。</w:t>
      </w:r>
    </w:p>
    <w:p w14:paraId="01EAB85B">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9月10日，海外人工智能（AI）芯片巨头发布了专为处理超长上下文AI推理任务而设计的Rubin CPX GPU及配套Vera Rubin NVL144 CPX平台。该系列产品专注于支持“数百万</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okens”级别的长上下文处理，通过硬件架构优化与系统级协同，显著提升了推理性能。RubinCPX具备128GB GDDR7显存和30 peta</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 xml:space="preserve"> </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FLOPs的NVFP4算力，针对AI推理中“上下文阶段计算受限、生成阶段内存带宽受限”的负载特点，对计算任务进行了拆分与优化。该GPU与Vera CPU、Rubin</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 xml:space="preserve"> </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GPU协同工作，形成高效架构，单机架性能相比上一代旗舰GB300 NVL72提升最高达6.5倍，成为长上下文AI推理算力领域的新标杆。Rubin CPX的新品发布使得市场份额有望进一步向制造和研发能力领先的行业头部供应商集中。更为重要的是，此次专为推理任务设计的Rubin CPX有望使得</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该公司</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以及供应商进一步往训练侧算力需求打开市场空间。</w:t>
      </w:r>
    </w:p>
    <w:p w14:paraId="3FA884D3">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Oracle财报的超预期表现以及</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新款</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芯片的推出，底层是海外大模型厂商不断加码投资算力。根据公开财报指引，Meta表示将在2028年前在美国投资至少6000 亿美元；海外人工智能（AI）芯片巨头预计到 2030年AI 基础设施支出将达到3~4万亿美元。目前来看。海外大模型厂商</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或</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将持续加码投入AI建设，AI军备竞赛愈演愈烈。A股供应链厂商业绩增速亮眼，未来</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或</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仍有</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广阔的</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成长空间。</w:t>
      </w:r>
    </w:p>
    <w:p w14:paraId="0D740F1F">
      <w:pPr>
        <w:tabs>
          <w:tab w:val="left" w:pos="5594"/>
        </w:tabs>
        <w:ind w:firstLine="420" w:firstLineChars="200"/>
        <w:rPr>
          <w:rFonts w:hint="eastAsia" w:ascii="思源黑体 CN Light" w:hAnsi="思源黑体 CN Light" w:eastAsia="思源黑体 CN Light" w:cs="Times New Roman"/>
          <w:color w:val="000000"/>
          <w:sz w:val="21"/>
          <w:szCs w:val="20"/>
          <w:shd w:val="clear" w:color="auto" w:fill="FFFFFF"/>
        </w:rPr>
      </w:pPr>
    </w:p>
    <w:bookmarkEnd w:id="1"/>
    <w:p w14:paraId="3874C359">
      <w:pPr>
        <w:pStyle w:val="2"/>
        <w:tabs>
          <w:tab w:val="left" w:pos="4364"/>
          <w:tab w:val="right" w:pos="10204"/>
        </w:tabs>
        <w:rPr>
          <w:rFonts w:hint="eastAsia" w:ascii="思源黑体 CN Light" w:hAnsi="思源黑体 CN Light" w:eastAsia="思源黑体 CN Light" w:cs="Times New Roman"/>
          <w:b/>
          <w:bCs/>
          <w:sz w:val="22"/>
          <w:szCs w:val="24"/>
        </w:rPr>
      </w:pPr>
      <w:r>
        <w:rPr>
          <w:rFonts w:ascii="思源黑体 CN Light" w:hAnsi="思源黑体 CN Light" w:eastAsia="思源黑体 CN Light" w:cs="Times New Roman"/>
          <w:b/>
          <w:bCs/>
          <w:sz w:val="22"/>
          <w:szCs w:val="24"/>
        </w:rPr>
        <w:t>三、本周展望</w:t>
      </w:r>
    </w:p>
    <w:p w14:paraId="25F1A4BE">
      <w:pPr>
        <w:pStyle w:val="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上周权益市场迎来快速修复行情，上证指数、创业板指等主要指数</w:t>
      </w:r>
      <w:r>
        <w:rPr>
          <w:rFonts w:hint="eastAsia" w:ascii="思源黑体 CN Light" w:hAnsi="思源黑体 CN Light" w:eastAsia="思源黑体 CN Light" w:cs="Times New Roman"/>
          <w:color w:val="000000"/>
          <w:sz w:val="21"/>
          <w:szCs w:val="20"/>
          <w:shd w:val="clear" w:color="auto" w:fill="FFFFFF"/>
          <w:lang w:val="en-US" w:eastAsia="zh-CN"/>
        </w:rPr>
        <w:t>相继刷新阶段高点</w:t>
      </w:r>
      <w:r>
        <w:rPr>
          <w:rFonts w:hint="eastAsia" w:ascii="思源黑体 CN Light" w:hAnsi="思源黑体 CN Light" w:eastAsia="思源黑体 CN Light" w:cs="Times New Roman"/>
          <w:color w:val="000000"/>
          <w:sz w:val="21"/>
          <w:szCs w:val="20"/>
          <w:shd w:val="clear" w:color="auto" w:fill="FFFFFF"/>
        </w:rPr>
        <w:t>，整体走势较强。本轮市场主线AI算力板块在</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Oracle</w:t>
      </w:r>
      <w:r>
        <w:rPr>
          <w:rFonts w:hint="eastAsia" w:ascii="思源黑体 CN Light" w:hAnsi="思源黑体 CN Light" w:eastAsia="思源黑体 CN Light" w:cs="Times New Roman"/>
          <w:color w:val="000000"/>
          <w:sz w:val="21"/>
          <w:szCs w:val="20"/>
          <w:shd w:val="clear" w:color="auto" w:fill="FFFFFF"/>
        </w:rPr>
        <w:t>财报</w:t>
      </w:r>
      <w:r>
        <w:rPr>
          <w:rFonts w:hint="eastAsia" w:ascii="思源黑体 CN Light" w:hAnsi="思源黑体 CN Light" w:eastAsia="思源黑体 CN Light" w:cs="Times New Roman"/>
          <w:color w:val="000000"/>
          <w:sz w:val="21"/>
          <w:szCs w:val="20"/>
          <w:shd w:val="clear" w:color="auto" w:fill="FFFFFF"/>
          <w:lang w:val="en-US" w:eastAsia="zh-CN"/>
        </w:rPr>
        <w:t>超预期</w:t>
      </w:r>
      <w:r>
        <w:rPr>
          <w:rFonts w:hint="eastAsia" w:ascii="思源黑体 CN Light" w:hAnsi="思源黑体 CN Light" w:eastAsia="思源黑体 CN Light" w:cs="Times New Roman"/>
          <w:color w:val="000000"/>
          <w:sz w:val="21"/>
          <w:szCs w:val="20"/>
          <w:shd w:val="clear" w:color="auto" w:fill="FFFFFF"/>
        </w:rPr>
        <w:t>及新</w:t>
      </w:r>
      <w:r>
        <w:rPr>
          <w:rFonts w:hint="eastAsia" w:ascii="思源黑体 CN Light" w:hAnsi="思源黑体 CN Light" w:eastAsia="思源黑体 CN Light" w:cs="Times New Roman"/>
          <w:color w:val="000000"/>
          <w:sz w:val="21"/>
          <w:szCs w:val="20"/>
          <w:shd w:val="clear" w:color="auto" w:fill="FFFFFF"/>
          <w:lang w:val="en-US" w:eastAsia="zh-CN"/>
        </w:rPr>
        <w:t>一代</w:t>
      </w:r>
      <w:r>
        <w:rPr>
          <w:rFonts w:hint="eastAsia" w:ascii="思源黑体 CN Light" w:hAnsi="思源黑体 CN Light" w:eastAsia="思源黑体 CN Light" w:cs="Times New Roman"/>
          <w:color w:val="000000"/>
          <w:sz w:val="21"/>
          <w:szCs w:val="20"/>
          <w:shd w:val="clear" w:color="auto" w:fill="FFFFFF"/>
        </w:rPr>
        <w:t>芯片方案发布的</w:t>
      </w:r>
      <w:r>
        <w:rPr>
          <w:rFonts w:hint="eastAsia" w:ascii="思源黑体 CN Light" w:hAnsi="思源黑体 CN Light" w:eastAsia="思源黑体 CN Light" w:cs="Times New Roman"/>
          <w:color w:val="000000"/>
          <w:sz w:val="21"/>
          <w:szCs w:val="20"/>
          <w:shd w:val="clear" w:color="auto" w:fill="FFFFFF"/>
          <w:lang w:val="en-US" w:eastAsia="zh-CN"/>
        </w:rPr>
        <w:t>双轮</w:t>
      </w:r>
      <w:r>
        <w:rPr>
          <w:rFonts w:hint="eastAsia" w:ascii="思源黑体 CN Light" w:hAnsi="思源黑体 CN Light" w:eastAsia="思源黑体 CN Light" w:cs="Times New Roman"/>
          <w:color w:val="000000"/>
          <w:sz w:val="21"/>
          <w:szCs w:val="20"/>
          <w:shd w:val="clear" w:color="auto" w:fill="FFFFFF"/>
        </w:rPr>
        <w:t>催化下</w:t>
      </w:r>
      <w:r>
        <w:rPr>
          <w:rFonts w:hint="eastAsia" w:ascii="思源黑体 CN Light" w:hAnsi="思源黑体 CN Light" w:eastAsia="思源黑体 CN Light" w:cs="Times New Roman"/>
          <w:color w:val="000000"/>
          <w:sz w:val="21"/>
          <w:szCs w:val="20"/>
          <w:shd w:val="clear" w:color="auto" w:fill="FFFFFF"/>
          <w:lang w:val="en-US" w:eastAsia="zh-CN"/>
        </w:rPr>
        <w:t>强势</w:t>
      </w:r>
      <w:r>
        <w:rPr>
          <w:rFonts w:hint="eastAsia" w:ascii="思源黑体 CN Light" w:hAnsi="思源黑体 CN Light" w:eastAsia="思源黑体 CN Light" w:cs="Times New Roman"/>
          <w:color w:val="000000"/>
          <w:sz w:val="21"/>
          <w:szCs w:val="20"/>
          <w:shd w:val="clear" w:color="auto" w:fill="FFFFFF"/>
        </w:rPr>
        <w:t>反弹，板块</w:t>
      </w:r>
      <w:r>
        <w:rPr>
          <w:rFonts w:hint="eastAsia" w:ascii="思源黑体 CN Light" w:hAnsi="思源黑体 CN Light" w:eastAsia="思源黑体 CN Light" w:cs="Times New Roman"/>
          <w:color w:val="000000"/>
          <w:sz w:val="21"/>
          <w:szCs w:val="20"/>
          <w:shd w:val="clear" w:color="auto" w:fill="FFFFFF"/>
          <w:lang w:val="en-US" w:eastAsia="zh-CN"/>
        </w:rPr>
        <w:t>景气度依然高企</w:t>
      </w:r>
      <w:r>
        <w:rPr>
          <w:rFonts w:hint="eastAsia" w:ascii="思源黑体 CN Light" w:hAnsi="思源黑体 CN Light" w:eastAsia="思源黑体 CN Light" w:cs="Times New Roman"/>
          <w:color w:val="000000"/>
          <w:sz w:val="21"/>
          <w:szCs w:val="20"/>
          <w:shd w:val="clear" w:color="auto" w:fill="FFFFFF"/>
        </w:rPr>
        <w:t>，远期确定性</w:t>
      </w:r>
      <w:r>
        <w:rPr>
          <w:rFonts w:hint="eastAsia" w:ascii="思源黑体 CN Light" w:hAnsi="思源黑体 CN Light" w:eastAsia="思源黑体 CN Light" w:cs="Times New Roman"/>
          <w:color w:val="000000"/>
          <w:sz w:val="21"/>
          <w:szCs w:val="20"/>
          <w:shd w:val="clear" w:color="auto" w:fill="FFFFFF"/>
          <w:lang w:val="en-US" w:eastAsia="zh-CN"/>
        </w:rPr>
        <w:t>或</w:t>
      </w:r>
      <w:r>
        <w:rPr>
          <w:rFonts w:hint="eastAsia" w:ascii="思源黑体 CN Light" w:hAnsi="思源黑体 CN Light" w:eastAsia="思源黑体 CN Light" w:cs="Times New Roman"/>
          <w:color w:val="000000"/>
          <w:sz w:val="21"/>
          <w:szCs w:val="20"/>
          <w:shd w:val="clear" w:color="auto" w:fill="FFFFFF"/>
        </w:rPr>
        <w:t>进一步夯实。</w:t>
      </w:r>
    </w:p>
    <w:p w14:paraId="1DCD1C99">
      <w:pPr>
        <w:pStyle w:val="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尽管市场波动有所加剧，但我们认为AI</w:t>
      </w:r>
      <w:r>
        <w:rPr>
          <w:rFonts w:hint="eastAsia" w:ascii="思源黑体 CN Light" w:hAnsi="思源黑体 CN Light" w:eastAsia="思源黑体 CN Light" w:cs="Times New Roman"/>
          <w:color w:val="000000"/>
          <w:sz w:val="21"/>
          <w:szCs w:val="20"/>
          <w:shd w:val="clear" w:color="auto" w:fill="FFFFFF"/>
          <w:lang w:val="en-US" w:eastAsia="zh-CN"/>
        </w:rPr>
        <w:t>方向的短期调整更多源于交易拥挤、短线涨幅过大等技术性因素，而非基本面反转。</w:t>
      </w:r>
      <w:r>
        <w:rPr>
          <w:rFonts w:hint="eastAsia" w:ascii="思源黑体 CN Light" w:hAnsi="思源黑体 CN Light" w:eastAsia="思源黑体 CN Light" w:cs="Times New Roman"/>
          <w:color w:val="000000"/>
          <w:sz w:val="21"/>
          <w:szCs w:val="20"/>
          <w:shd w:val="clear" w:color="auto" w:fill="FFFFFF"/>
        </w:rPr>
        <w:t>对于板块内的核心龙头公司，</w:t>
      </w:r>
      <w:r>
        <w:rPr>
          <w:rFonts w:hint="eastAsia" w:ascii="思源黑体 CN Light" w:hAnsi="思源黑体 CN Light" w:eastAsia="思源黑体 CN Light" w:cs="Times New Roman"/>
          <w:color w:val="000000"/>
          <w:sz w:val="21"/>
          <w:szCs w:val="20"/>
          <w:shd w:val="clear" w:color="auto" w:fill="FFFFFF"/>
          <w:lang w:val="en-US" w:eastAsia="zh-CN"/>
        </w:rPr>
        <w:t>我们</w:t>
      </w:r>
      <w:r>
        <w:rPr>
          <w:rFonts w:hint="eastAsia" w:ascii="思源黑体 CN Light" w:hAnsi="思源黑体 CN Light" w:eastAsia="思源黑体 CN Light" w:cs="Times New Roman"/>
          <w:color w:val="000000"/>
          <w:sz w:val="21"/>
          <w:szCs w:val="20"/>
          <w:shd w:val="clear" w:color="auto" w:fill="FFFFFF"/>
        </w:rPr>
        <w:t>中期维度</w:t>
      </w:r>
      <w:r>
        <w:rPr>
          <w:rFonts w:hint="eastAsia" w:ascii="思源黑体 CN Light" w:hAnsi="思源黑体 CN Light" w:eastAsia="思源黑体 CN Light" w:cs="Times New Roman"/>
          <w:color w:val="000000"/>
          <w:sz w:val="21"/>
          <w:szCs w:val="20"/>
          <w:shd w:val="clear" w:color="auto" w:fill="FFFFFF"/>
          <w:lang w:val="en-US" w:eastAsia="zh-CN"/>
        </w:rPr>
        <w:t>依旧保持乐观</w:t>
      </w:r>
      <w:r>
        <w:rPr>
          <w:rFonts w:hint="eastAsia" w:ascii="思源黑体 CN Light" w:hAnsi="思源黑体 CN Light" w:eastAsia="思源黑体 CN Light" w:cs="Times New Roman"/>
          <w:color w:val="000000"/>
          <w:sz w:val="21"/>
          <w:szCs w:val="20"/>
          <w:shd w:val="clear" w:color="auto" w:fill="FFFFFF"/>
          <w:lang w:eastAsia="zh-CN"/>
        </w:rPr>
        <w:t>，</w:t>
      </w:r>
      <w:r>
        <w:rPr>
          <w:rFonts w:hint="eastAsia" w:ascii="思源黑体 CN Light" w:hAnsi="思源黑体 CN Light" w:eastAsia="思源黑体 CN Light" w:cs="Times New Roman"/>
          <w:color w:val="000000"/>
          <w:sz w:val="21"/>
          <w:szCs w:val="20"/>
          <w:shd w:val="clear" w:color="auto" w:fill="FFFFFF"/>
          <w:lang w:val="en-US" w:eastAsia="zh-CN"/>
        </w:rPr>
        <w:t>并</w:t>
      </w:r>
      <w:r>
        <w:rPr>
          <w:rFonts w:hint="eastAsia" w:ascii="思源黑体 CN Light" w:hAnsi="思源黑体 CN Light" w:eastAsia="思源黑体 CN Light" w:cs="Times New Roman"/>
          <w:color w:val="000000"/>
          <w:sz w:val="21"/>
          <w:szCs w:val="20"/>
          <w:shd w:val="clear" w:color="auto" w:fill="FFFFFF"/>
        </w:rPr>
        <w:t>建议</w:t>
      </w:r>
      <w:r>
        <w:rPr>
          <w:rFonts w:hint="eastAsia" w:ascii="思源黑体 CN Light" w:hAnsi="思源黑体 CN Light" w:eastAsia="思源黑体 CN Light" w:cs="Times New Roman"/>
          <w:color w:val="000000"/>
          <w:sz w:val="21"/>
          <w:szCs w:val="20"/>
          <w:shd w:val="clear" w:color="auto" w:fill="FFFFFF"/>
          <w:lang w:val="en-US" w:eastAsia="zh-CN"/>
        </w:rPr>
        <w:t>风险适配的</w:t>
      </w:r>
      <w:r>
        <w:rPr>
          <w:rFonts w:hint="eastAsia" w:ascii="思源黑体 CN Light" w:hAnsi="思源黑体 CN Light" w:eastAsia="思源黑体 CN Light" w:cs="Times New Roman"/>
          <w:color w:val="000000"/>
          <w:sz w:val="21"/>
          <w:szCs w:val="20"/>
          <w:shd w:val="clear" w:color="auto" w:fill="FFFFFF"/>
        </w:rPr>
        <w:t>投资者适当拉长投资视角，把握产业主线带来的投资机会。</w:t>
      </w:r>
    </w:p>
    <w:p w14:paraId="51AC41D7">
      <w:pPr>
        <w:pStyle w:val="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对于相对低位区间的板块，轮动可能加速。我们建议</w:t>
      </w:r>
      <w:r>
        <w:rPr>
          <w:rFonts w:hint="eastAsia" w:ascii="思源黑体 CN Light" w:hAnsi="思源黑体 CN Light" w:eastAsia="思源黑体 CN Light" w:cs="Times New Roman"/>
          <w:color w:val="000000"/>
          <w:sz w:val="21"/>
          <w:szCs w:val="20"/>
          <w:shd w:val="clear" w:color="auto" w:fill="FFFFFF"/>
          <w:lang w:val="en-US" w:eastAsia="zh-CN"/>
        </w:rPr>
        <w:t>不要为了</w:t>
      </w:r>
      <w:r>
        <w:rPr>
          <w:rFonts w:hint="eastAsia" w:ascii="思源黑体 CN Light" w:hAnsi="思源黑体 CN Light" w:eastAsia="思源黑体 CN Light" w:cs="Times New Roman"/>
          <w:color w:val="000000"/>
          <w:sz w:val="21"/>
          <w:szCs w:val="20"/>
          <w:shd w:val="clear" w:color="auto" w:fill="FFFFFF"/>
        </w:rPr>
        <w:t>“高低切”而刻意调整仓位</w:t>
      </w:r>
      <w:r>
        <w:rPr>
          <w:rFonts w:hint="eastAsia" w:ascii="思源黑体 CN Light" w:hAnsi="思源黑体 CN Light" w:eastAsia="思源黑体 CN Light" w:cs="Times New Roman"/>
          <w:color w:val="000000"/>
          <w:sz w:val="21"/>
          <w:szCs w:val="20"/>
          <w:shd w:val="clear" w:color="auto" w:fill="FFFFFF"/>
          <w:lang w:eastAsia="zh-CN"/>
        </w:rPr>
        <w:t>，</w:t>
      </w:r>
      <w:r>
        <w:rPr>
          <w:rFonts w:hint="eastAsia" w:ascii="思源黑体 CN Light" w:hAnsi="思源黑体 CN Light" w:eastAsia="思源黑体 CN Light" w:cs="Times New Roman"/>
          <w:color w:val="000000"/>
          <w:sz w:val="21"/>
          <w:szCs w:val="20"/>
          <w:shd w:val="clear" w:color="auto" w:fill="FFFFFF"/>
          <w:lang w:val="en-US" w:eastAsia="zh-CN"/>
        </w:rPr>
        <w:t>而应</w:t>
      </w:r>
      <w:r>
        <w:rPr>
          <w:rFonts w:hint="eastAsia" w:ascii="思源黑体 CN Light" w:hAnsi="思源黑体 CN Light" w:eastAsia="思源黑体 CN Light" w:cs="Times New Roman"/>
          <w:color w:val="000000"/>
          <w:sz w:val="21"/>
          <w:szCs w:val="20"/>
          <w:shd w:val="clear" w:color="auto" w:fill="FFFFFF"/>
        </w:rPr>
        <w:t>重点关注</w:t>
      </w:r>
      <w:r>
        <w:rPr>
          <w:rFonts w:hint="eastAsia" w:ascii="思源黑体 CN Light" w:hAnsi="思源黑体 CN Light" w:eastAsia="思源黑体 CN Light" w:cs="Times New Roman"/>
          <w:color w:val="000000"/>
          <w:sz w:val="21"/>
          <w:szCs w:val="20"/>
          <w:shd w:val="clear" w:color="auto" w:fill="FFFFFF"/>
          <w:lang w:val="en-US" w:eastAsia="zh-CN"/>
        </w:rPr>
        <w:t>出现</w:t>
      </w:r>
      <w:r>
        <w:rPr>
          <w:rFonts w:hint="eastAsia" w:ascii="思源黑体 CN Light" w:hAnsi="思源黑体 CN Light" w:eastAsia="思源黑体 CN Light" w:cs="Times New Roman"/>
          <w:color w:val="000000"/>
          <w:sz w:val="21"/>
          <w:szCs w:val="20"/>
          <w:shd w:val="clear" w:color="auto" w:fill="FFFFFF"/>
        </w:rPr>
        <w:t>边际改善信号或产业催化的细分板块。</w:t>
      </w:r>
    </w:p>
    <w:p w14:paraId="45DE382D">
      <w:pPr>
        <w:pStyle w:val="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思源黑体 CN Light" w:hAnsi="思源黑体 CN Light" w:eastAsia="思源黑体 CN Light" w:cs="Times New Roman"/>
          <w:sz w:val="20"/>
          <w:szCs w:val="20"/>
        </w:rPr>
      </w:pPr>
      <w:r>
        <w:rPr>
          <w:rFonts w:hint="eastAsia" w:ascii="思源黑体 CN Light" w:hAnsi="思源黑体 CN Light" w:eastAsia="思源黑体 CN Light" w:cs="Times New Roman"/>
          <w:color w:val="000000"/>
          <w:sz w:val="21"/>
          <w:szCs w:val="20"/>
          <w:shd w:val="clear" w:color="auto" w:fill="FFFFFF"/>
        </w:rPr>
        <w:t>展望后市，我们维持相对积极的看法，策略上</w:t>
      </w:r>
      <w:r>
        <w:rPr>
          <w:rFonts w:hint="eastAsia" w:ascii="思源黑体 CN Light" w:hAnsi="思源黑体 CN Light" w:eastAsia="思源黑体 CN Light" w:cs="Times New Roman"/>
          <w:color w:val="000000"/>
          <w:sz w:val="21"/>
          <w:szCs w:val="20"/>
          <w:shd w:val="clear" w:color="auto" w:fill="FFFFFF"/>
          <w:lang w:val="en-US" w:eastAsia="zh-CN"/>
        </w:rPr>
        <w:t>主张</w:t>
      </w:r>
      <w:r>
        <w:rPr>
          <w:rFonts w:hint="eastAsia" w:ascii="思源黑体 CN Light" w:hAnsi="思源黑体 CN Light" w:eastAsia="思源黑体 CN Light" w:cs="Times New Roman"/>
          <w:color w:val="000000"/>
          <w:sz w:val="21"/>
          <w:szCs w:val="20"/>
          <w:shd w:val="clear" w:color="auto" w:fill="FFFFFF"/>
        </w:rPr>
        <w:t>“稳中求进”，</w:t>
      </w:r>
      <w:r>
        <w:rPr>
          <w:rFonts w:hint="eastAsia" w:ascii="思源黑体 CN Light" w:hAnsi="思源黑体 CN Light" w:eastAsia="思源黑体 CN Light" w:cs="Times New Roman"/>
          <w:color w:val="000000"/>
          <w:sz w:val="21"/>
          <w:szCs w:val="20"/>
          <w:shd w:val="clear" w:color="auto" w:fill="FFFFFF"/>
          <w:lang w:val="en-US" w:eastAsia="zh-CN"/>
        </w:rPr>
        <w:t>以</w:t>
      </w:r>
      <w:r>
        <w:rPr>
          <w:rFonts w:hint="eastAsia" w:ascii="思源黑体 CN Light" w:hAnsi="思源黑体 CN Light" w:eastAsia="思源黑体 CN Light" w:cs="Times New Roman"/>
          <w:color w:val="000000"/>
          <w:sz w:val="21"/>
          <w:szCs w:val="20"/>
          <w:shd w:val="clear" w:color="auto" w:fill="FFFFFF"/>
        </w:rPr>
        <w:t>逢低布局为主</w:t>
      </w:r>
      <w:r>
        <w:rPr>
          <w:rFonts w:hint="eastAsia" w:ascii="思源黑体 CN Light" w:hAnsi="思源黑体 CN Light" w:eastAsia="思源黑体 CN Light" w:cs="Times New Roman"/>
          <w:color w:val="000000"/>
          <w:sz w:val="21"/>
          <w:szCs w:val="20"/>
          <w:shd w:val="clear" w:color="auto" w:fill="FFFFFF"/>
          <w:lang w:eastAsia="zh-CN"/>
        </w:rPr>
        <w:t>，</w:t>
      </w:r>
      <w:r>
        <w:rPr>
          <w:rFonts w:hint="eastAsia" w:ascii="思源黑体 CN Light" w:hAnsi="思源黑体 CN Light" w:eastAsia="思源黑体 CN Light" w:cs="Times New Roman"/>
          <w:color w:val="000000"/>
          <w:sz w:val="21"/>
          <w:szCs w:val="20"/>
          <w:shd w:val="clear" w:color="auto" w:fill="FFFFFF"/>
        </w:rPr>
        <w:t>避免</w:t>
      </w:r>
      <w:r>
        <w:rPr>
          <w:rFonts w:hint="eastAsia" w:ascii="思源黑体 CN Light" w:hAnsi="思源黑体 CN Light" w:eastAsia="思源黑体 CN Light" w:cs="Times New Roman"/>
          <w:color w:val="000000"/>
          <w:sz w:val="21"/>
          <w:szCs w:val="20"/>
          <w:shd w:val="clear" w:color="auto" w:fill="FFFFFF"/>
          <w:lang w:val="en-US" w:eastAsia="zh-CN"/>
        </w:rPr>
        <w:t>盲目</w:t>
      </w:r>
      <w:r>
        <w:rPr>
          <w:rFonts w:hint="eastAsia" w:ascii="思源黑体 CN Light" w:hAnsi="思源黑体 CN Light" w:eastAsia="思源黑体 CN Light" w:cs="Times New Roman"/>
          <w:color w:val="000000"/>
          <w:sz w:val="21"/>
          <w:szCs w:val="20"/>
          <w:shd w:val="clear" w:color="auto" w:fill="FFFFFF"/>
        </w:rPr>
        <w:t>追高。短期需密切关注下周美联储议息会议对全球流动性的影响。</w:t>
      </w:r>
      <w:bookmarkStart w:id="2" w:name="_GoBack"/>
      <w:bookmarkEnd w:id="2"/>
    </w:p>
    <w:p w14:paraId="3A4BEFB8">
      <w:pPr>
        <w:pStyle w:val="9"/>
        <w:ind w:firstLine="0" w:firstLineChars="0"/>
        <w:rPr>
          <w:rFonts w:hint="eastAsia" w:ascii="思源黑体 CN Light" w:hAnsi="思源黑体 CN Light" w:eastAsia="思源黑体 CN Light" w:cs="Times New Roman"/>
          <w:sz w:val="20"/>
          <w:szCs w:val="20"/>
        </w:rPr>
      </w:pPr>
    </w:p>
    <w:p w14:paraId="798EDB93">
      <w:pPr>
        <w:ind w:firstLine="360" w:firstLineChars="200"/>
      </w:pPr>
      <w:r>
        <w:rPr>
          <w:rFonts w:hint="eastAsia" w:ascii="思源黑体 CN Light" w:hAnsi="思源黑体 CN Light" w:eastAsia="思源黑体 CN Light"/>
          <w:sz w:val="18"/>
          <w:szCs w:val="15"/>
        </w:rPr>
        <w:t>风险提示：</w:t>
      </w:r>
      <w:r>
        <w:rPr>
          <w:rFonts w:ascii="思源黑体 CN Light" w:hAnsi="思源黑体 CN Light" w:eastAsia="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bookmarkEnd w:id="0"/>
    </w:p>
    <w:p w14:paraId="0E834C88"/>
    <w:sectPr>
      <w:headerReference r:id="rId5" w:type="default"/>
      <w:footerReference r:id="rId6" w:type="default"/>
      <w:pgSz w:w="11906" w:h="16838"/>
      <w:pgMar w:top="1440" w:right="851" w:bottom="1134" w:left="851" w:header="851"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CN Bold">
    <w:panose1 w:val="020B0800000000000000"/>
    <w:charset w:val="86"/>
    <w:family w:val="swiss"/>
    <w:pitch w:val="default"/>
    <w:sig w:usb0="20000003" w:usb1="2ADF3C10" w:usb2="00000016" w:usb3="00000000" w:csb0="60060107" w:csb1="00000000"/>
  </w:font>
  <w:font w:name="思源黑体 CN Light">
    <w:panose1 w:val="020B0300000000000000"/>
    <w:charset w:val="86"/>
    <w:family w:val="swiss"/>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4FC2">
    <w:pPr>
      <w:pStyle w:val="3"/>
      <w:tabs>
        <w:tab w:val="center" w:pos="5102"/>
        <w:tab w:val="left" w:pos="6847"/>
      </w:tabs>
      <w:rPr>
        <w:rFonts w:hint="eastAsia"/>
      </w:rPr>
    </w:pPr>
    <w:r>
      <w:tab/>
    </w:r>
    <w:r>
      <w:tab/>
    </w:r>
    <w:sdt>
      <w:sdtPr>
        <w:id w:val="1107850672"/>
      </w:sdtPr>
      <w:sdtContent>
        <w:sdt>
          <w:sdtPr>
            <w:id w:val="1728636285"/>
          </w:sdtPr>
          <w:sdtContent>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sdtContent>
        </w:sdt>
      </w:sdtContent>
    </w:sdt>
    <w:r>
      <w:tab/>
    </w:r>
  </w:p>
  <w:p w14:paraId="3413B139">
    <w:pPr>
      <w:pStyle w:val="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text" w:tblpXSpec="right" w:tblpY="1"/>
      <w:tblOverlap w:val="never"/>
      <w:tblW w:w="6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84"/>
      <w:gridCol w:w="2335"/>
    </w:tblGrid>
    <w:tr w14:paraId="1567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652" w:type="dxa"/>
          <w:shd w:val="clear" w:color="auto" w:fill="F3F3F3"/>
          <w:vAlign w:val="center"/>
        </w:tcPr>
        <w:p w14:paraId="528F1620">
          <w:pPr>
            <w:pStyle w:val="4"/>
            <w:pBdr>
              <w:bottom w:val="none" w:color="auto" w:sz="0" w:space="0"/>
            </w:pBdr>
            <w:jc w:val="right"/>
            <w:rPr>
              <w:rFonts w:ascii="Times New Roman" w:hAnsi="Times New Roman" w:eastAsia="宋体" w:cs="Times New Roman"/>
              <w:kern w:val="0"/>
            </w:rPr>
          </w:pPr>
          <w:r>
            <w:rPr>
              <w:rFonts w:hint="eastAsia" w:ascii="Times New Roman" w:hAnsi="Times New Roman" w:eastAsia="宋体" w:cs="Times New Roman"/>
              <w:kern w:val="0"/>
            </w:rPr>
            <w:t>证券研究报告</w:t>
          </w:r>
        </w:p>
      </w:tc>
      <w:tc>
        <w:tcPr>
          <w:tcW w:w="284" w:type="dxa"/>
          <w:shd w:val="clear" w:color="auto" w:fill="C3E2F4"/>
        </w:tcPr>
        <w:p w14:paraId="5650BA04">
          <w:pPr>
            <w:pStyle w:val="4"/>
            <w:pBdr>
              <w:bottom w:val="none" w:color="auto" w:sz="0" w:space="0"/>
            </w:pBdr>
            <w:jc w:val="left"/>
            <w:rPr>
              <w:rFonts w:ascii="Times New Roman" w:hAnsi="Times New Roman" w:eastAsia="宋体" w:cs="Times New Roman"/>
              <w:kern w:val="0"/>
            </w:rPr>
          </w:pPr>
        </w:p>
      </w:tc>
      <w:tc>
        <w:tcPr>
          <w:tcW w:w="2335" w:type="dxa"/>
          <w:shd w:val="clear" w:color="auto" w:fill="013F98"/>
          <w:vAlign w:val="center"/>
        </w:tcPr>
        <w:p w14:paraId="71FD16F9">
          <w:pPr>
            <w:pStyle w:val="4"/>
            <w:pBdr>
              <w:bottom w:val="none" w:color="auto" w:sz="0" w:space="0"/>
            </w:pBdr>
            <w:rPr>
              <w:rFonts w:ascii="Times New Roman" w:hAnsi="Times New Roman" w:eastAsia="宋体" w:cs="Times New Roman"/>
              <w:kern w:val="0"/>
            </w:rPr>
          </w:pPr>
          <w:r>
            <w:rPr>
              <w:rFonts w:hint="eastAsia" w:ascii="Times New Roman" w:hAnsi="Times New Roman" w:eastAsia="宋体" w:cs="Times New Roman"/>
              <w:kern w:val="0"/>
            </w:rPr>
            <w:t>权益周报</w:t>
          </w:r>
        </w:p>
      </w:tc>
    </w:tr>
  </w:tbl>
  <w:p w14:paraId="3544B21C">
    <w:pPr>
      <w:pStyle w:val="4"/>
      <w:pBdr>
        <w:bottom w:val="single" w:color="auto" w:sz="6" w:space="0"/>
      </w:pBdr>
      <w:tabs>
        <w:tab w:val="left" w:pos="4673"/>
        <w:tab w:val="left" w:pos="8341"/>
        <w:tab w:val="clear" w:pos="4153"/>
        <w:tab w:val="clear" w:pos="8306"/>
      </w:tabs>
      <w:ind w:left="-809" w:leftChars="-337" w:right="-1848" w:rightChars="-770" w:firstLine="540" w:firstLineChars="300"/>
      <w:jc w:val="left"/>
      <w:rPr>
        <w:rFonts w:hint="eastAsia"/>
      </w:rPr>
    </w:pPr>
    <w:r>
      <w:drawing>
        <wp:inline distT="0" distB="0" distL="0" distR="0">
          <wp:extent cx="883920" cy="285750"/>
          <wp:effectExtent l="0" t="0" r="0" b="381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B675D"/>
    <w:rsid w:val="238A4CA6"/>
    <w:rsid w:val="5915417D"/>
    <w:rsid w:val="774B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360" w:lineRule="auto"/>
      <w:jc w:val="both"/>
    </w:pPr>
    <w:rPr>
      <w:rFonts w:asciiTheme="minorHAnsi" w:hAnsiTheme="minorHAnsi" w:eastAsiaTheme="minorEastAsia" w:cstheme="minorBidi"/>
      <w:kern w:val="2"/>
      <w:sz w:val="24"/>
      <w:szCs w:val="22"/>
      <w:lang w:val="en-US" w:eastAsia="zh-CN" w:bidi="ar-SA"/>
      <w14:ligatures w14:val="none"/>
    </w:rPr>
  </w:style>
  <w:style w:type="paragraph" w:styleId="2">
    <w:name w:val="heading 2"/>
    <w:basedOn w:val="1"/>
    <w:next w:val="1"/>
    <w:unhideWhenUsed/>
    <w:qFormat/>
    <w:uiPriority w:val="9"/>
    <w:pPr>
      <w:keepNext/>
      <w:keepLines/>
      <w:spacing w:before="160" w:after="80" w:line="278" w:lineRule="auto"/>
      <w:jc w:val="left"/>
      <w:outlineLvl w:val="1"/>
    </w:pPr>
    <w:rPr>
      <w:rFonts w:asciiTheme="majorHAnsi" w:hAnsiTheme="majorHAnsi" w:eastAsiaTheme="majorEastAsia" w:cstheme="majorBidi"/>
      <w:color w:val="2E54A1" w:themeColor="accent1" w:themeShade="BF"/>
      <w:sz w:val="40"/>
      <w:szCs w:val="40"/>
      <w14:ligatures w14:val="standardContextual"/>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Cs w:val="24"/>
    </w:rPr>
  </w:style>
  <w:style w:type="table" w:styleId="7">
    <w:name w:val="Table Grid"/>
    <w:basedOn w:val="6"/>
    <w:qFormat/>
    <w:uiPriority w:val="39"/>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basedOn w:val="5"/>
    <w:qFormat/>
    <w:uiPriority w:val="1"/>
    <w:pPr>
      <w:widowControl/>
      <w:shd w:val="clear" w:color="auto" w:fill="FFFFFF"/>
      <w:ind w:firstLine="200" w:firstLineChars="200"/>
      <w:jc w:val="left"/>
    </w:pPr>
    <w:rPr>
      <w:rFonts w:asciiTheme="minorHAnsi" w:hAnsiTheme="minorHAnsi" w:cstheme="minorBidi"/>
      <w:kern w:val="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1719</Words>
  <Characters>2112</Characters>
  <Lines>0</Lines>
  <Paragraphs>0</Paragraphs>
  <TotalTime>46</TotalTime>
  <ScaleCrop>false</ScaleCrop>
  <LinksUpToDate>false</LinksUpToDate>
  <CharactersWithSpaces>2137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2025-09-15T05:09:00Z</dcterms:created>
  <dc:creator>叶蕊</dc:creator>
  <cp:lastModifiedBy>叶蕊</cp:lastModifiedBy>
  <dcterms:modified xsi:type="dcterms:W3CDTF">2025-09-15T08:44:41Z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6203FCC4A93A473697E0BF212A834A36_13</vt:lpwstr>
  </property>
  <property fmtid="{D5CDD505-2E9C-101B-9397-08002B2CF9AE}" pid="4" name="KSOTemplateDocerSaveRecord">
    <vt:lpwstr>eyJoZGlkIjoiM2Q0ZDE4MjZiMjI0N2FiMDcxYTI0ZDBlYWViZjQ5YTQiLCJ1c2VySWQiOiI4MzYyNzM1OTMifQ==</vt:lpwstr>
  </property>
</Properties>
</file>