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578B" w14:textId="77777777" w:rsidR="006D3B1A" w:rsidRDefault="00000000">
      <w:pPr>
        <w:jc w:val="center"/>
        <w:rPr>
          <w:rFonts w:ascii="黑体" w:eastAsia="黑体" w:hAnsi="黑体" w:hint="eastAsia"/>
          <w:b/>
          <w:bCs/>
        </w:rPr>
      </w:pPr>
      <w:r>
        <w:rPr>
          <w:rFonts w:ascii="黑体" w:eastAsia="黑体" w:hAnsi="黑体" w:hint="eastAsia"/>
          <w:b/>
          <w:bCs/>
        </w:rPr>
        <w:t>【峥选定投】20250919定投日志</w:t>
      </w:r>
    </w:p>
    <w:p w14:paraId="456656D2" w14:textId="77777777" w:rsidR="006D3B1A" w:rsidRDefault="00000000">
      <w:pPr>
        <w:ind w:firstLineChars="200" w:firstLine="440"/>
        <w:rPr>
          <w:rFonts w:ascii="黑体" w:eastAsia="黑体" w:hAnsi="黑体" w:hint="eastAsia"/>
        </w:rPr>
      </w:pPr>
      <w:r>
        <w:rPr>
          <w:rFonts w:ascii="黑体" w:eastAsia="黑体" w:hAnsi="黑体" w:hint="eastAsia"/>
        </w:rPr>
        <w:t>大家好！我是富荣信息技术混合、富荣福锦混合的基金经理李延峥。我于9月17日定投买入富荣信息技术混合A、富荣福锦混合A两只产品各1000元。</w:t>
      </w:r>
    </w:p>
    <w:p w14:paraId="021DA2A4" w14:textId="4EFFD0F7" w:rsidR="006D3B1A" w:rsidRDefault="006D3B1A">
      <w:pPr>
        <w:spacing w:after="0" w:line="240" w:lineRule="auto"/>
        <w:jc w:val="center"/>
        <w:rPr>
          <w:rFonts w:ascii="黑体" w:eastAsia="黑体" w:hAnsi="黑体" w:hint="eastAsia"/>
        </w:rPr>
      </w:pPr>
    </w:p>
    <w:p w14:paraId="45F513B7" w14:textId="09682121" w:rsidR="006D3B1A" w:rsidRDefault="007B3AF5">
      <w:pPr>
        <w:spacing w:after="0" w:line="240" w:lineRule="auto"/>
        <w:jc w:val="center"/>
        <w:rPr>
          <w:rFonts w:ascii="黑体" w:eastAsia="黑体" w:hAnsi="黑体" w:hint="eastAsia"/>
        </w:rPr>
      </w:pPr>
      <w:r>
        <w:rPr>
          <w:rFonts w:ascii="黑体" w:eastAsia="黑体" w:hAnsi="黑体" w:hint="eastAsia"/>
          <w:noProof/>
        </w:rPr>
        <w:drawing>
          <wp:inline distT="0" distB="0" distL="0" distR="0" wp14:anchorId="55429C3D" wp14:editId="7FAC2082">
            <wp:extent cx="4200525" cy="5810250"/>
            <wp:effectExtent l="0" t="0" r="9525" b="0"/>
            <wp:docPr id="21220396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0525" cy="5810250"/>
                    </a:xfrm>
                    <a:prstGeom prst="rect">
                      <a:avLst/>
                    </a:prstGeom>
                    <a:noFill/>
                    <a:ln>
                      <a:noFill/>
                    </a:ln>
                  </pic:spPr>
                </pic:pic>
              </a:graphicData>
            </a:graphic>
          </wp:inline>
        </w:drawing>
      </w:r>
    </w:p>
    <w:p w14:paraId="5B28FE95" w14:textId="77777777" w:rsidR="006D3B1A" w:rsidRDefault="00000000">
      <w:pPr>
        <w:spacing w:after="0" w:line="240" w:lineRule="auto"/>
        <w:rPr>
          <w:rFonts w:ascii="黑体" w:eastAsia="黑体" w:hAnsi="黑体" w:hint="eastAsia"/>
        </w:rPr>
      </w:pPr>
      <w:r>
        <w:rPr>
          <w:rFonts w:ascii="黑体" w:eastAsia="黑体" w:hAnsi="黑体" w:hint="eastAsia"/>
        </w:rPr>
        <w:t>近期电子板块表现亮眼，其中，电路板PCB板块以及存储芯片板块股价表现强劲。</w:t>
      </w:r>
    </w:p>
    <w:p w14:paraId="4EBB7E15" w14:textId="77777777" w:rsidR="006D3B1A" w:rsidRDefault="006D3B1A">
      <w:pPr>
        <w:spacing w:after="0" w:line="240" w:lineRule="auto"/>
        <w:rPr>
          <w:rFonts w:ascii="黑体" w:eastAsia="黑体" w:hAnsi="黑体" w:hint="eastAsia"/>
        </w:rPr>
      </w:pPr>
    </w:p>
    <w:p w14:paraId="09E0D14F" w14:textId="77777777" w:rsidR="006D3B1A" w:rsidRDefault="00000000">
      <w:pPr>
        <w:spacing w:after="0" w:line="240" w:lineRule="auto"/>
        <w:rPr>
          <w:rFonts w:ascii="黑体" w:eastAsia="黑体" w:hAnsi="黑体" w:hint="eastAsia"/>
        </w:rPr>
      </w:pPr>
      <w:r>
        <w:rPr>
          <w:rFonts w:ascii="黑体" w:eastAsia="黑体" w:hAnsi="黑体" w:hint="eastAsia"/>
        </w:rPr>
        <w:t>电路板PCB作为海外算力上游基础建设的核心板块，上涨的动力主要来自于下游数据中心运营商Oracle财报的超预期表现；以及海外人工智能（AI）芯片巨头发布新款Rubin CPX GPU芯片、加速AI基建升级。</w:t>
      </w:r>
    </w:p>
    <w:p w14:paraId="10CA89D6" w14:textId="77777777" w:rsidR="006D3B1A" w:rsidRDefault="006D3B1A">
      <w:pPr>
        <w:spacing w:after="0" w:line="240" w:lineRule="auto"/>
        <w:rPr>
          <w:rFonts w:ascii="黑体" w:eastAsia="黑体" w:hAnsi="黑体" w:hint="eastAsia"/>
        </w:rPr>
      </w:pPr>
    </w:p>
    <w:p w14:paraId="45168AD1" w14:textId="77777777" w:rsidR="006D3B1A" w:rsidRDefault="00000000">
      <w:pPr>
        <w:spacing w:after="0" w:line="240" w:lineRule="auto"/>
        <w:rPr>
          <w:rFonts w:ascii="黑体" w:eastAsia="黑体" w:hAnsi="黑体" w:hint="eastAsia"/>
        </w:rPr>
      </w:pPr>
      <w:r>
        <w:rPr>
          <w:rFonts w:ascii="黑体" w:eastAsia="黑体" w:hAnsi="黑体" w:hint="eastAsia"/>
        </w:rPr>
        <w:t>9月10日Oracle发布2026年Q1财报，公司剩余履约义务订单（RPO）上升至4550亿美元，同比增长359%，其中云RPO增速接近500%。并且指引FY2030年OCI收入1440亿美金。公司已与OpenAI、</w:t>
      </w:r>
      <w:proofErr w:type="spellStart"/>
      <w:r>
        <w:rPr>
          <w:rFonts w:ascii="黑体" w:eastAsia="黑体" w:hAnsi="黑体" w:hint="eastAsia"/>
        </w:rPr>
        <w:t>xAI</w:t>
      </w:r>
      <w:proofErr w:type="spellEnd"/>
      <w:r>
        <w:rPr>
          <w:rFonts w:ascii="黑体" w:eastAsia="黑体" w:hAnsi="黑体" w:hint="eastAsia"/>
        </w:rPr>
        <w:t>、Meta、NVIDIA、AMD等AI领域巨头签署重大云合</w:t>
      </w:r>
      <w:r>
        <w:rPr>
          <w:rFonts w:ascii="黑体" w:eastAsia="黑体" w:hAnsi="黑体" w:hint="eastAsia"/>
        </w:rPr>
        <w:lastRenderedPageBreak/>
        <w:t>同。其中OpenAI与Oracle达成为期五年、总额3000亿美元的计算资源采购协议，该合约将从2027年起开始履行。OpenAI的订单将成为RPO的重要支撑之一。RPO（剩余履约义务）作为已签订但尚未交付的合同总金额，是衡量未来收入增长的关键先行指标。</w:t>
      </w:r>
    </w:p>
    <w:p w14:paraId="0CD856FC" w14:textId="77777777" w:rsidR="006D3B1A" w:rsidRDefault="006D3B1A">
      <w:pPr>
        <w:spacing w:after="0" w:line="240" w:lineRule="auto"/>
        <w:rPr>
          <w:rFonts w:ascii="黑体" w:eastAsia="黑体" w:hAnsi="黑体" w:hint="eastAsia"/>
        </w:rPr>
      </w:pPr>
    </w:p>
    <w:p w14:paraId="628DB9F7" w14:textId="77777777" w:rsidR="006D3B1A" w:rsidRDefault="00000000">
      <w:pPr>
        <w:spacing w:after="0" w:line="240" w:lineRule="auto"/>
        <w:rPr>
          <w:rFonts w:ascii="黑体" w:eastAsia="黑体" w:hAnsi="黑体" w:hint="eastAsia"/>
        </w:rPr>
      </w:pPr>
      <w:r>
        <w:rPr>
          <w:rFonts w:ascii="黑体" w:eastAsia="黑体" w:hAnsi="黑体" w:hint="eastAsia"/>
        </w:rPr>
        <w:t>9月10日，海外人工智能（AI）芯片巨头发布了专为处理超长上下文AI推理任务而设计的Rubin CPX GPU及配套Vera Rubin NVL144 CPX平台。该系列产品专注于支持“数百万Tokens”级别的长上下文处理，通过硬件架构优化与系统级协同，显著提升了推理性能。</w:t>
      </w:r>
      <w:proofErr w:type="spellStart"/>
      <w:r>
        <w:rPr>
          <w:rFonts w:ascii="黑体" w:eastAsia="黑体" w:hAnsi="黑体" w:hint="eastAsia"/>
        </w:rPr>
        <w:t>RubinCPX</w:t>
      </w:r>
      <w:proofErr w:type="spellEnd"/>
      <w:r>
        <w:rPr>
          <w:rFonts w:ascii="黑体" w:eastAsia="黑体" w:hAnsi="黑体" w:hint="eastAsia"/>
        </w:rPr>
        <w:t xml:space="preserve">具备128GB GDDR7显存和30 </w:t>
      </w:r>
      <w:proofErr w:type="spellStart"/>
      <w:r>
        <w:rPr>
          <w:rFonts w:ascii="黑体" w:eastAsia="黑体" w:hAnsi="黑体" w:hint="eastAsia"/>
        </w:rPr>
        <w:t>peta</w:t>
      </w:r>
      <w:proofErr w:type="spellEnd"/>
      <w:r>
        <w:rPr>
          <w:rFonts w:ascii="黑体" w:eastAsia="黑体" w:hAnsi="黑体" w:hint="eastAsia"/>
        </w:rPr>
        <w:t xml:space="preserve"> FLOPs的NVFP4算力，针对AI推理中“上下文阶段计算受限、生成阶段内存带宽受限”的负载特点，对计算任务进行了拆分与优化。该GPU与Vera CPU、Rubin GPU协同工作，形成高效架构，单机架性能相比上一代旗舰GB300 NVL72提升最高达6.5倍，成为长上下文AI推理算力领域的新标杆。Rubin CPX的新品发布使得市场份额有望进一步向制造和研发能力领先的行业头部供应商集中。更为重要的是，此次专为推理任务设计的Rubin CPX有望使得该公司以及供应商进一步往训练侧算力需求打开市场空间。</w:t>
      </w:r>
    </w:p>
    <w:p w14:paraId="72243050" w14:textId="77777777" w:rsidR="006D3B1A" w:rsidRDefault="006D3B1A">
      <w:pPr>
        <w:spacing w:after="0" w:line="240" w:lineRule="auto"/>
        <w:rPr>
          <w:rFonts w:ascii="黑体" w:eastAsia="黑体" w:hAnsi="黑体" w:hint="eastAsia"/>
        </w:rPr>
      </w:pPr>
    </w:p>
    <w:p w14:paraId="715E695E" w14:textId="681209EC" w:rsidR="006D3B1A" w:rsidRDefault="00000000">
      <w:pPr>
        <w:spacing w:after="0" w:line="240" w:lineRule="auto"/>
        <w:rPr>
          <w:rFonts w:ascii="黑体" w:eastAsia="黑体" w:hAnsi="黑体" w:hint="eastAsia"/>
        </w:rPr>
      </w:pPr>
      <w:r>
        <w:rPr>
          <w:rFonts w:ascii="黑体" w:eastAsia="黑体" w:hAnsi="黑体" w:hint="eastAsia"/>
        </w:rPr>
        <w:t>Oracle财报的超预期表现以及新款芯片的推出，底层是海外大模型厂商不断加码投资算力。根据公开财报指引，Meta表示将在2028年前在美国投资至少6000 亿美元；海外人工智能（AI）芯片巨头预计到 2030年AI 基础设施支出将达到3</w:t>
      </w:r>
      <w:r>
        <w:rPr>
          <w:rFonts w:ascii="微软雅黑" w:eastAsia="微软雅黑" w:hAnsi="微软雅黑" w:cs="微软雅黑" w:hint="eastAsia"/>
        </w:rPr>
        <w:t>~</w:t>
      </w:r>
      <w:r>
        <w:rPr>
          <w:rFonts w:ascii="黑体" w:eastAsia="黑体" w:hAnsi="黑体" w:hint="eastAsia"/>
        </w:rPr>
        <w:t>4万亿美元。目前来看。海外大模型厂商或将持续加码投入AI建设，AI军备竞赛愈演愈烈。A股供应链厂商业绩增速亮眼，未来或仍有广阔的成长空间。</w:t>
      </w:r>
    </w:p>
    <w:p w14:paraId="77E693A4" w14:textId="77777777" w:rsidR="006D3B1A" w:rsidRDefault="006D3B1A">
      <w:pPr>
        <w:spacing w:after="0" w:line="240" w:lineRule="auto"/>
        <w:rPr>
          <w:rFonts w:ascii="黑体" w:eastAsia="黑体" w:hAnsi="黑体" w:hint="eastAsia"/>
        </w:rPr>
      </w:pPr>
    </w:p>
    <w:p w14:paraId="4FA69493" w14:textId="77777777" w:rsidR="006D3B1A" w:rsidRDefault="00000000">
      <w:pPr>
        <w:rPr>
          <w:rFonts w:ascii="黑体" w:eastAsia="黑体" w:hAnsi="黑体" w:hint="eastAsia"/>
        </w:rPr>
      </w:pPr>
      <w:r>
        <w:rPr>
          <w:rFonts w:ascii="黑体" w:eastAsia="黑体" w:hAnsi="黑体" w:hint="eastAsia"/>
        </w:rPr>
        <w:t xml:space="preserve">注： </w:t>
      </w:r>
    </w:p>
    <w:p w14:paraId="449E9CC6" w14:textId="77777777" w:rsidR="006D3B1A" w:rsidRDefault="00000000">
      <w:pPr>
        <w:jc w:val="both"/>
        <w:rPr>
          <w:rFonts w:ascii="黑体" w:eastAsia="黑体" w:hAnsi="黑体" w:hint="eastAsia"/>
        </w:rPr>
      </w:pPr>
      <w:r>
        <w:rPr>
          <w:rFonts w:ascii="黑体" w:eastAsia="黑体" w:hAnsi="黑体" w:hint="eastAsia"/>
        </w:rPr>
        <w:t>1、富荣信息技术混合成立于2021年10月28日，R3（中风险）。基金经理任职期：郎骋成（2021.10.28-2023.12.13）、李延峥（2021.10.28-至今）。</w:t>
      </w:r>
    </w:p>
    <w:p w14:paraId="09833B7D" w14:textId="6006BF1B" w:rsidR="006D3B1A" w:rsidRDefault="00000000">
      <w:pPr>
        <w:jc w:val="both"/>
        <w:rPr>
          <w:rFonts w:ascii="黑体" w:eastAsia="黑体" w:hAnsi="黑体" w:hint="eastAsia"/>
        </w:rPr>
      </w:pPr>
      <w:r>
        <w:rPr>
          <w:rFonts w:ascii="黑体" w:eastAsia="黑体" w:hAnsi="黑体" w:hint="eastAsia"/>
        </w:rPr>
        <w:t>2、富荣福锦混合成立于2018年3月16日，于2021年4月19日增加存托凭证投资范围和投资策略，R3（中风险）。基金经理任职期：胡长虹（2018.03.16-2018.11.26）、邓宇翔（2018.03.30-2024.06.24）、李天翔（2024.06.07-2025.02.19）、李延峥（2024.08.28-至今）、毛运宏（2025.05.29-至今）。</w:t>
      </w:r>
    </w:p>
    <w:p w14:paraId="768304EC" w14:textId="549E4E14" w:rsidR="006D3B1A" w:rsidRDefault="00000000">
      <w:pPr>
        <w:rPr>
          <w:rFonts w:ascii="黑体" w:eastAsia="黑体" w:hAnsi="黑体" w:hint="eastAsia"/>
        </w:rPr>
      </w:pPr>
      <w:r>
        <w:rPr>
          <w:rFonts w:ascii="黑体" w:eastAsia="黑体" w:hAnsi="黑体" w:hint="eastAsia"/>
        </w:rPr>
        <w:t>风险提示：1、投资人应当认真阅读《基金合同》、《招募说明书》、《基金产品资料概要》等基金法律文件，了解基金的风险收益特征，并根据自身的投资目的、投资期限、投资经验、资产状况等判断基金是否和投资人的风险承受能力相适应。2、基金管理人承诺以诚实信用、勤勉尽责的原则管理和运用基金资产，但不保证本基金一定盈利，也不保证最低收益。基金的过往业绩及其净值高低并不预示其未来业绩表现。基金管理人管理的其他基金的业绩并不构成基金业绩表现的保证。3、基金管理人提醒投资人基金投资的“买者自负”原则，在做出投资决策后，基金运营状况与基金净值变化引致的投资风险，由投资人自行负担。我国基金运作时间较短，不能反映证券市场发展的所有阶段。基金经理将根据证券市场情况的变化并依据基金合同的约定，灵活调整具体的投资策略。</w:t>
      </w:r>
    </w:p>
    <w:sectPr w:rsidR="006D3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47C0" w14:textId="77777777" w:rsidR="00642988" w:rsidRDefault="00642988">
      <w:pPr>
        <w:spacing w:line="240" w:lineRule="auto"/>
        <w:rPr>
          <w:rFonts w:hint="eastAsia"/>
        </w:rPr>
      </w:pPr>
      <w:r>
        <w:separator/>
      </w:r>
    </w:p>
  </w:endnote>
  <w:endnote w:type="continuationSeparator" w:id="0">
    <w:p w14:paraId="0D9D225A" w14:textId="77777777" w:rsidR="00642988" w:rsidRDefault="0064298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7116" w14:textId="77777777" w:rsidR="00642988" w:rsidRDefault="00642988">
      <w:pPr>
        <w:spacing w:after="0"/>
        <w:rPr>
          <w:rFonts w:hint="eastAsia"/>
        </w:rPr>
      </w:pPr>
      <w:r>
        <w:separator/>
      </w:r>
    </w:p>
  </w:footnote>
  <w:footnote w:type="continuationSeparator" w:id="0">
    <w:p w14:paraId="1B46B642" w14:textId="77777777" w:rsidR="00642988" w:rsidRDefault="00642988">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1E"/>
    <w:rsid w:val="00010ABB"/>
    <w:rsid w:val="00056703"/>
    <w:rsid w:val="000574CD"/>
    <w:rsid w:val="00060B1F"/>
    <w:rsid w:val="00060BB3"/>
    <w:rsid w:val="00070AC3"/>
    <w:rsid w:val="00072D85"/>
    <w:rsid w:val="00085625"/>
    <w:rsid w:val="000A10F0"/>
    <w:rsid w:val="000B5232"/>
    <w:rsid w:val="000B5EC3"/>
    <w:rsid w:val="000D31EC"/>
    <w:rsid w:val="000E4595"/>
    <w:rsid w:val="000F2C35"/>
    <w:rsid w:val="000F5C8C"/>
    <w:rsid w:val="00105B18"/>
    <w:rsid w:val="00111C69"/>
    <w:rsid w:val="0011338E"/>
    <w:rsid w:val="0012278C"/>
    <w:rsid w:val="00131159"/>
    <w:rsid w:val="00135855"/>
    <w:rsid w:val="00136E2C"/>
    <w:rsid w:val="00137ACD"/>
    <w:rsid w:val="00154914"/>
    <w:rsid w:val="00154FD6"/>
    <w:rsid w:val="00162392"/>
    <w:rsid w:val="001632F8"/>
    <w:rsid w:val="00176D4F"/>
    <w:rsid w:val="001943A4"/>
    <w:rsid w:val="001A1EA6"/>
    <w:rsid w:val="001B13A7"/>
    <w:rsid w:val="001D23F9"/>
    <w:rsid w:val="001E1D0C"/>
    <w:rsid w:val="001F4529"/>
    <w:rsid w:val="002356CA"/>
    <w:rsid w:val="00237722"/>
    <w:rsid w:val="002509DF"/>
    <w:rsid w:val="00262780"/>
    <w:rsid w:val="00263A59"/>
    <w:rsid w:val="00281256"/>
    <w:rsid w:val="002B6357"/>
    <w:rsid w:val="002B66C1"/>
    <w:rsid w:val="002D089C"/>
    <w:rsid w:val="002D4BB0"/>
    <w:rsid w:val="002D650F"/>
    <w:rsid w:val="003012D0"/>
    <w:rsid w:val="00327EE8"/>
    <w:rsid w:val="0033490C"/>
    <w:rsid w:val="00334EDC"/>
    <w:rsid w:val="003363A4"/>
    <w:rsid w:val="003630B9"/>
    <w:rsid w:val="003B32D2"/>
    <w:rsid w:val="003B57D6"/>
    <w:rsid w:val="003D49C2"/>
    <w:rsid w:val="003D79A0"/>
    <w:rsid w:val="0042772C"/>
    <w:rsid w:val="00437B97"/>
    <w:rsid w:val="00452826"/>
    <w:rsid w:val="00463EF8"/>
    <w:rsid w:val="004709F0"/>
    <w:rsid w:val="00476A8A"/>
    <w:rsid w:val="00480527"/>
    <w:rsid w:val="00480961"/>
    <w:rsid w:val="00497215"/>
    <w:rsid w:val="004A4392"/>
    <w:rsid w:val="00532E84"/>
    <w:rsid w:val="00533687"/>
    <w:rsid w:val="00544856"/>
    <w:rsid w:val="00562EFC"/>
    <w:rsid w:val="00572EDC"/>
    <w:rsid w:val="00580451"/>
    <w:rsid w:val="005848AC"/>
    <w:rsid w:val="0058536C"/>
    <w:rsid w:val="005A3900"/>
    <w:rsid w:val="005A5219"/>
    <w:rsid w:val="005B2E06"/>
    <w:rsid w:val="005C7FAA"/>
    <w:rsid w:val="005D4A4E"/>
    <w:rsid w:val="006159D7"/>
    <w:rsid w:val="006251F4"/>
    <w:rsid w:val="006339E4"/>
    <w:rsid w:val="00642988"/>
    <w:rsid w:val="00642E22"/>
    <w:rsid w:val="00652937"/>
    <w:rsid w:val="0065306A"/>
    <w:rsid w:val="00663F1B"/>
    <w:rsid w:val="00667E3D"/>
    <w:rsid w:val="00682E74"/>
    <w:rsid w:val="00683550"/>
    <w:rsid w:val="00695FF3"/>
    <w:rsid w:val="00696F3B"/>
    <w:rsid w:val="006B6E51"/>
    <w:rsid w:val="006C1415"/>
    <w:rsid w:val="006C4D4D"/>
    <w:rsid w:val="006C6FC5"/>
    <w:rsid w:val="006D2011"/>
    <w:rsid w:val="006D20D8"/>
    <w:rsid w:val="006D3B1A"/>
    <w:rsid w:val="006F1B7A"/>
    <w:rsid w:val="006F22BC"/>
    <w:rsid w:val="0071236B"/>
    <w:rsid w:val="0071685B"/>
    <w:rsid w:val="00727A99"/>
    <w:rsid w:val="007542C3"/>
    <w:rsid w:val="0078052B"/>
    <w:rsid w:val="007A3A02"/>
    <w:rsid w:val="007B3AF5"/>
    <w:rsid w:val="007B77FB"/>
    <w:rsid w:val="007C12A1"/>
    <w:rsid w:val="007D46E6"/>
    <w:rsid w:val="007E1867"/>
    <w:rsid w:val="007E3D17"/>
    <w:rsid w:val="008117FF"/>
    <w:rsid w:val="00823771"/>
    <w:rsid w:val="00843EBC"/>
    <w:rsid w:val="008506AB"/>
    <w:rsid w:val="00884E0B"/>
    <w:rsid w:val="008861CD"/>
    <w:rsid w:val="008919E9"/>
    <w:rsid w:val="008A2825"/>
    <w:rsid w:val="008B1116"/>
    <w:rsid w:val="008B4166"/>
    <w:rsid w:val="008B695E"/>
    <w:rsid w:val="008C2C01"/>
    <w:rsid w:val="00915C2A"/>
    <w:rsid w:val="00942781"/>
    <w:rsid w:val="00946A9E"/>
    <w:rsid w:val="0095622F"/>
    <w:rsid w:val="00962830"/>
    <w:rsid w:val="00987807"/>
    <w:rsid w:val="009A024D"/>
    <w:rsid w:val="009B3971"/>
    <w:rsid w:val="009D0792"/>
    <w:rsid w:val="009D6350"/>
    <w:rsid w:val="009E64DC"/>
    <w:rsid w:val="009F3E0D"/>
    <w:rsid w:val="009F7D50"/>
    <w:rsid w:val="00A13C5B"/>
    <w:rsid w:val="00A23520"/>
    <w:rsid w:val="00A32A6A"/>
    <w:rsid w:val="00A57A56"/>
    <w:rsid w:val="00A60CED"/>
    <w:rsid w:val="00A61B56"/>
    <w:rsid w:val="00A652B7"/>
    <w:rsid w:val="00A731A0"/>
    <w:rsid w:val="00A73714"/>
    <w:rsid w:val="00A82775"/>
    <w:rsid w:val="00AA4BFD"/>
    <w:rsid w:val="00AB293D"/>
    <w:rsid w:val="00AE7A39"/>
    <w:rsid w:val="00B0736E"/>
    <w:rsid w:val="00B17FA7"/>
    <w:rsid w:val="00B25173"/>
    <w:rsid w:val="00B36E17"/>
    <w:rsid w:val="00B479BB"/>
    <w:rsid w:val="00B54301"/>
    <w:rsid w:val="00B63A13"/>
    <w:rsid w:val="00B72A92"/>
    <w:rsid w:val="00B74E79"/>
    <w:rsid w:val="00B84EA8"/>
    <w:rsid w:val="00B869BA"/>
    <w:rsid w:val="00B93315"/>
    <w:rsid w:val="00B94257"/>
    <w:rsid w:val="00B95D9E"/>
    <w:rsid w:val="00BA384E"/>
    <w:rsid w:val="00BA4626"/>
    <w:rsid w:val="00BA71FD"/>
    <w:rsid w:val="00BB50E3"/>
    <w:rsid w:val="00BB7777"/>
    <w:rsid w:val="00BC55FA"/>
    <w:rsid w:val="00BD44AA"/>
    <w:rsid w:val="00BF1999"/>
    <w:rsid w:val="00BF54FE"/>
    <w:rsid w:val="00BF61FD"/>
    <w:rsid w:val="00BF6D6C"/>
    <w:rsid w:val="00C00A8C"/>
    <w:rsid w:val="00C224F2"/>
    <w:rsid w:val="00C53FAA"/>
    <w:rsid w:val="00C6786E"/>
    <w:rsid w:val="00C97B7D"/>
    <w:rsid w:val="00CB54EE"/>
    <w:rsid w:val="00CC00CE"/>
    <w:rsid w:val="00CC1ACC"/>
    <w:rsid w:val="00CC537C"/>
    <w:rsid w:val="00CD0A9E"/>
    <w:rsid w:val="00D345D7"/>
    <w:rsid w:val="00D559C2"/>
    <w:rsid w:val="00D6338A"/>
    <w:rsid w:val="00D927DE"/>
    <w:rsid w:val="00D92EF4"/>
    <w:rsid w:val="00D95608"/>
    <w:rsid w:val="00DA5E7B"/>
    <w:rsid w:val="00DD636C"/>
    <w:rsid w:val="00DE4BB7"/>
    <w:rsid w:val="00DF1ABE"/>
    <w:rsid w:val="00DF560B"/>
    <w:rsid w:val="00E02F8D"/>
    <w:rsid w:val="00E17515"/>
    <w:rsid w:val="00E23CA9"/>
    <w:rsid w:val="00E35F4F"/>
    <w:rsid w:val="00E535B8"/>
    <w:rsid w:val="00E53A3B"/>
    <w:rsid w:val="00E6380E"/>
    <w:rsid w:val="00E66E58"/>
    <w:rsid w:val="00E773CD"/>
    <w:rsid w:val="00EA44E6"/>
    <w:rsid w:val="00EA6143"/>
    <w:rsid w:val="00EB35DB"/>
    <w:rsid w:val="00EB5E1E"/>
    <w:rsid w:val="00EF676F"/>
    <w:rsid w:val="00F03A32"/>
    <w:rsid w:val="00F14284"/>
    <w:rsid w:val="00F21018"/>
    <w:rsid w:val="00F3112A"/>
    <w:rsid w:val="00F3741D"/>
    <w:rsid w:val="00F545DA"/>
    <w:rsid w:val="00F62C3A"/>
    <w:rsid w:val="00F86702"/>
    <w:rsid w:val="00FB11E4"/>
    <w:rsid w:val="00FD2081"/>
    <w:rsid w:val="00FD242E"/>
    <w:rsid w:val="0590195E"/>
    <w:rsid w:val="0A9309C2"/>
    <w:rsid w:val="0BB43FDD"/>
    <w:rsid w:val="13244993"/>
    <w:rsid w:val="14E277F3"/>
    <w:rsid w:val="18967A76"/>
    <w:rsid w:val="1D4C751C"/>
    <w:rsid w:val="1DE933AC"/>
    <w:rsid w:val="1FC41D2B"/>
    <w:rsid w:val="2137408B"/>
    <w:rsid w:val="222318DB"/>
    <w:rsid w:val="31AC64FF"/>
    <w:rsid w:val="38376065"/>
    <w:rsid w:val="3CFE4730"/>
    <w:rsid w:val="4113484E"/>
    <w:rsid w:val="4B3D59BF"/>
    <w:rsid w:val="4CBD12A4"/>
    <w:rsid w:val="518A6EC1"/>
    <w:rsid w:val="58D772FF"/>
    <w:rsid w:val="593133EA"/>
    <w:rsid w:val="5AA31704"/>
    <w:rsid w:val="5B537414"/>
    <w:rsid w:val="5F9A3DB8"/>
    <w:rsid w:val="62507B6B"/>
    <w:rsid w:val="6B7E7B97"/>
    <w:rsid w:val="6C655730"/>
    <w:rsid w:val="747162E2"/>
    <w:rsid w:val="749D708A"/>
    <w:rsid w:val="7D4A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E4F8A"/>
  <w15:docId w15:val="{14B3106E-7A80-4E7E-AF1E-C28A99A2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alloon Text"/>
    <w:basedOn w:val="a"/>
    <w:link w:val="a5"/>
    <w:uiPriority w:val="99"/>
    <w:semiHidden/>
    <w:unhideWhenUsed/>
    <w:qFormat/>
    <w:pPr>
      <w:spacing w:after="0"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31">
    <w:name w:val="修订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41">
    <w:name w:val="修订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51">
    <w:name w:val="修订5"/>
    <w:hidden/>
    <w:uiPriority w:val="99"/>
    <w:unhideWhenUsed/>
    <w:qFormat/>
    <w:rPr>
      <w:rFonts w:asciiTheme="minorHAnsi" w:eastAsiaTheme="minorEastAsia" w:hAnsiTheme="minorHAnsi" w:cstheme="minorBidi"/>
      <w:kern w:val="2"/>
      <w:sz w:val="22"/>
      <w:szCs w:val="24"/>
      <w14:ligatures w14:val="standardContextual"/>
    </w:rPr>
  </w:style>
  <w:style w:type="character" w:customStyle="1" w:styleId="a5">
    <w:name w:val="批注框文本 字符"/>
    <w:basedOn w:val="a0"/>
    <w:link w:val="a4"/>
    <w:uiPriority w:val="99"/>
    <w:semiHidden/>
    <w:qFormat/>
    <w:rPr>
      <w:kern w:val="2"/>
      <w:sz w:val="18"/>
      <w:szCs w:val="18"/>
      <w14:ligatures w14:val="standardContextual"/>
    </w:rPr>
  </w:style>
  <w:style w:type="character" w:customStyle="1" w:styleId="14">
    <w:name w:val="未处理的提及1"/>
    <w:basedOn w:val="a0"/>
    <w:uiPriority w:val="99"/>
    <w:semiHidden/>
    <w:unhideWhenUsed/>
    <w:qFormat/>
    <w:rPr>
      <w:color w:val="605E5C"/>
      <w:shd w:val="clear" w:color="auto" w:fill="E1DFDD"/>
    </w:rPr>
  </w:style>
  <w:style w:type="paragraph" w:customStyle="1" w:styleId="61">
    <w:name w:val="修订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71">
    <w:name w:val="修订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81">
    <w:name w:val="修订8"/>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91">
    <w:name w:val="修订9"/>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00">
    <w:name w:val="修订10"/>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10">
    <w:name w:val="修订1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20">
    <w:name w:val="修订1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30">
    <w:name w:val="修订1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40">
    <w:name w:val="修订1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5">
    <w:name w:val="修订15"/>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6">
    <w:name w:val="修订1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7">
    <w:name w:val="修订1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8">
    <w:name w:val="修订18"/>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9">
    <w:name w:val="修订19"/>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00">
    <w:name w:val="修订20"/>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10">
    <w:name w:val="修订21"/>
    <w:hidden/>
    <w:uiPriority w:val="99"/>
    <w:unhideWhenUsed/>
    <w:rPr>
      <w:rFonts w:asciiTheme="minorHAnsi" w:eastAsiaTheme="minorEastAsia" w:hAnsiTheme="minorHAnsi" w:cstheme="minorBidi"/>
      <w:kern w:val="2"/>
      <w:sz w:val="22"/>
      <w:szCs w:val="24"/>
      <w14:ligatures w14:val="standardContextual"/>
    </w:rPr>
  </w:style>
  <w:style w:type="paragraph" w:styleId="af5">
    <w:name w:val="Revision"/>
    <w:hidden/>
    <w:uiPriority w:val="99"/>
    <w:unhideWhenUsed/>
    <w:rsid w:val="007B3AF5"/>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775</Words>
  <Characters>969</Characters>
  <Application>Microsoft Office Word</Application>
  <DocSecurity>0</DocSecurity>
  <Lines>31</Lines>
  <Paragraphs>11</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王梦雨</dc:creator>
  <cp:lastModifiedBy>王梦雨</cp:lastModifiedBy>
  <cp:revision>10</cp:revision>
  <dcterms:created xsi:type="dcterms:W3CDTF">2025-09-03T06:27:00Z</dcterms:created>
  <dcterms:modified xsi:type="dcterms:W3CDTF">2025-09-18T02:30:00Z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eyJoZGlkIjoiYWEyZTA3M2M5N2Q0MmQwMWJkYjAxYzAyY2RhYmU3MjYiLCJ1c2VySWQiOiIxNTIwODY1NzQwIn0=</vt:lpwstr>
  </property>
  <property fmtid="{D5CDD505-2E9C-101B-9397-08002B2CF9AE}" pid="3" name="KSOProductBuildVer">
    <vt:lpwstr>2052-12.1.0.21915</vt:lpwstr>
  </property>
  <property fmtid="{D5CDD505-2E9C-101B-9397-08002B2CF9AE}" pid="4" name="ICV">
    <vt:lpwstr>D180BAE4249343D286D20BAD4A9888C3_13</vt:lpwstr>
  </property>
</Properties>
</file>